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 ContentType="image/tiff"/>
  <Default Extension="tif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harts/chart5.xml" ContentType="application/vnd.openxmlformats-officedocument.drawingml.chart+xml"/>
  <Override PartName="/word/charts/chart6.xml" ContentType="application/vnd.openxmlformats-officedocument.drawingml.chart+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07C83" w:rsidRPr="005E1103" w:rsidRDefault="00F07C83" w:rsidP="00F07C83">
      <w:pPr>
        <w:jc w:val="center"/>
        <w:rPr>
          <w:rFonts w:cstheme="minorHAnsi"/>
          <w:sz w:val="28"/>
          <w:szCs w:val="28"/>
        </w:rPr>
      </w:pPr>
      <w:r w:rsidRPr="005E1103">
        <w:rPr>
          <w:rFonts w:eastAsia="Times New Roman" w:cstheme="minorHAnsi"/>
          <w:b/>
          <w:noProof/>
          <w:color w:val="002060"/>
          <w:sz w:val="28"/>
          <w:szCs w:val="28"/>
          <w:lang w:eastAsia="es-ES"/>
        </w:rPr>
        <w:drawing>
          <wp:inline distT="0" distB="0" distL="0" distR="0">
            <wp:extent cx="3883157" cy="2401461"/>
            <wp:effectExtent l="0" t="0" r="0" b="0"/>
            <wp:docPr id="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83157" cy="2401461"/>
                    </a:xfrm>
                    <a:prstGeom prst="rect">
                      <a:avLst/>
                    </a:prstGeom>
                    <a:noFill/>
                    <a:ln>
                      <a:noFill/>
                    </a:ln>
                  </pic:spPr>
                </pic:pic>
              </a:graphicData>
            </a:graphic>
          </wp:inline>
        </w:drawing>
      </w:r>
    </w:p>
    <w:p w:rsidR="005B53EA" w:rsidRPr="005E1103" w:rsidRDefault="00F07C83" w:rsidP="00F07C83">
      <w:pPr>
        <w:jc w:val="center"/>
        <w:rPr>
          <w:rFonts w:cstheme="minorHAnsi"/>
          <w:sz w:val="28"/>
          <w:szCs w:val="28"/>
        </w:rPr>
      </w:pPr>
      <w:r w:rsidRPr="005E1103">
        <w:rPr>
          <w:rFonts w:eastAsia="Times New Roman" w:cstheme="minorHAnsi"/>
          <w:b/>
          <w:noProof/>
          <w:color w:val="002060"/>
          <w:sz w:val="28"/>
          <w:szCs w:val="28"/>
          <w:lang w:eastAsia="es-ES"/>
        </w:rPr>
        <w:drawing>
          <wp:inline distT="0" distB="0" distL="0" distR="0">
            <wp:extent cx="4106545" cy="683260"/>
            <wp:effectExtent l="0" t="0" r="8255" b="2540"/>
            <wp:docPr id="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29481" cy="687076"/>
                    </a:xfrm>
                    <a:prstGeom prst="rect">
                      <a:avLst/>
                    </a:prstGeom>
                    <a:noFill/>
                    <a:ln>
                      <a:noFill/>
                    </a:ln>
                  </pic:spPr>
                </pic:pic>
              </a:graphicData>
            </a:graphic>
          </wp:inline>
        </w:drawing>
      </w:r>
    </w:p>
    <w:p w:rsidR="00F07C83" w:rsidRPr="005E1103" w:rsidRDefault="00F07C83" w:rsidP="00F07C83">
      <w:pPr>
        <w:jc w:val="center"/>
        <w:rPr>
          <w:rFonts w:cstheme="minorHAnsi"/>
          <w:sz w:val="28"/>
          <w:szCs w:val="28"/>
        </w:rPr>
      </w:pPr>
    </w:p>
    <w:p w:rsidR="00F07C83" w:rsidRPr="005E1103" w:rsidRDefault="00F07C83" w:rsidP="00F07C83">
      <w:pPr>
        <w:spacing w:line="20" w:lineRule="atLeast"/>
        <w:jc w:val="center"/>
        <w:rPr>
          <w:rFonts w:eastAsia="Times New Roman" w:cstheme="minorHAnsi"/>
          <w:b/>
          <w:color w:val="002060"/>
          <w:sz w:val="28"/>
          <w:szCs w:val="28"/>
          <w:lang w:eastAsia="es-ES"/>
        </w:rPr>
      </w:pPr>
      <w:r w:rsidRPr="005E1103">
        <w:rPr>
          <w:rFonts w:eastAsia="Times New Roman" w:cstheme="minorHAnsi"/>
          <w:b/>
          <w:color w:val="002060"/>
          <w:sz w:val="28"/>
          <w:szCs w:val="28"/>
          <w:lang w:eastAsia="es-ES"/>
        </w:rPr>
        <w:t>10 y 11 de noviembre de 2016</w:t>
      </w:r>
    </w:p>
    <w:p w:rsidR="00F07C83" w:rsidRPr="005E1103" w:rsidRDefault="00F07C83" w:rsidP="00F07C83">
      <w:pPr>
        <w:spacing w:line="240" w:lineRule="auto"/>
        <w:jc w:val="center"/>
        <w:rPr>
          <w:rFonts w:eastAsia="Times New Roman" w:cstheme="minorHAnsi"/>
          <w:b/>
          <w:color w:val="002060"/>
          <w:sz w:val="28"/>
          <w:szCs w:val="28"/>
          <w:lang w:eastAsia="es-ES"/>
        </w:rPr>
      </w:pPr>
      <w:r w:rsidRPr="005E1103">
        <w:rPr>
          <w:rFonts w:eastAsia="Times New Roman" w:cstheme="minorHAnsi"/>
          <w:b/>
          <w:color w:val="002060"/>
          <w:sz w:val="28"/>
          <w:szCs w:val="28"/>
          <w:lang w:eastAsia="es-ES"/>
        </w:rPr>
        <w:t>Centro Deportivo y Cultural de la ONCE. Palacio de los Duques de Pastrana</w:t>
      </w:r>
    </w:p>
    <w:p w:rsidR="00F07C83" w:rsidRPr="005E1103" w:rsidRDefault="00F07C83" w:rsidP="00F07C83">
      <w:pPr>
        <w:spacing w:line="240" w:lineRule="auto"/>
        <w:jc w:val="center"/>
        <w:rPr>
          <w:rFonts w:eastAsia="Times New Roman" w:cstheme="minorHAnsi"/>
          <w:b/>
          <w:color w:val="002060"/>
          <w:sz w:val="28"/>
          <w:szCs w:val="28"/>
          <w:lang w:eastAsia="es-ES"/>
        </w:rPr>
      </w:pPr>
      <w:r w:rsidRPr="005E1103">
        <w:rPr>
          <w:rFonts w:eastAsia="Times New Roman" w:cstheme="minorHAnsi"/>
          <w:b/>
          <w:color w:val="002060"/>
          <w:sz w:val="28"/>
          <w:szCs w:val="28"/>
          <w:lang w:eastAsia="es-ES"/>
        </w:rPr>
        <w:t>Paseo de la Habana, 208. MADRID</w:t>
      </w:r>
    </w:p>
    <w:p w:rsidR="00F07C83" w:rsidRPr="005E1103" w:rsidRDefault="00F07C83" w:rsidP="00F07C83">
      <w:pPr>
        <w:jc w:val="center"/>
        <w:rPr>
          <w:rFonts w:cstheme="minorHAnsi"/>
          <w:sz w:val="28"/>
          <w:szCs w:val="28"/>
        </w:rPr>
      </w:pPr>
    </w:p>
    <w:p w:rsidR="00F07C83" w:rsidRPr="005E1103" w:rsidRDefault="00F07C83" w:rsidP="00F07C83">
      <w:pPr>
        <w:jc w:val="center"/>
        <w:rPr>
          <w:rFonts w:cstheme="minorHAnsi"/>
          <w:sz w:val="28"/>
          <w:szCs w:val="28"/>
        </w:rPr>
      </w:pPr>
    </w:p>
    <w:p w:rsidR="00F07C83" w:rsidRPr="005E1103" w:rsidRDefault="00F07C83" w:rsidP="00F07C83">
      <w:pPr>
        <w:jc w:val="center"/>
        <w:rPr>
          <w:rFonts w:cstheme="minorHAnsi"/>
          <w:sz w:val="28"/>
          <w:szCs w:val="28"/>
        </w:rPr>
      </w:pPr>
    </w:p>
    <w:p w:rsidR="00F07C83" w:rsidRPr="005E1103" w:rsidRDefault="00F07C83" w:rsidP="00F07C83">
      <w:pPr>
        <w:shd w:val="clear" w:color="auto" w:fill="C00000"/>
        <w:spacing w:line="240" w:lineRule="auto"/>
        <w:jc w:val="center"/>
        <w:rPr>
          <w:rFonts w:eastAsia="Times New Roman" w:cstheme="minorHAnsi"/>
          <w:b/>
          <w:color w:val="FFFFFF" w:themeColor="background1"/>
          <w:sz w:val="28"/>
          <w:szCs w:val="28"/>
          <w:lang w:eastAsia="es-ES"/>
        </w:rPr>
      </w:pPr>
    </w:p>
    <w:p w:rsidR="00F07C83" w:rsidRPr="005E1103" w:rsidRDefault="00F07C83" w:rsidP="00F07C83">
      <w:pPr>
        <w:shd w:val="clear" w:color="auto" w:fill="C00000"/>
        <w:spacing w:line="240" w:lineRule="auto"/>
        <w:jc w:val="center"/>
        <w:rPr>
          <w:rFonts w:eastAsia="Times New Roman" w:cstheme="minorHAnsi"/>
          <w:b/>
          <w:color w:val="FFFFFF" w:themeColor="background1"/>
          <w:sz w:val="28"/>
          <w:szCs w:val="28"/>
          <w:lang w:eastAsia="es-ES"/>
        </w:rPr>
      </w:pPr>
    </w:p>
    <w:p w:rsidR="00F07C83" w:rsidRPr="005E1103" w:rsidRDefault="00F07C83" w:rsidP="00F07C83">
      <w:pPr>
        <w:shd w:val="clear" w:color="auto" w:fill="C00000"/>
        <w:spacing w:line="240" w:lineRule="auto"/>
        <w:jc w:val="center"/>
        <w:rPr>
          <w:rFonts w:eastAsia="Times New Roman" w:cstheme="minorHAnsi"/>
          <w:b/>
          <w:color w:val="FFFFFF" w:themeColor="background1"/>
          <w:sz w:val="48"/>
          <w:szCs w:val="48"/>
          <w:lang w:eastAsia="es-ES"/>
        </w:rPr>
      </w:pPr>
      <w:r w:rsidRPr="005E1103">
        <w:rPr>
          <w:rFonts w:eastAsia="Times New Roman" w:cstheme="minorHAnsi"/>
          <w:b/>
          <w:color w:val="FFFFFF" w:themeColor="background1"/>
          <w:sz w:val="48"/>
          <w:szCs w:val="48"/>
          <w:lang w:eastAsia="es-ES"/>
        </w:rPr>
        <w:t>LIBRO DE ACTAS</w:t>
      </w:r>
    </w:p>
    <w:p w:rsidR="00F07C83" w:rsidRPr="005E1103" w:rsidRDefault="00F07C83" w:rsidP="00F07C83">
      <w:pPr>
        <w:shd w:val="clear" w:color="auto" w:fill="C00000"/>
        <w:spacing w:line="240" w:lineRule="auto"/>
        <w:jc w:val="center"/>
        <w:rPr>
          <w:rFonts w:eastAsia="Times New Roman" w:cstheme="minorHAnsi"/>
          <w:b/>
          <w:color w:val="FFFFFF" w:themeColor="background1"/>
          <w:sz w:val="48"/>
          <w:szCs w:val="48"/>
          <w:lang w:eastAsia="es-ES"/>
        </w:rPr>
      </w:pPr>
      <w:r w:rsidRPr="005E1103">
        <w:rPr>
          <w:rFonts w:eastAsia="Times New Roman" w:cstheme="minorHAnsi"/>
          <w:b/>
          <w:color w:val="FFFFFF" w:themeColor="background1"/>
          <w:sz w:val="48"/>
          <w:szCs w:val="48"/>
          <w:lang w:eastAsia="es-ES"/>
        </w:rPr>
        <w:t>COMUNICACIONES</w:t>
      </w:r>
    </w:p>
    <w:p w:rsidR="00F07C83" w:rsidRPr="005E1103" w:rsidRDefault="00F07C83" w:rsidP="00F07C83">
      <w:pPr>
        <w:shd w:val="clear" w:color="auto" w:fill="C00000"/>
        <w:spacing w:line="240" w:lineRule="auto"/>
        <w:jc w:val="center"/>
        <w:rPr>
          <w:rFonts w:eastAsia="Times New Roman" w:cstheme="minorHAnsi"/>
          <w:b/>
          <w:color w:val="FFFFFF" w:themeColor="background1"/>
          <w:sz w:val="48"/>
          <w:szCs w:val="48"/>
          <w:lang w:eastAsia="es-ES"/>
        </w:rPr>
      </w:pPr>
      <w:r w:rsidRPr="005E1103">
        <w:rPr>
          <w:rFonts w:eastAsia="Times New Roman" w:cstheme="minorHAnsi"/>
          <w:b/>
          <w:color w:val="FFFFFF" w:themeColor="background1"/>
          <w:sz w:val="48"/>
          <w:szCs w:val="48"/>
          <w:lang w:eastAsia="es-ES"/>
        </w:rPr>
        <w:t>PRESENTADAS</w:t>
      </w:r>
    </w:p>
    <w:p w:rsidR="00F07C83" w:rsidRPr="005E1103" w:rsidRDefault="00F07C83" w:rsidP="00F07C83">
      <w:pPr>
        <w:shd w:val="clear" w:color="auto" w:fill="C00000"/>
        <w:spacing w:line="240" w:lineRule="auto"/>
        <w:jc w:val="center"/>
        <w:rPr>
          <w:rFonts w:eastAsia="Times New Roman" w:cstheme="minorHAnsi"/>
          <w:b/>
          <w:color w:val="FFFFFF" w:themeColor="background1"/>
          <w:sz w:val="28"/>
          <w:szCs w:val="28"/>
          <w:lang w:eastAsia="es-ES"/>
        </w:rPr>
      </w:pPr>
    </w:p>
    <w:p w:rsidR="00F07C83" w:rsidRPr="005E1103" w:rsidRDefault="00F07C83" w:rsidP="00F07C83">
      <w:pPr>
        <w:shd w:val="clear" w:color="auto" w:fill="C00000"/>
        <w:spacing w:line="240" w:lineRule="auto"/>
        <w:jc w:val="center"/>
        <w:rPr>
          <w:rFonts w:eastAsia="Times New Roman" w:cstheme="minorHAnsi"/>
          <w:b/>
          <w:color w:val="FFFFFF" w:themeColor="background1"/>
          <w:sz w:val="28"/>
          <w:szCs w:val="28"/>
          <w:lang w:eastAsia="es-ES"/>
        </w:rPr>
      </w:pPr>
    </w:p>
    <w:p w:rsidR="00AB65A1" w:rsidRPr="005E1103" w:rsidRDefault="00AB65A1">
      <w:pPr>
        <w:rPr>
          <w:rFonts w:cstheme="minorHAnsi"/>
          <w:sz w:val="28"/>
          <w:szCs w:val="28"/>
        </w:rPr>
      </w:pPr>
      <w:r w:rsidRPr="005E1103">
        <w:rPr>
          <w:rFonts w:cstheme="minorHAnsi"/>
          <w:sz w:val="28"/>
          <w:szCs w:val="28"/>
        </w:rPr>
        <w:br w:type="page"/>
      </w:r>
    </w:p>
    <w:p w:rsidR="00AB65A1" w:rsidRPr="005E1103" w:rsidRDefault="00AB65A1" w:rsidP="00AB65A1">
      <w:pPr>
        <w:rPr>
          <w:rFonts w:cstheme="minorHAnsi"/>
          <w:sz w:val="28"/>
          <w:szCs w:val="28"/>
        </w:rPr>
      </w:pPr>
    </w:p>
    <w:p w:rsidR="00AB65A1" w:rsidRPr="005E1103" w:rsidRDefault="00AB65A1" w:rsidP="00AB65A1">
      <w:pPr>
        <w:jc w:val="center"/>
        <w:rPr>
          <w:rFonts w:cstheme="minorHAnsi"/>
          <w:sz w:val="28"/>
          <w:szCs w:val="28"/>
        </w:rPr>
      </w:pPr>
      <w:r w:rsidRPr="005E1103">
        <w:rPr>
          <w:rFonts w:cstheme="minorHAnsi"/>
          <w:noProof/>
          <w:sz w:val="28"/>
          <w:szCs w:val="28"/>
          <w:lang w:eastAsia="es-ES"/>
        </w:rPr>
        <w:drawing>
          <wp:inline distT="0" distB="0" distL="0" distR="0" wp14:anchorId="14ECDD8E" wp14:editId="5DFC5D76">
            <wp:extent cx="4111777" cy="542925"/>
            <wp:effectExtent l="0" t="0" r="3175" b="0"/>
            <wp:docPr id="1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11294" cy="542861"/>
                    </a:xfrm>
                    <a:prstGeom prst="rect">
                      <a:avLst/>
                    </a:prstGeom>
                    <a:noFill/>
                    <a:ln>
                      <a:noFill/>
                    </a:ln>
                  </pic:spPr>
                </pic:pic>
              </a:graphicData>
            </a:graphic>
          </wp:inline>
        </w:drawing>
      </w:r>
    </w:p>
    <w:p w:rsidR="00AB65A1" w:rsidRPr="005E1103" w:rsidRDefault="00AB65A1" w:rsidP="00AB65A1">
      <w:pPr>
        <w:spacing w:after="360"/>
        <w:jc w:val="center"/>
        <w:rPr>
          <w:rFonts w:cstheme="minorHAnsi"/>
          <w:b/>
          <w:color w:val="3F5570"/>
          <w:sz w:val="28"/>
          <w:szCs w:val="28"/>
        </w:rPr>
      </w:pPr>
      <w:r w:rsidRPr="005E1103">
        <w:rPr>
          <w:rFonts w:cstheme="minorHAnsi"/>
          <w:b/>
          <w:color w:val="3F5570"/>
          <w:sz w:val="28"/>
          <w:szCs w:val="28"/>
        </w:rPr>
        <w:t>10 y 11 de noviembre de 2016</w:t>
      </w:r>
    </w:p>
    <w:p w:rsidR="00AB65A1" w:rsidRPr="005E1103" w:rsidRDefault="00AB65A1" w:rsidP="00AB65A1">
      <w:pPr>
        <w:spacing w:before="240"/>
        <w:jc w:val="center"/>
        <w:rPr>
          <w:rFonts w:cstheme="minorHAnsi"/>
          <w:b/>
          <w:color w:val="D20116"/>
          <w:sz w:val="28"/>
          <w:szCs w:val="28"/>
        </w:rPr>
      </w:pPr>
      <w:r w:rsidRPr="005E1103">
        <w:rPr>
          <w:rFonts w:cstheme="minorHAnsi"/>
          <w:b/>
          <w:color w:val="D20116"/>
          <w:sz w:val="28"/>
          <w:szCs w:val="28"/>
        </w:rPr>
        <w:t>COMUNICACIONES PRESENTADAS</w:t>
      </w:r>
    </w:p>
    <w:p w:rsidR="00AB65A1" w:rsidRPr="005E1103" w:rsidRDefault="00AB65A1" w:rsidP="00AB65A1">
      <w:pPr>
        <w:spacing w:before="240"/>
        <w:jc w:val="center"/>
        <w:rPr>
          <w:rFonts w:cstheme="minorHAnsi"/>
          <w:b/>
          <w:color w:val="D20116"/>
          <w:sz w:val="28"/>
          <w:szCs w:val="28"/>
        </w:rPr>
      </w:pPr>
      <w:r w:rsidRPr="005E1103">
        <w:rPr>
          <w:rFonts w:cstheme="minorHAnsi"/>
          <w:b/>
          <w:color w:val="D20116"/>
          <w:sz w:val="28"/>
          <w:szCs w:val="28"/>
        </w:rPr>
        <w:t>GRUPO 1</w:t>
      </w:r>
    </w:p>
    <w:p w:rsidR="00AB65A1" w:rsidRPr="005E1103" w:rsidRDefault="00AB65A1" w:rsidP="00AB65A1">
      <w:pPr>
        <w:spacing w:before="240"/>
        <w:jc w:val="center"/>
        <w:rPr>
          <w:rFonts w:cstheme="minorHAnsi"/>
          <w:b/>
          <w:color w:val="D20116"/>
          <w:sz w:val="28"/>
          <w:szCs w:val="28"/>
        </w:rPr>
      </w:pPr>
      <w:r w:rsidRPr="005E1103">
        <w:rPr>
          <w:rFonts w:cstheme="minorHAnsi"/>
          <w:b/>
          <w:color w:val="D20116"/>
          <w:sz w:val="28"/>
          <w:szCs w:val="28"/>
        </w:rPr>
        <w:t>UNIVERSIDAD INCLUSIVA</w:t>
      </w:r>
    </w:p>
    <w:p w:rsidR="00AB65A1" w:rsidRPr="005E1103" w:rsidRDefault="00AB65A1" w:rsidP="00AB65A1">
      <w:pPr>
        <w:spacing w:before="240"/>
        <w:jc w:val="center"/>
        <w:rPr>
          <w:rFonts w:cstheme="minorHAnsi"/>
          <w:b/>
          <w:i/>
          <w:color w:val="D20116"/>
          <w:sz w:val="28"/>
          <w:szCs w:val="28"/>
        </w:rPr>
      </w:pPr>
      <w:r w:rsidRPr="005E1103">
        <w:rPr>
          <w:rFonts w:cstheme="minorHAnsi"/>
          <w:b/>
          <w:i/>
          <w:noProof/>
          <w:color w:val="D20116"/>
          <w:sz w:val="28"/>
          <w:szCs w:val="28"/>
          <w:lang w:eastAsia="es-ES"/>
        </w:rPr>
        <w:drawing>
          <wp:anchor distT="0" distB="0" distL="114300" distR="114300" simplePos="0" relativeHeight="251659264" behindDoc="1" locked="0" layoutInCell="1" allowOverlap="1" wp14:anchorId="359A5FA5" wp14:editId="7E54065E">
            <wp:simplePos x="0" y="0"/>
            <wp:positionH relativeFrom="column">
              <wp:posOffset>2063750</wp:posOffset>
            </wp:positionH>
            <wp:positionV relativeFrom="paragraph">
              <wp:posOffset>377825</wp:posOffset>
            </wp:positionV>
            <wp:extent cx="1952625" cy="1207135"/>
            <wp:effectExtent l="0" t="0" r="0" b="0"/>
            <wp:wrapNone/>
            <wp:docPr id="1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52625" cy="1207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1103">
        <w:rPr>
          <w:rFonts w:cstheme="minorHAnsi"/>
          <w:b/>
          <w:i/>
          <w:color w:val="D20116"/>
          <w:sz w:val="28"/>
          <w:szCs w:val="28"/>
        </w:rPr>
        <w:t xml:space="preserve"> </w:t>
      </w:r>
    </w:p>
    <w:p w:rsidR="00AB65A1" w:rsidRPr="005E1103" w:rsidRDefault="00AB65A1" w:rsidP="00AB65A1">
      <w:pPr>
        <w:rPr>
          <w:rFonts w:cstheme="minorHAnsi"/>
          <w:sz w:val="28"/>
          <w:szCs w:val="28"/>
        </w:rPr>
      </w:pPr>
    </w:p>
    <w:p w:rsidR="00AB65A1" w:rsidRPr="005E1103" w:rsidRDefault="00AB65A1" w:rsidP="00AB65A1">
      <w:pPr>
        <w:rPr>
          <w:rFonts w:cstheme="minorHAnsi"/>
          <w:sz w:val="28"/>
          <w:szCs w:val="28"/>
        </w:rPr>
      </w:pPr>
    </w:p>
    <w:p w:rsidR="00AB65A1" w:rsidRPr="005E1103" w:rsidRDefault="00AB65A1" w:rsidP="00AB65A1">
      <w:pPr>
        <w:rPr>
          <w:rFonts w:cstheme="minorHAnsi"/>
          <w:sz w:val="28"/>
          <w:szCs w:val="28"/>
        </w:rPr>
      </w:pPr>
    </w:p>
    <w:p w:rsidR="00AB65A1" w:rsidRPr="005E1103" w:rsidRDefault="00AB65A1" w:rsidP="00AB65A1">
      <w:pPr>
        <w:rPr>
          <w:rFonts w:cstheme="minorHAnsi"/>
          <w:sz w:val="28"/>
          <w:szCs w:val="28"/>
        </w:rPr>
      </w:pPr>
    </w:p>
    <w:p w:rsidR="00AB65A1" w:rsidRPr="005E1103" w:rsidRDefault="00AB65A1" w:rsidP="00AB65A1">
      <w:pPr>
        <w:rPr>
          <w:rFonts w:cstheme="minorHAnsi"/>
          <w:sz w:val="28"/>
          <w:szCs w:val="28"/>
        </w:rPr>
      </w:pPr>
    </w:p>
    <w:p w:rsidR="00AB65A1" w:rsidRPr="005E1103" w:rsidRDefault="00AB65A1" w:rsidP="00AB65A1">
      <w:pPr>
        <w:rPr>
          <w:rFonts w:cstheme="minorHAnsi"/>
          <w:sz w:val="28"/>
          <w:szCs w:val="28"/>
        </w:rPr>
      </w:pPr>
    </w:p>
    <w:tbl>
      <w:tblPr>
        <w:tblW w:w="0" w:type="auto"/>
        <w:jc w:val="center"/>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3033"/>
        <w:gridCol w:w="5451"/>
      </w:tblGrid>
      <w:tr w:rsidR="00AB65A1" w:rsidRPr="005E1103" w:rsidTr="00AB65A1">
        <w:trPr>
          <w:trHeight w:val="1200"/>
          <w:jc w:val="center"/>
        </w:trPr>
        <w:tc>
          <w:tcPr>
            <w:tcW w:w="3033" w:type="dxa"/>
            <w:shd w:val="clear" w:color="auto" w:fill="auto"/>
            <w:vAlign w:val="center"/>
          </w:tcPr>
          <w:p w:rsidR="00AB65A1" w:rsidRPr="005E1103" w:rsidRDefault="00AB65A1" w:rsidP="00C71AF3">
            <w:pPr>
              <w:spacing w:after="0"/>
              <w:jc w:val="both"/>
              <w:rPr>
                <w:rFonts w:eastAsia="Times New Roman" w:cstheme="minorHAnsi"/>
                <w:b/>
                <w:bCs/>
                <w:color w:val="002060"/>
                <w:sz w:val="28"/>
                <w:szCs w:val="28"/>
                <w:lang w:eastAsia="es-ES"/>
              </w:rPr>
            </w:pPr>
            <w:r w:rsidRPr="005E1103">
              <w:rPr>
                <w:rFonts w:eastAsia="Times New Roman" w:cstheme="minorHAnsi"/>
                <w:b/>
                <w:bCs/>
                <w:color w:val="002060"/>
                <w:sz w:val="28"/>
                <w:szCs w:val="28"/>
                <w:lang w:eastAsia="es-ES"/>
              </w:rPr>
              <w:t>Grupo de trabajo 1</w:t>
            </w:r>
          </w:p>
          <w:p w:rsidR="00AB65A1" w:rsidRPr="005E1103" w:rsidRDefault="00AB65A1" w:rsidP="00C71AF3">
            <w:pPr>
              <w:spacing w:after="0" w:line="360" w:lineRule="auto"/>
              <w:jc w:val="both"/>
              <w:rPr>
                <w:rFonts w:eastAsia="Times New Roman" w:cstheme="minorHAnsi"/>
                <w:b/>
                <w:bCs/>
                <w:color w:val="002060"/>
                <w:sz w:val="28"/>
                <w:szCs w:val="28"/>
                <w:lang w:eastAsia="es-ES"/>
              </w:rPr>
            </w:pPr>
            <w:r w:rsidRPr="005E1103">
              <w:rPr>
                <w:rFonts w:eastAsia="Times New Roman" w:cstheme="minorHAnsi"/>
                <w:b/>
                <w:bCs/>
                <w:i/>
                <w:color w:val="002060"/>
                <w:sz w:val="28"/>
                <w:szCs w:val="28"/>
                <w:u w:val="single"/>
                <w:lang w:eastAsia="es-ES"/>
              </w:rPr>
              <w:t>Universidad inclusiva</w:t>
            </w:r>
          </w:p>
        </w:tc>
        <w:tc>
          <w:tcPr>
            <w:tcW w:w="5451" w:type="dxa"/>
            <w:shd w:val="clear" w:color="auto" w:fill="auto"/>
          </w:tcPr>
          <w:p w:rsidR="00AB65A1" w:rsidRPr="005E1103" w:rsidRDefault="00AB65A1" w:rsidP="00C71AF3">
            <w:pPr>
              <w:spacing w:after="0" w:line="360" w:lineRule="auto"/>
              <w:jc w:val="both"/>
              <w:rPr>
                <w:rFonts w:eastAsia="Times New Roman" w:cstheme="minorHAnsi"/>
                <w:color w:val="002060"/>
                <w:sz w:val="28"/>
                <w:szCs w:val="28"/>
                <w:lang w:eastAsia="es-ES"/>
              </w:rPr>
            </w:pPr>
            <w:r w:rsidRPr="005E1103">
              <w:rPr>
                <w:rFonts w:eastAsia="Times New Roman" w:cstheme="minorHAnsi"/>
                <w:color w:val="002060"/>
                <w:sz w:val="28"/>
                <w:szCs w:val="28"/>
                <w:lang w:eastAsia="es-ES"/>
              </w:rPr>
              <w:t>Reflexiones y Propuestas sobre universidad inclusiva. Buenas prácticas de inclusión de estudiantes con discapacidad en la educación universitaria. Recursos y acciones inclusivas</w:t>
            </w:r>
          </w:p>
        </w:tc>
      </w:tr>
    </w:tbl>
    <w:p w:rsidR="00AB65A1" w:rsidRPr="005E1103" w:rsidRDefault="00AB65A1" w:rsidP="00AB65A1">
      <w:pPr>
        <w:spacing w:after="0"/>
        <w:jc w:val="both"/>
        <w:rPr>
          <w:rFonts w:cstheme="minorHAnsi"/>
          <w:sz w:val="28"/>
          <w:szCs w:val="28"/>
        </w:rPr>
      </w:pPr>
    </w:p>
    <w:p w:rsidR="00AB65A1" w:rsidRPr="005E1103" w:rsidRDefault="00AB65A1" w:rsidP="00AB65A1">
      <w:pPr>
        <w:spacing w:after="0"/>
        <w:jc w:val="both"/>
        <w:rPr>
          <w:rFonts w:cstheme="minorHAnsi"/>
          <w:b/>
          <w:sz w:val="28"/>
          <w:szCs w:val="28"/>
        </w:rPr>
      </w:pPr>
      <w:r w:rsidRPr="005E1103">
        <w:rPr>
          <w:rFonts w:cstheme="minorHAnsi"/>
          <w:sz w:val="28"/>
          <w:szCs w:val="28"/>
        </w:rPr>
        <w:t xml:space="preserve">Asegurar el derecho de todas las personas a la educación, implica modificaciones en el Sistema para garantizar una educación inclusiva y el </w:t>
      </w:r>
      <w:r w:rsidR="00EE2E62" w:rsidRPr="005E1103">
        <w:rPr>
          <w:rFonts w:cstheme="minorHAnsi"/>
          <w:sz w:val="28"/>
          <w:szCs w:val="28"/>
        </w:rPr>
        <w:t>desarrollo del potencial</w:t>
      </w:r>
      <w:r w:rsidRPr="005E1103">
        <w:rPr>
          <w:rFonts w:cstheme="minorHAnsi"/>
          <w:sz w:val="28"/>
          <w:szCs w:val="28"/>
        </w:rPr>
        <w:t xml:space="preserve"> humano y la diversidad, haciendo posible así que las personas con discapacidad participen de manera efectiva en una sociedad libre. Ese es el objetivo que se plantea la Convención de Naciones Unidas para los Derechos de las Personas con Discapacidad, que establece la necesidad de que ninguna </w:t>
      </w:r>
      <w:r w:rsidR="00EE2E62" w:rsidRPr="005E1103">
        <w:rPr>
          <w:rFonts w:cstheme="minorHAnsi"/>
          <w:sz w:val="28"/>
          <w:szCs w:val="28"/>
        </w:rPr>
        <w:t>persona quede</w:t>
      </w:r>
      <w:r w:rsidRPr="005E1103">
        <w:rPr>
          <w:rFonts w:cstheme="minorHAnsi"/>
          <w:sz w:val="28"/>
          <w:szCs w:val="28"/>
        </w:rPr>
        <w:t xml:space="preserve"> excluida del sistema general de educación por motivos de discapacidad y que éstas también tengan derecho a la educación superior, la formación profesional y el aprendizaje durante toda la vida sin discriminación y en igualdad de condiciones con las demás.</w:t>
      </w:r>
    </w:p>
    <w:p w:rsidR="00AB65A1" w:rsidRPr="005E1103" w:rsidRDefault="00AB65A1" w:rsidP="00AB65A1">
      <w:pPr>
        <w:spacing w:after="0"/>
        <w:ind w:right="44"/>
        <w:jc w:val="both"/>
        <w:rPr>
          <w:rFonts w:cstheme="minorHAnsi"/>
          <w:sz w:val="28"/>
          <w:szCs w:val="28"/>
        </w:rPr>
      </w:pPr>
      <w:r w:rsidRPr="005E1103">
        <w:rPr>
          <w:rFonts w:cstheme="minorHAnsi"/>
          <w:sz w:val="28"/>
          <w:szCs w:val="28"/>
        </w:rPr>
        <w:lastRenderedPageBreak/>
        <w:t xml:space="preserve">Las Universidades han de cumplir con el papel social que tienen encomendado, adaptándose a las nuevas realidades y necesidades sociales.  En este sentido, deben responder a las </w:t>
      </w:r>
      <w:r w:rsidR="00EE2E62" w:rsidRPr="005E1103">
        <w:rPr>
          <w:rFonts w:cstheme="minorHAnsi"/>
          <w:sz w:val="28"/>
          <w:szCs w:val="28"/>
        </w:rPr>
        <w:t>nuevas demandas</w:t>
      </w:r>
      <w:r w:rsidRPr="005E1103">
        <w:rPr>
          <w:rFonts w:cstheme="minorHAnsi"/>
          <w:sz w:val="28"/>
          <w:szCs w:val="28"/>
        </w:rPr>
        <w:t xml:space="preserve"> que plantea la sociedad, entre ellas garantizar el acceso, ingreso, permanencia y ejercicio de los derechos de todas las personas en condiciones de igualdad. Para cumplir con este mandato de la Convención, se ha avanzando mucho en recursos y políticas para hacer efectivos los derechos del alumnado con discapacidad. Tanto en España como en otros países de Europa y el mundo, se han promovido programas y acciones </w:t>
      </w:r>
      <w:r w:rsidR="00EE2E62" w:rsidRPr="005E1103">
        <w:rPr>
          <w:rFonts w:cstheme="minorHAnsi"/>
          <w:sz w:val="28"/>
          <w:szCs w:val="28"/>
        </w:rPr>
        <w:t>específicas de</w:t>
      </w:r>
      <w:r w:rsidRPr="005E1103">
        <w:rPr>
          <w:rFonts w:cstheme="minorHAnsi"/>
          <w:sz w:val="28"/>
          <w:szCs w:val="28"/>
        </w:rPr>
        <w:t xml:space="preserve"> atención al alumnado con discapacidad, incluidos servicios específicos de atención a la discapacidad y profesionales que en el seno de las universidades trabajan para prestar asesoramiento y apoyo. Conseguir universidades inclusivas </w:t>
      </w:r>
      <w:r w:rsidR="00EE2E62" w:rsidRPr="005E1103">
        <w:rPr>
          <w:rFonts w:cstheme="minorHAnsi"/>
          <w:sz w:val="28"/>
          <w:szCs w:val="28"/>
        </w:rPr>
        <w:t>supone,</w:t>
      </w:r>
      <w:r w:rsidRPr="005E1103">
        <w:rPr>
          <w:rFonts w:cstheme="minorHAnsi"/>
          <w:sz w:val="28"/>
          <w:szCs w:val="28"/>
        </w:rPr>
        <w:t xml:space="preserve"> sin embargo, un reto permanente e implica un proceso permanente de cambios y adaptaciones.  Por eso es importante conocer esta realidad y poner sobre la mesa ideas, estrategias y buenas prácticas.</w:t>
      </w:r>
    </w:p>
    <w:p w:rsidR="00AB65A1" w:rsidRPr="005E1103" w:rsidRDefault="00AB65A1" w:rsidP="00AB65A1">
      <w:pPr>
        <w:spacing w:after="0"/>
        <w:ind w:right="44"/>
        <w:jc w:val="both"/>
        <w:rPr>
          <w:rFonts w:cstheme="minorHAnsi"/>
          <w:sz w:val="28"/>
          <w:szCs w:val="28"/>
        </w:rPr>
      </w:pPr>
      <w:r w:rsidRPr="005E1103">
        <w:rPr>
          <w:rFonts w:cstheme="minorHAnsi"/>
          <w:sz w:val="28"/>
          <w:szCs w:val="28"/>
        </w:rPr>
        <w:t xml:space="preserve">Al mismo tiempo las universidades están impulsando cada día trabajos e investigaciones que permiten avanzar en propuestas y estrategias que mejoran la accesibilidad </w:t>
      </w:r>
      <w:r w:rsidR="00EE2E62" w:rsidRPr="005E1103">
        <w:rPr>
          <w:rFonts w:cstheme="minorHAnsi"/>
          <w:sz w:val="28"/>
          <w:szCs w:val="28"/>
        </w:rPr>
        <w:t>y la</w:t>
      </w:r>
      <w:r w:rsidRPr="005E1103">
        <w:rPr>
          <w:rFonts w:cstheme="minorHAnsi"/>
          <w:sz w:val="28"/>
          <w:szCs w:val="28"/>
        </w:rPr>
        <w:t xml:space="preserve"> vida de las personas con discapacidad, que merece la pena conocer y divulgar.</w:t>
      </w:r>
    </w:p>
    <w:p w:rsidR="00AB65A1" w:rsidRPr="005E1103" w:rsidRDefault="00AB65A1" w:rsidP="00AB65A1">
      <w:pPr>
        <w:spacing w:after="0"/>
        <w:jc w:val="both"/>
        <w:rPr>
          <w:rFonts w:cstheme="minorHAnsi"/>
          <w:sz w:val="28"/>
          <w:szCs w:val="28"/>
        </w:rPr>
      </w:pPr>
    </w:p>
    <w:p w:rsidR="00AB65A1" w:rsidRPr="005E1103" w:rsidRDefault="00AB65A1" w:rsidP="00AB65A1">
      <w:pPr>
        <w:spacing w:after="0"/>
        <w:jc w:val="both"/>
        <w:rPr>
          <w:rFonts w:cstheme="minorHAnsi"/>
          <w:b/>
          <w:sz w:val="28"/>
          <w:szCs w:val="28"/>
        </w:rPr>
      </w:pPr>
      <w:r w:rsidRPr="005E1103">
        <w:rPr>
          <w:rFonts w:cstheme="minorHAnsi"/>
          <w:b/>
          <w:sz w:val="28"/>
          <w:szCs w:val="28"/>
        </w:rPr>
        <w:t>Objetivos:</w:t>
      </w:r>
    </w:p>
    <w:p w:rsidR="00AB65A1" w:rsidRPr="005E1103" w:rsidRDefault="00AB65A1" w:rsidP="00AB65A1">
      <w:pPr>
        <w:spacing w:after="0"/>
        <w:jc w:val="both"/>
        <w:rPr>
          <w:rFonts w:cstheme="minorHAnsi"/>
          <w:b/>
          <w:sz w:val="28"/>
          <w:szCs w:val="28"/>
        </w:rPr>
      </w:pPr>
    </w:p>
    <w:p w:rsidR="00AB65A1" w:rsidRPr="005E1103" w:rsidRDefault="00AB65A1" w:rsidP="00AB65A1">
      <w:pPr>
        <w:numPr>
          <w:ilvl w:val="0"/>
          <w:numId w:val="1"/>
        </w:numPr>
        <w:shd w:val="clear" w:color="auto" w:fill="FFFFFF"/>
        <w:spacing w:after="0" w:line="276" w:lineRule="auto"/>
        <w:ind w:right="240"/>
        <w:jc w:val="both"/>
        <w:rPr>
          <w:rFonts w:eastAsia="Times New Roman" w:cstheme="minorHAnsi"/>
          <w:sz w:val="28"/>
          <w:szCs w:val="28"/>
          <w:lang w:eastAsia="es-ES"/>
        </w:rPr>
      </w:pPr>
      <w:r w:rsidRPr="005E1103">
        <w:rPr>
          <w:rFonts w:eastAsia="Times New Roman" w:cstheme="minorHAnsi"/>
          <w:sz w:val="28"/>
          <w:szCs w:val="28"/>
          <w:lang w:eastAsia="es-ES"/>
        </w:rPr>
        <w:t xml:space="preserve">Conocer y difundir experiencias positivas de Universidades que promueven la inclusión del alumnado con discapacidad.  </w:t>
      </w:r>
    </w:p>
    <w:p w:rsidR="00AB65A1" w:rsidRPr="005E1103" w:rsidRDefault="00AB65A1" w:rsidP="00AB65A1">
      <w:pPr>
        <w:numPr>
          <w:ilvl w:val="0"/>
          <w:numId w:val="1"/>
        </w:numPr>
        <w:shd w:val="clear" w:color="auto" w:fill="FFFFFF"/>
        <w:spacing w:after="0" w:line="276" w:lineRule="auto"/>
        <w:ind w:right="240"/>
        <w:jc w:val="both"/>
        <w:rPr>
          <w:rFonts w:eastAsia="Times New Roman" w:cstheme="minorHAnsi"/>
          <w:sz w:val="28"/>
          <w:szCs w:val="28"/>
          <w:lang w:eastAsia="es-ES"/>
        </w:rPr>
      </w:pPr>
      <w:r w:rsidRPr="005E1103">
        <w:rPr>
          <w:rFonts w:eastAsia="Times New Roman" w:cstheme="minorHAnsi"/>
          <w:sz w:val="28"/>
          <w:szCs w:val="28"/>
          <w:lang w:eastAsia="es-ES"/>
        </w:rPr>
        <w:t>Fomentar la mejora en la calidad de los servicios de apoyo a la discapacidad de las Universidades a través del conocimiento de nuevas estrategias y herramientas, facilitando el intercambio de ideas y la participación de las personas afectadas.</w:t>
      </w:r>
    </w:p>
    <w:p w:rsidR="00AB65A1" w:rsidRPr="005E1103" w:rsidRDefault="00AB65A1" w:rsidP="00AB65A1">
      <w:pPr>
        <w:numPr>
          <w:ilvl w:val="0"/>
          <w:numId w:val="1"/>
        </w:numPr>
        <w:shd w:val="clear" w:color="auto" w:fill="FFFFFF"/>
        <w:spacing w:after="0" w:line="276" w:lineRule="auto"/>
        <w:ind w:right="240"/>
        <w:jc w:val="both"/>
        <w:rPr>
          <w:rFonts w:eastAsia="Times New Roman" w:cstheme="minorHAnsi"/>
          <w:sz w:val="28"/>
          <w:szCs w:val="28"/>
          <w:lang w:eastAsia="es-ES"/>
        </w:rPr>
      </w:pPr>
      <w:r w:rsidRPr="005E1103">
        <w:rPr>
          <w:rFonts w:eastAsia="Times New Roman" w:cstheme="minorHAnsi"/>
          <w:sz w:val="28"/>
          <w:szCs w:val="28"/>
          <w:lang w:eastAsia="es-ES"/>
        </w:rPr>
        <w:t>Intercambiar modelos y buenas prácticas sobre diferentes programas y acciones que inciden en la óptima atención a estudiantes universitarios con discapacidad.</w:t>
      </w:r>
    </w:p>
    <w:p w:rsidR="00AB65A1" w:rsidRPr="005E1103" w:rsidRDefault="00AB65A1" w:rsidP="00AB65A1">
      <w:pPr>
        <w:numPr>
          <w:ilvl w:val="0"/>
          <w:numId w:val="1"/>
        </w:numPr>
        <w:shd w:val="clear" w:color="auto" w:fill="FFFFFF"/>
        <w:spacing w:after="0" w:line="276" w:lineRule="auto"/>
        <w:ind w:right="240"/>
        <w:jc w:val="both"/>
        <w:rPr>
          <w:rFonts w:eastAsia="Times New Roman" w:cstheme="minorHAnsi"/>
          <w:sz w:val="28"/>
          <w:szCs w:val="28"/>
          <w:lang w:eastAsia="es-ES"/>
        </w:rPr>
      </w:pPr>
      <w:r w:rsidRPr="005E1103">
        <w:rPr>
          <w:rFonts w:eastAsia="Times New Roman" w:cstheme="minorHAnsi"/>
          <w:sz w:val="28"/>
          <w:szCs w:val="28"/>
          <w:lang w:eastAsia="es-ES"/>
        </w:rPr>
        <w:t>Conocer y difundir investigaciones que promueven el conocimiento y la mejora de vida de las personas con discapacidad.</w:t>
      </w:r>
    </w:p>
    <w:p w:rsidR="00AB65A1" w:rsidRPr="005E1103" w:rsidRDefault="00AB65A1" w:rsidP="00AB65A1">
      <w:pPr>
        <w:shd w:val="clear" w:color="auto" w:fill="FFFFFF"/>
        <w:spacing w:after="0"/>
        <w:ind w:right="240"/>
        <w:jc w:val="both"/>
        <w:rPr>
          <w:rFonts w:eastAsia="Times New Roman" w:cstheme="minorHAnsi"/>
          <w:sz w:val="28"/>
          <w:szCs w:val="28"/>
          <w:lang w:eastAsia="es-ES"/>
        </w:rPr>
      </w:pPr>
    </w:p>
    <w:p w:rsidR="00AB65A1" w:rsidRPr="005E1103" w:rsidRDefault="00AB65A1" w:rsidP="00AB65A1">
      <w:pPr>
        <w:spacing w:after="0" w:line="240" w:lineRule="auto"/>
        <w:rPr>
          <w:rFonts w:eastAsia="Times New Roman" w:cstheme="minorHAnsi"/>
          <w:b/>
          <w:sz w:val="28"/>
          <w:szCs w:val="28"/>
          <w:lang w:eastAsia="es-ES"/>
        </w:rPr>
      </w:pPr>
    </w:p>
    <w:p w:rsidR="00EE2E62" w:rsidRPr="005E1103" w:rsidRDefault="00EE2E62">
      <w:pPr>
        <w:rPr>
          <w:rFonts w:eastAsia="Times New Roman" w:cstheme="minorHAnsi"/>
          <w:b/>
          <w:sz w:val="28"/>
          <w:szCs w:val="28"/>
          <w:lang w:eastAsia="es-ES"/>
        </w:rPr>
      </w:pPr>
      <w:r w:rsidRPr="005E1103">
        <w:rPr>
          <w:rFonts w:eastAsia="Times New Roman" w:cstheme="minorHAnsi"/>
          <w:b/>
          <w:sz w:val="28"/>
          <w:szCs w:val="28"/>
          <w:lang w:eastAsia="es-ES"/>
        </w:rPr>
        <w:br w:type="page"/>
      </w:r>
    </w:p>
    <w:p w:rsidR="00AB65A1" w:rsidRPr="005E1103" w:rsidRDefault="00AB65A1" w:rsidP="00AB65A1">
      <w:pPr>
        <w:spacing w:after="0" w:line="240" w:lineRule="auto"/>
        <w:jc w:val="center"/>
        <w:rPr>
          <w:rFonts w:eastAsia="Times New Roman" w:cstheme="minorHAnsi"/>
          <w:b/>
          <w:sz w:val="28"/>
          <w:szCs w:val="28"/>
          <w:lang w:eastAsia="es-ES"/>
        </w:rPr>
      </w:pPr>
    </w:p>
    <w:p w:rsidR="00AB65A1" w:rsidRPr="005E1103" w:rsidRDefault="00AB65A1" w:rsidP="00AB65A1">
      <w:pPr>
        <w:spacing w:after="0" w:line="240" w:lineRule="auto"/>
        <w:jc w:val="center"/>
        <w:rPr>
          <w:rFonts w:eastAsia="Times New Roman" w:cstheme="minorHAnsi"/>
          <w:b/>
          <w:sz w:val="28"/>
          <w:szCs w:val="28"/>
          <w:lang w:eastAsia="es-ES"/>
        </w:rPr>
      </w:pPr>
    </w:p>
    <w:p w:rsidR="00AB65A1" w:rsidRPr="005E1103" w:rsidRDefault="00AB65A1" w:rsidP="00AB65A1">
      <w:pPr>
        <w:spacing w:after="0" w:line="240" w:lineRule="auto"/>
        <w:jc w:val="center"/>
        <w:rPr>
          <w:rFonts w:eastAsia="Times New Roman" w:cstheme="minorHAnsi"/>
          <w:b/>
          <w:sz w:val="28"/>
          <w:szCs w:val="28"/>
          <w:lang w:eastAsia="es-ES"/>
        </w:rPr>
      </w:pPr>
    </w:p>
    <w:p w:rsidR="00AB65A1" w:rsidRPr="005E1103" w:rsidRDefault="00AB65A1" w:rsidP="00AB65A1">
      <w:pPr>
        <w:spacing w:after="0" w:line="240" w:lineRule="auto"/>
        <w:jc w:val="center"/>
        <w:rPr>
          <w:rFonts w:eastAsia="Times New Roman" w:cstheme="minorHAnsi"/>
          <w:b/>
          <w:sz w:val="28"/>
          <w:szCs w:val="28"/>
          <w:lang w:eastAsia="es-ES"/>
        </w:rPr>
      </w:pPr>
      <w:r w:rsidRPr="005E1103">
        <w:rPr>
          <w:rFonts w:eastAsia="Times New Roman" w:cstheme="minorHAnsi"/>
          <w:b/>
          <w:sz w:val="28"/>
          <w:szCs w:val="28"/>
          <w:lang w:eastAsia="es-ES"/>
        </w:rPr>
        <w:t>ÍNDICE Y ORDEN DE COMUNICACIONES</w:t>
      </w:r>
    </w:p>
    <w:p w:rsidR="00AB65A1" w:rsidRPr="005E1103" w:rsidRDefault="00AB65A1" w:rsidP="00AB65A1">
      <w:pPr>
        <w:spacing w:after="0" w:line="240" w:lineRule="auto"/>
        <w:jc w:val="both"/>
        <w:rPr>
          <w:rFonts w:eastAsia="Times New Roman" w:cstheme="minorHAnsi"/>
          <w:sz w:val="28"/>
          <w:szCs w:val="28"/>
          <w:lang w:eastAsia="es-ES"/>
        </w:rPr>
      </w:pPr>
    </w:p>
    <w:tbl>
      <w:tblPr>
        <w:tblpPr w:leftFromText="141" w:rightFromText="141" w:vertAnchor="text" w:tblpXSpec="center" w:tblpY="1"/>
        <w:tblOverlap w:val="never"/>
        <w:tblW w:w="9989" w:type="dxa"/>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CellMar>
          <w:left w:w="70" w:type="dxa"/>
          <w:right w:w="70" w:type="dxa"/>
        </w:tblCellMar>
        <w:tblLook w:val="05A0" w:firstRow="1" w:lastRow="0" w:firstColumn="1" w:lastColumn="1" w:noHBand="0" w:noVBand="1"/>
      </w:tblPr>
      <w:tblGrid>
        <w:gridCol w:w="422"/>
        <w:gridCol w:w="3550"/>
        <w:gridCol w:w="2863"/>
        <w:gridCol w:w="3505"/>
      </w:tblGrid>
      <w:tr w:rsidR="00AB65A1" w:rsidRPr="005E1103" w:rsidTr="00C71AF3">
        <w:trPr>
          <w:trHeight w:val="675"/>
        </w:trPr>
        <w:tc>
          <w:tcPr>
            <w:tcW w:w="365" w:type="dxa"/>
            <w:shd w:val="clear" w:color="auto" w:fill="C00000"/>
          </w:tcPr>
          <w:p w:rsidR="00AB65A1" w:rsidRPr="005E1103" w:rsidRDefault="00AB65A1" w:rsidP="00C71AF3">
            <w:pPr>
              <w:spacing w:after="0" w:line="240" w:lineRule="auto"/>
              <w:jc w:val="center"/>
              <w:rPr>
                <w:rFonts w:eastAsia="Times New Roman" w:cstheme="minorHAnsi"/>
                <w:b/>
                <w:bCs/>
                <w:color w:val="000000"/>
                <w:sz w:val="28"/>
                <w:szCs w:val="28"/>
                <w:lang w:eastAsia="es-ES"/>
              </w:rPr>
            </w:pPr>
          </w:p>
        </w:tc>
        <w:tc>
          <w:tcPr>
            <w:tcW w:w="3585" w:type="dxa"/>
            <w:tcBorders>
              <w:top w:val="single" w:sz="12" w:space="0" w:color="auto"/>
              <w:bottom w:val="single" w:sz="8" w:space="0" w:color="auto"/>
            </w:tcBorders>
            <w:shd w:val="clear" w:color="auto" w:fill="C00000"/>
            <w:noWrap/>
            <w:vAlign w:val="center"/>
            <w:hideMark/>
          </w:tcPr>
          <w:p w:rsidR="00AB65A1" w:rsidRPr="005E1103" w:rsidRDefault="00AB65A1" w:rsidP="00C71AF3">
            <w:pPr>
              <w:spacing w:after="0" w:line="240" w:lineRule="auto"/>
              <w:jc w:val="center"/>
              <w:rPr>
                <w:rFonts w:eastAsia="Times New Roman" w:cstheme="minorHAnsi"/>
                <w:b/>
                <w:bCs/>
                <w:color w:val="000000"/>
                <w:sz w:val="28"/>
                <w:szCs w:val="28"/>
                <w:lang w:eastAsia="es-ES"/>
              </w:rPr>
            </w:pPr>
            <w:r w:rsidRPr="005E1103">
              <w:rPr>
                <w:rFonts w:eastAsia="Times New Roman" w:cstheme="minorHAnsi"/>
                <w:b/>
                <w:bCs/>
                <w:color w:val="000000"/>
                <w:sz w:val="28"/>
                <w:szCs w:val="28"/>
                <w:lang w:eastAsia="es-ES"/>
              </w:rPr>
              <w:t>Autores</w:t>
            </w:r>
          </w:p>
        </w:tc>
        <w:tc>
          <w:tcPr>
            <w:tcW w:w="2500" w:type="dxa"/>
            <w:tcBorders>
              <w:bottom w:val="single" w:sz="8" w:space="0" w:color="auto"/>
            </w:tcBorders>
            <w:shd w:val="clear" w:color="auto" w:fill="C00000"/>
            <w:noWrap/>
            <w:vAlign w:val="center"/>
            <w:hideMark/>
          </w:tcPr>
          <w:p w:rsidR="00AB65A1" w:rsidRPr="005E1103" w:rsidRDefault="00AB65A1" w:rsidP="00C71AF3">
            <w:pPr>
              <w:spacing w:after="0" w:line="240" w:lineRule="auto"/>
              <w:jc w:val="center"/>
              <w:rPr>
                <w:rFonts w:eastAsia="Times New Roman" w:cstheme="minorHAnsi"/>
                <w:b/>
                <w:bCs/>
                <w:color w:val="000000"/>
                <w:sz w:val="28"/>
                <w:szCs w:val="28"/>
                <w:lang w:eastAsia="es-ES"/>
              </w:rPr>
            </w:pPr>
            <w:r w:rsidRPr="005E1103">
              <w:rPr>
                <w:rFonts w:eastAsia="Times New Roman" w:cstheme="minorHAnsi"/>
                <w:b/>
                <w:bCs/>
                <w:color w:val="000000"/>
                <w:sz w:val="28"/>
                <w:szCs w:val="28"/>
                <w:lang w:eastAsia="es-ES"/>
              </w:rPr>
              <w:t>Universidad/Institución</w:t>
            </w:r>
          </w:p>
        </w:tc>
        <w:tc>
          <w:tcPr>
            <w:tcW w:w="3539" w:type="dxa"/>
            <w:shd w:val="clear" w:color="auto" w:fill="C00000"/>
            <w:noWrap/>
            <w:vAlign w:val="center"/>
            <w:hideMark/>
          </w:tcPr>
          <w:p w:rsidR="00AB65A1" w:rsidRPr="005E1103" w:rsidRDefault="00AB65A1" w:rsidP="00C71AF3">
            <w:pPr>
              <w:spacing w:after="0" w:line="240" w:lineRule="auto"/>
              <w:jc w:val="center"/>
              <w:rPr>
                <w:rFonts w:eastAsia="Times New Roman" w:cstheme="minorHAnsi"/>
                <w:b/>
                <w:bCs/>
                <w:color w:val="000000"/>
                <w:sz w:val="28"/>
                <w:szCs w:val="28"/>
                <w:lang w:eastAsia="es-ES"/>
              </w:rPr>
            </w:pPr>
            <w:r w:rsidRPr="005E1103">
              <w:rPr>
                <w:rFonts w:eastAsia="Times New Roman" w:cstheme="minorHAnsi"/>
                <w:b/>
                <w:bCs/>
                <w:color w:val="000000"/>
                <w:sz w:val="28"/>
                <w:szCs w:val="28"/>
                <w:lang w:eastAsia="es-ES"/>
              </w:rPr>
              <w:t>Título</w:t>
            </w:r>
          </w:p>
        </w:tc>
      </w:tr>
      <w:tr w:rsidR="00AB65A1" w:rsidRPr="005E1103" w:rsidTr="00C71AF3">
        <w:trPr>
          <w:trHeight w:val="315"/>
        </w:trPr>
        <w:tc>
          <w:tcPr>
            <w:tcW w:w="365" w:type="dxa"/>
            <w:shd w:val="clear" w:color="auto" w:fill="C00000"/>
            <w:vAlign w:val="center"/>
          </w:tcPr>
          <w:p w:rsidR="00AB65A1" w:rsidRPr="005E1103" w:rsidRDefault="00AB65A1" w:rsidP="00C71AF3">
            <w:pPr>
              <w:spacing w:after="0" w:line="240" w:lineRule="auto"/>
              <w:rPr>
                <w:rFonts w:eastAsia="Times New Roman" w:cstheme="minorHAnsi"/>
                <w:b/>
                <w:bCs/>
                <w:sz w:val="28"/>
                <w:szCs w:val="28"/>
                <w:lang w:eastAsia="es-ES"/>
              </w:rPr>
            </w:pPr>
            <w:r w:rsidRPr="005E1103">
              <w:rPr>
                <w:rFonts w:eastAsia="Times New Roman" w:cstheme="minorHAnsi"/>
                <w:b/>
                <w:bCs/>
                <w:sz w:val="28"/>
                <w:szCs w:val="28"/>
                <w:lang w:eastAsia="es-ES"/>
              </w:rPr>
              <w:t>1</w:t>
            </w:r>
          </w:p>
        </w:tc>
        <w:tc>
          <w:tcPr>
            <w:tcW w:w="3585" w:type="dxa"/>
            <w:shd w:val="clear" w:color="auto" w:fill="C00000"/>
            <w:noWrap/>
            <w:vAlign w:val="center"/>
          </w:tcPr>
          <w:p w:rsidR="00AB65A1" w:rsidRPr="005E1103" w:rsidRDefault="00AB65A1" w:rsidP="00C71AF3">
            <w:pPr>
              <w:spacing w:after="0" w:line="240" w:lineRule="auto"/>
              <w:jc w:val="both"/>
              <w:rPr>
                <w:rFonts w:eastAsia="Times New Roman" w:cstheme="minorHAnsi"/>
                <w:b/>
                <w:bCs/>
                <w:sz w:val="28"/>
                <w:szCs w:val="28"/>
                <w:lang w:eastAsia="es-ES"/>
              </w:rPr>
            </w:pPr>
            <w:r w:rsidRPr="005E1103">
              <w:rPr>
                <w:rFonts w:eastAsia="Times New Roman" w:cstheme="minorHAnsi"/>
                <w:b/>
                <w:bCs/>
                <w:sz w:val="28"/>
                <w:szCs w:val="28"/>
                <w:lang w:eastAsia="es-ES"/>
              </w:rPr>
              <w:t>Cecilia Simón, Marta Sandoval, Carmen Márquez</w:t>
            </w:r>
          </w:p>
        </w:tc>
        <w:tc>
          <w:tcPr>
            <w:tcW w:w="2500" w:type="dxa"/>
            <w:tcBorders>
              <w:top w:val="single" w:sz="8" w:space="0" w:color="auto"/>
            </w:tcBorders>
            <w:shd w:val="clear" w:color="auto" w:fill="BFBFBF" w:themeFill="background1" w:themeFillShade="BF"/>
            <w:noWrap/>
            <w:vAlign w:val="center"/>
          </w:tcPr>
          <w:p w:rsidR="00AB65A1" w:rsidRPr="005E1103" w:rsidRDefault="00AB65A1" w:rsidP="00C71AF3">
            <w:pPr>
              <w:spacing w:after="0" w:line="240" w:lineRule="auto"/>
              <w:jc w:val="both"/>
              <w:rPr>
                <w:rFonts w:eastAsia="Times New Roman" w:cstheme="minorHAnsi"/>
                <w:b/>
                <w:sz w:val="28"/>
                <w:szCs w:val="28"/>
                <w:lang w:eastAsia="es-ES"/>
              </w:rPr>
            </w:pPr>
            <w:r w:rsidRPr="005E1103">
              <w:rPr>
                <w:rFonts w:eastAsia="Times New Roman" w:cstheme="minorHAnsi"/>
                <w:b/>
                <w:sz w:val="28"/>
                <w:szCs w:val="28"/>
                <w:lang w:eastAsia="es-ES"/>
              </w:rPr>
              <w:t>Universidad Autónoma de Madrid</w:t>
            </w:r>
          </w:p>
        </w:tc>
        <w:tc>
          <w:tcPr>
            <w:tcW w:w="3539" w:type="dxa"/>
            <w:shd w:val="clear" w:color="auto" w:fill="BFBFBF" w:themeFill="background1" w:themeFillShade="BF"/>
            <w:vAlign w:val="center"/>
          </w:tcPr>
          <w:p w:rsidR="00AB65A1" w:rsidRPr="005E1103" w:rsidRDefault="00AB65A1" w:rsidP="00C71AF3">
            <w:pPr>
              <w:spacing w:after="0" w:line="240" w:lineRule="auto"/>
              <w:jc w:val="both"/>
              <w:rPr>
                <w:rFonts w:eastAsia="Times New Roman" w:cstheme="minorHAnsi"/>
                <w:sz w:val="28"/>
                <w:szCs w:val="28"/>
                <w:lang w:eastAsia="es-ES"/>
              </w:rPr>
            </w:pPr>
            <w:r w:rsidRPr="005E1103">
              <w:rPr>
                <w:rFonts w:cstheme="minorHAnsi"/>
                <w:sz w:val="28"/>
                <w:szCs w:val="28"/>
              </w:rPr>
              <w:t>Inclusión en las aulas universitarias: accesibilidad del currículo y apoyos</w:t>
            </w:r>
          </w:p>
        </w:tc>
      </w:tr>
      <w:tr w:rsidR="00AB65A1" w:rsidRPr="005E1103" w:rsidTr="00C71AF3">
        <w:trPr>
          <w:trHeight w:val="315"/>
        </w:trPr>
        <w:tc>
          <w:tcPr>
            <w:tcW w:w="365" w:type="dxa"/>
            <w:shd w:val="clear" w:color="auto" w:fill="C00000"/>
            <w:vAlign w:val="center"/>
          </w:tcPr>
          <w:p w:rsidR="00AB65A1" w:rsidRPr="005E1103" w:rsidRDefault="00AB65A1" w:rsidP="00C71AF3">
            <w:pPr>
              <w:spacing w:after="0" w:line="240" w:lineRule="auto"/>
              <w:rPr>
                <w:rFonts w:eastAsia="Times New Roman" w:cstheme="minorHAnsi"/>
                <w:b/>
                <w:bCs/>
                <w:sz w:val="28"/>
                <w:szCs w:val="28"/>
                <w:lang w:eastAsia="es-ES"/>
              </w:rPr>
            </w:pPr>
            <w:r w:rsidRPr="005E1103">
              <w:rPr>
                <w:rFonts w:eastAsia="Times New Roman" w:cstheme="minorHAnsi"/>
                <w:b/>
                <w:bCs/>
                <w:sz w:val="28"/>
                <w:szCs w:val="28"/>
                <w:lang w:eastAsia="es-ES"/>
              </w:rPr>
              <w:t>2</w:t>
            </w:r>
          </w:p>
        </w:tc>
        <w:tc>
          <w:tcPr>
            <w:tcW w:w="3585" w:type="dxa"/>
            <w:shd w:val="clear" w:color="auto" w:fill="C00000"/>
            <w:noWrap/>
            <w:vAlign w:val="center"/>
          </w:tcPr>
          <w:p w:rsidR="00AB65A1" w:rsidRPr="005E1103" w:rsidRDefault="00AB65A1" w:rsidP="00C71AF3">
            <w:pPr>
              <w:spacing w:after="0" w:line="240" w:lineRule="auto"/>
              <w:jc w:val="both"/>
              <w:rPr>
                <w:rFonts w:eastAsia="Times New Roman" w:cstheme="minorHAnsi"/>
                <w:b/>
                <w:bCs/>
                <w:sz w:val="28"/>
                <w:szCs w:val="28"/>
                <w:lang w:eastAsia="es-ES"/>
              </w:rPr>
            </w:pPr>
            <w:r w:rsidRPr="005E1103">
              <w:rPr>
                <w:rFonts w:eastAsia="Times New Roman" w:cstheme="minorHAnsi"/>
                <w:b/>
                <w:bCs/>
                <w:sz w:val="28"/>
                <w:szCs w:val="28"/>
                <w:lang w:val="es-ES_tradnl" w:eastAsia="es-ES"/>
              </w:rPr>
              <w:t xml:space="preserve">Soledad Arnau Ripollés </w:t>
            </w:r>
          </w:p>
        </w:tc>
        <w:tc>
          <w:tcPr>
            <w:tcW w:w="2500" w:type="dxa"/>
            <w:shd w:val="clear" w:color="auto" w:fill="BFBFBF" w:themeFill="background1" w:themeFillShade="BF"/>
            <w:noWrap/>
            <w:vAlign w:val="center"/>
          </w:tcPr>
          <w:p w:rsidR="00AB65A1" w:rsidRPr="005E1103" w:rsidRDefault="00AB65A1" w:rsidP="00C71AF3">
            <w:pPr>
              <w:spacing w:after="0" w:line="240" w:lineRule="auto"/>
              <w:jc w:val="both"/>
              <w:rPr>
                <w:rFonts w:eastAsia="Times New Roman" w:cstheme="minorHAnsi"/>
                <w:b/>
                <w:sz w:val="28"/>
                <w:szCs w:val="28"/>
                <w:lang w:eastAsia="es-ES"/>
              </w:rPr>
            </w:pPr>
            <w:r w:rsidRPr="005E1103">
              <w:rPr>
                <w:rFonts w:eastAsia="Times New Roman" w:cstheme="minorHAnsi"/>
                <w:b/>
                <w:sz w:val="28"/>
                <w:szCs w:val="28"/>
                <w:lang w:eastAsia="es-ES"/>
              </w:rPr>
              <w:t>Departamento de Filosofía y Filosofía Política (UNED) y Universidad Abierta Iberoamericana «Manuel Lobato» (UAIML-IPADEVI)</w:t>
            </w:r>
          </w:p>
        </w:tc>
        <w:tc>
          <w:tcPr>
            <w:tcW w:w="3539" w:type="dxa"/>
            <w:shd w:val="clear" w:color="auto" w:fill="BFBFBF" w:themeFill="background1" w:themeFillShade="BF"/>
            <w:vAlign w:val="center"/>
          </w:tcPr>
          <w:p w:rsidR="00AB65A1" w:rsidRPr="005E1103" w:rsidRDefault="00AB65A1" w:rsidP="00C71AF3">
            <w:pPr>
              <w:spacing w:line="360" w:lineRule="auto"/>
              <w:rPr>
                <w:rFonts w:eastAsia="Times New Roman" w:cstheme="minorHAnsi"/>
                <w:sz w:val="28"/>
                <w:szCs w:val="28"/>
                <w:lang w:eastAsia="es-ES"/>
              </w:rPr>
            </w:pPr>
            <w:r w:rsidRPr="005E1103">
              <w:rPr>
                <w:rFonts w:cstheme="minorHAnsi"/>
                <w:sz w:val="28"/>
                <w:szCs w:val="28"/>
              </w:rPr>
              <w:t>La Filosofía de la Inclusión. Un gran reto para el Sistema Educativo universitario español</w:t>
            </w:r>
          </w:p>
        </w:tc>
      </w:tr>
      <w:tr w:rsidR="00AB65A1" w:rsidRPr="005E1103" w:rsidTr="00C71AF3">
        <w:trPr>
          <w:trHeight w:val="315"/>
        </w:trPr>
        <w:tc>
          <w:tcPr>
            <w:tcW w:w="365" w:type="dxa"/>
            <w:shd w:val="clear" w:color="auto" w:fill="C00000"/>
            <w:vAlign w:val="center"/>
          </w:tcPr>
          <w:p w:rsidR="00AB65A1" w:rsidRPr="005E1103" w:rsidRDefault="00AB65A1" w:rsidP="00C71AF3">
            <w:pPr>
              <w:spacing w:after="0" w:line="240" w:lineRule="auto"/>
              <w:rPr>
                <w:rFonts w:eastAsia="Times New Roman" w:cstheme="minorHAnsi"/>
                <w:b/>
                <w:bCs/>
                <w:sz w:val="28"/>
                <w:szCs w:val="28"/>
                <w:lang w:eastAsia="es-ES"/>
              </w:rPr>
            </w:pPr>
            <w:r w:rsidRPr="005E1103">
              <w:rPr>
                <w:rFonts w:eastAsia="Times New Roman" w:cstheme="minorHAnsi"/>
                <w:b/>
                <w:bCs/>
                <w:sz w:val="28"/>
                <w:szCs w:val="28"/>
                <w:lang w:eastAsia="es-ES"/>
              </w:rPr>
              <w:t>3</w:t>
            </w:r>
          </w:p>
        </w:tc>
        <w:tc>
          <w:tcPr>
            <w:tcW w:w="3585" w:type="dxa"/>
            <w:shd w:val="clear" w:color="auto" w:fill="C00000"/>
            <w:noWrap/>
            <w:vAlign w:val="center"/>
          </w:tcPr>
          <w:p w:rsidR="00AB65A1" w:rsidRPr="005E1103" w:rsidRDefault="00AB65A1" w:rsidP="00C71AF3">
            <w:pPr>
              <w:spacing w:after="0" w:line="360" w:lineRule="auto"/>
              <w:rPr>
                <w:rFonts w:eastAsia="Times New Roman" w:cstheme="minorHAnsi"/>
                <w:b/>
                <w:bCs/>
                <w:sz w:val="28"/>
                <w:szCs w:val="28"/>
                <w:lang w:eastAsia="es-ES"/>
              </w:rPr>
            </w:pPr>
            <w:r w:rsidRPr="005E1103">
              <w:rPr>
                <w:rFonts w:eastAsia="Times New Roman" w:cstheme="minorHAnsi"/>
                <w:b/>
                <w:bCs/>
                <w:sz w:val="28"/>
                <w:szCs w:val="28"/>
                <w:lang w:eastAsia="es-ES"/>
              </w:rPr>
              <w:t>Gemma Rodríguez Infante,</w:t>
            </w:r>
            <w:r w:rsidRPr="005E1103">
              <w:rPr>
                <w:rFonts w:cstheme="minorHAnsi"/>
                <w:sz w:val="28"/>
                <w:szCs w:val="28"/>
              </w:rPr>
              <w:t xml:space="preserve"> </w:t>
            </w:r>
            <w:r w:rsidRPr="005E1103">
              <w:rPr>
                <w:rFonts w:eastAsia="Times New Roman" w:cstheme="minorHAnsi"/>
                <w:b/>
                <w:bCs/>
                <w:sz w:val="28"/>
                <w:szCs w:val="28"/>
                <w:lang w:eastAsia="es-ES"/>
              </w:rPr>
              <w:t xml:space="preserve">Rocío Lavigne Cerván  y  Juan F. Romero Pérez * </w:t>
            </w:r>
          </w:p>
        </w:tc>
        <w:tc>
          <w:tcPr>
            <w:tcW w:w="2500" w:type="dxa"/>
            <w:shd w:val="clear" w:color="auto" w:fill="BFBFBF" w:themeFill="background1" w:themeFillShade="BF"/>
            <w:noWrap/>
            <w:vAlign w:val="center"/>
          </w:tcPr>
          <w:p w:rsidR="00AB65A1" w:rsidRPr="005E1103" w:rsidRDefault="00AB65A1" w:rsidP="00C71AF3">
            <w:pPr>
              <w:spacing w:after="0" w:line="240" w:lineRule="auto"/>
              <w:jc w:val="both"/>
              <w:rPr>
                <w:rFonts w:eastAsia="Times New Roman" w:cstheme="minorHAnsi"/>
                <w:b/>
                <w:sz w:val="28"/>
                <w:szCs w:val="28"/>
                <w:lang w:eastAsia="es-ES"/>
              </w:rPr>
            </w:pPr>
            <w:r w:rsidRPr="005E1103">
              <w:rPr>
                <w:rFonts w:eastAsia="Times New Roman" w:cstheme="minorHAnsi"/>
                <w:b/>
                <w:sz w:val="28"/>
                <w:szCs w:val="28"/>
                <w:lang w:eastAsia="es-ES"/>
              </w:rPr>
              <w:t>Universidad de Málaga</w:t>
            </w:r>
          </w:p>
        </w:tc>
        <w:tc>
          <w:tcPr>
            <w:tcW w:w="3539" w:type="dxa"/>
            <w:shd w:val="clear" w:color="auto" w:fill="BFBFBF" w:themeFill="background1" w:themeFillShade="BF"/>
            <w:noWrap/>
            <w:vAlign w:val="center"/>
          </w:tcPr>
          <w:p w:rsidR="00AB65A1" w:rsidRPr="005E1103" w:rsidRDefault="00AB65A1" w:rsidP="00C71AF3">
            <w:pPr>
              <w:spacing w:after="0" w:line="360" w:lineRule="auto"/>
              <w:rPr>
                <w:rFonts w:cstheme="minorHAnsi"/>
                <w:sz w:val="28"/>
                <w:szCs w:val="28"/>
              </w:rPr>
            </w:pPr>
            <w:r w:rsidRPr="005E1103">
              <w:rPr>
                <w:rFonts w:cstheme="minorHAnsi"/>
                <w:sz w:val="28"/>
                <w:szCs w:val="28"/>
              </w:rPr>
              <w:t>La inclusión como criterio de calidad en la universidad. la atención a la discapacidad y el ranking universitario mundial</w:t>
            </w:r>
          </w:p>
          <w:p w:rsidR="00AB65A1" w:rsidRPr="005E1103" w:rsidRDefault="00AB65A1" w:rsidP="00C71AF3">
            <w:pPr>
              <w:spacing w:after="0" w:line="240" w:lineRule="auto"/>
              <w:rPr>
                <w:rFonts w:eastAsia="Times New Roman" w:cstheme="minorHAnsi"/>
                <w:sz w:val="28"/>
                <w:szCs w:val="28"/>
                <w:lang w:eastAsia="es-ES"/>
              </w:rPr>
            </w:pPr>
          </w:p>
        </w:tc>
      </w:tr>
      <w:tr w:rsidR="00AB65A1" w:rsidRPr="005E1103" w:rsidTr="00C71AF3">
        <w:trPr>
          <w:trHeight w:val="315"/>
        </w:trPr>
        <w:tc>
          <w:tcPr>
            <w:tcW w:w="365" w:type="dxa"/>
            <w:shd w:val="clear" w:color="auto" w:fill="C00000"/>
            <w:vAlign w:val="center"/>
          </w:tcPr>
          <w:p w:rsidR="00AB65A1" w:rsidRPr="005E1103" w:rsidRDefault="00AB65A1" w:rsidP="00C71AF3">
            <w:pPr>
              <w:spacing w:after="0" w:line="240" w:lineRule="auto"/>
              <w:rPr>
                <w:rFonts w:eastAsia="Times New Roman" w:cstheme="minorHAnsi"/>
                <w:b/>
                <w:bCs/>
                <w:sz w:val="28"/>
                <w:szCs w:val="28"/>
                <w:lang w:eastAsia="es-ES"/>
              </w:rPr>
            </w:pPr>
            <w:r w:rsidRPr="005E1103">
              <w:rPr>
                <w:rFonts w:eastAsia="Times New Roman" w:cstheme="minorHAnsi"/>
                <w:b/>
                <w:bCs/>
                <w:sz w:val="28"/>
                <w:szCs w:val="28"/>
                <w:lang w:eastAsia="es-ES"/>
              </w:rPr>
              <w:t>4</w:t>
            </w:r>
          </w:p>
        </w:tc>
        <w:tc>
          <w:tcPr>
            <w:tcW w:w="3585" w:type="dxa"/>
            <w:shd w:val="clear" w:color="auto" w:fill="C00000"/>
            <w:noWrap/>
            <w:vAlign w:val="center"/>
          </w:tcPr>
          <w:p w:rsidR="00AB65A1" w:rsidRPr="005E1103" w:rsidRDefault="00AB65A1" w:rsidP="00C71AF3">
            <w:pPr>
              <w:spacing w:after="0" w:line="240" w:lineRule="auto"/>
              <w:jc w:val="both"/>
              <w:rPr>
                <w:rFonts w:eastAsia="Times New Roman" w:cstheme="minorHAnsi"/>
                <w:b/>
                <w:bCs/>
                <w:sz w:val="28"/>
                <w:szCs w:val="28"/>
                <w:lang w:eastAsia="es-ES"/>
              </w:rPr>
            </w:pPr>
            <w:r w:rsidRPr="005E1103">
              <w:rPr>
                <w:rFonts w:eastAsia="Times New Roman" w:cstheme="minorHAnsi"/>
                <w:b/>
                <w:bCs/>
                <w:sz w:val="28"/>
                <w:szCs w:val="28"/>
                <w:lang w:eastAsia="es-ES"/>
              </w:rPr>
              <w:t>Jorge López-Veiga Brea y Paloma Caneiro González</w:t>
            </w:r>
          </w:p>
        </w:tc>
        <w:tc>
          <w:tcPr>
            <w:tcW w:w="2500" w:type="dxa"/>
            <w:shd w:val="clear" w:color="auto" w:fill="BFBFBF" w:themeFill="background1" w:themeFillShade="BF"/>
            <w:noWrap/>
            <w:vAlign w:val="center"/>
          </w:tcPr>
          <w:p w:rsidR="00AB65A1" w:rsidRPr="005E1103" w:rsidRDefault="00AB65A1" w:rsidP="00C71AF3">
            <w:pPr>
              <w:spacing w:after="0" w:line="240" w:lineRule="auto"/>
              <w:jc w:val="both"/>
              <w:rPr>
                <w:rFonts w:eastAsia="Times New Roman" w:cstheme="minorHAnsi"/>
                <w:b/>
                <w:sz w:val="28"/>
                <w:szCs w:val="28"/>
                <w:lang w:eastAsia="es-ES"/>
              </w:rPr>
            </w:pPr>
            <w:r w:rsidRPr="005E1103">
              <w:rPr>
                <w:rFonts w:eastAsia="Times New Roman" w:cstheme="minorHAnsi"/>
                <w:b/>
                <w:sz w:val="28"/>
                <w:szCs w:val="28"/>
                <w:lang w:eastAsia="es-ES"/>
              </w:rPr>
              <w:t>Universidade da Coruña (UDC)</w:t>
            </w:r>
          </w:p>
        </w:tc>
        <w:tc>
          <w:tcPr>
            <w:tcW w:w="3539" w:type="dxa"/>
            <w:shd w:val="clear" w:color="auto" w:fill="BFBFBF" w:themeFill="background1" w:themeFillShade="BF"/>
            <w:noWrap/>
            <w:vAlign w:val="center"/>
          </w:tcPr>
          <w:p w:rsidR="00AB65A1" w:rsidRPr="005E1103" w:rsidRDefault="00AB65A1" w:rsidP="00C71AF3">
            <w:pPr>
              <w:jc w:val="both"/>
              <w:rPr>
                <w:rFonts w:cstheme="minorHAnsi"/>
                <w:b/>
                <w:sz w:val="28"/>
                <w:szCs w:val="28"/>
              </w:rPr>
            </w:pPr>
            <w:r w:rsidRPr="005E1103">
              <w:rPr>
                <w:rFonts w:eastAsia="MS Mincho" w:cstheme="minorHAnsi"/>
                <w:sz w:val="28"/>
                <w:szCs w:val="28"/>
                <w:lang w:val="es-ES_tradnl" w:eastAsia="es-ES"/>
              </w:rPr>
              <w:t>Conclusiones del Informe “Cuestiones jurídico-administrativas en torno a la inclusión del alumnado universitario con discapacidad y necesidades educativas especiales”</w:t>
            </w:r>
          </w:p>
        </w:tc>
      </w:tr>
      <w:tr w:rsidR="00AB65A1" w:rsidRPr="00BF6455" w:rsidTr="00C71AF3">
        <w:trPr>
          <w:trHeight w:val="315"/>
        </w:trPr>
        <w:tc>
          <w:tcPr>
            <w:tcW w:w="365" w:type="dxa"/>
            <w:shd w:val="clear" w:color="auto" w:fill="C00000"/>
            <w:vAlign w:val="center"/>
          </w:tcPr>
          <w:p w:rsidR="00AB65A1" w:rsidRPr="005E1103" w:rsidRDefault="00AB65A1" w:rsidP="00C71AF3">
            <w:pPr>
              <w:spacing w:after="0" w:line="240" w:lineRule="auto"/>
              <w:rPr>
                <w:rFonts w:eastAsia="Times New Roman" w:cstheme="minorHAnsi"/>
                <w:b/>
                <w:bCs/>
                <w:sz w:val="28"/>
                <w:szCs w:val="28"/>
                <w:lang w:eastAsia="es-ES"/>
              </w:rPr>
            </w:pPr>
            <w:r w:rsidRPr="005E1103">
              <w:rPr>
                <w:rFonts w:eastAsia="Times New Roman" w:cstheme="minorHAnsi"/>
                <w:b/>
                <w:bCs/>
                <w:sz w:val="28"/>
                <w:szCs w:val="28"/>
                <w:lang w:eastAsia="es-ES"/>
              </w:rPr>
              <w:t>5</w:t>
            </w:r>
          </w:p>
        </w:tc>
        <w:tc>
          <w:tcPr>
            <w:tcW w:w="3585" w:type="dxa"/>
            <w:shd w:val="clear" w:color="auto" w:fill="C00000"/>
            <w:noWrap/>
            <w:vAlign w:val="center"/>
          </w:tcPr>
          <w:p w:rsidR="00AB65A1" w:rsidRPr="005E1103" w:rsidRDefault="00AB65A1" w:rsidP="00C71AF3">
            <w:pPr>
              <w:spacing w:after="0" w:line="360" w:lineRule="auto"/>
              <w:rPr>
                <w:rFonts w:cstheme="minorHAnsi"/>
                <w:sz w:val="28"/>
                <w:szCs w:val="28"/>
                <w:lang w:val="en-GB"/>
              </w:rPr>
            </w:pPr>
            <w:r w:rsidRPr="005E1103">
              <w:rPr>
                <w:rFonts w:eastAsia="Times New Roman" w:cstheme="minorHAnsi"/>
                <w:b/>
                <w:bCs/>
                <w:sz w:val="28"/>
                <w:szCs w:val="28"/>
                <w:lang w:eastAsia="es-ES"/>
              </w:rPr>
              <w:t>Marta Licardo-</w:t>
            </w:r>
            <w:r w:rsidRPr="005E1103">
              <w:rPr>
                <w:rFonts w:cstheme="minorHAnsi"/>
                <w:sz w:val="28"/>
                <w:szCs w:val="28"/>
                <w:lang w:val="en-GB"/>
              </w:rPr>
              <w:t xml:space="preserve"> </w:t>
            </w:r>
            <w:r w:rsidRPr="005E1103">
              <w:rPr>
                <w:rFonts w:eastAsia="Times New Roman" w:cstheme="minorHAnsi"/>
                <w:b/>
                <w:bCs/>
                <w:sz w:val="28"/>
                <w:szCs w:val="28"/>
                <w:lang w:eastAsia="es-ES"/>
              </w:rPr>
              <w:t>Alenka Gajšt</w:t>
            </w:r>
          </w:p>
          <w:p w:rsidR="00AB65A1" w:rsidRPr="005E1103" w:rsidRDefault="00AB65A1" w:rsidP="00C71AF3">
            <w:pPr>
              <w:spacing w:after="0" w:line="240" w:lineRule="auto"/>
              <w:jc w:val="both"/>
              <w:rPr>
                <w:rFonts w:eastAsia="Times New Roman" w:cstheme="minorHAnsi"/>
                <w:b/>
                <w:bCs/>
                <w:sz w:val="28"/>
                <w:szCs w:val="28"/>
                <w:lang w:eastAsia="es-ES"/>
              </w:rPr>
            </w:pPr>
          </w:p>
        </w:tc>
        <w:tc>
          <w:tcPr>
            <w:tcW w:w="2500" w:type="dxa"/>
            <w:shd w:val="clear" w:color="auto" w:fill="BFBFBF" w:themeFill="background1" w:themeFillShade="BF"/>
            <w:noWrap/>
            <w:vAlign w:val="center"/>
          </w:tcPr>
          <w:p w:rsidR="00AB65A1" w:rsidRPr="005E1103" w:rsidRDefault="00AB65A1" w:rsidP="00C71AF3">
            <w:pPr>
              <w:spacing w:after="0" w:line="240" w:lineRule="auto"/>
              <w:jc w:val="both"/>
              <w:rPr>
                <w:rFonts w:eastAsia="Times New Roman" w:cstheme="minorHAnsi"/>
                <w:b/>
                <w:sz w:val="28"/>
                <w:szCs w:val="28"/>
                <w:lang w:val="en-US" w:eastAsia="es-ES"/>
              </w:rPr>
            </w:pPr>
            <w:r w:rsidRPr="005E1103">
              <w:rPr>
                <w:rFonts w:eastAsia="Times New Roman" w:cstheme="minorHAnsi"/>
                <w:b/>
                <w:sz w:val="28"/>
                <w:szCs w:val="28"/>
                <w:lang w:val="en-US" w:eastAsia="es-ES"/>
              </w:rPr>
              <w:t>Faculty of Education University of Maribor, Slovenia</w:t>
            </w:r>
          </w:p>
        </w:tc>
        <w:tc>
          <w:tcPr>
            <w:tcW w:w="3539" w:type="dxa"/>
            <w:shd w:val="clear" w:color="auto" w:fill="BFBFBF" w:themeFill="background1" w:themeFillShade="BF"/>
            <w:noWrap/>
            <w:vAlign w:val="center"/>
          </w:tcPr>
          <w:p w:rsidR="00AB65A1" w:rsidRPr="005E1103" w:rsidRDefault="00AB65A1" w:rsidP="00C71AF3">
            <w:pPr>
              <w:spacing w:after="0" w:line="360" w:lineRule="auto"/>
              <w:rPr>
                <w:rFonts w:eastAsia="MS Mincho" w:cstheme="minorHAnsi"/>
                <w:sz w:val="28"/>
                <w:szCs w:val="28"/>
                <w:lang w:val="en-US" w:eastAsia="es-ES"/>
              </w:rPr>
            </w:pPr>
            <w:r w:rsidRPr="005E1103">
              <w:rPr>
                <w:rFonts w:eastAsia="MS Mincho" w:cstheme="minorHAnsi"/>
                <w:sz w:val="28"/>
                <w:szCs w:val="28"/>
                <w:lang w:val="en-US" w:eastAsia="es-ES"/>
              </w:rPr>
              <w:t>Improving the enrolment process for students with disabilities at University of Maribor</w:t>
            </w:r>
          </w:p>
          <w:p w:rsidR="00AB65A1" w:rsidRPr="005E1103" w:rsidRDefault="00AB65A1" w:rsidP="00C71AF3">
            <w:pPr>
              <w:spacing w:line="240" w:lineRule="auto"/>
              <w:jc w:val="both"/>
              <w:rPr>
                <w:rFonts w:cstheme="minorHAnsi"/>
                <w:sz w:val="28"/>
                <w:szCs w:val="28"/>
                <w:lang w:val="en-GB"/>
              </w:rPr>
            </w:pPr>
          </w:p>
        </w:tc>
      </w:tr>
      <w:tr w:rsidR="00AB65A1" w:rsidRPr="005E1103" w:rsidTr="00C71AF3">
        <w:trPr>
          <w:trHeight w:val="315"/>
        </w:trPr>
        <w:tc>
          <w:tcPr>
            <w:tcW w:w="365" w:type="dxa"/>
            <w:shd w:val="clear" w:color="auto" w:fill="C00000"/>
            <w:vAlign w:val="center"/>
          </w:tcPr>
          <w:p w:rsidR="00AB65A1" w:rsidRPr="005E1103" w:rsidRDefault="00AB65A1" w:rsidP="00C71AF3">
            <w:pPr>
              <w:spacing w:after="0" w:line="240" w:lineRule="auto"/>
              <w:rPr>
                <w:rFonts w:eastAsia="Times New Roman" w:cstheme="minorHAnsi"/>
                <w:b/>
                <w:bCs/>
                <w:sz w:val="28"/>
                <w:szCs w:val="28"/>
                <w:lang w:eastAsia="es-ES"/>
              </w:rPr>
            </w:pPr>
            <w:r w:rsidRPr="005E1103">
              <w:rPr>
                <w:rFonts w:eastAsia="Times New Roman" w:cstheme="minorHAnsi"/>
                <w:b/>
                <w:bCs/>
                <w:sz w:val="28"/>
                <w:szCs w:val="28"/>
                <w:lang w:eastAsia="es-ES"/>
              </w:rPr>
              <w:lastRenderedPageBreak/>
              <w:t>6</w:t>
            </w:r>
          </w:p>
        </w:tc>
        <w:tc>
          <w:tcPr>
            <w:tcW w:w="3585" w:type="dxa"/>
            <w:shd w:val="clear" w:color="auto" w:fill="C00000"/>
            <w:noWrap/>
            <w:vAlign w:val="center"/>
          </w:tcPr>
          <w:p w:rsidR="00AB65A1" w:rsidRPr="005E1103" w:rsidRDefault="00AB65A1" w:rsidP="00C71AF3">
            <w:pPr>
              <w:spacing w:line="360" w:lineRule="auto"/>
              <w:rPr>
                <w:rFonts w:eastAsia="Times New Roman" w:cstheme="minorHAnsi"/>
                <w:b/>
                <w:bCs/>
                <w:sz w:val="28"/>
                <w:szCs w:val="28"/>
                <w:lang w:eastAsia="es-ES"/>
              </w:rPr>
            </w:pPr>
            <w:r w:rsidRPr="005E1103">
              <w:rPr>
                <w:rFonts w:eastAsia="Times New Roman" w:cstheme="minorHAnsi"/>
                <w:b/>
                <w:bCs/>
                <w:sz w:val="28"/>
                <w:szCs w:val="28"/>
                <w:lang w:eastAsia="es-ES"/>
              </w:rPr>
              <w:t>Patricia Soler Javaloy; Joaquina Murcia Rodríguez; y Esther Gallego Baeza</w:t>
            </w:r>
          </w:p>
        </w:tc>
        <w:tc>
          <w:tcPr>
            <w:tcW w:w="2500" w:type="dxa"/>
            <w:shd w:val="clear" w:color="auto" w:fill="BFBFBF" w:themeFill="background1" w:themeFillShade="BF"/>
            <w:noWrap/>
            <w:vAlign w:val="center"/>
          </w:tcPr>
          <w:p w:rsidR="00AB65A1" w:rsidRPr="005E1103" w:rsidRDefault="00AB65A1" w:rsidP="00C71AF3">
            <w:pPr>
              <w:spacing w:after="0" w:line="240" w:lineRule="auto"/>
              <w:jc w:val="both"/>
              <w:rPr>
                <w:rFonts w:eastAsia="Times New Roman" w:cstheme="minorHAnsi"/>
                <w:b/>
                <w:sz w:val="28"/>
                <w:szCs w:val="28"/>
                <w:lang w:eastAsia="es-ES"/>
              </w:rPr>
            </w:pPr>
            <w:r w:rsidRPr="005E1103">
              <w:rPr>
                <w:rFonts w:eastAsia="Times New Roman" w:cstheme="minorHAnsi"/>
                <w:b/>
                <w:sz w:val="28"/>
                <w:szCs w:val="28"/>
                <w:lang w:eastAsia="es-ES"/>
              </w:rPr>
              <w:t>Universidad de Alicante</w:t>
            </w:r>
          </w:p>
        </w:tc>
        <w:tc>
          <w:tcPr>
            <w:tcW w:w="3539" w:type="dxa"/>
            <w:shd w:val="clear" w:color="auto" w:fill="BFBFBF" w:themeFill="background1" w:themeFillShade="BF"/>
            <w:noWrap/>
            <w:vAlign w:val="center"/>
          </w:tcPr>
          <w:p w:rsidR="00AB65A1" w:rsidRPr="005E1103" w:rsidRDefault="00AB65A1" w:rsidP="00C71AF3">
            <w:pPr>
              <w:spacing w:line="360" w:lineRule="auto"/>
              <w:rPr>
                <w:rFonts w:cstheme="minorHAnsi"/>
                <w:sz w:val="28"/>
                <w:szCs w:val="28"/>
              </w:rPr>
            </w:pPr>
            <w:r w:rsidRPr="005E1103">
              <w:rPr>
                <w:rFonts w:cstheme="minorHAnsi"/>
                <w:sz w:val="28"/>
                <w:szCs w:val="28"/>
              </w:rPr>
              <w:t>Creando redes, estableciendo sinergias: buenas prácticas en la educación inclusiva</w:t>
            </w:r>
          </w:p>
          <w:p w:rsidR="00AB65A1" w:rsidRPr="005E1103" w:rsidRDefault="00AB65A1" w:rsidP="00C71AF3">
            <w:pPr>
              <w:rPr>
                <w:rFonts w:eastAsia="Times New Roman" w:cstheme="minorHAnsi"/>
                <w:sz w:val="28"/>
                <w:szCs w:val="28"/>
                <w:lang w:eastAsia="es-ES"/>
              </w:rPr>
            </w:pPr>
          </w:p>
        </w:tc>
      </w:tr>
      <w:tr w:rsidR="00AB65A1" w:rsidRPr="005E1103" w:rsidTr="00C71AF3">
        <w:trPr>
          <w:trHeight w:val="315"/>
        </w:trPr>
        <w:tc>
          <w:tcPr>
            <w:tcW w:w="365" w:type="dxa"/>
            <w:shd w:val="clear" w:color="auto" w:fill="C00000"/>
            <w:vAlign w:val="center"/>
          </w:tcPr>
          <w:p w:rsidR="00AB65A1" w:rsidRPr="005E1103" w:rsidRDefault="00AB65A1" w:rsidP="00C71AF3">
            <w:pPr>
              <w:spacing w:after="0" w:line="240" w:lineRule="auto"/>
              <w:rPr>
                <w:rFonts w:eastAsia="Times New Roman" w:cstheme="minorHAnsi"/>
                <w:b/>
                <w:bCs/>
                <w:sz w:val="28"/>
                <w:szCs w:val="28"/>
                <w:lang w:eastAsia="es-ES"/>
              </w:rPr>
            </w:pPr>
            <w:r w:rsidRPr="005E1103">
              <w:rPr>
                <w:rFonts w:eastAsia="Times New Roman" w:cstheme="minorHAnsi"/>
                <w:b/>
                <w:bCs/>
                <w:sz w:val="28"/>
                <w:szCs w:val="28"/>
                <w:lang w:eastAsia="es-ES"/>
              </w:rPr>
              <w:t>7</w:t>
            </w:r>
          </w:p>
        </w:tc>
        <w:tc>
          <w:tcPr>
            <w:tcW w:w="3585" w:type="dxa"/>
            <w:shd w:val="clear" w:color="auto" w:fill="C00000"/>
            <w:noWrap/>
            <w:vAlign w:val="center"/>
          </w:tcPr>
          <w:p w:rsidR="00AB65A1" w:rsidRPr="005E1103" w:rsidRDefault="00AB65A1" w:rsidP="00C71AF3">
            <w:pPr>
              <w:spacing w:after="0" w:line="240" w:lineRule="auto"/>
              <w:jc w:val="both"/>
              <w:rPr>
                <w:rFonts w:eastAsia="Times New Roman" w:cstheme="minorHAnsi"/>
                <w:b/>
                <w:bCs/>
                <w:sz w:val="28"/>
                <w:szCs w:val="28"/>
                <w:lang w:eastAsia="es-ES"/>
              </w:rPr>
            </w:pPr>
            <w:r w:rsidRPr="005E1103">
              <w:rPr>
                <w:rFonts w:eastAsia="Times New Roman" w:cstheme="minorHAnsi"/>
                <w:b/>
                <w:bCs/>
                <w:sz w:val="28"/>
                <w:szCs w:val="28"/>
                <w:lang w:eastAsia="es-ES"/>
              </w:rPr>
              <w:t>Almudena Cotán Fernández, Beatriz Morgado, Victor M. Molina, Noelia Melero y Encarna Álvarez</w:t>
            </w:r>
          </w:p>
        </w:tc>
        <w:tc>
          <w:tcPr>
            <w:tcW w:w="2500" w:type="dxa"/>
            <w:shd w:val="clear" w:color="auto" w:fill="BFBFBF" w:themeFill="background1" w:themeFillShade="BF"/>
            <w:noWrap/>
            <w:vAlign w:val="center"/>
          </w:tcPr>
          <w:p w:rsidR="00AB65A1" w:rsidRPr="005E1103" w:rsidRDefault="00AB65A1" w:rsidP="00C71AF3">
            <w:pPr>
              <w:spacing w:after="0" w:line="240" w:lineRule="auto"/>
              <w:jc w:val="both"/>
              <w:rPr>
                <w:rFonts w:eastAsia="Times New Roman" w:cstheme="minorHAnsi"/>
                <w:b/>
                <w:sz w:val="28"/>
                <w:szCs w:val="28"/>
                <w:lang w:eastAsia="es-ES"/>
              </w:rPr>
            </w:pPr>
            <w:r w:rsidRPr="005E1103">
              <w:rPr>
                <w:rFonts w:eastAsia="Times New Roman" w:cstheme="minorHAnsi"/>
                <w:b/>
                <w:sz w:val="28"/>
                <w:szCs w:val="28"/>
                <w:lang w:eastAsia="es-ES"/>
              </w:rPr>
              <w:t>Universidad Isabel I y Universidad de Sevilla</w:t>
            </w:r>
          </w:p>
        </w:tc>
        <w:tc>
          <w:tcPr>
            <w:tcW w:w="3539" w:type="dxa"/>
            <w:shd w:val="clear" w:color="auto" w:fill="BFBFBF" w:themeFill="background1" w:themeFillShade="BF"/>
            <w:noWrap/>
            <w:vAlign w:val="center"/>
          </w:tcPr>
          <w:p w:rsidR="00AB65A1" w:rsidRPr="005E1103" w:rsidRDefault="00AB65A1" w:rsidP="00C71AF3">
            <w:pPr>
              <w:spacing w:line="360" w:lineRule="auto"/>
              <w:rPr>
                <w:rFonts w:eastAsia="Times New Roman" w:cstheme="minorHAnsi"/>
                <w:sz w:val="28"/>
                <w:szCs w:val="28"/>
                <w:lang w:eastAsia="es-ES"/>
              </w:rPr>
            </w:pPr>
            <w:r w:rsidRPr="005E1103">
              <w:rPr>
                <w:rFonts w:eastAsia="Times New Roman" w:cstheme="minorHAnsi"/>
                <w:sz w:val="28"/>
                <w:szCs w:val="28"/>
                <w:lang w:eastAsia="es-ES"/>
              </w:rPr>
              <w:t>La formación del profesorado universitario como camino hacia la inclusión social y educativa en la Universidad</w:t>
            </w:r>
          </w:p>
          <w:p w:rsidR="00AB65A1" w:rsidRPr="005E1103" w:rsidRDefault="00AB65A1" w:rsidP="00C71AF3">
            <w:pPr>
              <w:spacing w:after="0" w:line="240" w:lineRule="auto"/>
              <w:jc w:val="both"/>
              <w:rPr>
                <w:rFonts w:eastAsia="Times New Roman" w:cstheme="minorHAnsi"/>
                <w:sz w:val="28"/>
                <w:szCs w:val="28"/>
                <w:lang w:eastAsia="es-ES"/>
              </w:rPr>
            </w:pPr>
          </w:p>
        </w:tc>
      </w:tr>
      <w:tr w:rsidR="00AB65A1" w:rsidRPr="005E1103" w:rsidTr="00C71AF3">
        <w:trPr>
          <w:trHeight w:val="315"/>
        </w:trPr>
        <w:tc>
          <w:tcPr>
            <w:tcW w:w="365" w:type="dxa"/>
            <w:shd w:val="clear" w:color="auto" w:fill="C00000"/>
            <w:vAlign w:val="center"/>
          </w:tcPr>
          <w:p w:rsidR="00AB65A1" w:rsidRPr="005E1103" w:rsidRDefault="00AB65A1" w:rsidP="00C71AF3">
            <w:pPr>
              <w:spacing w:after="0" w:line="240" w:lineRule="auto"/>
              <w:rPr>
                <w:rFonts w:eastAsia="Times New Roman" w:cstheme="minorHAnsi"/>
                <w:b/>
                <w:bCs/>
                <w:sz w:val="28"/>
                <w:szCs w:val="28"/>
                <w:lang w:eastAsia="es-ES"/>
              </w:rPr>
            </w:pPr>
            <w:r w:rsidRPr="005E1103">
              <w:rPr>
                <w:rFonts w:eastAsia="Times New Roman" w:cstheme="minorHAnsi"/>
                <w:b/>
                <w:bCs/>
                <w:sz w:val="28"/>
                <w:szCs w:val="28"/>
                <w:lang w:eastAsia="es-ES"/>
              </w:rPr>
              <w:t>8</w:t>
            </w:r>
          </w:p>
        </w:tc>
        <w:tc>
          <w:tcPr>
            <w:tcW w:w="3585" w:type="dxa"/>
            <w:shd w:val="clear" w:color="auto" w:fill="C00000"/>
            <w:noWrap/>
            <w:vAlign w:val="center"/>
          </w:tcPr>
          <w:p w:rsidR="00AB65A1" w:rsidRPr="005E1103" w:rsidRDefault="00AB65A1" w:rsidP="00C71AF3">
            <w:pPr>
              <w:spacing w:after="0" w:line="360" w:lineRule="auto"/>
              <w:rPr>
                <w:rFonts w:eastAsia="Times New Roman" w:cstheme="minorHAnsi"/>
                <w:b/>
                <w:bCs/>
                <w:sz w:val="28"/>
                <w:szCs w:val="28"/>
                <w:lang w:eastAsia="es-ES"/>
              </w:rPr>
            </w:pPr>
            <w:r w:rsidRPr="005E1103">
              <w:rPr>
                <w:rFonts w:eastAsia="Times New Roman" w:cstheme="minorHAnsi"/>
                <w:b/>
                <w:bCs/>
                <w:sz w:val="28"/>
                <w:szCs w:val="28"/>
                <w:lang w:eastAsia="es-ES"/>
              </w:rPr>
              <w:t>José Enrique Llamazares de Prado,</w:t>
            </w:r>
            <w:r w:rsidRPr="005E1103">
              <w:rPr>
                <w:rFonts w:cstheme="minorHAnsi"/>
                <w:sz w:val="28"/>
                <w:szCs w:val="28"/>
              </w:rPr>
              <w:t xml:space="preserve"> </w:t>
            </w:r>
            <w:r w:rsidRPr="005E1103">
              <w:rPr>
                <w:rFonts w:eastAsia="Times New Roman" w:cstheme="minorHAnsi"/>
                <w:b/>
                <w:bCs/>
                <w:sz w:val="28"/>
                <w:szCs w:val="28"/>
                <w:lang w:eastAsia="es-ES"/>
              </w:rPr>
              <w:t>Ana Rosa Arias Gago, y María Antonia Melcón Álvarez</w:t>
            </w:r>
          </w:p>
        </w:tc>
        <w:tc>
          <w:tcPr>
            <w:tcW w:w="2500" w:type="dxa"/>
            <w:shd w:val="clear" w:color="auto" w:fill="BFBFBF" w:themeFill="background1" w:themeFillShade="BF"/>
            <w:noWrap/>
            <w:vAlign w:val="center"/>
          </w:tcPr>
          <w:p w:rsidR="00AB65A1" w:rsidRPr="005E1103" w:rsidRDefault="00AB65A1" w:rsidP="00C71AF3">
            <w:pPr>
              <w:spacing w:after="0" w:line="240" w:lineRule="auto"/>
              <w:jc w:val="both"/>
              <w:rPr>
                <w:rFonts w:eastAsia="Times New Roman" w:cstheme="minorHAnsi"/>
                <w:b/>
                <w:sz w:val="28"/>
                <w:szCs w:val="28"/>
                <w:lang w:eastAsia="es-ES"/>
              </w:rPr>
            </w:pPr>
            <w:r w:rsidRPr="005E1103">
              <w:rPr>
                <w:rFonts w:eastAsia="Times New Roman" w:cstheme="minorHAnsi"/>
                <w:b/>
                <w:sz w:val="28"/>
                <w:szCs w:val="28"/>
                <w:lang w:eastAsia="es-ES"/>
              </w:rPr>
              <w:t>Universidad de León</w:t>
            </w:r>
          </w:p>
        </w:tc>
        <w:tc>
          <w:tcPr>
            <w:tcW w:w="3539" w:type="dxa"/>
            <w:shd w:val="clear" w:color="auto" w:fill="BFBFBF" w:themeFill="background1" w:themeFillShade="BF"/>
            <w:noWrap/>
            <w:vAlign w:val="center"/>
          </w:tcPr>
          <w:p w:rsidR="00AB65A1" w:rsidRPr="005E1103" w:rsidRDefault="00AB65A1" w:rsidP="00C71AF3">
            <w:pPr>
              <w:spacing w:after="0" w:line="360" w:lineRule="auto"/>
              <w:rPr>
                <w:rFonts w:eastAsia="Times New Roman" w:cstheme="minorHAnsi"/>
                <w:sz w:val="28"/>
                <w:szCs w:val="28"/>
                <w:lang w:eastAsia="es-ES"/>
              </w:rPr>
            </w:pPr>
            <w:r w:rsidRPr="005E1103">
              <w:rPr>
                <w:rFonts w:cstheme="minorHAnsi"/>
                <w:sz w:val="28"/>
                <w:szCs w:val="28"/>
              </w:rPr>
              <w:t>Familia y personas con diversidad funcional visual: ámbito familiar, calidad de vida y educación</w:t>
            </w:r>
          </w:p>
        </w:tc>
      </w:tr>
      <w:tr w:rsidR="00AB65A1" w:rsidRPr="005E1103" w:rsidTr="00C71AF3">
        <w:trPr>
          <w:trHeight w:val="315"/>
        </w:trPr>
        <w:tc>
          <w:tcPr>
            <w:tcW w:w="365" w:type="dxa"/>
            <w:shd w:val="clear" w:color="auto" w:fill="C00000"/>
            <w:vAlign w:val="center"/>
          </w:tcPr>
          <w:p w:rsidR="00AB65A1" w:rsidRPr="005E1103" w:rsidRDefault="00AB65A1" w:rsidP="00C71AF3">
            <w:pPr>
              <w:spacing w:after="0" w:line="240" w:lineRule="auto"/>
              <w:rPr>
                <w:rFonts w:eastAsia="Times New Roman" w:cstheme="minorHAnsi"/>
                <w:b/>
                <w:bCs/>
                <w:sz w:val="28"/>
                <w:szCs w:val="28"/>
                <w:lang w:eastAsia="es-ES"/>
              </w:rPr>
            </w:pPr>
            <w:r w:rsidRPr="005E1103">
              <w:rPr>
                <w:rFonts w:eastAsia="Times New Roman" w:cstheme="minorHAnsi"/>
                <w:b/>
                <w:bCs/>
                <w:sz w:val="28"/>
                <w:szCs w:val="28"/>
                <w:lang w:eastAsia="es-ES"/>
              </w:rPr>
              <w:t>9</w:t>
            </w:r>
          </w:p>
        </w:tc>
        <w:tc>
          <w:tcPr>
            <w:tcW w:w="3585" w:type="dxa"/>
            <w:shd w:val="clear" w:color="auto" w:fill="C00000"/>
            <w:noWrap/>
            <w:vAlign w:val="center"/>
          </w:tcPr>
          <w:p w:rsidR="00AB65A1" w:rsidRPr="005E1103" w:rsidRDefault="00AB65A1" w:rsidP="00C71AF3">
            <w:pPr>
              <w:spacing w:after="0" w:line="240" w:lineRule="auto"/>
              <w:jc w:val="both"/>
              <w:rPr>
                <w:rFonts w:eastAsia="Times New Roman" w:cstheme="minorHAnsi"/>
                <w:b/>
                <w:bCs/>
                <w:sz w:val="28"/>
                <w:szCs w:val="28"/>
                <w:lang w:eastAsia="es-ES"/>
              </w:rPr>
            </w:pPr>
            <w:r w:rsidRPr="005E1103">
              <w:rPr>
                <w:rFonts w:eastAsia="Times New Roman" w:cstheme="minorHAnsi"/>
                <w:b/>
                <w:bCs/>
                <w:sz w:val="28"/>
                <w:szCs w:val="28"/>
                <w:lang w:eastAsia="es-ES"/>
              </w:rPr>
              <w:t>Mª Ángeles Martínez Martín,  Mª Natividad de Juan Barriuso, y Mª Yolanda González Alonso</w:t>
            </w:r>
          </w:p>
        </w:tc>
        <w:tc>
          <w:tcPr>
            <w:tcW w:w="2500" w:type="dxa"/>
            <w:shd w:val="clear" w:color="auto" w:fill="BFBFBF" w:themeFill="background1" w:themeFillShade="BF"/>
            <w:noWrap/>
            <w:vAlign w:val="center"/>
          </w:tcPr>
          <w:p w:rsidR="00AB65A1" w:rsidRPr="005E1103" w:rsidRDefault="00AB65A1" w:rsidP="00C71AF3">
            <w:pPr>
              <w:spacing w:after="0" w:line="240" w:lineRule="auto"/>
              <w:jc w:val="both"/>
              <w:rPr>
                <w:rFonts w:eastAsia="Times New Roman" w:cstheme="minorHAnsi"/>
                <w:b/>
                <w:sz w:val="28"/>
                <w:szCs w:val="28"/>
                <w:lang w:eastAsia="es-ES"/>
              </w:rPr>
            </w:pPr>
            <w:r w:rsidRPr="005E1103">
              <w:rPr>
                <w:rFonts w:eastAsia="Times New Roman" w:cstheme="minorHAnsi"/>
                <w:b/>
                <w:sz w:val="28"/>
                <w:szCs w:val="28"/>
                <w:lang w:eastAsia="es-ES"/>
              </w:rPr>
              <w:t>Universidad de Burgos</w:t>
            </w:r>
          </w:p>
        </w:tc>
        <w:tc>
          <w:tcPr>
            <w:tcW w:w="3539" w:type="dxa"/>
            <w:shd w:val="clear" w:color="auto" w:fill="BFBFBF" w:themeFill="background1" w:themeFillShade="BF"/>
            <w:noWrap/>
            <w:vAlign w:val="center"/>
          </w:tcPr>
          <w:p w:rsidR="00AB65A1" w:rsidRPr="005E1103" w:rsidRDefault="00AB65A1" w:rsidP="00C71AF3">
            <w:pPr>
              <w:spacing w:after="0" w:line="240" w:lineRule="auto"/>
              <w:jc w:val="both"/>
              <w:rPr>
                <w:rFonts w:eastAsia="Times New Roman" w:cstheme="minorHAnsi"/>
                <w:sz w:val="28"/>
                <w:szCs w:val="28"/>
                <w:lang w:eastAsia="es-ES"/>
              </w:rPr>
            </w:pPr>
            <w:r w:rsidRPr="005E1103">
              <w:rPr>
                <w:rFonts w:eastAsia="Times New Roman" w:cstheme="minorHAnsi"/>
                <w:sz w:val="28"/>
                <w:szCs w:val="28"/>
                <w:lang w:eastAsia="es-ES"/>
              </w:rPr>
              <w:t>TDH y Universidad, abriendo caminos</w:t>
            </w:r>
          </w:p>
        </w:tc>
      </w:tr>
      <w:tr w:rsidR="00AB65A1" w:rsidRPr="005E1103" w:rsidTr="00C71AF3">
        <w:trPr>
          <w:trHeight w:val="315"/>
        </w:trPr>
        <w:tc>
          <w:tcPr>
            <w:tcW w:w="365" w:type="dxa"/>
            <w:shd w:val="clear" w:color="auto" w:fill="C00000"/>
            <w:vAlign w:val="center"/>
          </w:tcPr>
          <w:p w:rsidR="00AB65A1" w:rsidRPr="005E1103" w:rsidRDefault="00AB65A1" w:rsidP="00C71AF3">
            <w:pPr>
              <w:spacing w:after="0" w:line="240" w:lineRule="auto"/>
              <w:rPr>
                <w:rFonts w:eastAsia="Times New Roman" w:cstheme="minorHAnsi"/>
                <w:b/>
                <w:bCs/>
                <w:sz w:val="28"/>
                <w:szCs w:val="28"/>
                <w:lang w:eastAsia="es-ES"/>
              </w:rPr>
            </w:pPr>
            <w:r w:rsidRPr="005E1103">
              <w:rPr>
                <w:rFonts w:eastAsia="Times New Roman" w:cstheme="minorHAnsi"/>
                <w:b/>
                <w:bCs/>
                <w:sz w:val="28"/>
                <w:szCs w:val="28"/>
                <w:lang w:eastAsia="es-ES"/>
              </w:rPr>
              <w:t>10</w:t>
            </w:r>
          </w:p>
        </w:tc>
        <w:tc>
          <w:tcPr>
            <w:tcW w:w="3585" w:type="dxa"/>
            <w:shd w:val="clear" w:color="auto" w:fill="C00000"/>
            <w:noWrap/>
            <w:vAlign w:val="center"/>
          </w:tcPr>
          <w:p w:rsidR="00AB65A1" w:rsidRPr="005E1103" w:rsidRDefault="00AB65A1" w:rsidP="00C71AF3">
            <w:pPr>
              <w:spacing w:after="0" w:line="240" w:lineRule="auto"/>
              <w:jc w:val="both"/>
              <w:rPr>
                <w:rFonts w:eastAsia="Times New Roman" w:cstheme="minorHAnsi"/>
                <w:b/>
                <w:bCs/>
                <w:sz w:val="28"/>
                <w:szCs w:val="28"/>
                <w:lang w:eastAsia="es-ES"/>
              </w:rPr>
            </w:pPr>
            <w:r w:rsidRPr="005E1103">
              <w:rPr>
                <w:rFonts w:eastAsia="Times New Roman" w:cstheme="minorHAnsi"/>
                <w:b/>
                <w:bCs/>
                <w:sz w:val="28"/>
                <w:szCs w:val="28"/>
                <w:lang w:eastAsia="es-ES"/>
              </w:rPr>
              <w:t xml:space="preserve">D.Luis González-García </w:t>
            </w:r>
          </w:p>
        </w:tc>
        <w:tc>
          <w:tcPr>
            <w:tcW w:w="2500" w:type="dxa"/>
            <w:shd w:val="clear" w:color="auto" w:fill="BFBFBF" w:themeFill="background1" w:themeFillShade="BF"/>
            <w:noWrap/>
            <w:vAlign w:val="center"/>
          </w:tcPr>
          <w:p w:rsidR="00AB65A1" w:rsidRPr="005E1103" w:rsidRDefault="00AB65A1" w:rsidP="00C71AF3">
            <w:pPr>
              <w:spacing w:after="0" w:line="240" w:lineRule="auto"/>
              <w:jc w:val="both"/>
              <w:rPr>
                <w:rFonts w:eastAsia="Times New Roman" w:cstheme="minorHAnsi"/>
                <w:b/>
                <w:sz w:val="28"/>
                <w:szCs w:val="28"/>
                <w:lang w:eastAsia="es-ES"/>
              </w:rPr>
            </w:pPr>
            <w:r w:rsidRPr="005E1103">
              <w:rPr>
                <w:rFonts w:eastAsia="Times New Roman" w:cstheme="minorHAnsi"/>
                <w:b/>
                <w:sz w:val="28"/>
                <w:szCs w:val="28"/>
                <w:lang w:eastAsia="es-ES"/>
              </w:rPr>
              <w:t>O.N.C.E.</w:t>
            </w:r>
          </w:p>
        </w:tc>
        <w:tc>
          <w:tcPr>
            <w:tcW w:w="3539" w:type="dxa"/>
            <w:shd w:val="clear" w:color="auto" w:fill="BFBFBF" w:themeFill="background1" w:themeFillShade="BF"/>
            <w:noWrap/>
            <w:vAlign w:val="center"/>
          </w:tcPr>
          <w:p w:rsidR="00AB65A1" w:rsidRPr="005E1103" w:rsidRDefault="00AB65A1" w:rsidP="00C71AF3">
            <w:pPr>
              <w:spacing w:after="0" w:line="240" w:lineRule="auto"/>
              <w:jc w:val="both"/>
              <w:rPr>
                <w:rFonts w:cstheme="minorHAnsi"/>
                <w:sz w:val="28"/>
                <w:szCs w:val="28"/>
              </w:rPr>
            </w:pPr>
            <w:r w:rsidRPr="005E1103">
              <w:rPr>
                <w:rFonts w:cstheme="minorHAnsi"/>
                <w:sz w:val="28"/>
                <w:szCs w:val="28"/>
              </w:rPr>
              <w:t>Velocidad y comprensión lectora en personas ciegas tituladas en bachillerato y tituladas universitarias</w:t>
            </w:r>
          </w:p>
        </w:tc>
      </w:tr>
      <w:tr w:rsidR="00AB65A1" w:rsidRPr="005E1103" w:rsidTr="00C71AF3">
        <w:trPr>
          <w:trHeight w:val="315"/>
        </w:trPr>
        <w:tc>
          <w:tcPr>
            <w:tcW w:w="365" w:type="dxa"/>
            <w:shd w:val="clear" w:color="auto" w:fill="C00000"/>
            <w:vAlign w:val="center"/>
          </w:tcPr>
          <w:p w:rsidR="00AB65A1" w:rsidRPr="005E1103" w:rsidRDefault="00AB65A1" w:rsidP="00C71AF3">
            <w:pPr>
              <w:spacing w:line="240" w:lineRule="auto"/>
              <w:rPr>
                <w:rFonts w:eastAsia="Times New Roman" w:cstheme="minorHAnsi"/>
                <w:b/>
                <w:bCs/>
                <w:sz w:val="28"/>
                <w:szCs w:val="28"/>
                <w:lang w:eastAsia="es-ES"/>
              </w:rPr>
            </w:pPr>
          </w:p>
          <w:p w:rsidR="00AB65A1" w:rsidRPr="005E1103" w:rsidRDefault="00AB65A1" w:rsidP="00C71AF3">
            <w:pPr>
              <w:spacing w:line="240" w:lineRule="auto"/>
              <w:rPr>
                <w:rFonts w:eastAsia="Times New Roman" w:cstheme="minorHAnsi"/>
                <w:b/>
                <w:bCs/>
                <w:sz w:val="28"/>
                <w:szCs w:val="28"/>
                <w:lang w:eastAsia="es-ES"/>
              </w:rPr>
            </w:pPr>
          </w:p>
          <w:p w:rsidR="00AB65A1" w:rsidRPr="005E1103" w:rsidRDefault="00AB65A1" w:rsidP="00C71AF3">
            <w:pPr>
              <w:spacing w:line="240" w:lineRule="auto"/>
              <w:rPr>
                <w:rFonts w:eastAsia="Times New Roman" w:cstheme="minorHAnsi"/>
                <w:b/>
                <w:bCs/>
                <w:sz w:val="28"/>
                <w:szCs w:val="28"/>
                <w:lang w:eastAsia="es-ES"/>
              </w:rPr>
            </w:pPr>
          </w:p>
          <w:p w:rsidR="00AB65A1" w:rsidRPr="005E1103" w:rsidRDefault="00AB65A1" w:rsidP="00C71AF3">
            <w:pPr>
              <w:spacing w:line="240" w:lineRule="auto"/>
              <w:rPr>
                <w:rFonts w:eastAsia="Times New Roman" w:cstheme="minorHAnsi"/>
                <w:b/>
                <w:bCs/>
                <w:sz w:val="28"/>
                <w:szCs w:val="28"/>
                <w:lang w:eastAsia="es-ES"/>
              </w:rPr>
            </w:pPr>
            <w:r w:rsidRPr="005E1103">
              <w:rPr>
                <w:rFonts w:eastAsia="Times New Roman" w:cstheme="minorHAnsi"/>
                <w:b/>
                <w:bCs/>
                <w:sz w:val="28"/>
                <w:szCs w:val="28"/>
                <w:lang w:eastAsia="es-ES"/>
              </w:rPr>
              <w:t>11</w:t>
            </w:r>
          </w:p>
          <w:p w:rsidR="00AB65A1" w:rsidRPr="005E1103" w:rsidRDefault="00AB65A1" w:rsidP="00C71AF3">
            <w:pPr>
              <w:spacing w:line="240" w:lineRule="auto"/>
              <w:rPr>
                <w:rFonts w:eastAsia="Times New Roman" w:cstheme="minorHAnsi"/>
                <w:b/>
                <w:bCs/>
                <w:sz w:val="28"/>
                <w:szCs w:val="28"/>
                <w:lang w:eastAsia="es-ES"/>
              </w:rPr>
            </w:pPr>
          </w:p>
          <w:p w:rsidR="00AB65A1" w:rsidRPr="005E1103" w:rsidRDefault="00AB65A1" w:rsidP="00C71AF3">
            <w:pPr>
              <w:spacing w:line="240" w:lineRule="auto"/>
              <w:rPr>
                <w:rFonts w:eastAsia="Times New Roman" w:cstheme="minorHAnsi"/>
                <w:b/>
                <w:bCs/>
                <w:sz w:val="28"/>
                <w:szCs w:val="28"/>
                <w:lang w:eastAsia="es-ES"/>
              </w:rPr>
            </w:pPr>
          </w:p>
          <w:p w:rsidR="00AB65A1" w:rsidRPr="005E1103" w:rsidRDefault="00AB65A1" w:rsidP="00C71AF3">
            <w:pPr>
              <w:spacing w:line="240" w:lineRule="auto"/>
              <w:rPr>
                <w:rFonts w:eastAsia="Times New Roman" w:cstheme="minorHAnsi"/>
                <w:b/>
                <w:bCs/>
                <w:sz w:val="28"/>
                <w:szCs w:val="28"/>
                <w:lang w:eastAsia="es-ES"/>
              </w:rPr>
            </w:pPr>
          </w:p>
          <w:p w:rsidR="00AB65A1" w:rsidRPr="005E1103" w:rsidRDefault="00AB65A1" w:rsidP="00C71AF3">
            <w:pPr>
              <w:spacing w:line="240" w:lineRule="auto"/>
              <w:rPr>
                <w:rFonts w:eastAsia="Times New Roman" w:cstheme="minorHAnsi"/>
                <w:b/>
                <w:bCs/>
                <w:sz w:val="28"/>
                <w:szCs w:val="28"/>
                <w:lang w:eastAsia="es-ES"/>
              </w:rPr>
            </w:pPr>
          </w:p>
          <w:p w:rsidR="00AB65A1" w:rsidRPr="005E1103" w:rsidRDefault="00AB65A1" w:rsidP="00C71AF3">
            <w:pPr>
              <w:spacing w:line="240" w:lineRule="auto"/>
              <w:rPr>
                <w:rFonts w:eastAsia="Times New Roman" w:cstheme="minorHAnsi"/>
                <w:b/>
                <w:bCs/>
                <w:sz w:val="28"/>
                <w:szCs w:val="28"/>
                <w:lang w:eastAsia="es-ES"/>
              </w:rPr>
            </w:pPr>
          </w:p>
          <w:p w:rsidR="00AB65A1" w:rsidRPr="005E1103" w:rsidRDefault="00AB65A1" w:rsidP="00C71AF3">
            <w:pPr>
              <w:spacing w:line="240" w:lineRule="auto"/>
              <w:rPr>
                <w:rFonts w:eastAsia="Times New Roman" w:cstheme="minorHAnsi"/>
                <w:b/>
                <w:bCs/>
                <w:sz w:val="28"/>
                <w:szCs w:val="28"/>
                <w:lang w:eastAsia="es-ES"/>
              </w:rPr>
            </w:pPr>
          </w:p>
          <w:p w:rsidR="00AB65A1" w:rsidRPr="005E1103" w:rsidRDefault="00AB65A1" w:rsidP="00C71AF3">
            <w:pPr>
              <w:spacing w:line="240" w:lineRule="auto"/>
              <w:rPr>
                <w:rFonts w:eastAsia="Times New Roman" w:cstheme="minorHAnsi"/>
                <w:b/>
                <w:bCs/>
                <w:sz w:val="28"/>
                <w:szCs w:val="28"/>
                <w:lang w:eastAsia="es-ES"/>
              </w:rPr>
            </w:pPr>
          </w:p>
          <w:p w:rsidR="00AB65A1" w:rsidRPr="005E1103" w:rsidRDefault="00AB65A1" w:rsidP="00C71AF3">
            <w:pPr>
              <w:spacing w:line="240" w:lineRule="auto"/>
              <w:rPr>
                <w:rFonts w:eastAsia="Times New Roman" w:cstheme="minorHAnsi"/>
                <w:b/>
                <w:bCs/>
                <w:sz w:val="28"/>
                <w:szCs w:val="28"/>
                <w:lang w:eastAsia="es-ES"/>
              </w:rPr>
            </w:pPr>
          </w:p>
          <w:p w:rsidR="00AB65A1" w:rsidRPr="005E1103" w:rsidRDefault="00AB65A1" w:rsidP="00C71AF3">
            <w:pPr>
              <w:spacing w:line="240" w:lineRule="auto"/>
              <w:rPr>
                <w:rFonts w:eastAsia="Times New Roman" w:cstheme="minorHAnsi"/>
                <w:b/>
                <w:bCs/>
                <w:sz w:val="28"/>
                <w:szCs w:val="28"/>
                <w:lang w:eastAsia="es-ES"/>
              </w:rPr>
            </w:pPr>
          </w:p>
        </w:tc>
        <w:tc>
          <w:tcPr>
            <w:tcW w:w="3585" w:type="dxa"/>
            <w:shd w:val="clear" w:color="auto" w:fill="C00000"/>
            <w:noWrap/>
            <w:vAlign w:val="center"/>
          </w:tcPr>
          <w:p w:rsidR="00AB65A1" w:rsidRPr="005E1103" w:rsidRDefault="00AB65A1" w:rsidP="00C71AF3">
            <w:pPr>
              <w:spacing w:after="0" w:line="240" w:lineRule="auto"/>
              <w:jc w:val="both"/>
              <w:rPr>
                <w:rFonts w:eastAsia="Times New Roman" w:cstheme="minorHAnsi"/>
                <w:b/>
                <w:bCs/>
                <w:sz w:val="28"/>
                <w:szCs w:val="28"/>
                <w:lang w:eastAsia="es-ES"/>
              </w:rPr>
            </w:pPr>
            <w:r w:rsidRPr="005E1103">
              <w:rPr>
                <w:rFonts w:eastAsia="Times New Roman" w:cstheme="minorHAnsi"/>
                <w:b/>
                <w:bCs/>
                <w:sz w:val="28"/>
                <w:szCs w:val="28"/>
                <w:lang w:eastAsia="es-ES"/>
              </w:rPr>
              <w:lastRenderedPageBreak/>
              <w:t>Alejandra García Frank, Maria Luisa Canales Fernández, Investigador CSIC D. Miguel Gomez-Heras y</w:t>
            </w:r>
            <w:r w:rsidRPr="005E1103">
              <w:rPr>
                <w:rFonts w:cstheme="minorHAnsi"/>
                <w:sz w:val="28"/>
                <w:szCs w:val="28"/>
              </w:rPr>
              <w:t xml:space="preserve"> </w:t>
            </w:r>
            <w:r w:rsidRPr="005E1103">
              <w:rPr>
                <w:rFonts w:eastAsia="Times New Roman" w:cstheme="minorHAnsi"/>
                <w:b/>
                <w:bCs/>
                <w:sz w:val="28"/>
                <w:szCs w:val="28"/>
                <w:lang w:eastAsia="es-ES"/>
              </w:rPr>
              <w:t>Santiago Herrero Domínguez</w:t>
            </w:r>
          </w:p>
          <w:p w:rsidR="00AB65A1" w:rsidRPr="005E1103" w:rsidRDefault="00AB65A1" w:rsidP="00C71AF3">
            <w:pPr>
              <w:spacing w:after="0" w:line="240" w:lineRule="auto"/>
              <w:jc w:val="both"/>
              <w:rPr>
                <w:rFonts w:eastAsia="Times New Roman" w:cstheme="minorHAnsi"/>
                <w:b/>
                <w:bCs/>
                <w:sz w:val="28"/>
                <w:szCs w:val="28"/>
                <w:lang w:eastAsia="es-ES"/>
              </w:rPr>
            </w:pPr>
          </w:p>
          <w:p w:rsidR="00AB65A1" w:rsidRPr="005E1103" w:rsidRDefault="00AB65A1" w:rsidP="00C71AF3">
            <w:pPr>
              <w:spacing w:after="0" w:line="240" w:lineRule="auto"/>
              <w:jc w:val="both"/>
              <w:rPr>
                <w:rFonts w:eastAsia="Times New Roman" w:cstheme="minorHAnsi"/>
                <w:b/>
                <w:bCs/>
                <w:sz w:val="28"/>
                <w:szCs w:val="28"/>
                <w:lang w:eastAsia="es-ES"/>
              </w:rPr>
            </w:pPr>
          </w:p>
          <w:p w:rsidR="00AB65A1" w:rsidRPr="005E1103" w:rsidRDefault="00AB65A1" w:rsidP="00C71AF3">
            <w:pPr>
              <w:spacing w:after="0" w:line="240" w:lineRule="auto"/>
              <w:jc w:val="both"/>
              <w:rPr>
                <w:rFonts w:eastAsia="Times New Roman" w:cstheme="minorHAnsi"/>
                <w:b/>
                <w:bCs/>
                <w:sz w:val="28"/>
                <w:szCs w:val="28"/>
                <w:lang w:eastAsia="es-ES"/>
              </w:rPr>
            </w:pPr>
          </w:p>
          <w:p w:rsidR="00AB65A1" w:rsidRPr="005E1103" w:rsidRDefault="00AB65A1" w:rsidP="00C71AF3">
            <w:pPr>
              <w:spacing w:after="0" w:line="240" w:lineRule="auto"/>
              <w:jc w:val="both"/>
              <w:rPr>
                <w:rFonts w:eastAsia="Times New Roman" w:cstheme="minorHAnsi"/>
                <w:b/>
                <w:bCs/>
                <w:sz w:val="28"/>
                <w:szCs w:val="28"/>
                <w:lang w:val="es-ES_tradnl" w:eastAsia="es-ES"/>
              </w:rPr>
            </w:pPr>
          </w:p>
        </w:tc>
        <w:tc>
          <w:tcPr>
            <w:tcW w:w="2500" w:type="dxa"/>
            <w:shd w:val="clear" w:color="auto" w:fill="BFBFBF" w:themeFill="background1" w:themeFillShade="BF"/>
            <w:noWrap/>
            <w:vAlign w:val="center"/>
          </w:tcPr>
          <w:p w:rsidR="00AB65A1" w:rsidRPr="005E1103" w:rsidRDefault="00AB65A1" w:rsidP="00C71AF3">
            <w:pPr>
              <w:spacing w:after="0" w:line="240" w:lineRule="auto"/>
              <w:jc w:val="both"/>
              <w:rPr>
                <w:rFonts w:eastAsia="Times New Roman" w:cstheme="minorHAnsi"/>
                <w:b/>
                <w:sz w:val="28"/>
                <w:szCs w:val="28"/>
                <w:lang w:eastAsia="es-ES"/>
              </w:rPr>
            </w:pPr>
            <w:r w:rsidRPr="005E1103">
              <w:rPr>
                <w:rFonts w:eastAsia="Times New Roman" w:cstheme="minorHAnsi"/>
                <w:b/>
                <w:sz w:val="28"/>
                <w:szCs w:val="28"/>
                <w:lang w:eastAsia="es-ES"/>
              </w:rPr>
              <w:t>Universidad Complutense de Madrid</w:t>
            </w:r>
          </w:p>
          <w:p w:rsidR="00AB65A1" w:rsidRPr="005E1103" w:rsidRDefault="00AB65A1" w:rsidP="00C71AF3">
            <w:pPr>
              <w:spacing w:after="0" w:line="240" w:lineRule="auto"/>
              <w:jc w:val="both"/>
              <w:rPr>
                <w:rFonts w:eastAsia="Times New Roman" w:cstheme="minorHAnsi"/>
                <w:b/>
                <w:sz w:val="28"/>
                <w:szCs w:val="28"/>
                <w:lang w:eastAsia="es-ES"/>
              </w:rPr>
            </w:pPr>
          </w:p>
          <w:p w:rsidR="00AB65A1" w:rsidRPr="005E1103" w:rsidRDefault="00AB65A1" w:rsidP="00C71AF3">
            <w:pPr>
              <w:spacing w:after="0" w:line="240" w:lineRule="auto"/>
              <w:jc w:val="both"/>
              <w:rPr>
                <w:rFonts w:eastAsia="Times New Roman" w:cstheme="minorHAnsi"/>
                <w:b/>
                <w:sz w:val="28"/>
                <w:szCs w:val="28"/>
                <w:lang w:eastAsia="es-ES"/>
              </w:rPr>
            </w:pPr>
          </w:p>
          <w:p w:rsidR="00AB65A1" w:rsidRPr="005E1103" w:rsidRDefault="00AB65A1" w:rsidP="00C71AF3">
            <w:pPr>
              <w:spacing w:after="0" w:line="240" w:lineRule="auto"/>
              <w:jc w:val="both"/>
              <w:rPr>
                <w:rFonts w:eastAsia="Times New Roman" w:cstheme="minorHAnsi"/>
                <w:b/>
                <w:sz w:val="28"/>
                <w:szCs w:val="28"/>
                <w:lang w:eastAsia="es-ES"/>
              </w:rPr>
            </w:pPr>
          </w:p>
          <w:p w:rsidR="00AB65A1" w:rsidRPr="005E1103" w:rsidRDefault="00AB65A1" w:rsidP="00C71AF3">
            <w:pPr>
              <w:spacing w:after="0" w:line="240" w:lineRule="auto"/>
              <w:jc w:val="both"/>
              <w:rPr>
                <w:rFonts w:eastAsia="Times New Roman" w:cstheme="minorHAnsi"/>
                <w:b/>
                <w:sz w:val="28"/>
                <w:szCs w:val="28"/>
                <w:lang w:eastAsia="es-ES"/>
              </w:rPr>
            </w:pPr>
          </w:p>
          <w:p w:rsidR="00AB65A1" w:rsidRPr="005E1103" w:rsidRDefault="00AB65A1" w:rsidP="00C71AF3">
            <w:pPr>
              <w:spacing w:after="0" w:line="240" w:lineRule="auto"/>
              <w:jc w:val="both"/>
              <w:rPr>
                <w:rFonts w:eastAsia="Times New Roman" w:cstheme="minorHAnsi"/>
                <w:b/>
                <w:sz w:val="28"/>
                <w:szCs w:val="28"/>
                <w:lang w:eastAsia="es-ES"/>
              </w:rPr>
            </w:pPr>
          </w:p>
          <w:p w:rsidR="00AB65A1" w:rsidRPr="005E1103" w:rsidRDefault="00AB65A1" w:rsidP="00C71AF3">
            <w:pPr>
              <w:spacing w:after="0" w:line="240" w:lineRule="auto"/>
              <w:jc w:val="both"/>
              <w:rPr>
                <w:rFonts w:eastAsia="Times New Roman" w:cstheme="minorHAnsi"/>
                <w:b/>
                <w:sz w:val="28"/>
                <w:szCs w:val="28"/>
                <w:lang w:eastAsia="es-ES"/>
              </w:rPr>
            </w:pPr>
          </w:p>
        </w:tc>
        <w:tc>
          <w:tcPr>
            <w:tcW w:w="3539" w:type="dxa"/>
            <w:shd w:val="clear" w:color="auto" w:fill="BFBFBF" w:themeFill="background1" w:themeFillShade="BF"/>
            <w:noWrap/>
            <w:vAlign w:val="center"/>
          </w:tcPr>
          <w:p w:rsidR="00AB65A1" w:rsidRPr="005E1103" w:rsidRDefault="00AB65A1" w:rsidP="00C71AF3">
            <w:pPr>
              <w:rPr>
                <w:rFonts w:cstheme="minorHAnsi"/>
                <w:sz w:val="28"/>
                <w:szCs w:val="28"/>
              </w:rPr>
            </w:pPr>
            <w:r w:rsidRPr="005E1103">
              <w:rPr>
                <w:rFonts w:cstheme="minorHAnsi"/>
                <w:sz w:val="28"/>
                <w:szCs w:val="28"/>
              </w:rPr>
              <w:t>Educación no Formal desde la Universidad: la importancia de la Divulgación Científica Inclusiva</w:t>
            </w:r>
          </w:p>
          <w:p w:rsidR="00AB65A1" w:rsidRPr="005E1103" w:rsidRDefault="00AB65A1" w:rsidP="00C71AF3">
            <w:pPr>
              <w:spacing w:after="0" w:line="240" w:lineRule="auto"/>
              <w:jc w:val="both"/>
              <w:rPr>
                <w:rFonts w:eastAsia="Times New Roman" w:cstheme="minorHAnsi"/>
                <w:sz w:val="28"/>
                <w:szCs w:val="28"/>
                <w:lang w:eastAsia="es-ES"/>
              </w:rPr>
            </w:pPr>
          </w:p>
          <w:p w:rsidR="00AB65A1" w:rsidRPr="005E1103" w:rsidRDefault="00AB65A1" w:rsidP="00C71AF3">
            <w:pPr>
              <w:spacing w:after="0" w:line="240" w:lineRule="auto"/>
              <w:jc w:val="both"/>
              <w:rPr>
                <w:rFonts w:eastAsia="Times New Roman" w:cstheme="minorHAnsi"/>
                <w:sz w:val="28"/>
                <w:szCs w:val="28"/>
                <w:lang w:eastAsia="es-ES"/>
              </w:rPr>
            </w:pPr>
          </w:p>
        </w:tc>
      </w:tr>
      <w:tr w:rsidR="00AB65A1" w:rsidRPr="005E1103" w:rsidTr="00C71AF3">
        <w:trPr>
          <w:trHeight w:val="315"/>
        </w:trPr>
        <w:tc>
          <w:tcPr>
            <w:tcW w:w="365" w:type="dxa"/>
            <w:shd w:val="clear" w:color="auto" w:fill="C00000"/>
            <w:vAlign w:val="center"/>
          </w:tcPr>
          <w:p w:rsidR="00AB65A1" w:rsidRPr="005E1103" w:rsidRDefault="00AB65A1" w:rsidP="00C71AF3">
            <w:pPr>
              <w:spacing w:line="240" w:lineRule="auto"/>
              <w:rPr>
                <w:rFonts w:eastAsia="Times New Roman" w:cstheme="minorHAnsi"/>
                <w:b/>
                <w:bCs/>
                <w:sz w:val="28"/>
                <w:szCs w:val="28"/>
                <w:lang w:eastAsia="es-ES"/>
              </w:rPr>
            </w:pPr>
            <w:r w:rsidRPr="005E1103">
              <w:rPr>
                <w:rFonts w:eastAsia="Times New Roman" w:cstheme="minorHAnsi"/>
                <w:b/>
                <w:bCs/>
                <w:sz w:val="28"/>
                <w:szCs w:val="28"/>
                <w:lang w:eastAsia="es-ES"/>
              </w:rPr>
              <w:lastRenderedPageBreak/>
              <w:t>12</w:t>
            </w:r>
          </w:p>
        </w:tc>
        <w:tc>
          <w:tcPr>
            <w:tcW w:w="3585" w:type="dxa"/>
            <w:shd w:val="clear" w:color="auto" w:fill="C00000"/>
            <w:noWrap/>
            <w:vAlign w:val="center"/>
          </w:tcPr>
          <w:p w:rsidR="00AB65A1" w:rsidRPr="005E1103" w:rsidRDefault="00AB65A1" w:rsidP="00C71AF3">
            <w:pPr>
              <w:spacing w:after="0" w:line="240" w:lineRule="auto"/>
              <w:jc w:val="both"/>
              <w:rPr>
                <w:rFonts w:eastAsia="Times New Roman" w:cstheme="minorHAnsi"/>
                <w:b/>
                <w:bCs/>
                <w:sz w:val="28"/>
                <w:szCs w:val="28"/>
                <w:lang w:eastAsia="es-ES"/>
              </w:rPr>
            </w:pPr>
            <w:r w:rsidRPr="005E1103">
              <w:rPr>
                <w:rFonts w:eastAsia="Times New Roman" w:cstheme="minorHAnsi"/>
                <w:b/>
                <w:bCs/>
                <w:sz w:val="28"/>
                <w:szCs w:val="28"/>
                <w:lang w:eastAsia="es-ES"/>
              </w:rPr>
              <w:t>Luis Doña y Marta Medina</w:t>
            </w:r>
          </w:p>
        </w:tc>
        <w:tc>
          <w:tcPr>
            <w:tcW w:w="2500" w:type="dxa"/>
            <w:shd w:val="clear" w:color="auto" w:fill="BFBFBF" w:themeFill="background1" w:themeFillShade="BF"/>
            <w:noWrap/>
            <w:vAlign w:val="center"/>
          </w:tcPr>
          <w:p w:rsidR="00AB65A1" w:rsidRPr="005E1103" w:rsidRDefault="00AB65A1" w:rsidP="00C71AF3">
            <w:pPr>
              <w:spacing w:after="0" w:line="240" w:lineRule="auto"/>
              <w:jc w:val="both"/>
              <w:rPr>
                <w:rFonts w:eastAsia="Times New Roman" w:cstheme="minorHAnsi"/>
                <w:b/>
                <w:sz w:val="28"/>
                <w:szCs w:val="28"/>
                <w:lang w:eastAsia="es-ES"/>
              </w:rPr>
            </w:pPr>
            <w:r w:rsidRPr="005E1103">
              <w:rPr>
                <w:rFonts w:eastAsia="Times New Roman" w:cstheme="minorHAnsi"/>
                <w:b/>
                <w:sz w:val="28"/>
                <w:szCs w:val="28"/>
                <w:lang w:eastAsia="es-ES"/>
              </w:rPr>
              <w:t>Universidad de Granada</w:t>
            </w:r>
          </w:p>
        </w:tc>
        <w:tc>
          <w:tcPr>
            <w:tcW w:w="3539" w:type="dxa"/>
            <w:shd w:val="clear" w:color="auto" w:fill="BFBFBF" w:themeFill="background1" w:themeFillShade="BF"/>
            <w:noWrap/>
            <w:vAlign w:val="center"/>
          </w:tcPr>
          <w:p w:rsidR="00AB65A1" w:rsidRPr="005E1103" w:rsidRDefault="00AB65A1" w:rsidP="00C71AF3">
            <w:pPr>
              <w:rPr>
                <w:rFonts w:cstheme="minorHAnsi"/>
                <w:sz w:val="28"/>
                <w:szCs w:val="28"/>
              </w:rPr>
            </w:pPr>
            <w:r w:rsidRPr="005E1103">
              <w:rPr>
                <w:rFonts w:cstheme="minorHAnsi"/>
                <w:sz w:val="28"/>
                <w:szCs w:val="28"/>
              </w:rPr>
              <w:t xml:space="preserve">Evaluación de los Campus Inclusivos de la Universidad de Granada-CEI BioTic 2015 como experiencia pre-universitaria. Diferencias por año de participación </w:t>
            </w:r>
          </w:p>
          <w:p w:rsidR="00AB65A1" w:rsidRPr="005E1103" w:rsidRDefault="00AB65A1" w:rsidP="00C71AF3">
            <w:pPr>
              <w:rPr>
                <w:rFonts w:cstheme="minorHAnsi"/>
                <w:sz w:val="28"/>
                <w:szCs w:val="28"/>
              </w:rPr>
            </w:pPr>
          </w:p>
          <w:p w:rsidR="00AB65A1" w:rsidRPr="005E1103" w:rsidRDefault="00AB65A1" w:rsidP="00C71AF3">
            <w:pPr>
              <w:spacing w:after="0" w:line="240" w:lineRule="auto"/>
              <w:jc w:val="both"/>
              <w:rPr>
                <w:rFonts w:cstheme="minorHAnsi"/>
                <w:sz w:val="28"/>
                <w:szCs w:val="28"/>
              </w:rPr>
            </w:pPr>
          </w:p>
        </w:tc>
      </w:tr>
      <w:tr w:rsidR="00AB65A1" w:rsidRPr="005E1103" w:rsidTr="00C71AF3">
        <w:trPr>
          <w:trHeight w:val="782"/>
        </w:trPr>
        <w:tc>
          <w:tcPr>
            <w:tcW w:w="365" w:type="dxa"/>
            <w:shd w:val="clear" w:color="auto" w:fill="C00000"/>
            <w:vAlign w:val="center"/>
          </w:tcPr>
          <w:p w:rsidR="00AB65A1" w:rsidRPr="005E1103" w:rsidRDefault="00AB65A1" w:rsidP="00C71AF3">
            <w:pPr>
              <w:spacing w:line="240" w:lineRule="auto"/>
              <w:rPr>
                <w:rFonts w:eastAsia="Times New Roman" w:cstheme="minorHAnsi"/>
                <w:b/>
                <w:bCs/>
                <w:sz w:val="28"/>
                <w:szCs w:val="28"/>
                <w:lang w:eastAsia="es-ES"/>
              </w:rPr>
            </w:pPr>
          </w:p>
          <w:p w:rsidR="00AB65A1" w:rsidRPr="005E1103" w:rsidRDefault="00AB65A1" w:rsidP="00C71AF3">
            <w:pPr>
              <w:spacing w:line="240" w:lineRule="auto"/>
              <w:rPr>
                <w:rFonts w:eastAsia="Times New Roman" w:cstheme="minorHAnsi"/>
                <w:b/>
                <w:bCs/>
                <w:sz w:val="28"/>
                <w:szCs w:val="28"/>
                <w:lang w:eastAsia="es-ES"/>
              </w:rPr>
            </w:pPr>
            <w:r w:rsidRPr="005E1103">
              <w:rPr>
                <w:rFonts w:eastAsia="Times New Roman" w:cstheme="minorHAnsi"/>
                <w:b/>
                <w:bCs/>
                <w:sz w:val="28"/>
                <w:szCs w:val="28"/>
                <w:lang w:eastAsia="es-ES"/>
              </w:rPr>
              <w:t>13</w:t>
            </w:r>
          </w:p>
        </w:tc>
        <w:tc>
          <w:tcPr>
            <w:tcW w:w="3585" w:type="dxa"/>
            <w:shd w:val="clear" w:color="auto" w:fill="C00000"/>
            <w:noWrap/>
            <w:vAlign w:val="bottom"/>
          </w:tcPr>
          <w:p w:rsidR="00AB65A1" w:rsidRPr="005E1103" w:rsidRDefault="00AB65A1" w:rsidP="00C71AF3">
            <w:pPr>
              <w:spacing w:after="0" w:line="240" w:lineRule="auto"/>
              <w:jc w:val="both"/>
              <w:rPr>
                <w:rFonts w:cstheme="minorHAnsi"/>
                <w:b/>
                <w:bCs/>
                <w:sz w:val="28"/>
                <w:szCs w:val="28"/>
              </w:rPr>
            </w:pPr>
            <w:r w:rsidRPr="005E1103">
              <w:rPr>
                <w:rFonts w:cstheme="minorHAnsi"/>
                <w:b/>
                <w:bCs/>
                <w:sz w:val="28"/>
                <w:szCs w:val="28"/>
              </w:rPr>
              <w:t>Paola Alcazar Hernández**</w:t>
            </w:r>
          </w:p>
        </w:tc>
        <w:tc>
          <w:tcPr>
            <w:tcW w:w="2500" w:type="dxa"/>
            <w:shd w:val="clear" w:color="auto" w:fill="BFBFBF" w:themeFill="background1" w:themeFillShade="BF"/>
            <w:noWrap/>
            <w:vAlign w:val="bottom"/>
          </w:tcPr>
          <w:p w:rsidR="00AB65A1" w:rsidRPr="005E1103" w:rsidRDefault="00AB65A1" w:rsidP="00C71AF3">
            <w:pPr>
              <w:spacing w:after="0" w:line="240" w:lineRule="auto"/>
              <w:jc w:val="both"/>
              <w:rPr>
                <w:rFonts w:eastAsia="Times New Roman" w:cstheme="minorHAnsi"/>
                <w:b/>
                <w:sz w:val="28"/>
                <w:szCs w:val="28"/>
                <w:lang w:eastAsia="es-ES"/>
              </w:rPr>
            </w:pPr>
            <w:r w:rsidRPr="005E1103">
              <w:rPr>
                <w:rFonts w:eastAsia="Times New Roman" w:cstheme="minorHAnsi"/>
                <w:b/>
                <w:sz w:val="28"/>
                <w:szCs w:val="28"/>
                <w:lang w:eastAsia="es-ES"/>
              </w:rPr>
              <w:t>Universidad del Norte</w:t>
            </w:r>
          </w:p>
        </w:tc>
        <w:tc>
          <w:tcPr>
            <w:tcW w:w="3539" w:type="dxa"/>
            <w:shd w:val="clear" w:color="auto" w:fill="BFBFBF" w:themeFill="background1" w:themeFillShade="BF"/>
            <w:noWrap/>
            <w:vAlign w:val="bottom"/>
          </w:tcPr>
          <w:p w:rsidR="00AB65A1" w:rsidRPr="005E1103" w:rsidRDefault="00AB65A1" w:rsidP="00C71AF3">
            <w:pPr>
              <w:rPr>
                <w:rFonts w:cstheme="minorHAnsi"/>
                <w:sz w:val="28"/>
                <w:szCs w:val="28"/>
              </w:rPr>
            </w:pPr>
          </w:p>
        </w:tc>
      </w:tr>
      <w:tr w:rsidR="00AB65A1" w:rsidRPr="005E1103" w:rsidTr="00C71AF3">
        <w:trPr>
          <w:trHeight w:val="315"/>
        </w:trPr>
        <w:tc>
          <w:tcPr>
            <w:tcW w:w="365" w:type="dxa"/>
            <w:shd w:val="clear" w:color="auto" w:fill="C00000"/>
            <w:vAlign w:val="center"/>
          </w:tcPr>
          <w:p w:rsidR="00AB65A1" w:rsidRPr="005E1103" w:rsidRDefault="00AB65A1" w:rsidP="00C71AF3">
            <w:pPr>
              <w:spacing w:line="240" w:lineRule="auto"/>
              <w:rPr>
                <w:rFonts w:eastAsia="Times New Roman" w:cstheme="minorHAnsi"/>
                <w:b/>
                <w:bCs/>
                <w:sz w:val="28"/>
                <w:szCs w:val="28"/>
                <w:lang w:eastAsia="es-ES"/>
              </w:rPr>
            </w:pPr>
          </w:p>
          <w:p w:rsidR="00AB65A1" w:rsidRPr="005E1103" w:rsidRDefault="00AB65A1" w:rsidP="00C71AF3">
            <w:pPr>
              <w:spacing w:line="240" w:lineRule="auto"/>
              <w:rPr>
                <w:rFonts w:eastAsia="Times New Roman" w:cstheme="minorHAnsi"/>
                <w:b/>
                <w:bCs/>
                <w:sz w:val="28"/>
                <w:szCs w:val="28"/>
                <w:lang w:eastAsia="es-ES"/>
              </w:rPr>
            </w:pPr>
            <w:r w:rsidRPr="005E1103">
              <w:rPr>
                <w:rFonts w:eastAsia="Times New Roman" w:cstheme="minorHAnsi"/>
                <w:b/>
                <w:bCs/>
                <w:sz w:val="28"/>
                <w:szCs w:val="28"/>
                <w:lang w:eastAsia="es-ES"/>
              </w:rPr>
              <w:t>14</w:t>
            </w:r>
          </w:p>
        </w:tc>
        <w:tc>
          <w:tcPr>
            <w:tcW w:w="3585" w:type="dxa"/>
            <w:shd w:val="clear" w:color="auto" w:fill="C00000"/>
            <w:noWrap/>
            <w:vAlign w:val="bottom"/>
          </w:tcPr>
          <w:p w:rsidR="00AB65A1" w:rsidRPr="005E1103" w:rsidRDefault="00AB65A1" w:rsidP="00C71AF3">
            <w:pPr>
              <w:spacing w:after="0" w:line="240" w:lineRule="auto"/>
              <w:jc w:val="both"/>
              <w:rPr>
                <w:rFonts w:eastAsia="Times New Roman" w:cstheme="minorHAnsi"/>
                <w:b/>
                <w:bCs/>
                <w:sz w:val="28"/>
                <w:szCs w:val="28"/>
                <w:lang w:eastAsia="es-ES"/>
              </w:rPr>
            </w:pPr>
            <w:r w:rsidRPr="005E1103">
              <w:rPr>
                <w:rFonts w:cstheme="minorHAnsi"/>
                <w:b/>
                <w:bCs/>
                <w:sz w:val="28"/>
                <w:szCs w:val="28"/>
              </w:rPr>
              <w:t>Montserrat Castro Belmonte, Rafael de la Puente Llorente (Representación de la RED SAPDU-CRUE)</w:t>
            </w:r>
          </w:p>
        </w:tc>
        <w:tc>
          <w:tcPr>
            <w:tcW w:w="2500" w:type="dxa"/>
            <w:shd w:val="clear" w:color="auto" w:fill="BFBFBF" w:themeFill="background1" w:themeFillShade="BF"/>
            <w:noWrap/>
            <w:vAlign w:val="bottom"/>
          </w:tcPr>
          <w:p w:rsidR="00AB65A1" w:rsidRPr="005E1103" w:rsidRDefault="00AB65A1" w:rsidP="00C71AF3">
            <w:pPr>
              <w:spacing w:after="0" w:line="240" w:lineRule="auto"/>
              <w:jc w:val="both"/>
              <w:rPr>
                <w:rFonts w:eastAsia="Times New Roman" w:cstheme="minorHAnsi"/>
                <w:b/>
                <w:sz w:val="28"/>
                <w:szCs w:val="28"/>
                <w:lang w:eastAsia="es-ES"/>
              </w:rPr>
            </w:pPr>
            <w:r w:rsidRPr="005E1103">
              <w:rPr>
                <w:rFonts w:eastAsia="Times New Roman" w:cstheme="minorHAnsi"/>
                <w:b/>
                <w:sz w:val="28"/>
                <w:szCs w:val="28"/>
                <w:lang w:eastAsia="es-ES"/>
              </w:rPr>
              <w:t xml:space="preserve">Universidad de Valladolid </w:t>
            </w:r>
          </w:p>
        </w:tc>
        <w:tc>
          <w:tcPr>
            <w:tcW w:w="3539" w:type="dxa"/>
            <w:shd w:val="clear" w:color="auto" w:fill="BFBFBF" w:themeFill="background1" w:themeFillShade="BF"/>
            <w:noWrap/>
            <w:vAlign w:val="bottom"/>
          </w:tcPr>
          <w:p w:rsidR="00AB65A1" w:rsidRPr="005E1103" w:rsidRDefault="00AB65A1" w:rsidP="00C71AF3">
            <w:pPr>
              <w:rPr>
                <w:rFonts w:cstheme="minorHAnsi"/>
                <w:sz w:val="28"/>
                <w:szCs w:val="28"/>
              </w:rPr>
            </w:pPr>
            <w:r w:rsidRPr="005E1103">
              <w:rPr>
                <w:rFonts w:cstheme="minorHAnsi"/>
                <w:sz w:val="28"/>
                <w:szCs w:val="28"/>
              </w:rPr>
              <w:t> Presentación de la Organización de la red de Servicios Atención a las Personas con Discapacidad UNIVERSITARIOS-CRUE</w:t>
            </w:r>
          </w:p>
        </w:tc>
      </w:tr>
    </w:tbl>
    <w:p w:rsidR="00AB65A1" w:rsidRDefault="00AB65A1" w:rsidP="00BF6455">
      <w:pPr>
        <w:spacing w:line="360" w:lineRule="auto"/>
        <w:rPr>
          <w:rFonts w:cstheme="minorHAnsi"/>
          <w:b/>
          <w:sz w:val="24"/>
          <w:szCs w:val="24"/>
        </w:rPr>
      </w:pPr>
      <w:r w:rsidRPr="005E1103">
        <w:rPr>
          <w:rFonts w:cstheme="minorHAnsi"/>
          <w:b/>
          <w:sz w:val="28"/>
          <w:szCs w:val="28"/>
        </w:rPr>
        <w:br w:type="textWrapping" w:clear="all"/>
      </w:r>
    </w:p>
    <w:p w:rsidR="00BF6455" w:rsidRDefault="00BF6455" w:rsidP="00BF6455">
      <w:pPr>
        <w:spacing w:line="360" w:lineRule="auto"/>
        <w:rPr>
          <w:rFonts w:cstheme="minorHAnsi"/>
          <w:b/>
          <w:sz w:val="24"/>
          <w:szCs w:val="24"/>
        </w:rPr>
      </w:pPr>
    </w:p>
    <w:p w:rsidR="00BF6455" w:rsidRDefault="00BF6455" w:rsidP="00BF6455">
      <w:pPr>
        <w:spacing w:line="360" w:lineRule="auto"/>
        <w:rPr>
          <w:rFonts w:cstheme="minorHAnsi"/>
          <w:b/>
          <w:sz w:val="24"/>
          <w:szCs w:val="24"/>
        </w:rPr>
      </w:pPr>
    </w:p>
    <w:p w:rsidR="00BF6455" w:rsidRPr="005E1103" w:rsidRDefault="00BF6455" w:rsidP="00BF6455">
      <w:pPr>
        <w:spacing w:line="360" w:lineRule="auto"/>
        <w:rPr>
          <w:rFonts w:cstheme="minorHAnsi"/>
          <w:b/>
          <w:sz w:val="24"/>
          <w:szCs w:val="24"/>
        </w:rPr>
      </w:pPr>
    </w:p>
    <w:p w:rsidR="00AB65A1" w:rsidRPr="005E1103" w:rsidRDefault="00AB65A1" w:rsidP="00AB65A1">
      <w:pPr>
        <w:spacing w:line="360" w:lineRule="auto"/>
        <w:jc w:val="center"/>
        <w:rPr>
          <w:rFonts w:cstheme="minorHAnsi"/>
          <w:b/>
          <w:sz w:val="28"/>
          <w:szCs w:val="28"/>
        </w:rPr>
      </w:pPr>
      <w:r w:rsidRPr="005E1103">
        <w:rPr>
          <w:rFonts w:cstheme="minorHAnsi"/>
          <w:b/>
          <w:sz w:val="28"/>
          <w:szCs w:val="28"/>
        </w:rPr>
        <w:lastRenderedPageBreak/>
        <w:t>COMUNICACIÓN 1</w:t>
      </w:r>
    </w:p>
    <w:p w:rsidR="00AB65A1" w:rsidRPr="00FC5683" w:rsidRDefault="00AB65A1" w:rsidP="00AB65A1">
      <w:pPr>
        <w:pBdr>
          <w:top w:val="single" w:sz="4" w:space="1" w:color="auto"/>
          <w:left w:val="single" w:sz="4" w:space="4" w:color="auto"/>
          <w:bottom w:val="single" w:sz="4" w:space="1" w:color="auto"/>
          <w:right w:val="single" w:sz="4" w:space="4" w:color="auto"/>
        </w:pBdr>
        <w:spacing w:line="360" w:lineRule="auto"/>
        <w:jc w:val="center"/>
        <w:rPr>
          <w:rFonts w:cstheme="minorHAnsi"/>
          <w:b/>
          <w:sz w:val="28"/>
          <w:szCs w:val="28"/>
        </w:rPr>
      </w:pPr>
      <w:r w:rsidRPr="00FC5683">
        <w:rPr>
          <w:rFonts w:eastAsia="Times New Roman" w:cstheme="minorHAnsi"/>
          <w:b/>
          <w:sz w:val="28"/>
          <w:szCs w:val="28"/>
        </w:rPr>
        <w:t>Inclusión en las aulas universitarias: accesibilidad del currículo y apoyo</w:t>
      </w:r>
    </w:p>
    <w:p w:rsidR="00AB65A1" w:rsidRPr="005E1103" w:rsidRDefault="00AB65A1" w:rsidP="00AB65A1">
      <w:pPr>
        <w:spacing w:line="360" w:lineRule="auto"/>
        <w:jc w:val="center"/>
        <w:rPr>
          <w:rFonts w:cstheme="minorHAnsi"/>
          <w:b/>
          <w:sz w:val="28"/>
          <w:szCs w:val="28"/>
        </w:rPr>
      </w:pPr>
    </w:p>
    <w:p w:rsidR="00AB65A1" w:rsidRPr="005E1103" w:rsidRDefault="00AB65A1" w:rsidP="00AB65A1">
      <w:pPr>
        <w:spacing w:line="360" w:lineRule="auto"/>
        <w:jc w:val="right"/>
        <w:rPr>
          <w:rFonts w:cstheme="minorHAnsi"/>
          <w:sz w:val="28"/>
          <w:szCs w:val="28"/>
        </w:rPr>
      </w:pPr>
      <w:r w:rsidRPr="005E1103">
        <w:rPr>
          <w:rFonts w:eastAsia="Times New Roman" w:cstheme="minorHAnsi"/>
          <w:sz w:val="28"/>
          <w:szCs w:val="28"/>
        </w:rPr>
        <w:t>Cecilia Simón</w:t>
      </w:r>
    </w:p>
    <w:p w:rsidR="00AB65A1" w:rsidRPr="005E1103" w:rsidRDefault="00AB65A1" w:rsidP="00AB65A1">
      <w:pPr>
        <w:spacing w:line="360" w:lineRule="auto"/>
        <w:jc w:val="right"/>
        <w:rPr>
          <w:rFonts w:cstheme="minorHAnsi"/>
          <w:sz w:val="28"/>
          <w:szCs w:val="28"/>
        </w:rPr>
      </w:pPr>
      <w:r w:rsidRPr="005E1103">
        <w:rPr>
          <w:rFonts w:eastAsia="Times New Roman" w:cstheme="minorHAnsi"/>
          <w:sz w:val="28"/>
          <w:szCs w:val="28"/>
        </w:rPr>
        <w:t>Profesora Titular de Universidad</w:t>
      </w:r>
    </w:p>
    <w:p w:rsidR="00AB65A1" w:rsidRPr="005E1103" w:rsidRDefault="00AB65A1" w:rsidP="00AB65A1">
      <w:pPr>
        <w:spacing w:line="360" w:lineRule="auto"/>
        <w:jc w:val="right"/>
        <w:rPr>
          <w:rFonts w:cstheme="minorHAnsi"/>
          <w:sz w:val="28"/>
          <w:szCs w:val="28"/>
        </w:rPr>
      </w:pPr>
      <w:r w:rsidRPr="005E1103">
        <w:rPr>
          <w:rFonts w:eastAsia="Times New Roman" w:cstheme="minorHAnsi"/>
          <w:sz w:val="28"/>
          <w:szCs w:val="28"/>
        </w:rPr>
        <w:t>Universidad Autónoma de Madrid</w:t>
      </w:r>
    </w:p>
    <w:p w:rsidR="00AB65A1" w:rsidRPr="005E1103" w:rsidRDefault="00AB65A1" w:rsidP="00AB65A1">
      <w:pPr>
        <w:spacing w:line="360" w:lineRule="auto"/>
        <w:jc w:val="right"/>
        <w:rPr>
          <w:rFonts w:cstheme="minorHAnsi"/>
          <w:sz w:val="28"/>
          <w:szCs w:val="28"/>
        </w:rPr>
      </w:pPr>
      <w:r w:rsidRPr="005E1103">
        <w:rPr>
          <w:rFonts w:eastAsia="Times New Roman" w:cstheme="minorHAnsi"/>
          <w:sz w:val="28"/>
          <w:szCs w:val="28"/>
        </w:rPr>
        <w:t>Marta Sandoval</w:t>
      </w:r>
    </w:p>
    <w:p w:rsidR="00AB65A1" w:rsidRPr="005E1103" w:rsidRDefault="00AB65A1" w:rsidP="00AB65A1">
      <w:pPr>
        <w:spacing w:line="360" w:lineRule="auto"/>
        <w:jc w:val="right"/>
        <w:rPr>
          <w:rFonts w:cstheme="minorHAnsi"/>
          <w:sz w:val="28"/>
          <w:szCs w:val="28"/>
        </w:rPr>
      </w:pPr>
      <w:r w:rsidRPr="005E1103">
        <w:rPr>
          <w:rFonts w:eastAsia="Times New Roman" w:cstheme="minorHAnsi"/>
          <w:sz w:val="28"/>
          <w:szCs w:val="28"/>
        </w:rPr>
        <w:t>Profesora Contratada Doctora</w:t>
      </w:r>
    </w:p>
    <w:p w:rsidR="00AB65A1" w:rsidRPr="005E1103" w:rsidRDefault="00AB65A1" w:rsidP="00AB65A1">
      <w:pPr>
        <w:spacing w:line="360" w:lineRule="auto"/>
        <w:jc w:val="right"/>
        <w:rPr>
          <w:rFonts w:cstheme="minorHAnsi"/>
          <w:sz w:val="28"/>
          <w:szCs w:val="28"/>
        </w:rPr>
      </w:pPr>
      <w:r w:rsidRPr="005E1103">
        <w:rPr>
          <w:rFonts w:eastAsia="Times New Roman" w:cstheme="minorHAnsi"/>
          <w:sz w:val="28"/>
          <w:szCs w:val="28"/>
        </w:rPr>
        <w:t>Universidad Autónoma de Madrid</w:t>
      </w:r>
    </w:p>
    <w:p w:rsidR="00AB65A1" w:rsidRPr="005E1103" w:rsidRDefault="00AB65A1" w:rsidP="00AB65A1">
      <w:pPr>
        <w:spacing w:line="360" w:lineRule="auto"/>
        <w:jc w:val="right"/>
        <w:rPr>
          <w:rFonts w:cstheme="minorHAnsi"/>
          <w:sz w:val="28"/>
          <w:szCs w:val="28"/>
        </w:rPr>
      </w:pPr>
      <w:r w:rsidRPr="005E1103">
        <w:rPr>
          <w:rFonts w:eastAsia="Times New Roman" w:cstheme="minorHAnsi"/>
          <w:sz w:val="28"/>
          <w:szCs w:val="28"/>
        </w:rPr>
        <w:t>Carmen Márquez</w:t>
      </w:r>
    </w:p>
    <w:p w:rsidR="00AB65A1" w:rsidRPr="005E1103" w:rsidRDefault="00AB65A1" w:rsidP="00AB65A1">
      <w:pPr>
        <w:spacing w:line="360" w:lineRule="auto"/>
        <w:jc w:val="right"/>
        <w:rPr>
          <w:rFonts w:cstheme="minorHAnsi"/>
          <w:sz w:val="28"/>
          <w:szCs w:val="28"/>
        </w:rPr>
      </w:pPr>
      <w:r w:rsidRPr="005E1103">
        <w:rPr>
          <w:rFonts w:eastAsia="Times New Roman" w:cstheme="minorHAnsi"/>
          <w:sz w:val="28"/>
          <w:szCs w:val="28"/>
        </w:rPr>
        <w:t>Profesora Ayudante Doctora</w:t>
      </w:r>
    </w:p>
    <w:p w:rsidR="00AB65A1" w:rsidRPr="005E1103" w:rsidRDefault="00AB65A1" w:rsidP="00AB65A1">
      <w:pPr>
        <w:spacing w:line="360" w:lineRule="auto"/>
        <w:jc w:val="right"/>
        <w:rPr>
          <w:rFonts w:cstheme="minorHAnsi"/>
          <w:sz w:val="28"/>
          <w:szCs w:val="28"/>
        </w:rPr>
      </w:pPr>
      <w:r w:rsidRPr="005E1103">
        <w:rPr>
          <w:rFonts w:eastAsia="Times New Roman" w:cstheme="minorHAnsi"/>
          <w:sz w:val="28"/>
          <w:szCs w:val="28"/>
        </w:rPr>
        <w:t>Universidad Autónoma de Madrid</w:t>
      </w:r>
    </w:p>
    <w:p w:rsidR="00AB65A1" w:rsidRPr="005E1103" w:rsidRDefault="00AB65A1" w:rsidP="00AB65A1">
      <w:pPr>
        <w:spacing w:line="360" w:lineRule="auto"/>
        <w:rPr>
          <w:rFonts w:eastAsia="Times New Roman" w:cstheme="minorHAnsi"/>
          <w:b/>
          <w:sz w:val="28"/>
          <w:szCs w:val="28"/>
        </w:rPr>
      </w:pPr>
      <w:r w:rsidRPr="005E1103">
        <w:rPr>
          <w:rFonts w:eastAsia="Times New Roman" w:cstheme="minorHAnsi"/>
          <w:b/>
          <w:sz w:val="28"/>
          <w:szCs w:val="28"/>
        </w:rPr>
        <w:t>Introducción: marco general</w:t>
      </w:r>
    </w:p>
    <w:p w:rsidR="00AB65A1" w:rsidRPr="005E1103" w:rsidRDefault="00AB65A1" w:rsidP="00AB65A1">
      <w:pPr>
        <w:pStyle w:val="Textoindependiente"/>
        <w:spacing w:line="360" w:lineRule="auto"/>
        <w:ind w:right="-48" w:firstLine="513"/>
        <w:jc w:val="both"/>
        <w:rPr>
          <w:rFonts w:asciiTheme="minorHAnsi" w:eastAsia="Calibri" w:hAnsiTheme="minorHAnsi" w:cstheme="minorHAnsi"/>
          <w:sz w:val="28"/>
          <w:szCs w:val="28"/>
        </w:rPr>
      </w:pPr>
      <w:r w:rsidRPr="005E1103">
        <w:rPr>
          <w:rFonts w:asciiTheme="minorHAnsi" w:hAnsiTheme="minorHAnsi" w:cstheme="minorHAnsi"/>
          <w:sz w:val="28"/>
          <w:szCs w:val="28"/>
        </w:rPr>
        <w:t xml:space="preserve">Las universidades españolas se encuentran, en este momento, inmersas en un proceso de cambios profundos. Entre otras cosas, todas compiten por alcanzar y ser reconocidas por su </w:t>
      </w:r>
      <w:r w:rsidRPr="005E1103">
        <w:rPr>
          <w:rFonts w:asciiTheme="minorHAnsi" w:hAnsiTheme="minorHAnsi" w:cstheme="minorHAnsi"/>
          <w:i/>
          <w:sz w:val="28"/>
          <w:szCs w:val="28"/>
        </w:rPr>
        <w:t>excelencia</w:t>
      </w:r>
      <w:r w:rsidRPr="005E1103">
        <w:rPr>
          <w:rFonts w:asciiTheme="minorHAnsi" w:hAnsiTheme="minorHAnsi" w:cstheme="minorHAnsi"/>
          <w:sz w:val="28"/>
          <w:szCs w:val="28"/>
        </w:rPr>
        <w:t xml:space="preserve">. Sin embargo, no siempre se vincula excelencia con indicadores de accesibilidad o inclusión. </w:t>
      </w:r>
      <w:r w:rsidRPr="005E1103">
        <w:rPr>
          <w:rFonts w:asciiTheme="minorHAnsi" w:eastAsia="Calibri" w:hAnsiTheme="minorHAnsi" w:cstheme="minorHAnsi"/>
          <w:sz w:val="28"/>
          <w:szCs w:val="28"/>
        </w:rPr>
        <w:t>Si atendemos al derecho de todo el estudiantado a recibir una educación inclusiva en todos los niveles educativos (UNESCO, 2016; UN.CPRD, 2016) encontramos que, a pesar de lo logrado, aún son necesarios muchos pasos para acortar la distancia entre los valores declarados y las acciones -como insiste Booth (2006)-  en lo que a la educación superior se refiere.</w:t>
      </w:r>
    </w:p>
    <w:p w:rsidR="00AB65A1" w:rsidRPr="005E1103" w:rsidRDefault="00AB65A1" w:rsidP="00AB65A1">
      <w:pPr>
        <w:pStyle w:val="Textoindependiente"/>
        <w:spacing w:line="360" w:lineRule="auto"/>
        <w:ind w:right="-48"/>
        <w:jc w:val="both"/>
        <w:rPr>
          <w:rFonts w:asciiTheme="minorHAnsi" w:eastAsia="Calibri" w:hAnsiTheme="minorHAnsi" w:cstheme="minorHAnsi"/>
          <w:sz w:val="28"/>
          <w:szCs w:val="28"/>
        </w:rPr>
      </w:pPr>
      <w:r w:rsidRPr="005E1103">
        <w:rPr>
          <w:rFonts w:asciiTheme="minorHAnsi" w:eastAsia="Calibri" w:hAnsiTheme="minorHAnsi" w:cstheme="minorHAnsi"/>
          <w:sz w:val="28"/>
          <w:szCs w:val="28"/>
        </w:rPr>
        <w:t xml:space="preserve">Como sabemos, este avance no se puede limitar a innovaciones aisladas, son necesarias transformaciones en las culturas, las políticas y las prácticas de las instituciones (Booth y </w:t>
      </w:r>
      <w:r w:rsidRPr="005E1103">
        <w:rPr>
          <w:rFonts w:asciiTheme="minorHAnsi" w:eastAsia="Calibri" w:hAnsiTheme="minorHAnsi" w:cstheme="minorHAnsi"/>
          <w:sz w:val="28"/>
          <w:szCs w:val="28"/>
        </w:rPr>
        <w:lastRenderedPageBreak/>
        <w:t>Ainscow, 2015; UN.CRPD, 2016). En lo que respecta a la Universidad, contamos con evidencias, centradas especialmente en estudiantes con (dis)capacidad, que nos muestran las barreras de diferente tipo a las que debemos enfrentarnos.</w:t>
      </w:r>
    </w:p>
    <w:p w:rsidR="00AB65A1" w:rsidRPr="005E1103" w:rsidRDefault="00AB65A1" w:rsidP="00AB65A1">
      <w:pPr>
        <w:pStyle w:val="Textoindependiente"/>
        <w:spacing w:line="360" w:lineRule="auto"/>
        <w:ind w:right="-48"/>
        <w:jc w:val="both"/>
        <w:rPr>
          <w:rFonts w:asciiTheme="minorHAnsi" w:eastAsia="Calibri" w:hAnsiTheme="minorHAnsi" w:cstheme="minorHAnsi"/>
          <w:sz w:val="28"/>
          <w:szCs w:val="28"/>
        </w:rPr>
      </w:pPr>
      <w:r w:rsidRPr="005E1103">
        <w:rPr>
          <w:rFonts w:asciiTheme="minorHAnsi" w:eastAsia="Calibri" w:hAnsiTheme="minorHAnsi" w:cstheme="minorHAnsi"/>
          <w:sz w:val="28"/>
          <w:szCs w:val="28"/>
        </w:rPr>
        <w:t>En este sentido, podemos encontrar desde las relacionadas con las actitudes</w:t>
      </w:r>
      <w:r w:rsidRPr="005E1103">
        <w:rPr>
          <w:rFonts w:asciiTheme="minorHAnsi" w:eastAsia="Calibri" w:hAnsiTheme="minorHAnsi" w:cstheme="minorHAnsi"/>
          <w:b/>
          <w:sz w:val="28"/>
          <w:szCs w:val="28"/>
        </w:rPr>
        <w:t xml:space="preserve"> (</w:t>
      </w:r>
      <w:r w:rsidRPr="005E1103">
        <w:rPr>
          <w:rFonts w:asciiTheme="minorHAnsi" w:eastAsia="Calibri" w:hAnsiTheme="minorHAnsi" w:cstheme="minorHAnsi"/>
          <w:sz w:val="28"/>
          <w:szCs w:val="28"/>
        </w:rPr>
        <w:t>Moriña, Cortés y Molina, 2015;</w:t>
      </w:r>
      <w:r w:rsidRPr="005E1103">
        <w:rPr>
          <w:rFonts w:asciiTheme="minorHAnsi" w:hAnsiTheme="minorHAnsi" w:cstheme="minorHAnsi"/>
          <w:sz w:val="28"/>
          <w:szCs w:val="28"/>
        </w:rPr>
        <w:t xml:space="preserve"> </w:t>
      </w:r>
      <w:r w:rsidRPr="005E1103">
        <w:rPr>
          <w:rFonts w:asciiTheme="minorHAnsi" w:eastAsia="Calibri" w:hAnsiTheme="minorHAnsi" w:cstheme="minorHAnsi"/>
          <w:sz w:val="28"/>
          <w:szCs w:val="28"/>
        </w:rPr>
        <w:t xml:space="preserve">Moswela y Mukhopadhyay, 2011; Rodríguez, Álvarez y García-Ruiz, 2014; </w:t>
      </w:r>
      <w:r w:rsidRPr="005E1103">
        <w:rPr>
          <w:rFonts w:asciiTheme="minorHAnsi" w:hAnsiTheme="minorHAnsi" w:cstheme="minorHAnsi"/>
          <w:sz w:val="28"/>
          <w:szCs w:val="28"/>
        </w:rPr>
        <w:t>Sánchez Palomino, 2011;</w:t>
      </w:r>
      <w:r w:rsidRPr="005E1103">
        <w:rPr>
          <w:rFonts w:asciiTheme="minorHAnsi" w:eastAsia="Calibri" w:hAnsiTheme="minorHAnsi" w:cstheme="minorHAnsi"/>
          <w:sz w:val="28"/>
          <w:szCs w:val="28"/>
        </w:rPr>
        <w:t xml:space="preserve"> Strnadová, Hájková y Květoňová, 2015), la formación del profesorado (Díez y Sánchez, 2015;</w:t>
      </w:r>
      <w:r w:rsidRPr="005E1103">
        <w:rPr>
          <w:rFonts w:asciiTheme="minorHAnsi" w:hAnsiTheme="minorHAnsi" w:cstheme="minorHAnsi"/>
          <w:sz w:val="28"/>
          <w:szCs w:val="28"/>
        </w:rPr>
        <w:t xml:space="preserve"> Claiborne,  Cornforth,  Gibson,  y Smith, 2010; </w:t>
      </w:r>
      <w:r w:rsidRPr="005E1103">
        <w:rPr>
          <w:rFonts w:asciiTheme="minorHAnsi" w:eastAsia="Calibri" w:hAnsiTheme="minorHAnsi" w:cstheme="minorHAnsi"/>
          <w:sz w:val="28"/>
          <w:szCs w:val="28"/>
        </w:rPr>
        <w:t xml:space="preserve">Lombardi, Vukovik y Sala-Bars, 2015; </w:t>
      </w:r>
      <w:r w:rsidRPr="005E1103">
        <w:rPr>
          <w:rFonts w:asciiTheme="minorHAnsi" w:hAnsiTheme="minorHAnsi" w:cstheme="minorHAnsi"/>
          <w:sz w:val="28"/>
          <w:szCs w:val="28"/>
        </w:rPr>
        <w:t>Moriña, López, Melero, Cortés y Molina, 2013;</w:t>
      </w:r>
      <w:r w:rsidRPr="005E1103">
        <w:rPr>
          <w:rFonts w:asciiTheme="minorHAnsi" w:eastAsia="Calibri" w:hAnsiTheme="minorHAnsi" w:cstheme="minorHAnsi"/>
          <w:sz w:val="28"/>
          <w:szCs w:val="28"/>
        </w:rPr>
        <w:t xml:space="preserve"> Moriña et al., 2015) o la participación del alumnado (</w:t>
      </w:r>
      <w:r w:rsidRPr="005E1103">
        <w:rPr>
          <w:rFonts w:asciiTheme="minorHAnsi" w:hAnsiTheme="minorHAnsi" w:cstheme="minorHAnsi"/>
          <w:sz w:val="28"/>
          <w:szCs w:val="28"/>
        </w:rPr>
        <w:t>Ryan y Struhs, 2004</w:t>
      </w:r>
      <w:r w:rsidRPr="005E1103">
        <w:rPr>
          <w:rFonts w:asciiTheme="minorHAnsi" w:eastAsia="Calibri" w:hAnsiTheme="minorHAnsi" w:cstheme="minorHAnsi"/>
          <w:sz w:val="28"/>
          <w:szCs w:val="28"/>
        </w:rPr>
        <w:t>), hasta las que tienen que ver  con el  acceso a materiales de forma particular o, de forma más general, con la</w:t>
      </w:r>
      <w:r w:rsidRPr="005E1103">
        <w:rPr>
          <w:rFonts w:asciiTheme="minorHAnsi" w:hAnsiTheme="minorHAnsi" w:cstheme="minorHAnsi"/>
          <w:sz w:val="28"/>
          <w:szCs w:val="28"/>
        </w:rPr>
        <w:t xml:space="preserve"> </w:t>
      </w:r>
      <w:r w:rsidRPr="005E1103">
        <w:rPr>
          <w:rFonts w:asciiTheme="minorHAnsi" w:eastAsia="Calibri" w:hAnsiTheme="minorHAnsi" w:cstheme="minorHAnsi"/>
          <w:sz w:val="28"/>
          <w:szCs w:val="28"/>
        </w:rPr>
        <w:t>aplicación del diseño universal para la enseñanza a la práctica docente (Díez y Sánchez, 2015; Moriña, et al., 2015).</w:t>
      </w:r>
    </w:p>
    <w:p w:rsidR="00AB65A1" w:rsidRPr="005E1103" w:rsidRDefault="00AB65A1" w:rsidP="00AB65A1">
      <w:pPr>
        <w:pStyle w:val="Textoindependiente"/>
        <w:spacing w:line="360" w:lineRule="auto"/>
        <w:ind w:right="-48"/>
        <w:jc w:val="both"/>
        <w:rPr>
          <w:rFonts w:asciiTheme="minorHAnsi" w:hAnsiTheme="minorHAnsi" w:cstheme="minorHAnsi"/>
          <w:noProof/>
          <w:sz w:val="28"/>
          <w:szCs w:val="28"/>
        </w:rPr>
      </w:pPr>
      <w:r w:rsidRPr="005E1103">
        <w:rPr>
          <w:rFonts w:asciiTheme="minorHAnsi" w:eastAsia="Calibri" w:hAnsiTheme="minorHAnsi" w:cstheme="minorHAnsi"/>
          <w:sz w:val="28"/>
          <w:szCs w:val="28"/>
        </w:rPr>
        <w:t>Pero no debemos olvidar, en coherencia con lo que se entiende por educación inclusiva (UNESCO, 2016), que p</w:t>
      </w:r>
      <w:r w:rsidRPr="005E1103">
        <w:rPr>
          <w:rFonts w:asciiTheme="minorHAnsi" w:hAnsiTheme="minorHAnsi" w:cstheme="minorHAnsi"/>
          <w:sz w:val="28"/>
          <w:szCs w:val="28"/>
        </w:rPr>
        <w:t xml:space="preserve">odemos encontrar diferentes colectivos de jóvenes que, por diferentes motivos, no solo los vinculados a situación de (dis)capacidad, son especialmente vulnerables a los procesos de exclusión educativa (Armstrong y Cairnduff, 2012; Bunda, Zipin y Brennan, 2012; Gowlett, 2012; Holt, 2012). Según Tranter (2012) la estructura de la Universidad reproduce las inequidades sociales y contribuye a la exclusión de determinados estudiantes de la educación superior. En este sentido, deberíamos plantearnos si desde esta institución estamos haciendo lo suficiente por asegurar entornos realmente inclusivos (Hughes, 2015) y que, por tanto, aseguren la presencia, el aprendizaje y la plena participación de todo el estudiantado sin exclusiones en la misma. </w:t>
      </w:r>
    </w:p>
    <w:p w:rsidR="00AB65A1" w:rsidRPr="005E1103" w:rsidRDefault="00AB65A1" w:rsidP="00AB65A1">
      <w:pPr>
        <w:spacing w:line="360" w:lineRule="auto"/>
        <w:jc w:val="both"/>
        <w:rPr>
          <w:rFonts w:cstheme="minorHAnsi"/>
          <w:sz w:val="28"/>
          <w:szCs w:val="28"/>
        </w:rPr>
      </w:pPr>
      <w:r w:rsidRPr="005E1103">
        <w:rPr>
          <w:rFonts w:cstheme="minorHAnsi"/>
          <w:sz w:val="28"/>
          <w:szCs w:val="28"/>
        </w:rPr>
        <w:t>Contamos con experiencias que muestran que es posible, así como los beneficios de aplicar el diseño universal para facilitar el aprendizaje y la participación a la diversidad de estudiantes existentes en nuestras universidades (Jones, Bennett y Lockyer, 2011; Sánchez, Díez y Martín, 2016).</w:t>
      </w:r>
    </w:p>
    <w:p w:rsidR="00AB65A1" w:rsidRPr="005E1103" w:rsidRDefault="00AB65A1" w:rsidP="00AB65A1">
      <w:pPr>
        <w:autoSpaceDE w:val="0"/>
        <w:autoSpaceDN w:val="0"/>
        <w:adjustRightInd w:val="0"/>
        <w:spacing w:after="0" w:line="360" w:lineRule="auto"/>
        <w:jc w:val="both"/>
        <w:rPr>
          <w:rFonts w:cstheme="minorHAnsi"/>
          <w:sz w:val="28"/>
          <w:szCs w:val="28"/>
        </w:rPr>
      </w:pPr>
      <w:r w:rsidRPr="005E1103">
        <w:rPr>
          <w:rFonts w:cstheme="minorHAnsi"/>
          <w:sz w:val="28"/>
          <w:szCs w:val="28"/>
        </w:rPr>
        <w:lastRenderedPageBreak/>
        <w:t xml:space="preserve">El estudio que se presenta, forma parte de una investigación más amplia en la que se profundiza, precisamente, en la accesibilidad de las prácticas docentes para el conjunto del estudiantado. Para ello, hemos partido de las propuestas de diseño universal aplicadas a la educación. De las diferentes alternativas existentes (para una revisión ver Sala, Sánchez, Giné y Díez, 2014), se ha utilizado como </w:t>
      </w:r>
      <w:r w:rsidRPr="005E1103">
        <w:rPr>
          <w:rFonts w:eastAsia="Times New Roman" w:cstheme="minorHAnsi"/>
          <w:sz w:val="28"/>
          <w:szCs w:val="28"/>
        </w:rPr>
        <w:t xml:space="preserve">referente el Diseño Universal para la Instrucción (DUI) desarrollado por la Universidad de Guelph (traducido por Dalmau et al, 2015). </w:t>
      </w:r>
      <w:r w:rsidRPr="005E1103">
        <w:rPr>
          <w:rFonts w:cstheme="minorHAnsi"/>
          <w:sz w:val="28"/>
          <w:szCs w:val="28"/>
        </w:rPr>
        <w:t xml:space="preserve"> Por otra parte, para el diseño de la investigación también se ha tenido especialmente presente el trabajo desarrollado en el “Proyecto ACCESS” (Schelly, Davies y Spooner, 2011), así como el estudio realizado por Rodriguez et al., (2014), cuyo objetivo era conocer las actitudes hacia la inclusión de los docentes universitarios y valorar los ajustes curriculares.</w:t>
      </w:r>
    </w:p>
    <w:p w:rsidR="00AB65A1" w:rsidRPr="005E1103" w:rsidRDefault="00AB65A1" w:rsidP="00AB65A1">
      <w:pPr>
        <w:spacing w:line="360" w:lineRule="auto"/>
        <w:ind w:firstLine="720"/>
        <w:jc w:val="both"/>
        <w:rPr>
          <w:rFonts w:eastAsia="Times New Roman" w:cstheme="minorHAnsi"/>
          <w:sz w:val="28"/>
          <w:szCs w:val="28"/>
        </w:rPr>
      </w:pPr>
      <w:r w:rsidRPr="005E1103">
        <w:rPr>
          <w:rFonts w:eastAsia="Times New Roman" w:cstheme="minorHAnsi"/>
          <w:sz w:val="28"/>
          <w:szCs w:val="28"/>
        </w:rPr>
        <w:t xml:space="preserve">Los </w:t>
      </w:r>
      <w:r w:rsidRPr="005E1103">
        <w:rPr>
          <w:rFonts w:eastAsia="Times New Roman" w:cstheme="minorHAnsi"/>
          <w:b/>
          <w:sz w:val="28"/>
          <w:szCs w:val="28"/>
        </w:rPr>
        <w:t>objetivos</w:t>
      </w:r>
      <w:r w:rsidRPr="005E1103">
        <w:rPr>
          <w:rFonts w:eastAsia="Times New Roman" w:cstheme="minorHAnsi"/>
          <w:sz w:val="28"/>
          <w:szCs w:val="28"/>
        </w:rPr>
        <w:t xml:space="preserve"> de nuestro estudio han sido: a) analizar la percepción del estudiantado en relación con la aplicación de los principios del diseño universal para la instrucción (DUI), y b) delimitar las barreras que se encuentran para acceder al currículo y aprender en igualdad de oportunidades que el resto de sus compañeros y compañeras. </w:t>
      </w:r>
    </w:p>
    <w:p w:rsidR="00AB65A1" w:rsidRPr="005E1103" w:rsidRDefault="00AB65A1" w:rsidP="00AB65A1">
      <w:pPr>
        <w:spacing w:line="360" w:lineRule="auto"/>
        <w:ind w:left="45"/>
        <w:jc w:val="center"/>
        <w:rPr>
          <w:rFonts w:cstheme="minorHAnsi"/>
          <w:b/>
          <w:sz w:val="28"/>
          <w:szCs w:val="28"/>
        </w:rPr>
      </w:pPr>
      <w:r w:rsidRPr="005E1103">
        <w:rPr>
          <w:rFonts w:cstheme="minorHAnsi"/>
          <w:b/>
          <w:sz w:val="28"/>
          <w:szCs w:val="28"/>
        </w:rPr>
        <w:t>Método</w:t>
      </w:r>
    </w:p>
    <w:p w:rsidR="00AB65A1" w:rsidRPr="005E1103" w:rsidRDefault="00AB65A1" w:rsidP="00AB65A1">
      <w:pPr>
        <w:pStyle w:val="NormalWeb"/>
        <w:spacing w:before="0" w:beforeAutospacing="0" w:after="200" w:afterAutospacing="0" w:line="360" w:lineRule="auto"/>
        <w:jc w:val="both"/>
        <w:rPr>
          <w:rFonts w:asciiTheme="minorHAnsi" w:hAnsiTheme="minorHAnsi" w:cstheme="minorHAnsi"/>
          <w:sz w:val="28"/>
          <w:szCs w:val="28"/>
        </w:rPr>
      </w:pPr>
      <w:r w:rsidRPr="005E1103">
        <w:rPr>
          <w:rFonts w:asciiTheme="minorHAnsi" w:hAnsiTheme="minorHAnsi" w:cstheme="minorHAnsi"/>
          <w:b/>
          <w:bCs/>
          <w:color w:val="000000"/>
          <w:sz w:val="28"/>
          <w:szCs w:val="28"/>
        </w:rPr>
        <w:t>Participantes</w:t>
      </w:r>
    </w:p>
    <w:p w:rsidR="00AB65A1" w:rsidRPr="005E1103" w:rsidRDefault="00AB65A1" w:rsidP="00AB65A1">
      <w:pPr>
        <w:pStyle w:val="NormalWeb"/>
        <w:spacing w:before="0" w:beforeAutospacing="0" w:after="200" w:afterAutospacing="0" w:line="360" w:lineRule="auto"/>
        <w:jc w:val="both"/>
        <w:rPr>
          <w:rFonts w:asciiTheme="minorHAnsi" w:hAnsiTheme="minorHAnsi" w:cstheme="minorHAnsi"/>
          <w:color w:val="000000"/>
          <w:sz w:val="28"/>
          <w:szCs w:val="28"/>
        </w:rPr>
      </w:pPr>
      <w:r w:rsidRPr="005E1103">
        <w:rPr>
          <w:rFonts w:asciiTheme="minorHAnsi" w:hAnsiTheme="minorHAnsi" w:cstheme="minorHAnsi"/>
          <w:color w:val="000000"/>
          <w:sz w:val="28"/>
          <w:szCs w:val="28"/>
        </w:rPr>
        <w:t>Se ha contado con la participación de 652 estudiantes universitarios pertenecientes a las Facultades de Ciencias de la Educación de tres universidades diferentes (Universidad Autónoma de Madrid, Universidad Complutense de Madrid y Universidad del Norte de Arizona).</w:t>
      </w:r>
      <w:r w:rsidRPr="005E1103">
        <w:rPr>
          <w:rFonts w:asciiTheme="minorHAnsi" w:hAnsiTheme="minorHAnsi" w:cstheme="minorHAnsi"/>
          <w:sz w:val="28"/>
          <w:szCs w:val="28"/>
        </w:rPr>
        <w:t xml:space="preserve"> </w:t>
      </w:r>
      <w:r w:rsidRPr="005E1103">
        <w:rPr>
          <w:rFonts w:asciiTheme="minorHAnsi" w:hAnsiTheme="minorHAnsi" w:cstheme="minorHAnsi"/>
          <w:color w:val="000000"/>
          <w:sz w:val="28"/>
          <w:szCs w:val="28"/>
        </w:rPr>
        <w:t>La muestra fue seleccionada mediante muestreo probabilístico.</w:t>
      </w:r>
    </w:p>
    <w:p w:rsidR="00AB65A1" w:rsidRPr="005E1103" w:rsidRDefault="00AB65A1" w:rsidP="00AB65A1">
      <w:pPr>
        <w:pStyle w:val="NormalWeb"/>
        <w:spacing w:before="0" w:beforeAutospacing="0" w:after="200" w:afterAutospacing="0" w:line="360" w:lineRule="auto"/>
        <w:jc w:val="both"/>
        <w:rPr>
          <w:rFonts w:asciiTheme="minorHAnsi" w:hAnsiTheme="minorHAnsi" w:cstheme="minorHAnsi"/>
          <w:color w:val="000000"/>
          <w:sz w:val="28"/>
          <w:szCs w:val="28"/>
        </w:rPr>
      </w:pPr>
      <w:r w:rsidRPr="005E1103">
        <w:rPr>
          <w:rFonts w:asciiTheme="minorHAnsi" w:hAnsiTheme="minorHAnsi" w:cstheme="minorHAnsi"/>
          <w:color w:val="000000"/>
          <w:sz w:val="28"/>
          <w:szCs w:val="28"/>
        </w:rPr>
        <w:t>El 48,3% del alumnado cursaba estudios en alguna de las universidades españolas y el 51,7% restante se encontraba matriculado en la Universidad del Norte de Arizona.</w:t>
      </w:r>
    </w:p>
    <w:p w:rsidR="00AB65A1" w:rsidRPr="005E1103" w:rsidRDefault="00AB65A1" w:rsidP="00AB65A1">
      <w:pPr>
        <w:pStyle w:val="NormalWeb"/>
        <w:spacing w:before="0" w:beforeAutospacing="0" w:after="200" w:afterAutospacing="0" w:line="360" w:lineRule="auto"/>
        <w:jc w:val="both"/>
        <w:rPr>
          <w:rFonts w:asciiTheme="minorHAnsi" w:hAnsiTheme="minorHAnsi" w:cstheme="minorHAnsi"/>
          <w:color w:val="000000"/>
          <w:sz w:val="28"/>
          <w:szCs w:val="28"/>
        </w:rPr>
      </w:pPr>
      <w:r w:rsidRPr="005E1103">
        <w:rPr>
          <w:rFonts w:asciiTheme="minorHAnsi" w:hAnsiTheme="minorHAnsi" w:cstheme="minorHAnsi"/>
          <w:color w:val="000000"/>
          <w:sz w:val="28"/>
          <w:szCs w:val="28"/>
        </w:rPr>
        <w:lastRenderedPageBreak/>
        <w:t xml:space="preserve">En cuanto al curso de matriculación, el 20,7% </w:t>
      </w:r>
      <w:r w:rsidRPr="005E1103">
        <w:rPr>
          <w:rFonts w:asciiTheme="minorHAnsi" w:hAnsiTheme="minorHAnsi" w:cstheme="minorHAnsi"/>
          <w:sz w:val="28"/>
          <w:szCs w:val="28"/>
        </w:rPr>
        <w:t xml:space="preserve">estaba </w:t>
      </w:r>
      <w:r w:rsidRPr="005E1103">
        <w:rPr>
          <w:rFonts w:asciiTheme="minorHAnsi" w:hAnsiTheme="minorHAnsi" w:cstheme="minorHAnsi"/>
          <w:color w:val="000000"/>
          <w:sz w:val="28"/>
          <w:szCs w:val="28"/>
        </w:rPr>
        <w:t>en primer curso, el 20,6% en segundo, el 21,8% en tercero y el 37% en cuarto y quinto (en la Universidad del Norte Arizona existían cinco cursos).</w:t>
      </w:r>
    </w:p>
    <w:p w:rsidR="00AB65A1" w:rsidRPr="005E1103" w:rsidRDefault="00AB65A1" w:rsidP="00AB65A1">
      <w:pPr>
        <w:pStyle w:val="NormalWeb"/>
        <w:spacing w:before="0" w:beforeAutospacing="0" w:after="200" w:afterAutospacing="0" w:line="360" w:lineRule="auto"/>
        <w:jc w:val="both"/>
        <w:rPr>
          <w:rFonts w:asciiTheme="minorHAnsi" w:hAnsiTheme="minorHAnsi" w:cstheme="minorHAnsi"/>
          <w:sz w:val="28"/>
          <w:szCs w:val="28"/>
        </w:rPr>
      </w:pPr>
      <w:r w:rsidRPr="005E1103">
        <w:rPr>
          <w:rFonts w:asciiTheme="minorHAnsi" w:hAnsiTheme="minorHAnsi" w:cstheme="minorHAnsi"/>
          <w:b/>
          <w:bCs/>
          <w:color w:val="000000"/>
          <w:sz w:val="28"/>
          <w:szCs w:val="28"/>
        </w:rPr>
        <w:t>Instrumento</w:t>
      </w:r>
    </w:p>
    <w:p w:rsidR="00AB65A1" w:rsidRPr="005E1103" w:rsidRDefault="00AB65A1" w:rsidP="00AB65A1">
      <w:pPr>
        <w:pStyle w:val="NormalWeb"/>
        <w:spacing w:before="0" w:beforeAutospacing="0" w:after="200" w:afterAutospacing="0" w:line="360" w:lineRule="auto"/>
        <w:jc w:val="both"/>
        <w:rPr>
          <w:rFonts w:asciiTheme="minorHAnsi" w:hAnsiTheme="minorHAnsi" w:cstheme="minorHAnsi"/>
          <w:color w:val="000000"/>
          <w:sz w:val="28"/>
          <w:szCs w:val="28"/>
        </w:rPr>
      </w:pPr>
      <w:r w:rsidRPr="005E1103">
        <w:rPr>
          <w:rFonts w:asciiTheme="minorHAnsi" w:hAnsiTheme="minorHAnsi" w:cstheme="minorHAnsi"/>
          <w:color w:val="000000"/>
          <w:sz w:val="28"/>
          <w:szCs w:val="28"/>
        </w:rPr>
        <w:t xml:space="preserve">La información se ha recogido a través de un cuestionario elaborado </w:t>
      </w:r>
      <w:r w:rsidRPr="005E1103">
        <w:rPr>
          <w:rFonts w:asciiTheme="minorHAnsi" w:hAnsiTheme="minorHAnsi" w:cstheme="minorHAnsi"/>
          <w:i/>
          <w:color w:val="000000"/>
          <w:sz w:val="28"/>
          <w:szCs w:val="28"/>
        </w:rPr>
        <w:t>ad hoc</w:t>
      </w:r>
      <w:r w:rsidRPr="005E1103">
        <w:rPr>
          <w:rFonts w:asciiTheme="minorHAnsi" w:hAnsiTheme="minorHAnsi" w:cstheme="minorHAnsi"/>
          <w:color w:val="000000"/>
          <w:sz w:val="28"/>
          <w:szCs w:val="28"/>
        </w:rPr>
        <w:t xml:space="preserve"> para esta investigación denominado </w:t>
      </w:r>
      <w:r w:rsidRPr="005E1103">
        <w:rPr>
          <w:rFonts w:asciiTheme="minorHAnsi" w:hAnsiTheme="minorHAnsi" w:cstheme="minorHAnsi"/>
          <w:i/>
          <w:color w:val="000000"/>
          <w:sz w:val="28"/>
          <w:szCs w:val="28"/>
        </w:rPr>
        <w:t>“Diseño Universal de Instrucción aplicado en las Facultades de Educación”</w:t>
      </w:r>
      <w:r w:rsidRPr="005E1103">
        <w:rPr>
          <w:rFonts w:asciiTheme="minorHAnsi" w:hAnsiTheme="minorHAnsi" w:cstheme="minorHAnsi"/>
          <w:color w:val="000000"/>
          <w:sz w:val="28"/>
          <w:szCs w:val="28"/>
        </w:rPr>
        <w:t>. Este instrumento está formado por 27 ítems que recogen información sobre de tres dimensiones: a) materiales, recursos y herramientas; b) contenidos y metodología y c) acceso y participación. Para el formato de respuestas se utilizó una escala tipo Likert  (1=nunca a 5= siempre). El α de Cronbach fue de 0,708.</w:t>
      </w:r>
    </w:p>
    <w:p w:rsidR="00AB65A1" w:rsidRPr="005E1103" w:rsidRDefault="00AB65A1" w:rsidP="00AB65A1">
      <w:pPr>
        <w:pStyle w:val="NormalWeb"/>
        <w:spacing w:before="0" w:beforeAutospacing="0" w:after="200" w:afterAutospacing="0" w:line="360" w:lineRule="auto"/>
        <w:jc w:val="both"/>
        <w:rPr>
          <w:rFonts w:asciiTheme="minorHAnsi" w:hAnsiTheme="minorHAnsi" w:cstheme="minorHAnsi"/>
          <w:color w:val="000000"/>
          <w:sz w:val="28"/>
          <w:szCs w:val="28"/>
        </w:rPr>
      </w:pPr>
      <w:r w:rsidRPr="005E1103">
        <w:rPr>
          <w:rFonts w:asciiTheme="minorHAnsi" w:hAnsiTheme="minorHAnsi" w:cstheme="minorHAnsi"/>
          <w:color w:val="000000"/>
          <w:sz w:val="28"/>
          <w:szCs w:val="28"/>
        </w:rPr>
        <w:t>Para asegurar la validez del contenido y la aplicabilidad del instrumento, se llevaron a cabo dos acciones pre-test. Por una parte, se sometió el cuestionario inicial a un juicio de expertos que valoraron la pertinencia, relevancia y claridad de los ítems. En segundo lugar, se realizó un estudio piloto con una muestra de estudiantes que permitió el ajuste y depuración final de los ítems.</w:t>
      </w:r>
    </w:p>
    <w:p w:rsidR="00AB65A1" w:rsidRPr="005E1103" w:rsidRDefault="00AB65A1" w:rsidP="00AB65A1">
      <w:pPr>
        <w:pStyle w:val="NormalWeb"/>
        <w:spacing w:before="0" w:beforeAutospacing="0" w:after="200" w:afterAutospacing="0" w:line="360" w:lineRule="auto"/>
        <w:jc w:val="both"/>
        <w:rPr>
          <w:rFonts w:asciiTheme="minorHAnsi" w:hAnsiTheme="minorHAnsi" w:cstheme="minorHAnsi"/>
          <w:b/>
          <w:color w:val="000000"/>
          <w:sz w:val="28"/>
          <w:szCs w:val="28"/>
        </w:rPr>
      </w:pPr>
      <w:r w:rsidRPr="005E1103">
        <w:rPr>
          <w:rFonts w:asciiTheme="minorHAnsi" w:hAnsiTheme="minorHAnsi" w:cstheme="minorHAnsi"/>
          <w:b/>
          <w:color w:val="000000"/>
          <w:sz w:val="28"/>
          <w:szCs w:val="28"/>
        </w:rPr>
        <w:t>Procedimiento</w:t>
      </w:r>
    </w:p>
    <w:p w:rsidR="00AB65A1" w:rsidRPr="005E1103" w:rsidRDefault="00AB65A1" w:rsidP="00AB65A1">
      <w:pPr>
        <w:spacing w:after="0" w:line="360" w:lineRule="auto"/>
        <w:jc w:val="both"/>
        <w:rPr>
          <w:rFonts w:eastAsia="Times New Roman" w:cstheme="minorHAnsi"/>
          <w:sz w:val="28"/>
          <w:szCs w:val="28"/>
        </w:rPr>
      </w:pPr>
      <w:r w:rsidRPr="005E1103">
        <w:rPr>
          <w:rFonts w:eastAsia="Times New Roman" w:cstheme="minorHAnsi"/>
          <w:sz w:val="28"/>
          <w:szCs w:val="28"/>
        </w:rPr>
        <w:t>El cuestionario se administró de manera presencial. Previamente, se informó a los participantes del objetivo de la investigación, del carácter anónimo de las respuestas y del tratamiento de los datos.</w:t>
      </w:r>
    </w:p>
    <w:p w:rsidR="005E1103" w:rsidRDefault="005E1103">
      <w:pPr>
        <w:rPr>
          <w:rFonts w:eastAsia="Times New Roman" w:cstheme="minorHAnsi"/>
          <w:b/>
          <w:color w:val="000000"/>
          <w:sz w:val="28"/>
          <w:szCs w:val="28"/>
          <w:lang w:eastAsia="es-ES"/>
        </w:rPr>
      </w:pPr>
      <w:r>
        <w:rPr>
          <w:rFonts w:cstheme="minorHAnsi"/>
          <w:b/>
          <w:color w:val="000000"/>
          <w:sz w:val="28"/>
          <w:szCs w:val="28"/>
        </w:rPr>
        <w:br w:type="page"/>
      </w:r>
    </w:p>
    <w:p w:rsidR="00AB65A1" w:rsidRPr="005E1103" w:rsidRDefault="00AB65A1" w:rsidP="005E1103">
      <w:pPr>
        <w:pStyle w:val="NormalWeb"/>
        <w:spacing w:before="0" w:beforeAutospacing="0" w:after="200" w:afterAutospacing="0" w:line="360" w:lineRule="auto"/>
        <w:rPr>
          <w:rFonts w:asciiTheme="minorHAnsi" w:hAnsiTheme="minorHAnsi" w:cstheme="minorHAnsi"/>
          <w:b/>
          <w:color w:val="000000"/>
          <w:sz w:val="28"/>
          <w:szCs w:val="28"/>
        </w:rPr>
      </w:pPr>
      <w:r w:rsidRPr="005E1103">
        <w:rPr>
          <w:rFonts w:asciiTheme="minorHAnsi" w:hAnsiTheme="minorHAnsi" w:cstheme="minorHAnsi"/>
          <w:b/>
          <w:color w:val="000000"/>
          <w:sz w:val="28"/>
          <w:szCs w:val="28"/>
        </w:rPr>
        <w:lastRenderedPageBreak/>
        <w:t>Resultados</w:t>
      </w:r>
    </w:p>
    <w:p w:rsidR="00AB65A1" w:rsidRPr="005E1103" w:rsidRDefault="00AB65A1" w:rsidP="00AB65A1">
      <w:pPr>
        <w:pStyle w:val="NormalWeb"/>
        <w:spacing w:before="0" w:beforeAutospacing="0" w:after="200" w:afterAutospacing="0" w:line="360" w:lineRule="auto"/>
        <w:jc w:val="both"/>
        <w:rPr>
          <w:rFonts w:asciiTheme="minorHAnsi" w:hAnsiTheme="minorHAnsi" w:cstheme="minorHAnsi"/>
          <w:color w:val="000000"/>
          <w:sz w:val="28"/>
          <w:szCs w:val="28"/>
        </w:rPr>
      </w:pPr>
      <w:r w:rsidRPr="005E1103">
        <w:rPr>
          <w:rFonts w:asciiTheme="minorHAnsi" w:hAnsiTheme="minorHAnsi" w:cstheme="minorHAnsi"/>
          <w:color w:val="000000"/>
          <w:sz w:val="28"/>
          <w:szCs w:val="28"/>
        </w:rPr>
        <w:t xml:space="preserve">A </w:t>
      </w:r>
      <w:r w:rsidR="005E1103" w:rsidRPr="005E1103">
        <w:rPr>
          <w:rFonts w:asciiTheme="minorHAnsi" w:hAnsiTheme="minorHAnsi" w:cstheme="minorHAnsi"/>
          <w:color w:val="000000"/>
          <w:sz w:val="28"/>
          <w:szCs w:val="28"/>
        </w:rPr>
        <w:t>continuación,</w:t>
      </w:r>
      <w:r w:rsidRPr="005E1103">
        <w:rPr>
          <w:rFonts w:asciiTheme="minorHAnsi" w:hAnsiTheme="minorHAnsi" w:cstheme="minorHAnsi"/>
          <w:color w:val="000000"/>
          <w:sz w:val="28"/>
          <w:szCs w:val="28"/>
        </w:rPr>
        <w:t xml:space="preserve"> se presentan los resultados obtenidos en cada una de las tres dimensiones de la actuación docente analizadas en el cuestionario.</w:t>
      </w:r>
    </w:p>
    <w:p w:rsidR="00AB65A1" w:rsidRPr="005E1103" w:rsidRDefault="00AB65A1" w:rsidP="00AB65A1">
      <w:pPr>
        <w:pStyle w:val="NormalWeb"/>
        <w:spacing w:before="0" w:beforeAutospacing="0" w:after="200" w:afterAutospacing="0" w:line="360" w:lineRule="auto"/>
        <w:jc w:val="both"/>
        <w:rPr>
          <w:rFonts w:asciiTheme="minorHAnsi" w:hAnsiTheme="minorHAnsi" w:cstheme="minorHAnsi"/>
          <w:color w:val="000000"/>
          <w:sz w:val="28"/>
          <w:szCs w:val="28"/>
        </w:rPr>
      </w:pPr>
      <w:r w:rsidRPr="005E1103">
        <w:rPr>
          <w:rFonts w:asciiTheme="minorHAnsi" w:hAnsiTheme="minorHAnsi" w:cstheme="minorHAnsi"/>
          <w:b/>
          <w:color w:val="000000"/>
          <w:sz w:val="28"/>
          <w:szCs w:val="28"/>
        </w:rPr>
        <w:t>a) Materiales, recursos y herramientas utilizadas por el profesorado</w:t>
      </w:r>
      <w:r w:rsidRPr="005E1103">
        <w:rPr>
          <w:rFonts w:asciiTheme="minorHAnsi" w:hAnsiTheme="minorHAnsi" w:cstheme="minorHAnsi"/>
          <w:color w:val="000000"/>
          <w:sz w:val="28"/>
          <w:szCs w:val="28"/>
        </w:rPr>
        <w:t xml:space="preserve"> </w:t>
      </w:r>
    </w:p>
    <w:p w:rsidR="00AB65A1" w:rsidRPr="005E1103" w:rsidRDefault="00AB65A1" w:rsidP="00AB65A1">
      <w:pPr>
        <w:pStyle w:val="NormalWeb"/>
        <w:spacing w:before="0" w:beforeAutospacing="0" w:after="200" w:afterAutospacing="0" w:line="360" w:lineRule="auto"/>
        <w:jc w:val="both"/>
        <w:rPr>
          <w:rFonts w:asciiTheme="minorHAnsi" w:hAnsiTheme="minorHAnsi" w:cstheme="minorHAnsi"/>
          <w:color w:val="000000"/>
          <w:sz w:val="28"/>
          <w:szCs w:val="28"/>
        </w:rPr>
      </w:pPr>
      <w:r w:rsidRPr="005E1103">
        <w:rPr>
          <w:rFonts w:asciiTheme="minorHAnsi" w:hAnsiTheme="minorHAnsi" w:cstheme="minorHAnsi"/>
          <w:color w:val="000000"/>
          <w:sz w:val="28"/>
          <w:szCs w:val="28"/>
        </w:rPr>
        <w:t>Un gran porcentaje de estudiantes afirman que sienten su clase como un entorno propicio para aprender (76,9%). Asimismo, para una buena parte del alumnado, los espacios en los que se desarrollan las clases están adaptados a sus necesidades (75,9</w:t>
      </w:r>
      <w:r w:rsidR="00FC5683" w:rsidRPr="005E1103">
        <w:rPr>
          <w:rFonts w:asciiTheme="minorHAnsi" w:hAnsiTheme="minorHAnsi" w:cstheme="minorHAnsi"/>
          <w:color w:val="000000"/>
          <w:sz w:val="28"/>
          <w:szCs w:val="28"/>
        </w:rPr>
        <w:t>%), aunque</w:t>
      </w:r>
      <w:r w:rsidRPr="005E1103">
        <w:rPr>
          <w:rFonts w:asciiTheme="minorHAnsi" w:hAnsiTheme="minorHAnsi" w:cstheme="minorHAnsi"/>
          <w:color w:val="000000"/>
          <w:sz w:val="28"/>
          <w:szCs w:val="28"/>
        </w:rPr>
        <w:t xml:space="preserve"> un 12,3% afirma que </w:t>
      </w:r>
      <w:r w:rsidR="00FC5683" w:rsidRPr="005E1103">
        <w:rPr>
          <w:rFonts w:asciiTheme="minorHAnsi" w:hAnsiTheme="minorHAnsi" w:cstheme="minorHAnsi"/>
          <w:color w:val="000000"/>
          <w:sz w:val="28"/>
          <w:szCs w:val="28"/>
        </w:rPr>
        <w:t>esta adaptación</w:t>
      </w:r>
      <w:r w:rsidRPr="005E1103">
        <w:rPr>
          <w:rFonts w:asciiTheme="minorHAnsi" w:hAnsiTheme="minorHAnsi" w:cstheme="minorHAnsi"/>
          <w:color w:val="000000"/>
          <w:sz w:val="28"/>
          <w:szCs w:val="28"/>
        </w:rPr>
        <w:t xml:space="preserve"> es </w:t>
      </w:r>
      <w:r w:rsidR="00FC5683" w:rsidRPr="005E1103">
        <w:rPr>
          <w:rFonts w:asciiTheme="minorHAnsi" w:hAnsiTheme="minorHAnsi" w:cstheme="minorHAnsi"/>
          <w:color w:val="000000"/>
          <w:sz w:val="28"/>
          <w:szCs w:val="28"/>
        </w:rPr>
        <w:t>ocasional y un</w:t>
      </w:r>
      <w:r w:rsidRPr="005E1103">
        <w:rPr>
          <w:rFonts w:asciiTheme="minorHAnsi" w:hAnsiTheme="minorHAnsi" w:cstheme="minorHAnsi"/>
          <w:color w:val="000000"/>
          <w:sz w:val="28"/>
          <w:szCs w:val="28"/>
        </w:rPr>
        <w:t xml:space="preserve"> 11,8% </w:t>
      </w:r>
      <w:r w:rsidR="00FC5683" w:rsidRPr="005E1103">
        <w:rPr>
          <w:rFonts w:asciiTheme="minorHAnsi" w:hAnsiTheme="minorHAnsi" w:cstheme="minorHAnsi"/>
          <w:color w:val="000000"/>
          <w:sz w:val="28"/>
          <w:szCs w:val="28"/>
        </w:rPr>
        <w:t>señala que</w:t>
      </w:r>
      <w:r w:rsidRPr="005E1103">
        <w:rPr>
          <w:rFonts w:asciiTheme="minorHAnsi" w:hAnsiTheme="minorHAnsi" w:cstheme="minorHAnsi"/>
          <w:color w:val="000000"/>
          <w:sz w:val="28"/>
          <w:szCs w:val="28"/>
        </w:rPr>
        <w:t xml:space="preserve"> </w:t>
      </w:r>
      <w:r w:rsidR="00FC5683" w:rsidRPr="005E1103">
        <w:rPr>
          <w:rFonts w:asciiTheme="minorHAnsi" w:hAnsiTheme="minorHAnsi" w:cstheme="minorHAnsi"/>
          <w:color w:val="000000"/>
          <w:sz w:val="28"/>
          <w:szCs w:val="28"/>
        </w:rPr>
        <w:t>no se</w:t>
      </w:r>
      <w:r w:rsidRPr="005E1103">
        <w:rPr>
          <w:rFonts w:asciiTheme="minorHAnsi" w:hAnsiTheme="minorHAnsi" w:cstheme="minorHAnsi"/>
          <w:color w:val="000000"/>
          <w:sz w:val="28"/>
          <w:szCs w:val="28"/>
        </w:rPr>
        <w:t xml:space="preserve"> produce nunca. En cuanto a los instrumentos de aprendizaje y materiales de apoyo utilizados en clase, la mayor parte de los encuestados (83,9%) manifiesta que estos son sencillos de utilizar, aunque un 12,2% señala que esto ocurre solo en algunas ocasiones y un 3,9% que no lo son en ningún caso. A su vez el 74,5% apunta que las presentaciones emplean fuentes y colores que facilitan su lectura (aunque un 20,9% reconoce que eso ocurre a veces y un 4,6% señala que nunca).</w:t>
      </w:r>
    </w:p>
    <w:p w:rsidR="00AB65A1" w:rsidRPr="005E1103" w:rsidRDefault="00AB65A1" w:rsidP="00AB65A1">
      <w:pPr>
        <w:pStyle w:val="NormalWeb"/>
        <w:spacing w:before="0" w:beforeAutospacing="0" w:after="200" w:afterAutospacing="0" w:line="360" w:lineRule="auto"/>
        <w:jc w:val="both"/>
        <w:rPr>
          <w:rFonts w:asciiTheme="minorHAnsi" w:hAnsiTheme="minorHAnsi" w:cstheme="minorHAnsi"/>
          <w:color w:val="000000"/>
          <w:sz w:val="28"/>
          <w:szCs w:val="28"/>
        </w:rPr>
      </w:pPr>
      <w:r w:rsidRPr="005E1103">
        <w:rPr>
          <w:rFonts w:asciiTheme="minorHAnsi" w:hAnsiTheme="minorHAnsi" w:cstheme="minorHAnsi"/>
          <w:color w:val="000000"/>
          <w:sz w:val="28"/>
          <w:szCs w:val="28"/>
        </w:rPr>
        <w:t xml:space="preserve">Respecto a los materiales o recursos utilizados encaminados a mejorar las oportunidades de aprendizaje, un 63,1% de los participantes manifiesta que el profesorado proporciona ayudas y recursos on-line para reforzar y/o ampliar contenidos, siendo un 28,1% quien lo hace a veces y un 8,8% quien no lo hace nunca. Por su parte, al preguntar si se utilizan diferentes formatos a la hora de presentar los materiales que faciliten la accesibilidad a los contenidos, el 56,8% reconoce que sí, pero una parte destacable asegura que esto ocurre solo a veces o nunca (26,8% y 16,4% respectivamente). También cabe señalar los resultados acerca de otra de las adaptaciones importantes como es la de subtitular los videos con los que se trabajan contenidos en clase: según nuestros resultados, el 26,5% señala que esto sí se hace siempre, pero un 40,7% afirma que </w:t>
      </w:r>
      <w:r w:rsidR="00FC5683" w:rsidRPr="005E1103">
        <w:rPr>
          <w:rFonts w:asciiTheme="minorHAnsi" w:hAnsiTheme="minorHAnsi" w:cstheme="minorHAnsi"/>
          <w:color w:val="000000"/>
          <w:sz w:val="28"/>
          <w:szCs w:val="28"/>
        </w:rPr>
        <w:t>nunca (</w:t>
      </w:r>
      <w:r w:rsidRPr="005E1103">
        <w:rPr>
          <w:rFonts w:asciiTheme="minorHAnsi" w:hAnsiTheme="minorHAnsi" w:cstheme="minorHAnsi"/>
          <w:color w:val="000000"/>
          <w:sz w:val="28"/>
          <w:szCs w:val="28"/>
        </w:rPr>
        <w:t>un 20,9% manifiesta que a veces).</w:t>
      </w:r>
    </w:p>
    <w:p w:rsidR="00AB65A1" w:rsidRPr="005E1103" w:rsidRDefault="00AB65A1" w:rsidP="00AB65A1">
      <w:pPr>
        <w:pStyle w:val="NormalWeb"/>
        <w:spacing w:before="0" w:beforeAutospacing="0" w:after="200" w:afterAutospacing="0" w:line="360" w:lineRule="auto"/>
        <w:jc w:val="both"/>
        <w:rPr>
          <w:rFonts w:asciiTheme="minorHAnsi" w:hAnsiTheme="minorHAnsi" w:cstheme="minorHAnsi"/>
          <w:b/>
          <w:color w:val="000000"/>
          <w:sz w:val="28"/>
          <w:szCs w:val="28"/>
        </w:rPr>
      </w:pPr>
      <w:r w:rsidRPr="005E1103">
        <w:rPr>
          <w:rFonts w:asciiTheme="minorHAnsi" w:hAnsiTheme="minorHAnsi" w:cstheme="minorHAnsi"/>
          <w:color w:val="000000"/>
          <w:sz w:val="28"/>
          <w:szCs w:val="28"/>
        </w:rPr>
        <w:lastRenderedPageBreak/>
        <w:t xml:space="preserve"> </w:t>
      </w:r>
      <w:r w:rsidRPr="005E1103">
        <w:rPr>
          <w:rFonts w:asciiTheme="minorHAnsi" w:hAnsiTheme="minorHAnsi" w:cstheme="minorHAnsi"/>
          <w:b/>
          <w:color w:val="000000"/>
          <w:sz w:val="28"/>
          <w:szCs w:val="28"/>
        </w:rPr>
        <w:t>b) Contenidos y metodologías utilizadas</w:t>
      </w:r>
    </w:p>
    <w:p w:rsidR="00AB65A1" w:rsidRPr="005E1103" w:rsidRDefault="00AB65A1" w:rsidP="00AB65A1">
      <w:pPr>
        <w:pStyle w:val="NormalWeb"/>
        <w:spacing w:before="0" w:beforeAutospacing="0" w:after="200" w:afterAutospacing="0" w:line="360" w:lineRule="auto"/>
        <w:jc w:val="both"/>
        <w:rPr>
          <w:rFonts w:asciiTheme="minorHAnsi" w:hAnsiTheme="minorHAnsi" w:cstheme="minorHAnsi"/>
          <w:color w:val="000000"/>
          <w:sz w:val="28"/>
          <w:szCs w:val="28"/>
        </w:rPr>
      </w:pPr>
      <w:r w:rsidRPr="005E1103">
        <w:rPr>
          <w:rFonts w:asciiTheme="minorHAnsi" w:hAnsiTheme="minorHAnsi" w:cstheme="minorHAnsi"/>
          <w:color w:val="000000"/>
          <w:sz w:val="28"/>
          <w:szCs w:val="28"/>
        </w:rPr>
        <w:t>En esta dimensión hemos encontrado necesidades de mejora en la mayor parte de los aspectos analizados. Cuando se pregunta respecto a si “el profesorado enfatiza los objetivos y temas más relevantes de la asignatura”, el 52,3% afirma que siempre se hace, frente a un 30,2% que señala que esto se hace solo a veces o un 17,5% que considera que nunca.</w:t>
      </w:r>
    </w:p>
    <w:p w:rsidR="00AB65A1" w:rsidRPr="005E1103" w:rsidRDefault="00AB65A1" w:rsidP="00AB65A1">
      <w:pPr>
        <w:pStyle w:val="NormalWeb"/>
        <w:spacing w:before="0" w:beforeAutospacing="0" w:after="200" w:afterAutospacing="0" w:line="360" w:lineRule="auto"/>
        <w:jc w:val="both"/>
        <w:rPr>
          <w:rFonts w:asciiTheme="minorHAnsi" w:hAnsiTheme="minorHAnsi" w:cstheme="minorHAnsi"/>
          <w:color w:val="000000"/>
          <w:sz w:val="28"/>
          <w:szCs w:val="28"/>
        </w:rPr>
      </w:pPr>
      <w:r w:rsidRPr="005E1103">
        <w:rPr>
          <w:rFonts w:asciiTheme="minorHAnsi" w:hAnsiTheme="minorHAnsi" w:cstheme="minorHAnsi"/>
          <w:color w:val="000000"/>
          <w:sz w:val="28"/>
          <w:szCs w:val="28"/>
        </w:rPr>
        <w:t xml:space="preserve">En una proporción similar se encuentran las respuestas respecto a </w:t>
      </w:r>
      <w:r w:rsidR="00FC5683" w:rsidRPr="005E1103">
        <w:rPr>
          <w:rFonts w:asciiTheme="minorHAnsi" w:hAnsiTheme="minorHAnsi" w:cstheme="minorHAnsi"/>
          <w:color w:val="000000"/>
          <w:sz w:val="28"/>
          <w:szCs w:val="28"/>
        </w:rPr>
        <w:t>si “</w:t>
      </w:r>
      <w:r w:rsidRPr="005E1103">
        <w:rPr>
          <w:rFonts w:asciiTheme="minorHAnsi" w:hAnsiTheme="minorHAnsi" w:cstheme="minorHAnsi"/>
          <w:color w:val="000000"/>
          <w:sz w:val="28"/>
          <w:szCs w:val="28"/>
        </w:rPr>
        <w:t>las guías docentes proporcionan información adicional sobre servicios de apoyo al estudiantado”. Un 51,3% señala que siempre, un 34,8% a veces y un 13,9% nunca.</w:t>
      </w:r>
    </w:p>
    <w:p w:rsidR="00AB65A1" w:rsidRPr="005E1103" w:rsidRDefault="00AB65A1" w:rsidP="00AB65A1">
      <w:pPr>
        <w:pStyle w:val="NormalWeb"/>
        <w:spacing w:before="0" w:beforeAutospacing="0" w:after="200" w:afterAutospacing="0" w:line="360" w:lineRule="auto"/>
        <w:jc w:val="both"/>
        <w:rPr>
          <w:rFonts w:asciiTheme="minorHAnsi" w:hAnsiTheme="minorHAnsi" w:cstheme="minorHAnsi"/>
          <w:color w:val="000000"/>
          <w:sz w:val="28"/>
          <w:szCs w:val="28"/>
        </w:rPr>
      </w:pPr>
      <w:r w:rsidRPr="005E1103">
        <w:rPr>
          <w:rFonts w:asciiTheme="minorHAnsi" w:hAnsiTheme="minorHAnsi" w:cstheme="minorHAnsi"/>
          <w:color w:val="000000"/>
          <w:sz w:val="28"/>
          <w:szCs w:val="28"/>
        </w:rPr>
        <w:t xml:space="preserve">Por otra parte, resulta significativa la alta proporción de estudiantes que manifiestan que su profesorado nunca presenta un resumen de los conceptos claves incluidos en su temario (41,5%), frente al 37,6% que informa que siempre lo hacen. </w:t>
      </w:r>
    </w:p>
    <w:p w:rsidR="00AB65A1" w:rsidRPr="005E1103" w:rsidRDefault="00AB65A1" w:rsidP="00AB65A1">
      <w:pPr>
        <w:pStyle w:val="NormalWeb"/>
        <w:spacing w:before="0" w:beforeAutospacing="0" w:after="200" w:afterAutospacing="0" w:line="360" w:lineRule="auto"/>
        <w:jc w:val="both"/>
        <w:rPr>
          <w:rFonts w:asciiTheme="minorHAnsi" w:hAnsiTheme="minorHAnsi" w:cstheme="minorHAnsi"/>
          <w:color w:val="000000"/>
          <w:sz w:val="28"/>
          <w:szCs w:val="28"/>
        </w:rPr>
      </w:pPr>
      <w:r w:rsidRPr="005E1103">
        <w:rPr>
          <w:rFonts w:asciiTheme="minorHAnsi" w:hAnsiTheme="minorHAnsi" w:cstheme="minorHAnsi"/>
          <w:color w:val="000000"/>
          <w:sz w:val="28"/>
          <w:szCs w:val="28"/>
        </w:rPr>
        <w:t>A su vez, la tercera parte de los participantes afirma que solo en algunas ocasiones los temas se presentan de manera acorde a su ritmo de aprendizaje (30,7%), siendo un 61,7% los que afirman que siempre se hace. Por otra parte, hay una gran proporción de estudiantes (63,1%) que percibe que, cuando el idioma es una barrera de aprendizaje, el profesorado no busca el apoyo de otros compañeros o compañeras como recurso de apoyo (en un 13,3% se hace a veces y un 23,6% siempre).</w:t>
      </w:r>
    </w:p>
    <w:p w:rsidR="00AB65A1" w:rsidRPr="005E1103" w:rsidRDefault="00AB65A1" w:rsidP="00AB65A1">
      <w:pPr>
        <w:pStyle w:val="NormalWeb"/>
        <w:spacing w:before="0" w:beforeAutospacing="0" w:after="200" w:afterAutospacing="0" w:line="360" w:lineRule="auto"/>
        <w:jc w:val="both"/>
        <w:rPr>
          <w:rFonts w:asciiTheme="minorHAnsi" w:hAnsiTheme="minorHAnsi" w:cstheme="minorHAnsi"/>
          <w:color w:val="000000"/>
          <w:sz w:val="28"/>
          <w:szCs w:val="28"/>
        </w:rPr>
      </w:pPr>
      <w:r w:rsidRPr="005E1103">
        <w:rPr>
          <w:rFonts w:asciiTheme="minorHAnsi" w:hAnsiTheme="minorHAnsi" w:cstheme="minorHAnsi"/>
          <w:color w:val="000000"/>
          <w:sz w:val="28"/>
          <w:szCs w:val="28"/>
        </w:rPr>
        <w:t>En cuanto a la evaluación de los conocimientos, un 21,7% ha manifestado que solo a veces el profesorado utiliza métodos de evaluación variados y un 12,9% que nunca lo hace. Por su parte, el 65,4% afirma que sí recure a diferentes estrategias de evaluación. De la misma forma, un 17,5% señala que a veces no cuentan con el tiempo suficiente para realizar los exámenes escritos, un 6,5% menciona que nunca y un 76% reconoce que siempre disponen de este tiempo.</w:t>
      </w:r>
    </w:p>
    <w:p w:rsidR="00AB65A1" w:rsidRPr="005E1103" w:rsidRDefault="00AB65A1" w:rsidP="00AB65A1">
      <w:pPr>
        <w:pStyle w:val="NormalWeb"/>
        <w:spacing w:before="0" w:beforeAutospacing="0" w:after="200" w:afterAutospacing="0" w:line="360" w:lineRule="auto"/>
        <w:jc w:val="both"/>
        <w:rPr>
          <w:rFonts w:asciiTheme="minorHAnsi" w:hAnsiTheme="minorHAnsi" w:cstheme="minorHAnsi"/>
          <w:color w:val="000000"/>
          <w:sz w:val="28"/>
          <w:szCs w:val="28"/>
        </w:rPr>
      </w:pPr>
      <w:r w:rsidRPr="005E1103">
        <w:rPr>
          <w:rFonts w:asciiTheme="minorHAnsi" w:hAnsiTheme="minorHAnsi" w:cstheme="minorHAnsi"/>
          <w:color w:val="000000"/>
          <w:sz w:val="28"/>
          <w:szCs w:val="28"/>
        </w:rPr>
        <w:lastRenderedPageBreak/>
        <w:t xml:space="preserve">Por otra parte, cuando se pregunta sobre la existencia de tiempo para la reflexión o asimilación de contenidos durante las explicaciones, un 20,7% afirma que nunca se les ofrece este espacio, un 29,9% señala que esto es </w:t>
      </w:r>
      <w:r w:rsidR="00FC5683" w:rsidRPr="005E1103">
        <w:rPr>
          <w:rFonts w:asciiTheme="minorHAnsi" w:hAnsiTheme="minorHAnsi" w:cstheme="minorHAnsi"/>
          <w:color w:val="000000"/>
          <w:sz w:val="28"/>
          <w:szCs w:val="28"/>
        </w:rPr>
        <w:t>ocasional y</w:t>
      </w:r>
      <w:r w:rsidRPr="005E1103">
        <w:rPr>
          <w:rFonts w:asciiTheme="minorHAnsi" w:hAnsiTheme="minorHAnsi" w:cstheme="minorHAnsi"/>
          <w:color w:val="000000"/>
          <w:sz w:val="28"/>
          <w:szCs w:val="28"/>
        </w:rPr>
        <w:t xml:space="preserve"> 49,4% que siempre se hace. Por último, cuando se pregunta sobre si sienten que pueden realizar preguntas y/o dar opiniones en clase, un 6,2% considera que nunca, un 18,9% a veces y un 74,9% siempre.</w:t>
      </w:r>
    </w:p>
    <w:p w:rsidR="00AB65A1" w:rsidRPr="005E1103" w:rsidRDefault="00AB65A1" w:rsidP="00AB65A1">
      <w:pPr>
        <w:pStyle w:val="NormalWeb"/>
        <w:spacing w:before="0" w:beforeAutospacing="0" w:after="200" w:afterAutospacing="0" w:line="360" w:lineRule="auto"/>
        <w:jc w:val="both"/>
        <w:rPr>
          <w:rFonts w:asciiTheme="minorHAnsi" w:hAnsiTheme="minorHAnsi" w:cstheme="minorHAnsi"/>
          <w:b/>
          <w:color w:val="000000"/>
          <w:sz w:val="28"/>
          <w:szCs w:val="28"/>
        </w:rPr>
      </w:pPr>
      <w:r w:rsidRPr="005E1103">
        <w:rPr>
          <w:rFonts w:asciiTheme="minorHAnsi" w:hAnsiTheme="minorHAnsi" w:cstheme="minorHAnsi"/>
          <w:b/>
          <w:color w:val="000000"/>
          <w:sz w:val="28"/>
          <w:szCs w:val="28"/>
        </w:rPr>
        <w:t xml:space="preserve">c)  Acceso y participación del estudiantado </w:t>
      </w:r>
    </w:p>
    <w:p w:rsidR="00AB65A1" w:rsidRPr="005E1103" w:rsidRDefault="00AB65A1" w:rsidP="00AB65A1">
      <w:pPr>
        <w:pStyle w:val="NormalWeb"/>
        <w:spacing w:before="0" w:beforeAutospacing="0" w:after="200" w:afterAutospacing="0" w:line="360" w:lineRule="auto"/>
        <w:jc w:val="both"/>
        <w:rPr>
          <w:rFonts w:asciiTheme="minorHAnsi" w:hAnsiTheme="minorHAnsi" w:cstheme="minorHAnsi"/>
          <w:color w:val="000000"/>
          <w:sz w:val="28"/>
          <w:szCs w:val="28"/>
        </w:rPr>
      </w:pPr>
      <w:r w:rsidRPr="005E1103">
        <w:rPr>
          <w:rFonts w:asciiTheme="minorHAnsi" w:hAnsiTheme="minorHAnsi" w:cstheme="minorHAnsi"/>
          <w:color w:val="000000"/>
          <w:sz w:val="28"/>
          <w:szCs w:val="28"/>
        </w:rPr>
        <w:t>Para un 57,2% de las personas que han participado en el estudio el “profesorado es cercano y proporciona apoyo en cuando se le solicita.”. Sin embargo, el 30,4% menciona que solo a veces y un 12,4% que nunca.</w:t>
      </w:r>
    </w:p>
    <w:p w:rsidR="00AB65A1" w:rsidRPr="005E1103" w:rsidRDefault="00AB65A1" w:rsidP="00AB65A1">
      <w:pPr>
        <w:pStyle w:val="NormalWeb"/>
        <w:spacing w:before="0" w:beforeAutospacing="0" w:after="200" w:afterAutospacing="0" w:line="360" w:lineRule="auto"/>
        <w:jc w:val="both"/>
        <w:rPr>
          <w:rFonts w:asciiTheme="minorHAnsi" w:hAnsiTheme="minorHAnsi" w:cstheme="minorHAnsi"/>
          <w:color w:val="000000"/>
          <w:sz w:val="28"/>
          <w:szCs w:val="28"/>
        </w:rPr>
      </w:pPr>
      <w:r w:rsidRPr="005E1103">
        <w:rPr>
          <w:rFonts w:asciiTheme="minorHAnsi" w:hAnsiTheme="minorHAnsi" w:cstheme="minorHAnsi"/>
          <w:color w:val="000000"/>
          <w:sz w:val="28"/>
          <w:szCs w:val="28"/>
        </w:rPr>
        <w:t>Tan solo un 26,5% considera que el profesorado siempre “dedica tiempo a conocer las situaciones individuales que puedan afectar al rendimiento de los y las estudiantes”, un 16,9% menciona que se hace a veces y un 56,6% que nunca.</w:t>
      </w:r>
    </w:p>
    <w:p w:rsidR="00AB65A1" w:rsidRPr="005E1103" w:rsidRDefault="00AB65A1" w:rsidP="00AB65A1">
      <w:pPr>
        <w:pStyle w:val="NormalWeb"/>
        <w:spacing w:before="0" w:beforeAutospacing="0" w:after="200" w:afterAutospacing="0" w:line="360" w:lineRule="auto"/>
        <w:jc w:val="both"/>
        <w:rPr>
          <w:rFonts w:asciiTheme="minorHAnsi" w:hAnsiTheme="minorHAnsi" w:cstheme="minorHAnsi"/>
          <w:color w:val="000000"/>
          <w:sz w:val="28"/>
          <w:szCs w:val="28"/>
        </w:rPr>
      </w:pPr>
      <w:r w:rsidRPr="005E1103">
        <w:rPr>
          <w:rFonts w:asciiTheme="minorHAnsi" w:hAnsiTheme="minorHAnsi" w:cstheme="minorHAnsi"/>
          <w:color w:val="000000"/>
          <w:sz w:val="28"/>
          <w:szCs w:val="28"/>
        </w:rPr>
        <w:t>A la cuestión de si “el profesorado tiene en cuenta y valora las culturas de origen de sus estudiantes”, el 57,7</w:t>
      </w:r>
      <w:r w:rsidR="005E1103" w:rsidRPr="005E1103">
        <w:rPr>
          <w:rFonts w:asciiTheme="minorHAnsi" w:hAnsiTheme="minorHAnsi" w:cstheme="minorHAnsi"/>
          <w:color w:val="000000"/>
          <w:sz w:val="28"/>
          <w:szCs w:val="28"/>
        </w:rPr>
        <w:t>% señala</w:t>
      </w:r>
      <w:r w:rsidRPr="005E1103">
        <w:rPr>
          <w:rFonts w:asciiTheme="minorHAnsi" w:hAnsiTheme="minorHAnsi" w:cstheme="minorHAnsi"/>
          <w:color w:val="000000"/>
          <w:sz w:val="28"/>
          <w:szCs w:val="28"/>
        </w:rPr>
        <w:t xml:space="preserve"> que siempre, un 20,1% a veces y un 22,2% que nunca. De la misma forma, cuando se pregunta si “tienen la oportunidad de desarrollar la competencia multicultural” el 55,5% señala que siempre, el 25,5% a veces y un 19% nunca.</w:t>
      </w:r>
    </w:p>
    <w:p w:rsidR="00AB65A1" w:rsidRPr="005E1103" w:rsidRDefault="00AB65A1" w:rsidP="00AB65A1">
      <w:pPr>
        <w:pStyle w:val="NormalWeb"/>
        <w:spacing w:before="0" w:beforeAutospacing="0" w:after="200" w:afterAutospacing="0" w:line="360" w:lineRule="auto"/>
        <w:jc w:val="both"/>
        <w:rPr>
          <w:rFonts w:asciiTheme="minorHAnsi" w:hAnsiTheme="minorHAnsi" w:cstheme="minorHAnsi"/>
          <w:color w:val="000000"/>
          <w:sz w:val="28"/>
          <w:szCs w:val="28"/>
        </w:rPr>
      </w:pPr>
      <w:r w:rsidRPr="005E1103">
        <w:rPr>
          <w:rFonts w:asciiTheme="minorHAnsi" w:hAnsiTheme="minorHAnsi" w:cstheme="minorHAnsi"/>
          <w:color w:val="000000"/>
          <w:sz w:val="28"/>
          <w:szCs w:val="28"/>
        </w:rPr>
        <w:t xml:space="preserve">En una proporción significativa, encontramos un grupo de estudiantes que manifiestan que el profesorado no presta atención a los y las estudiantes por igual (24,8%), un 25,9% opina que a veces y un 49,3% reconoce que el profesorado sí lo hace siempre. </w:t>
      </w:r>
    </w:p>
    <w:p w:rsidR="00AB65A1" w:rsidRPr="005E1103" w:rsidRDefault="00AB65A1" w:rsidP="00AB65A1">
      <w:pPr>
        <w:pStyle w:val="NormalWeb"/>
        <w:spacing w:before="0" w:beforeAutospacing="0" w:after="200" w:afterAutospacing="0" w:line="360" w:lineRule="auto"/>
        <w:jc w:val="both"/>
        <w:rPr>
          <w:rFonts w:asciiTheme="minorHAnsi" w:hAnsiTheme="minorHAnsi" w:cstheme="minorHAnsi"/>
          <w:color w:val="000000"/>
          <w:sz w:val="28"/>
          <w:szCs w:val="28"/>
        </w:rPr>
      </w:pPr>
      <w:r w:rsidRPr="005E1103">
        <w:rPr>
          <w:rFonts w:asciiTheme="minorHAnsi" w:hAnsiTheme="minorHAnsi" w:cstheme="minorHAnsi"/>
          <w:color w:val="000000"/>
          <w:sz w:val="28"/>
          <w:szCs w:val="28"/>
        </w:rPr>
        <w:t xml:space="preserve">También, un considerable número de estudiantes consideran que las actividades nunca se llevan a cabo en grupos heterogéneos que faciliten un aprendizaje multidisciplinar (45,5%). </w:t>
      </w:r>
    </w:p>
    <w:p w:rsidR="00AB65A1" w:rsidRPr="005E1103" w:rsidRDefault="00AB65A1" w:rsidP="00AB65A1">
      <w:pPr>
        <w:pStyle w:val="NormalWeb"/>
        <w:spacing w:before="0" w:beforeAutospacing="0" w:after="200" w:afterAutospacing="0" w:line="360" w:lineRule="auto"/>
        <w:jc w:val="both"/>
        <w:rPr>
          <w:rFonts w:asciiTheme="minorHAnsi" w:hAnsiTheme="minorHAnsi" w:cstheme="minorHAnsi"/>
          <w:color w:val="000000"/>
          <w:sz w:val="28"/>
          <w:szCs w:val="28"/>
        </w:rPr>
      </w:pPr>
      <w:r w:rsidRPr="005E1103">
        <w:rPr>
          <w:rFonts w:asciiTheme="minorHAnsi" w:hAnsiTheme="minorHAnsi" w:cstheme="minorHAnsi"/>
          <w:color w:val="000000"/>
          <w:sz w:val="28"/>
          <w:szCs w:val="28"/>
        </w:rPr>
        <w:lastRenderedPageBreak/>
        <w:t>Por último, cuando se pregunta por las “oportunidades para conectar los contenidos de clase con sus propias experiencias vividas”, un 52% opina que se hace siempre, un 30,7% a veces y un 17,3% manifiesta que no se hace nunca.</w:t>
      </w:r>
    </w:p>
    <w:p w:rsidR="00AB65A1" w:rsidRPr="005E1103" w:rsidRDefault="00AB65A1" w:rsidP="00AB65A1">
      <w:pPr>
        <w:pStyle w:val="NormalWeb"/>
        <w:spacing w:before="0" w:beforeAutospacing="0" w:after="200" w:afterAutospacing="0" w:line="360" w:lineRule="auto"/>
        <w:jc w:val="center"/>
        <w:rPr>
          <w:rFonts w:asciiTheme="minorHAnsi" w:hAnsiTheme="minorHAnsi" w:cstheme="minorHAnsi"/>
          <w:b/>
          <w:sz w:val="28"/>
          <w:szCs w:val="28"/>
        </w:rPr>
      </w:pPr>
    </w:p>
    <w:p w:rsidR="00AB65A1" w:rsidRPr="005E1103" w:rsidRDefault="00AB65A1" w:rsidP="005E1103">
      <w:pPr>
        <w:pStyle w:val="NormalWeb"/>
        <w:spacing w:before="0" w:beforeAutospacing="0" w:after="200" w:afterAutospacing="0" w:line="360" w:lineRule="auto"/>
        <w:rPr>
          <w:rFonts w:asciiTheme="minorHAnsi" w:hAnsiTheme="minorHAnsi" w:cstheme="minorHAnsi"/>
          <w:sz w:val="28"/>
          <w:szCs w:val="28"/>
        </w:rPr>
      </w:pPr>
      <w:r w:rsidRPr="005E1103">
        <w:rPr>
          <w:rFonts w:asciiTheme="minorHAnsi" w:hAnsiTheme="minorHAnsi" w:cstheme="minorHAnsi"/>
          <w:b/>
          <w:sz w:val="28"/>
          <w:szCs w:val="28"/>
        </w:rPr>
        <w:t>Conclusiones</w:t>
      </w:r>
    </w:p>
    <w:p w:rsidR="00AB65A1" w:rsidRPr="005E1103" w:rsidRDefault="00AB65A1" w:rsidP="00AB65A1">
      <w:pPr>
        <w:spacing w:line="360" w:lineRule="auto"/>
        <w:jc w:val="both"/>
        <w:rPr>
          <w:rFonts w:eastAsia="Times New Roman" w:cstheme="minorHAnsi"/>
          <w:sz w:val="28"/>
          <w:szCs w:val="28"/>
        </w:rPr>
      </w:pPr>
      <w:r w:rsidRPr="005E1103">
        <w:rPr>
          <w:rFonts w:eastAsia="Times New Roman" w:cstheme="minorHAnsi"/>
          <w:sz w:val="28"/>
          <w:szCs w:val="28"/>
        </w:rPr>
        <w:t xml:space="preserve">Los resultados obtenidos permiten delimitar </w:t>
      </w:r>
      <w:r w:rsidR="005E1103" w:rsidRPr="005E1103">
        <w:rPr>
          <w:rFonts w:eastAsia="Times New Roman" w:cstheme="minorHAnsi"/>
          <w:sz w:val="28"/>
          <w:szCs w:val="28"/>
        </w:rPr>
        <w:t>algunas mejoras</w:t>
      </w:r>
      <w:r w:rsidRPr="005E1103">
        <w:rPr>
          <w:rFonts w:eastAsia="Times New Roman" w:cstheme="minorHAnsi"/>
          <w:sz w:val="28"/>
          <w:szCs w:val="28"/>
        </w:rPr>
        <w:t xml:space="preserve"> que es preciso introducir en la metodología de enseñanza, a la hora de articular con equidad la presencia, el aprendizaje y la participación de todo el estudiantado sin exclusiones y no solo del considerado con (dis)capacidad. Entre ellas cabe destacar las relacionadas con el análisis de las necesidades individuales o la organización de grupos heterogéneos en el aula para favorecer el aprendizaje de una forma cooperativa. Esto si bien es importante en todos los estudios, aún es más acuciante en los desarrollados en las facultades de educación, ya que l</w:t>
      </w:r>
      <w:r w:rsidRPr="005E1103">
        <w:rPr>
          <w:rFonts w:cstheme="minorHAnsi"/>
          <w:sz w:val="28"/>
          <w:szCs w:val="28"/>
        </w:rPr>
        <w:t xml:space="preserve">os futuros maestros y maestras deben vivir en primera persona, y en todas las materias, formas de diseñar y organizar la docencia para atender a la amplia diversidad existente en las aulas. </w:t>
      </w:r>
    </w:p>
    <w:p w:rsidR="00AB65A1" w:rsidRPr="005E1103" w:rsidRDefault="00AB65A1" w:rsidP="00AB65A1">
      <w:pPr>
        <w:spacing w:after="0" w:line="360" w:lineRule="auto"/>
        <w:jc w:val="both"/>
        <w:rPr>
          <w:rFonts w:cstheme="minorHAnsi"/>
          <w:sz w:val="28"/>
          <w:szCs w:val="28"/>
        </w:rPr>
      </w:pPr>
      <w:r w:rsidRPr="005E1103">
        <w:rPr>
          <w:rFonts w:eastAsia="Times New Roman" w:cstheme="minorHAnsi"/>
          <w:sz w:val="28"/>
          <w:szCs w:val="28"/>
        </w:rPr>
        <w:t xml:space="preserve">De acuerdo con Pozo y Monereo (2009) es necesario repensar las formas de enseñar y aprender en nuestras universidades.  </w:t>
      </w:r>
      <w:r w:rsidRPr="005E1103">
        <w:rPr>
          <w:rFonts w:cstheme="minorHAnsi"/>
          <w:sz w:val="28"/>
          <w:szCs w:val="28"/>
        </w:rPr>
        <w:t xml:space="preserve">Al igual que en otras investigaciones (Riddell, Tinklin, y Wilson 2005) los docentes, en muchas ocasiones, tienden a utilizar principalmente medidas más reactivas que proactivas, intentando dar respuesta, en el mejor de los casos, a aquellas situaciones con las que se enfrenta a diario, en lugar de estructurar y planificar su enseñanza de forma diversificada desde un principio, conforme a los principios del Diseño Universal para la Instrucción. </w:t>
      </w:r>
    </w:p>
    <w:p w:rsidR="00AB65A1" w:rsidRPr="005E1103" w:rsidRDefault="00AB65A1" w:rsidP="00AB65A1">
      <w:pPr>
        <w:spacing w:after="0" w:line="360" w:lineRule="auto"/>
        <w:jc w:val="both"/>
        <w:rPr>
          <w:rFonts w:cstheme="minorHAnsi"/>
          <w:sz w:val="28"/>
          <w:szCs w:val="28"/>
        </w:rPr>
      </w:pPr>
      <w:r w:rsidRPr="005E1103">
        <w:rPr>
          <w:rFonts w:cstheme="minorHAnsi"/>
          <w:sz w:val="28"/>
          <w:szCs w:val="28"/>
        </w:rPr>
        <w:t xml:space="preserve">Sin embargo, para que el profesorado pueda introducir los cambios en sus prácticas docentes para asegurar la accesibilidad de las mismas, necesita formación y apoyo (Jones, Bennett y Lockyer, 2011; Cochran-Smith, 2009). Pero no puede ser un apoyo circunscrito, por ejemplo, únicamente a un servicio específico. En coherencia con el </w:t>
      </w:r>
      <w:r w:rsidRPr="005E1103">
        <w:rPr>
          <w:rFonts w:cstheme="minorHAnsi"/>
          <w:sz w:val="28"/>
          <w:szCs w:val="28"/>
        </w:rPr>
        <w:lastRenderedPageBreak/>
        <w:t>planteamiento que se realiza del mismo en el contexto de una educación inclusiva (Booth y Ainscow, 2015), es necesario introducir una visión amplia y sistémica. Ello supone articular apoyos dentro del aula, pero también dentro de cada facultad o escuela, así como en los diferentes servicios existentes en la universidad. Lo anterior también supone que no debemos limitarnos a introducir mejoras en las prácticas de aula, sino que la actuación debe implicar una transformación de las culturas, políticas y prácticas como mencionamos en la introducción.</w:t>
      </w:r>
    </w:p>
    <w:p w:rsidR="00AB65A1" w:rsidRPr="005E1103" w:rsidRDefault="00AB65A1" w:rsidP="00AB65A1">
      <w:pPr>
        <w:spacing w:line="360" w:lineRule="auto"/>
        <w:jc w:val="both"/>
        <w:rPr>
          <w:rFonts w:cstheme="minorHAnsi"/>
          <w:sz w:val="28"/>
          <w:szCs w:val="28"/>
        </w:rPr>
      </w:pPr>
      <w:r w:rsidRPr="005E1103">
        <w:rPr>
          <w:rFonts w:cstheme="minorHAnsi"/>
          <w:sz w:val="28"/>
          <w:szCs w:val="28"/>
        </w:rPr>
        <w:t xml:space="preserve">Por último, es preciso destacar la importancia de estuchar las voces del </w:t>
      </w:r>
      <w:r w:rsidR="00FC5683" w:rsidRPr="005E1103">
        <w:rPr>
          <w:rFonts w:cstheme="minorHAnsi"/>
          <w:sz w:val="28"/>
          <w:szCs w:val="28"/>
        </w:rPr>
        <w:t>estudiantado como</w:t>
      </w:r>
      <w:r w:rsidRPr="005E1103">
        <w:rPr>
          <w:rFonts w:cstheme="minorHAnsi"/>
          <w:sz w:val="28"/>
          <w:szCs w:val="28"/>
        </w:rPr>
        <w:t xml:space="preserve"> estrategia para introducir procesos de mejora en estas instituciones con la finalidad de ser cada vez más inclusivas.</w:t>
      </w:r>
    </w:p>
    <w:p w:rsidR="00AB65A1" w:rsidRPr="005E1103" w:rsidRDefault="00AB65A1" w:rsidP="00AB65A1">
      <w:pPr>
        <w:spacing w:line="240" w:lineRule="auto"/>
        <w:ind w:left="1065"/>
        <w:jc w:val="center"/>
        <w:rPr>
          <w:rFonts w:cstheme="minorHAnsi"/>
          <w:b/>
          <w:sz w:val="28"/>
          <w:szCs w:val="28"/>
        </w:rPr>
      </w:pPr>
      <w:r w:rsidRPr="005E1103">
        <w:rPr>
          <w:rFonts w:cstheme="minorHAnsi"/>
          <w:b/>
          <w:sz w:val="28"/>
          <w:szCs w:val="28"/>
        </w:rPr>
        <w:t>Referencias</w:t>
      </w:r>
    </w:p>
    <w:p w:rsidR="00AB65A1" w:rsidRPr="005E1103" w:rsidRDefault="00AB65A1" w:rsidP="00AB65A1">
      <w:pPr>
        <w:ind w:left="426" w:hanging="426"/>
        <w:jc w:val="both"/>
        <w:rPr>
          <w:rFonts w:cstheme="minorHAnsi"/>
          <w:sz w:val="28"/>
          <w:szCs w:val="28"/>
        </w:rPr>
      </w:pPr>
      <w:r w:rsidRPr="005E1103">
        <w:rPr>
          <w:rFonts w:cstheme="minorHAnsi"/>
          <w:sz w:val="28"/>
          <w:szCs w:val="28"/>
        </w:rPr>
        <w:t xml:space="preserve">Armstrong, D., y Cairnduff, A.  </w:t>
      </w:r>
      <w:r w:rsidRPr="005E1103">
        <w:rPr>
          <w:rFonts w:cstheme="minorHAnsi"/>
          <w:sz w:val="28"/>
          <w:szCs w:val="28"/>
          <w:lang w:val="en-US"/>
        </w:rPr>
        <w:t xml:space="preserve">(2012) Inclusion in higher education: issues in university–school partnership. </w:t>
      </w:r>
      <w:r w:rsidRPr="005E1103">
        <w:rPr>
          <w:rFonts w:cstheme="minorHAnsi"/>
          <w:i/>
          <w:sz w:val="28"/>
          <w:szCs w:val="28"/>
        </w:rPr>
        <w:t>International Journal of Inclusive Education, 16</w:t>
      </w:r>
      <w:r w:rsidRPr="005E1103">
        <w:rPr>
          <w:rFonts w:cstheme="minorHAnsi"/>
          <w:sz w:val="28"/>
          <w:szCs w:val="28"/>
        </w:rPr>
        <w:t xml:space="preserve"> (9), 917-928.</w:t>
      </w:r>
    </w:p>
    <w:p w:rsidR="00AB65A1" w:rsidRPr="005E1103" w:rsidRDefault="00AB65A1" w:rsidP="00AB65A1">
      <w:pPr>
        <w:ind w:left="426" w:hanging="426"/>
        <w:jc w:val="both"/>
        <w:rPr>
          <w:rFonts w:cstheme="minorHAnsi"/>
          <w:sz w:val="28"/>
          <w:szCs w:val="28"/>
        </w:rPr>
      </w:pPr>
      <w:r w:rsidRPr="005E1103">
        <w:rPr>
          <w:rFonts w:cstheme="minorHAnsi"/>
          <w:sz w:val="28"/>
          <w:szCs w:val="28"/>
          <w:lang w:val="x-none"/>
        </w:rPr>
        <w:t xml:space="preserve">Booth, T. (2006). Manteniendo el futuro con vida; convirtiendo los valores de la inclusión en acciones. En M.A. Verdugo y F.B. Jordán de Urríes (Coords.), </w:t>
      </w:r>
      <w:r w:rsidRPr="005E1103">
        <w:rPr>
          <w:rFonts w:cstheme="minorHAnsi"/>
          <w:i/>
          <w:sz w:val="28"/>
          <w:szCs w:val="28"/>
          <w:lang w:val="x-none"/>
        </w:rPr>
        <w:t>Rompiendo inercias. Claves para avanzar. VI Jornadas Científicas de Investigación sobre Personas con Discapacidad</w:t>
      </w:r>
      <w:r w:rsidRPr="005E1103">
        <w:rPr>
          <w:rFonts w:cstheme="minorHAnsi"/>
          <w:sz w:val="28"/>
          <w:szCs w:val="28"/>
          <w:lang w:val="x-none"/>
        </w:rPr>
        <w:t xml:space="preserve"> (pp. 211-217). </w:t>
      </w:r>
      <w:r w:rsidRPr="005E1103">
        <w:rPr>
          <w:rFonts w:cstheme="minorHAnsi"/>
          <w:sz w:val="28"/>
          <w:szCs w:val="28"/>
        </w:rPr>
        <w:t>Salamanca: Amarú.</w:t>
      </w:r>
    </w:p>
    <w:p w:rsidR="00AB65A1" w:rsidRPr="005E1103" w:rsidRDefault="00AB65A1" w:rsidP="00AB65A1">
      <w:pPr>
        <w:ind w:left="426" w:hanging="426"/>
        <w:jc w:val="both"/>
        <w:rPr>
          <w:rFonts w:cstheme="minorHAnsi"/>
          <w:sz w:val="28"/>
          <w:szCs w:val="28"/>
          <w:lang w:val="en-US"/>
        </w:rPr>
      </w:pPr>
      <w:r w:rsidRPr="005E1103">
        <w:rPr>
          <w:rFonts w:cstheme="minorHAnsi"/>
          <w:sz w:val="28"/>
          <w:szCs w:val="28"/>
        </w:rPr>
        <w:t xml:space="preserve">Booth, T., y Ainscow.M. (2015). Guía para la Educación Inclusiva. </w:t>
      </w:r>
      <w:r w:rsidRPr="005E1103">
        <w:rPr>
          <w:rFonts w:cstheme="minorHAnsi"/>
          <w:i/>
          <w:sz w:val="28"/>
          <w:szCs w:val="28"/>
        </w:rPr>
        <w:t>Desarrollando el aprendizaje y la participación en los centros escolares</w:t>
      </w:r>
      <w:r w:rsidRPr="005E1103">
        <w:rPr>
          <w:rFonts w:cstheme="minorHAnsi"/>
          <w:sz w:val="28"/>
          <w:szCs w:val="28"/>
        </w:rPr>
        <w:t xml:space="preserve">. </w:t>
      </w:r>
      <w:r w:rsidRPr="005E1103">
        <w:rPr>
          <w:rFonts w:cstheme="minorHAnsi"/>
          <w:sz w:val="28"/>
          <w:szCs w:val="28"/>
          <w:lang w:val="en-US"/>
        </w:rPr>
        <w:t xml:space="preserve">Madrid: OEI/FUHEM [Trad. Cast. Booth, T. y Ainscow, M. (2011). </w:t>
      </w:r>
      <w:r w:rsidRPr="005E1103">
        <w:rPr>
          <w:rFonts w:cstheme="minorHAnsi"/>
          <w:i/>
          <w:sz w:val="28"/>
          <w:szCs w:val="28"/>
          <w:lang w:val="en-US"/>
        </w:rPr>
        <w:t xml:space="preserve">Index for Inclusion. Developing learning and participation in schools </w:t>
      </w:r>
      <w:r w:rsidRPr="005E1103">
        <w:rPr>
          <w:rFonts w:cstheme="minorHAnsi"/>
          <w:sz w:val="28"/>
          <w:szCs w:val="28"/>
          <w:lang w:val="en-US"/>
        </w:rPr>
        <w:t>(3ª ed.rev.</w:t>
      </w:r>
      <w:r w:rsidR="00FC5683" w:rsidRPr="005E1103">
        <w:rPr>
          <w:rFonts w:cstheme="minorHAnsi"/>
          <w:sz w:val="28"/>
          <w:szCs w:val="28"/>
          <w:lang w:val="en-US"/>
        </w:rPr>
        <w:t>). Bristol</w:t>
      </w:r>
      <w:r w:rsidRPr="005E1103">
        <w:rPr>
          <w:rFonts w:cstheme="minorHAnsi"/>
          <w:sz w:val="28"/>
          <w:szCs w:val="28"/>
          <w:lang w:val="en-US"/>
        </w:rPr>
        <w:t>: CSIE]</w:t>
      </w:r>
    </w:p>
    <w:p w:rsidR="00AB65A1" w:rsidRPr="005E1103" w:rsidRDefault="00AB65A1" w:rsidP="00AB65A1">
      <w:pPr>
        <w:ind w:left="426" w:hanging="426"/>
        <w:jc w:val="both"/>
        <w:rPr>
          <w:rFonts w:cstheme="minorHAnsi"/>
          <w:sz w:val="28"/>
          <w:szCs w:val="28"/>
          <w:lang w:val="en-US"/>
        </w:rPr>
      </w:pPr>
      <w:r w:rsidRPr="005E1103">
        <w:rPr>
          <w:rFonts w:cstheme="minorHAnsi"/>
          <w:sz w:val="28"/>
          <w:szCs w:val="28"/>
          <w:lang w:val="en-US"/>
        </w:rPr>
        <w:t xml:space="preserve">Bunda, T., Zipin, L., y Brennan, M. (2012) Negotiating university “equity” from Indigenous standpoints: a shaky bridge. </w:t>
      </w:r>
      <w:r w:rsidRPr="005E1103">
        <w:rPr>
          <w:rFonts w:cstheme="minorHAnsi"/>
          <w:i/>
          <w:sz w:val="28"/>
          <w:szCs w:val="28"/>
          <w:lang w:val="en-US"/>
        </w:rPr>
        <w:t xml:space="preserve">International Journal of Inclusive Education, 16 </w:t>
      </w:r>
      <w:r w:rsidRPr="005E1103">
        <w:rPr>
          <w:rFonts w:cstheme="minorHAnsi"/>
          <w:sz w:val="28"/>
          <w:szCs w:val="28"/>
          <w:lang w:val="en-US"/>
        </w:rPr>
        <w:t>(9), 941-957.</w:t>
      </w:r>
    </w:p>
    <w:p w:rsidR="00AB65A1" w:rsidRPr="005E1103" w:rsidRDefault="00AB65A1" w:rsidP="00AB65A1">
      <w:pPr>
        <w:ind w:left="426" w:hanging="426"/>
        <w:jc w:val="both"/>
        <w:rPr>
          <w:rFonts w:cstheme="minorHAnsi"/>
          <w:sz w:val="28"/>
          <w:szCs w:val="28"/>
          <w:lang w:val="en-US"/>
        </w:rPr>
      </w:pPr>
      <w:r w:rsidRPr="005E1103">
        <w:rPr>
          <w:rFonts w:cstheme="minorHAnsi"/>
          <w:sz w:val="28"/>
          <w:szCs w:val="28"/>
          <w:lang w:val="en-US"/>
        </w:rPr>
        <w:t xml:space="preserve">Claiborne, L., Cornforth, S., Gibson, A., y Smith, A. (2010). Supporting students with impairments in higher education: Social inclusion or cold comfort? </w:t>
      </w:r>
      <w:r w:rsidRPr="005E1103">
        <w:rPr>
          <w:rFonts w:cstheme="minorHAnsi"/>
          <w:i/>
          <w:sz w:val="28"/>
          <w:szCs w:val="28"/>
          <w:lang w:val="en-US"/>
        </w:rPr>
        <w:t>International Journal of Inclusive Education</w:t>
      </w:r>
      <w:r w:rsidRPr="005E1103">
        <w:rPr>
          <w:rFonts w:cstheme="minorHAnsi"/>
          <w:sz w:val="28"/>
          <w:szCs w:val="28"/>
          <w:lang w:val="en-US"/>
        </w:rPr>
        <w:t>,</w:t>
      </w:r>
      <w:r w:rsidRPr="005E1103">
        <w:rPr>
          <w:rFonts w:cstheme="minorHAnsi"/>
          <w:i/>
          <w:sz w:val="28"/>
          <w:szCs w:val="28"/>
          <w:lang w:val="en-US"/>
        </w:rPr>
        <w:t xml:space="preserve"> 15</w:t>
      </w:r>
      <w:r w:rsidRPr="005E1103">
        <w:rPr>
          <w:rFonts w:cstheme="minorHAnsi"/>
          <w:sz w:val="28"/>
          <w:szCs w:val="28"/>
          <w:lang w:val="en-US"/>
        </w:rPr>
        <w:t xml:space="preserve">, 513–527. </w:t>
      </w:r>
    </w:p>
    <w:p w:rsidR="00AB65A1" w:rsidRPr="005E1103" w:rsidRDefault="00AB65A1" w:rsidP="00AB65A1">
      <w:pPr>
        <w:ind w:left="426" w:hanging="426"/>
        <w:jc w:val="both"/>
        <w:rPr>
          <w:rFonts w:cstheme="minorHAnsi"/>
          <w:sz w:val="28"/>
          <w:szCs w:val="28"/>
          <w:lang w:val="en-US"/>
        </w:rPr>
      </w:pPr>
      <w:r w:rsidRPr="005E1103">
        <w:rPr>
          <w:rFonts w:cstheme="minorHAnsi"/>
          <w:sz w:val="28"/>
          <w:szCs w:val="28"/>
          <w:lang w:val="en-US"/>
        </w:rPr>
        <w:t xml:space="preserve">Cochran-Smith, M. y cols. (2009). Good and just teaching: the case for social justice in teacher education, </w:t>
      </w:r>
      <w:r w:rsidRPr="005E1103">
        <w:rPr>
          <w:rFonts w:cstheme="minorHAnsi"/>
          <w:i/>
          <w:sz w:val="28"/>
          <w:szCs w:val="28"/>
          <w:lang w:val="en-US"/>
        </w:rPr>
        <w:t>American Journal of Education</w:t>
      </w:r>
      <w:r w:rsidRPr="005E1103">
        <w:rPr>
          <w:rFonts w:cstheme="minorHAnsi"/>
          <w:sz w:val="28"/>
          <w:szCs w:val="28"/>
          <w:lang w:val="en-US"/>
        </w:rPr>
        <w:t xml:space="preserve">, </w:t>
      </w:r>
      <w:r w:rsidR="00FC5683" w:rsidRPr="005E1103">
        <w:rPr>
          <w:rFonts w:cstheme="minorHAnsi"/>
          <w:i/>
          <w:sz w:val="28"/>
          <w:szCs w:val="28"/>
          <w:lang w:val="en-US"/>
        </w:rPr>
        <w:t>115,</w:t>
      </w:r>
      <w:r w:rsidR="00FC5683" w:rsidRPr="005E1103">
        <w:rPr>
          <w:rFonts w:cstheme="minorHAnsi"/>
          <w:sz w:val="28"/>
          <w:szCs w:val="28"/>
          <w:lang w:val="en-US"/>
        </w:rPr>
        <w:t xml:space="preserve"> 347</w:t>
      </w:r>
      <w:r w:rsidRPr="005E1103">
        <w:rPr>
          <w:rFonts w:cstheme="minorHAnsi"/>
          <w:sz w:val="28"/>
          <w:szCs w:val="28"/>
          <w:lang w:val="en-US"/>
        </w:rPr>
        <w:t>-377.</w:t>
      </w:r>
    </w:p>
    <w:p w:rsidR="00AB65A1" w:rsidRPr="005E1103" w:rsidRDefault="00AB65A1" w:rsidP="00AB65A1">
      <w:pPr>
        <w:ind w:left="426" w:hanging="426"/>
        <w:jc w:val="both"/>
        <w:rPr>
          <w:rFonts w:cstheme="minorHAnsi"/>
          <w:sz w:val="28"/>
          <w:szCs w:val="28"/>
        </w:rPr>
      </w:pPr>
      <w:r w:rsidRPr="005E1103">
        <w:rPr>
          <w:rFonts w:cstheme="minorHAnsi"/>
          <w:sz w:val="28"/>
          <w:szCs w:val="28"/>
        </w:rPr>
        <w:lastRenderedPageBreak/>
        <w:t xml:space="preserve">Dalmau, M., Guasch, D., Sala, I., Llinares, M., Dotras, P., Álvares, M.H., y Giné, C. (2015). </w:t>
      </w:r>
      <w:r w:rsidRPr="005E1103">
        <w:rPr>
          <w:rFonts w:cstheme="minorHAnsi"/>
          <w:i/>
          <w:sz w:val="28"/>
          <w:szCs w:val="28"/>
        </w:rPr>
        <w:t>Diseño Universal para la Instrucción (DUI). Indicadores para su implementación en el ámbito universitario</w:t>
      </w:r>
      <w:r w:rsidRPr="005E1103">
        <w:rPr>
          <w:rFonts w:cstheme="minorHAnsi"/>
          <w:sz w:val="28"/>
          <w:szCs w:val="28"/>
        </w:rPr>
        <w:t>. Barcelona: Universitat Ramon Llull/ Cátedra d’Accesibilitat de la Universitat Politècnica de Catalunya.</w:t>
      </w:r>
    </w:p>
    <w:p w:rsidR="00AB65A1" w:rsidRPr="005E1103" w:rsidRDefault="00AB65A1" w:rsidP="00AB65A1">
      <w:pPr>
        <w:ind w:left="426" w:hanging="426"/>
        <w:jc w:val="both"/>
        <w:rPr>
          <w:rFonts w:cstheme="minorHAnsi"/>
          <w:sz w:val="28"/>
          <w:szCs w:val="28"/>
          <w:lang w:val="en-US"/>
        </w:rPr>
      </w:pPr>
      <w:r w:rsidRPr="005E1103">
        <w:rPr>
          <w:rFonts w:cstheme="minorHAnsi"/>
          <w:sz w:val="28"/>
          <w:szCs w:val="28"/>
        </w:rPr>
        <w:t xml:space="preserve">Díez, E., y Sánchez, S. (2015). Diseño universal para el aprendizaje como metodología docente para atender a la diversidad en la universidad. </w:t>
      </w:r>
      <w:r w:rsidRPr="005E1103">
        <w:rPr>
          <w:rFonts w:cstheme="minorHAnsi"/>
          <w:i/>
          <w:sz w:val="28"/>
          <w:szCs w:val="28"/>
          <w:lang w:val="en-US"/>
        </w:rPr>
        <w:t xml:space="preserve">Aula </w:t>
      </w:r>
      <w:r w:rsidR="005E1103" w:rsidRPr="005E1103">
        <w:rPr>
          <w:rFonts w:cstheme="minorHAnsi"/>
          <w:i/>
          <w:sz w:val="28"/>
          <w:szCs w:val="28"/>
          <w:lang w:val="en-US"/>
        </w:rPr>
        <w:t>Abierta, 43</w:t>
      </w:r>
      <w:r w:rsidR="005E1103" w:rsidRPr="005E1103">
        <w:rPr>
          <w:rFonts w:cstheme="minorHAnsi"/>
          <w:sz w:val="28"/>
          <w:szCs w:val="28"/>
          <w:lang w:val="en-US"/>
        </w:rPr>
        <w:t>, 87</w:t>
      </w:r>
      <w:r w:rsidRPr="005E1103">
        <w:rPr>
          <w:rFonts w:cstheme="minorHAnsi"/>
          <w:sz w:val="28"/>
          <w:szCs w:val="28"/>
          <w:lang w:val="en-US"/>
        </w:rPr>
        <w:t>–93.</w:t>
      </w:r>
    </w:p>
    <w:p w:rsidR="00AB65A1" w:rsidRPr="005E1103" w:rsidRDefault="00AB65A1" w:rsidP="00AB65A1">
      <w:pPr>
        <w:ind w:left="426" w:hanging="426"/>
        <w:jc w:val="both"/>
        <w:rPr>
          <w:rFonts w:cstheme="minorHAnsi"/>
          <w:sz w:val="28"/>
          <w:szCs w:val="28"/>
          <w:lang w:val="en-US"/>
        </w:rPr>
      </w:pPr>
      <w:r w:rsidRPr="005E1103">
        <w:rPr>
          <w:rFonts w:cstheme="minorHAnsi"/>
          <w:sz w:val="28"/>
          <w:szCs w:val="28"/>
          <w:lang w:val="en-US"/>
        </w:rPr>
        <w:t xml:space="preserve">Gibson, S.  (2015) When rights are not enough: What is? Moving towards new pedagogy for inclusive education within UK universities. </w:t>
      </w:r>
      <w:r w:rsidRPr="005E1103">
        <w:rPr>
          <w:rFonts w:cstheme="minorHAnsi"/>
          <w:i/>
          <w:sz w:val="28"/>
          <w:szCs w:val="28"/>
          <w:lang w:val="en-US"/>
        </w:rPr>
        <w:t>International Journal of Inclusive Education, 19</w:t>
      </w:r>
      <w:r w:rsidRPr="005E1103">
        <w:rPr>
          <w:rFonts w:cstheme="minorHAnsi"/>
          <w:sz w:val="28"/>
          <w:szCs w:val="28"/>
          <w:lang w:val="en-US"/>
        </w:rPr>
        <w:t xml:space="preserve"> (8), 875-886.</w:t>
      </w:r>
    </w:p>
    <w:p w:rsidR="00AB65A1" w:rsidRPr="005E1103" w:rsidRDefault="00AB65A1" w:rsidP="00AB65A1">
      <w:pPr>
        <w:ind w:left="426" w:hanging="426"/>
        <w:jc w:val="both"/>
        <w:rPr>
          <w:rFonts w:cstheme="minorHAnsi"/>
          <w:sz w:val="28"/>
          <w:szCs w:val="28"/>
          <w:lang w:val="en-US"/>
        </w:rPr>
      </w:pPr>
      <w:r w:rsidRPr="005E1103">
        <w:rPr>
          <w:rFonts w:cstheme="minorHAnsi"/>
          <w:noProof/>
          <w:sz w:val="28"/>
          <w:szCs w:val="28"/>
          <w:lang w:val="en-US"/>
        </w:rPr>
        <w:t xml:space="preserve">Gowlett, C.  (2012) Injurious assumptions: Butler, subjectification and gen(d)erational poverty, </w:t>
      </w:r>
      <w:r w:rsidRPr="005E1103">
        <w:rPr>
          <w:rFonts w:cstheme="minorHAnsi"/>
          <w:i/>
          <w:noProof/>
          <w:sz w:val="28"/>
          <w:szCs w:val="28"/>
          <w:lang w:val="en-US"/>
        </w:rPr>
        <w:t>International Journal of Inclusive Education, 16</w:t>
      </w:r>
      <w:r w:rsidRPr="005E1103">
        <w:rPr>
          <w:rFonts w:cstheme="minorHAnsi"/>
          <w:noProof/>
          <w:sz w:val="28"/>
          <w:szCs w:val="28"/>
          <w:lang w:val="en-US"/>
        </w:rPr>
        <w:t xml:space="preserve"> (9), 885-900.</w:t>
      </w:r>
    </w:p>
    <w:p w:rsidR="00AB65A1" w:rsidRPr="005E1103" w:rsidRDefault="00AB65A1" w:rsidP="00AB65A1">
      <w:pPr>
        <w:ind w:left="426" w:hanging="426"/>
        <w:jc w:val="both"/>
        <w:rPr>
          <w:rFonts w:cstheme="minorHAnsi"/>
          <w:sz w:val="28"/>
          <w:szCs w:val="28"/>
          <w:lang w:val="en-US"/>
        </w:rPr>
      </w:pPr>
      <w:r w:rsidRPr="005E1103">
        <w:rPr>
          <w:rFonts w:cstheme="minorHAnsi"/>
          <w:noProof/>
          <w:sz w:val="28"/>
          <w:szCs w:val="28"/>
          <w:lang w:val="en-US"/>
        </w:rPr>
        <w:t xml:space="preserve">Holt, B.  (2012) Identity matters: the centrality of “conferred identity” as symbolic power and social capital in higher education mobility. </w:t>
      </w:r>
      <w:r w:rsidRPr="005E1103">
        <w:rPr>
          <w:rFonts w:cstheme="minorHAnsi"/>
          <w:i/>
          <w:noProof/>
          <w:sz w:val="28"/>
          <w:szCs w:val="28"/>
          <w:lang w:val="en-US"/>
        </w:rPr>
        <w:t>International Journal of Inclusive Education, 16</w:t>
      </w:r>
      <w:r w:rsidRPr="005E1103">
        <w:rPr>
          <w:rFonts w:cstheme="minorHAnsi"/>
          <w:noProof/>
          <w:sz w:val="28"/>
          <w:szCs w:val="28"/>
          <w:lang w:val="en-US"/>
        </w:rPr>
        <w:t xml:space="preserve"> (9), 929-940.</w:t>
      </w:r>
    </w:p>
    <w:p w:rsidR="00AB65A1" w:rsidRPr="005E1103" w:rsidRDefault="00AB65A1" w:rsidP="00AB65A1">
      <w:pPr>
        <w:ind w:left="426" w:hanging="426"/>
        <w:jc w:val="both"/>
        <w:rPr>
          <w:rFonts w:cstheme="minorHAnsi"/>
          <w:sz w:val="28"/>
          <w:szCs w:val="28"/>
          <w:lang w:val="en-US"/>
        </w:rPr>
      </w:pPr>
      <w:r w:rsidRPr="005E1103">
        <w:rPr>
          <w:rFonts w:cstheme="minorHAnsi"/>
          <w:noProof/>
          <w:sz w:val="28"/>
          <w:szCs w:val="28"/>
          <w:lang w:val="en-US"/>
        </w:rPr>
        <w:t xml:space="preserve">Hughes, K.  (2015) The social inclusion meme in higher education: are universities doing enough? </w:t>
      </w:r>
      <w:r w:rsidRPr="005E1103">
        <w:rPr>
          <w:rFonts w:cstheme="minorHAnsi"/>
          <w:i/>
          <w:noProof/>
          <w:sz w:val="28"/>
          <w:szCs w:val="28"/>
          <w:lang w:val="en-US"/>
        </w:rPr>
        <w:t>International Journal of Inclusive Education,</w:t>
      </w:r>
      <w:r w:rsidRPr="005E1103">
        <w:rPr>
          <w:rFonts w:cstheme="minorHAnsi"/>
          <w:noProof/>
          <w:sz w:val="28"/>
          <w:szCs w:val="28"/>
          <w:lang w:val="en-US"/>
        </w:rPr>
        <w:t xml:space="preserve"> </w:t>
      </w:r>
      <w:r w:rsidRPr="005E1103">
        <w:rPr>
          <w:rFonts w:cstheme="minorHAnsi"/>
          <w:i/>
          <w:noProof/>
          <w:sz w:val="28"/>
          <w:szCs w:val="28"/>
          <w:lang w:val="en-US"/>
        </w:rPr>
        <w:t>19</w:t>
      </w:r>
      <w:r w:rsidRPr="005E1103">
        <w:rPr>
          <w:rFonts w:cstheme="minorHAnsi"/>
          <w:noProof/>
          <w:sz w:val="28"/>
          <w:szCs w:val="28"/>
          <w:lang w:val="en-US"/>
        </w:rPr>
        <w:t xml:space="preserve"> (3), 303-313.</w:t>
      </w:r>
    </w:p>
    <w:p w:rsidR="00AB65A1" w:rsidRPr="005E1103" w:rsidRDefault="00AB65A1" w:rsidP="00AB65A1">
      <w:pPr>
        <w:ind w:left="426" w:hanging="426"/>
        <w:jc w:val="both"/>
        <w:rPr>
          <w:rFonts w:cstheme="minorHAnsi"/>
          <w:sz w:val="28"/>
          <w:szCs w:val="28"/>
          <w:lang w:val="en-US"/>
        </w:rPr>
      </w:pPr>
      <w:r w:rsidRPr="005E1103">
        <w:rPr>
          <w:rFonts w:cstheme="minorHAnsi"/>
          <w:sz w:val="28"/>
          <w:szCs w:val="28"/>
          <w:lang w:val="en-US"/>
        </w:rPr>
        <w:t xml:space="preserve">Jones, J., Bennett, S. y Lockyer, L. (2011). Applying a learning design to the design of a university unit: a single case study. En T. Bastiaens </w:t>
      </w:r>
      <w:r w:rsidR="005E1103" w:rsidRPr="005E1103">
        <w:rPr>
          <w:rFonts w:cstheme="minorHAnsi"/>
          <w:sz w:val="28"/>
          <w:szCs w:val="28"/>
          <w:lang w:val="en-US"/>
        </w:rPr>
        <w:t>y M.</w:t>
      </w:r>
      <w:r w:rsidRPr="005E1103">
        <w:rPr>
          <w:rFonts w:cstheme="minorHAnsi"/>
          <w:sz w:val="28"/>
          <w:szCs w:val="28"/>
          <w:lang w:val="en-US"/>
        </w:rPr>
        <w:t xml:space="preserve"> Ebner (Eds.), </w:t>
      </w:r>
      <w:r w:rsidRPr="005E1103">
        <w:rPr>
          <w:rFonts w:cstheme="minorHAnsi"/>
          <w:i/>
          <w:sz w:val="28"/>
          <w:szCs w:val="28"/>
          <w:lang w:val="en-US"/>
        </w:rPr>
        <w:t>Proceedings of the World Conference on Educational Multimedia, Hypermedia and Telecommunications (EDMEDIA)</w:t>
      </w:r>
      <w:r w:rsidRPr="005E1103">
        <w:rPr>
          <w:rFonts w:cstheme="minorHAnsi"/>
          <w:sz w:val="28"/>
          <w:szCs w:val="28"/>
          <w:lang w:val="en-US"/>
        </w:rPr>
        <w:t xml:space="preserve"> (pp. 3340-3349). Chesapeake, VA: AACE.</w:t>
      </w:r>
    </w:p>
    <w:p w:rsidR="00AB65A1" w:rsidRPr="005E1103" w:rsidRDefault="00AB65A1" w:rsidP="00AB65A1">
      <w:pPr>
        <w:ind w:left="426" w:hanging="426"/>
        <w:jc w:val="both"/>
        <w:rPr>
          <w:rFonts w:cstheme="minorHAnsi"/>
          <w:i/>
          <w:sz w:val="28"/>
          <w:szCs w:val="28"/>
          <w:lang w:val="en-US"/>
        </w:rPr>
      </w:pPr>
      <w:r w:rsidRPr="005E1103">
        <w:rPr>
          <w:rFonts w:cstheme="minorHAnsi"/>
          <w:sz w:val="28"/>
          <w:szCs w:val="28"/>
          <w:lang w:val="en-US"/>
        </w:rPr>
        <w:t>Lombardi, A. Vukovic, B. y Sala-Bars (2015) International comparisons of inclusive instruction among college Faculty in Spain, Canada and United states.</w:t>
      </w:r>
      <w:r w:rsidRPr="005E1103">
        <w:rPr>
          <w:rFonts w:cstheme="minorHAnsi"/>
          <w:i/>
          <w:sz w:val="28"/>
          <w:szCs w:val="28"/>
          <w:lang w:val="en-US"/>
        </w:rPr>
        <w:t xml:space="preserve"> Journal</w:t>
      </w:r>
      <w:r w:rsidRPr="005E1103">
        <w:rPr>
          <w:rFonts w:cstheme="minorHAnsi"/>
          <w:sz w:val="28"/>
          <w:szCs w:val="28"/>
          <w:lang w:val="en-US"/>
        </w:rPr>
        <w:t xml:space="preserve"> </w:t>
      </w:r>
      <w:r w:rsidRPr="005E1103">
        <w:rPr>
          <w:rFonts w:cstheme="minorHAnsi"/>
          <w:i/>
          <w:sz w:val="28"/>
          <w:szCs w:val="28"/>
          <w:lang w:val="en-US"/>
        </w:rPr>
        <w:t>of postsecondary education and disability 28(4), 447-460.</w:t>
      </w:r>
    </w:p>
    <w:p w:rsidR="00AB65A1" w:rsidRPr="005E1103" w:rsidRDefault="00AB65A1" w:rsidP="00AB65A1">
      <w:pPr>
        <w:ind w:left="426" w:hanging="426"/>
        <w:jc w:val="both"/>
        <w:rPr>
          <w:rFonts w:cstheme="minorHAnsi"/>
          <w:sz w:val="28"/>
          <w:szCs w:val="28"/>
          <w:lang w:val="en-US"/>
        </w:rPr>
      </w:pPr>
      <w:r w:rsidRPr="005E1103">
        <w:rPr>
          <w:rFonts w:cstheme="minorHAnsi"/>
          <w:sz w:val="28"/>
          <w:szCs w:val="28"/>
          <w:lang w:val="en-US"/>
        </w:rPr>
        <w:t xml:space="preserve">Moriña, A., Cortés, M.D., y Molina, V.M. (2015). What if we could imagine the ideal faculty? Proposals for improvement by university students with disabilities. </w:t>
      </w:r>
      <w:r w:rsidRPr="005E1103">
        <w:rPr>
          <w:rFonts w:cstheme="minorHAnsi"/>
          <w:i/>
          <w:sz w:val="28"/>
          <w:szCs w:val="28"/>
          <w:lang w:val="en-US"/>
        </w:rPr>
        <w:t>Teaching and Teacher Education,</w:t>
      </w:r>
      <w:r w:rsidRPr="005E1103">
        <w:rPr>
          <w:rFonts w:cstheme="minorHAnsi"/>
          <w:sz w:val="28"/>
          <w:szCs w:val="28"/>
          <w:lang w:val="en-US"/>
        </w:rPr>
        <w:t xml:space="preserve"> 52, 91-98.</w:t>
      </w:r>
    </w:p>
    <w:p w:rsidR="00AB65A1" w:rsidRPr="005E1103" w:rsidRDefault="00AB65A1" w:rsidP="00AB65A1">
      <w:pPr>
        <w:ind w:left="426" w:hanging="426"/>
        <w:jc w:val="both"/>
        <w:rPr>
          <w:rFonts w:cstheme="minorHAnsi"/>
          <w:sz w:val="28"/>
          <w:szCs w:val="28"/>
          <w:lang w:val="en-US"/>
        </w:rPr>
      </w:pPr>
      <w:r w:rsidRPr="005E1103">
        <w:rPr>
          <w:rFonts w:cstheme="minorHAnsi"/>
          <w:sz w:val="28"/>
          <w:szCs w:val="28"/>
        </w:rPr>
        <w:t xml:space="preserve">Moriña, A. López, R., Melero, N., Cortés, M.D. y Molina, V.M. (2013). El profesorado en la universidad ante el alumnado con discapacidad: ¿tendiendo puentes o levantando muros? </w:t>
      </w:r>
      <w:r w:rsidRPr="005E1103">
        <w:rPr>
          <w:rFonts w:cstheme="minorHAnsi"/>
          <w:i/>
          <w:sz w:val="28"/>
          <w:szCs w:val="28"/>
          <w:lang w:val="en-US"/>
        </w:rPr>
        <w:t>Revista de Docencia Universitaria, 11</w:t>
      </w:r>
      <w:r w:rsidRPr="005E1103">
        <w:rPr>
          <w:rFonts w:cstheme="minorHAnsi"/>
          <w:sz w:val="28"/>
          <w:szCs w:val="28"/>
          <w:lang w:val="en-US"/>
        </w:rPr>
        <w:t xml:space="preserve"> (3), 423-442.</w:t>
      </w:r>
    </w:p>
    <w:p w:rsidR="00AB65A1" w:rsidRPr="005E1103" w:rsidRDefault="00AB65A1" w:rsidP="00AB65A1">
      <w:pPr>
        <w:ind w:left="426" w:hanging="426"/>
        <w:jc w:val="both"/>
        <w:rPr>
          <w:rFonts w:cstheme="minorHAnsi"/>
          <w:sz w:val="28"/>
          <w:szCs w:val="28"/>
        </w:rPr>
      </w:pPr>
      <w:r w:rsidRPr="005E1103">
        <w:rPr>
          <w:rFonts w:cstheme="minorHAnsi"/>
          <w:sz w:val="28"/>
          <w:szCs w:val="28"/>
          <w:lang w:val="en-US"/>
        </w:rPr>
        <w:t xml:space="preserve">Moswela, E., y Mukhopadhyay, S. (2011). Asking for too much? The voices of students with disabilities in Botswana. </w:t>
      </w:r>
      <w:r w:rsidRPr="005E1103">
        <w:rPr>
          <w:rFonts w:cstheme="minorHAnsi"/>
          <w:i/>
          <w:sz w:val="28"/>
          <w:szCs w:val="28"/>
        </w:rPr>
        <w:t>Disability &amp; Society, 26</w:t>
      </w:r>
      <w:r w:rsidRPr="005E1103">
        <w:rPr>
          <w:rFonts w:cstheme="minorHAnsi"/>
          <w:sz w:val="28"/>
          <w:szCs w:val="28"/>
        </w:rPr>
        <w:t>, 307-319.</w:t>
      </w:r>
    </w:p>
    <w:p w:rsidR="00AB65A1" w:rsidRPr="005E1103" w:rsidRDefault="00AB65A1" w:rsidP="00AB65A1">
      <w:pPr>
        <w:ind w:left="426" w:hanging="426"/>
        <w:jc w:val="both"/>
        <w:rPr>
          <w:rFonts w:cstheme="minorHAnsi"/>
          <w:sz w:val="28"/>
          <w:szCs w:val="28"/>
          <w:lang w:val="en-US"/>
        </w:rPr>
      </w:pPr>
      <w:r w:rsidRPr="005E1103">
        <w:rPr>
          <w:rFonts w:cstheme="minorHAnsi"/>
          <w:sz w:val="28"/>
          <w:szCs w:val="28"/>
        </w:rPr>
        <w:t xml:space="preserve">Pozo, J. I., </w:t>
      </w:r>
      <w:r w:rsidR="005E1103" w:rsidRPr="005E1103">
        <w:rPr>
          <w:rFonts w:cstheme="minorHAnsi"/>
          <w:sz w:val="28"/>
          <w:szCs w:val="28"/>
        </w:rPr>
        <w:t>y Monereo</w:t>
      </w:r>
      <w:r w:rsidRPr="005E1103">
        <w:rPr>
          <w:rFonts w:cstheme="minorHAnsi"/>
          <w:sz w:val="28"/>
          <w:szCs w:val="28"/>
        </w:rPr>
        <w:t xml:space="preserve">, C. (2009). Introducción: la nueva cultura del aprendizaje universitario o por qué cambian nuestras formas de enseñar y aprender. In J. I. Pozo, </w:t>
      </w:r>
      <w:r w:rsidRPr="005E1103">
        <w:rPr>
          <w:rFonts w:cstheme="minorHAnsi"/>
          <w:sz w:val="28"/>
          <w:szCs w:val="28"/>
        </w:rPr>
        <w:lastRenderedPageBreak/>
        <w:t xml:space="preserve">&amp; M. P. Pérez (Coords.), </w:t>
      </w:r>
      <w:r w:rsidRPr="005E1103">
        <w:rPr>
          <w:rFonts w:cstheme="minorHAnsi"/>
          <w:i/>
          <w:sz w:val="28"/>
          <w:szCs w:val="28"/>
        </w:rPr>
        <w:t>Psicología del aprendizaje universitario: la formación en competencias</w:t>
      </w:r>
      <w:r w:rsidRPr="005E1103">
        <w:rPr>
          <w:rFonts w:cstheme="minorHAnsi"/>
          <w:sz w:val="28"/>
          <w:szCs w:val="28"/>
        </w:rPr>
        <w:t xml:space="preserve"> (pp. 9–28). </w:t>
      </w:r>
      <w:r w:rsidRPr="005E1103">
        <w:rPr>
          <w:rFonts w:cstheme="minorHAnsi"/>
          <w:sz w:val="28"/>
          <w:szCs w:val="28"/>
          <w:lang w:val="en-US"/>
        </w:rPr>
        <w:t>Madrid: Morata.</w:t>
      </w:r>
    </w:p>
    <w:p w:rsidR="00AB65A1" w:rsidRPr="005E1103" w:rsidRDefault="00AB65A1" w:rsidP="00AB65A1">
      <w:pPr>
        <w:ind w:left="426" w:hanging="426"/>
        <w:jc w:val="both"/>
        <w:rPr>
          <w:rFonts w:cstheme="minorHAnsi"/>
          <w:sz w:val="28"/>
          <w:szCs w:val="28"/>
        </w:rPr>
      </w:pPr>
      <w:r w:rsidRPr="005E1103">
        <w:rPr>
          <w:rFonts w:cstheme="minorHAnsi"/>
          <w:sz w:val="28"/>
          <w:szCs w:val="28"/>
          <w:lang w:val="en-US"/>
        </w:rPr>
        <w:t xml:space="preserve">Riddell, S., Tinklin, T., y Wilson, A. (2005). </w:t>
      </w:r>
      <w:r w:rsidRPr="005E1103">
        <w:rPr>
          <w:rFonts w:cstheme="minorHAnsi"/>
          <w:i/>
          <w:sz w:val="28"/>
          <w:szCs w:val="28"/>
          <w:lang w:val="en-US"/>
        </w:rPr>
        <w:t>Disabled students in higher education.</w:t>
      </w:r>
      <w:r w:rsidRPr="005E1103">
        <w:rPr>
          <w:rFonts w:cstheme="minorHAnsi"/>
          <w:sz w:val="28"/>
          <w:szCs w:val="28"/>
          <w:lang w:val="en-US"/>
        </w:rPr>
        <w:t xml:space="preserve"> </w:t>
      </w:r>
      <w:r w:rsidRPr="005E1103">
        <w:rPr>
          <w:rFonts w:cstheme="minorHAnsi"/>
          <w:sz w:val="28"/>
          <w:szCs w:val="28"/>
        </w:rPr>
        <w:t>London: Routledge.</w:t>
      </w:r>
    </w:p>
    <w:p w:rsidR="00AB65A1" w:rsidRPr="005E1103" w:rsidRDefault="00AB65A1" w:rsidP="00AB65A1">
      <w:pPr>
        <w:ind w:left="426" w:hanging="426"/>
        <w:jc w:val="both"/>
        <w:rPr>
          <w:rFonts w:cstheme="minorHAnsi"/>
          <w:sz w:val="28"/>
          <w:szCs w:val="28"/>
          <w:lang w:val="en-US"/>
        </w:rPr>
      </w:pPr>
      <w:r w:rsidRPr="005E1103">
        <w:rPr>
          <w:rFonts w:cstheme="minorHAnsi"/>
          <w:sz w:val="28"/>
          <w:szCs w:val="28"/>
        </w:rPr>
        <w:t xml:space="preserve">Rodríguez Martín, A., Álvarez, E. y García- Ruiz, R. (2014) La atención a la diversidad en la universidad: el valor de las actitudes. </w:t>
      </w:r>
      <w:r w:rsidRPr="005E1103">
        <w:rPr>
          <w:rFonts w:cstheme="minorHAnsi"/>
          <w:i/>
          <w:sz w:val="28"/>
          <w:szCs w:val="28"/>
          <w:lang w:val="en-US"/>
        </w:rPr>
        <w:t>REOP, 25</w:t>
      </w:r>
      <w:r w:rsidRPr="005E1103">
        <w:rPr>
          <w:rFonts w:cstheme="minorHAnsi"/>
          <w:sz w:val="28"/>
          <w:szCs w:val="28"/>
          <w:lang w:val="en-US"/>
        </w:rPr>
        <w:t>, 1, 44-61</w:t>
      </w:r>
    </w:p>
    <w:p w:rsidR="00AB65A1" w:rsidRPr="005E1103" w:rsidRDefault="00AB65A1" w:rsidP="00AB65A1">
      <w:pPr>
        <w:ind w:left="426" w:hanging="426"/>
        <w:jc w:val="both"/>
        <w:rPr>
          <w:rFonts w:cstheme="minorHAnsi"/>
          <w:sz w:val="28"/>
          <w:szCs w:val="28"/>
        </w:rPr>
      </w:pPr>
      <w:r w:rsidRPr="005E1103">
        <w:rPr>
          <w:rFonts w:cstheme="minorHAnsi"/>
          <w:sz w:val="28"/>
          <w:szCs w:val="28"/>
          <w:lang w:val="en-US"/>
        </w:rPr>
        <w:t xml:space="preserve">Ryan, J. y Struhs, J. (2004). University education for all? Barriers to full inclusion of students with disabilities in Australian universities. </w:t>
      </w:r>
      <w:r w:rsidRPr="005E1103">
        <w:rPr>
          <w:rFonts w:cstheme="minorHAnsi"/>
          <w:i/>
          <w:sz w:val="28"/>
          <w:szCs w:val="28"/>
        </w:rPr>
        <w:t>International Journal of Inclusive Education, 8</w:t>
      </w:r>
      <w:r w:rsidRPr="005E1103">
        <w:rPr>
          <w:rFonts w:cstheme="minorHAnsi"/>
          <w:sz w:val="28"/>
          <w:szCs w:val="28"/>
        </w:rPr>
        <w:t xml:space="preserve"> (1), 73-90.</w:t>
      </w:r>
    </w:p>
    <w:p w:rsidR="00AB65A1" w:rsidRPr="005E1103" w:rsidRDefault="00AB65A1" w:rsidP="00AB65A1">
      <w:pPr>
        <w:ind w:left="426" w:hanging="426"/>
        <w:jc w:val="both"/>
        <w:rPr>
          <w:rFonts w:cstheme="minorHAnsi"/>
          <w:sz w:val="28"/>
          <w:szCs w:val="28"/>
        </w:rPr>
      </w:pPr>
      <w:r w:rsidRPr="005E1103">
        <w:rPr>
          <w:rFonts w:cstheme="minorHAnsi"/>
          <w:sz w:val="28"/>
          <w:szCs w:val="28"/>
        </w:rPr>
        <w:t xml:space="preserve">Sala, I., Sánchez, S., Giné, C.y Díaz, E. (2014) Análisis de los distintos enfoques del paradigma del diseño universal aplicado a la educación.  </w:t>
      </w:r>
      <w:r w:rsidRPr="005E1103">
        <w:rPr>
          <w:rFonts w:cstheme="minorHAnsi"/>
          <w:i/>
          <w:sz w:val="28"/>
          <w:szCs w:val="28"/>
        </w:rPr>
        <w:t>Revista latinoamericana de educación inclusiva</w:t>
      </w:r>
      <w:r w:rsidRPr="005E1103">
        <w:rPr>
          <w:rFonts w:cstheme="minorHAnsi"/>
          <w:sz w:val="28"/>
          <w:szCs w:val="28"/>
        </w:rPr>
        <w:t xml:space="preserve">, </w:t>
      </w:r>
      <w:r w:rsidRPr="005E1103">
        <w:rPr>
          <w:rFonts w:cstheme="minorHAnsi"/>
          <w:i/>
          <w:sz w:val="28"/>
          <w:szCs w:val="28"/>
        </w:rPr>
        <w:t>8</w:t>
      </w:r>
      <w:r w:rsidRPr="005E1103">
        <w:rPr>
          <w:rFonts w:cstheme="minorHAnsi"/>
          <w:sz w:val="28"/>
          <w:szCs w:val="28"/>
        </w:rPr>
        <w:t>(1), 143-154.</w:t>
      </w:r>
    </w:p>
    <w:p w:rsidR="00AB65A1" w:rsidRPr="005E1103" w:rsidRDefault="00AB65A1" w:rsidP="00AB65A1">
      <w:pPr>
        <w:ind w:left="426" w:hanging="426"/>
        <w:jc w:val="both"/>
        <w:rPr>
          <w:rFonts w:cstheme="minorHAnsi"/>
          <w:sz w:val="28"/>
          <w:szCs w:val="28"/>
        </w:rPr>
      </w:pPr>
      <w:r w:rsidRPr="005E1103">
        <w:rPr>
          <w:rFonts w:cstheme="minorHAnsi"/>
          <w:sz w:val="28"/>
          <w:szCs w:val="28"/>
        </w:rPr>
        <w:t xml:space="preserve">Sanchez Palomino, A. (2011). La Universidad de Almería ante la integración educativa y social de los estudiantes con discapacidad: Ideas y actitudes del personal docente e investigador. </w:t>
      </w:r>
      <w:r w:rsidRPr="005E1103">
        <w:rPr>
          <w:rFonts w:cstheme="minorHAnsi"/>
          <w:i/>
          <w:sz w:val="28"/>
          <w:szCs w:val="28"/>
        </w:rPr>
        <w:t xml:space="preserve">Revista de Educación, </w:t>
      </w:r>
      <w:r w:rsidRPr="005E1103">
        <w:rPr>
          <w:rFonts w:cstheme="minorHAnsi"/>
          <w:sz w:val="28"/>
          <w:szCs w:val="28"/>
        </w:rPr>
        <w:t>354, 575-603.</w:t>
      </w:r>
    </w:p>
    <w:p w:rsidR="00AB65A1" w:rsidRPr="005E1103" w:rsidRDefault="00AB65A1" w:rsidP="00AB65A1">
      <w:pPr>
        <w:ind w:left="426" w:hanging="426"/>
        <w:jc w:val="both"/>
        <w:rPr>
          <w:rFonts w:cstheme="minorHAnsi"/>
          <w:sz w:val="28"/>
          <w:szCs w:val="28"/>
        </w:rPr>
      </w:pPr>
      <w:r w:rsidRPr="005E1103">
        <w:rPr>
          <w:rFonts w:cstheme="minorHAnsi"/>
          <w:sz w:val="28"/>
          <w:szCs w:val="28"/>
        </w:rPr>
        <w:t xml:space="preserve">Sánchez, S., Díez, E., y Martín, A. (2016). El diseño universal como medio para atender a la diversidad en la educación. Una revisión de casos de éxito en la universidad. </w:t>
      </w:r>
      <w:r w:rsidRPr="005E1103">
        <w:rPr>
          <w:rFonts w:cstheme="minorHAnsi"/>
          <w:i/>
          <w:sz w:val="28"/>
          <w:szCs w:val="28"/>
        </w:rPr>
        <w:t>Contextos Educativos, 19,</w:t>
      </w:r>
      <w:r w:rsidRPr="005E1103">
        <w:rPr>
          <w:rFonts w:cstheme="minorHAnsi"/>
          <w:sz w:val="28"/>
          <w:szCs w:val="28"/>
        </w:rPr>
        <w:t xml:space="preserve"> 121-131.</w:t>
      </w:r>
    </w:p>
    <w:p w:rsidR="00AB65A1" w:rsidRPr="005E1103" w:rsidRDefault="00AB65A1" w:rsidP="00AB65A1">
      <w:pPr>
        <w:ind w:left="426" w:hanging="426"/>
        <w:jc w:val="both"/>
        <w:rPr>
          <w:rFonts w:cstheme="minorHAnsi"/>
          <w:sz w:val="28"/>
          <w:szCs w:val="28"/>
          <w:lang w:val="en-US"/>
        </w:rPr>
      </w:pPr>
      <w:r w:rsidRPr="005E1103">
        <w:rPr>
          <w:rFonts w:cstheme="minorHAnsi"/>
          <w:sz w:val="28"/>
          <w:szCs w:val="28"/>
          <w:lang w:val="en-US"/>
        </w:rPr>
        <w:t xml:space="preserve">Schelly, C., Davies, P. y Spooner, C. (2011) Student perceptions of faculty implementation of universal design for learning. </w:t>
      </w:r>
      <w:r w:rsidRPr="005E1103">
        <w:rPr>
          <w:rFonts w:cstheme="minorHAnsi"/>
          <w:i/>
          <w:sz w:val="28"/>
          <w:szCs w:val="28"/>
          <w:lang w:val="en-US"/>
        </w:rPr>
        <w:t>Journal of Postsecondary Education and Disability</w:t>
      </w:r>
      <w:r w:rsidRPr="005E1103">
        <w:rPr>
          <w:rFonts w:cstheme="minorHAnsi"/>
          <w:sz w:val="28"/>
          <w:szCs w:val="28"/>
          <w:lang w:val="en-US"/>
        </w:rPr>
        <w:t xml:space="preserve">, </w:t>
      </w:r>
      <w:r w:rsidRPr="005E1103">
        <w:rPr>
          <w:rFonts w:cstheme="minorHAnsi"/>
          <w:i/>
          <w:sz w:val="28"/>
          <w:szCs w:val="28"/>
          <w:lang w:val="en-US"/>
        </w:rPr>
        <w:t>24</w:t>
      </w:r>
      <w:r w:rsidRPr="005E1103">
        <w:rPr>
          <w:rFonts w:cstheme="minorHAnsi"/>
          <w:sz w:val="28"/>
          <w:szCs w:val="28"/>
          <w:lang w:val="en-US"/>
        </w:rPr>
        <w:t>(1) 17-30.</w:t>
      </w:r>
    </w:p>
    <w:p w:rsidR="00AB65A1" w:rsidRPr="005E1103" w:rsidRDefault="00AB65A1" w:rsidP="00AB65A1">
      <w:pPr>
        <w:ind w:left="426" w:hanging="426"/>
        <w:jc w:val="both"/>
        <w:rPr>
          <w:rFonts w:cstheme="minorHAnsi"/>
          <w:sz w:val="28"/>
          <w:szCs w:val="28"/>
          <w:lang w:val="en-US"/>
        </w:rPr>
      </w:pPr>
      <w:r w:rsidRPr="005E1103">
        <w:rPr>
          <w:rFonts w:cstheme="minorHAnsi"/>
          <w:sz w:val="28"/>
          <w:szCs w:val="28"/>
          <w:lang w:val="en-US"/>
        </w:rPr>
        <w:t xml:space="preserve">Strnadová, I., Hájková, V., y Květoňová, L. (2015). Voices of university students with disabilities: Inclusive education on the tertiary level – a reality or a distant dream? </w:t>
      </w:r>
      <w:r w:rsidRPr="005E1103">
        <w:rPr>
          <w:rFonts w:cstheme="minorHAnsi"/>
          <w:i/>
          <w:sz w:val="28"/>
          <w:szCs w:val="28"/>
          <w:lang w:val="en-US"/>
        </w:rPr>
        <w:t>International Journal of Inclusive Education, 19</w:t>
      </w:r>
      <w:r w:rsidRPr="005E1103">
        <w:rPr>
          <w:rFonts w:cstheme="minorHAnsi"/>
          <w:sz w:val="28"/>
          <w:szCs w:val="28"/>
          <w:lang w:val="en-US"/>
        </w:rPr>
        <w:t xml:space="preserve">(10), 1080-1095. </w:t>
      </w:r>
    </w:p>
    <w:p w:rsidR="00AB65A1" w:rsidRPr="005E1103" w:rsidRDefault="00AB65A1" w:rsidP="00AB65A1">
      <w:pPr>
        <w:ind w:left="426" w:hanging="426"/>
        <w:jc w:val="both"/>
        <w:rPr>
          <w:rFonts w:cstheme="minorHAnsi"/>
          <w:sz w:val="28"/>
          <w:szCs w:val="28"/>
          <w:lang w:val="en-US"/>
        </w:rPr>
      </w:pPr>
      <w:r w:rsidRPr="005E1103">
        <w:rPr>
          <w:rFonts w:cstheme="minorHAnsi"/>
          <w:sz w:val="28"/>
          <w:szCs w:val="28"/>
          <w:lang w:val="en-US"/>
        </w:rPr>
        <w:t xml:space="preserve">Tranter, D.  (2012) Unequal schooling: how the school curriculum keeps students from low socio‐economic backgrounds out of university. </w:t>
      </w:r>
      <w:r w:rsidRPr="005E1103">
        <w:rPr>
          <w:rFonts w:cstheme="minorHAnsi"/>
          <w:i/>
          <w:sz w:val="28"/>
          <w:szCs w:val="28"/>
          <w:lang w:val="en-US"/>
        </w:rPr>
        <w:t>International Journal of Inclusive Education, 16</w:t>
      </w:r>
      <w:r w:rsidRPr="005E1103">
        <w:rPr>
          <w:rFonts w:cstheme="minorHAnsi"/>
          <w:sz w:val="28"/>
          <w:szCs w:val="28"/>
          <w:lang w:val="en-US"/>
        </w:rPr>
        <w:t xml:space="preserve"> (9), 901-916.</w:t>
      </w:r>
    </w:p>
    <w:p w:rsidR="00AB65A1" w:rsidRPr="005E1103" w:rsidRDefault="00AB65A1" w:rsidP="00AB65A1">
      <w:pPr>
        <w:ind w:left="426" w:hanging="426"/>
        <w:jc w:val="both"/>
        <w:rPr>
          <w:rFonts w:cstheme="minorHAnsi"/>
          <w:sz w:val="28"/>
          <w:szCs w:val="28"/>
          <w:lang w:val="en-US"/>
        </w:rPr>
      </w:pPr>
      <w:r w:rsidRPr="005E1103">
        <w:rPr>
          <w:rFonts w:cstheme="minorHAnsi"/>
          <w:sz w:val="28"/>
          <w:szCs w:val="28"/>
          <w:lang w:val="en-US"/>
        </w:rPr>
        <w:t xml:space="preserve">UN. CRPD (2016). </w:t>
      </w:r>
      <w:r w:rsidRPr="005E1103">
        <w:rPr>
          <w:rFonts w:cstheme="minorHAnsi"/>
          <w:i/>
          <w:sz w:val="28"/>
          <w:szCs w:val="28"/>
          <w:lang w:val="en-US"/>
        </w:rPr>
        <w:t>General comment Nº4 (2016). Article 24: Right to inclusive education. Convention on the Rights of Persons with Disabilities.</w:t>
      </w:r>
      <w:r w:rsidRPr="005E1103">
        <w:rPr>
          <w:rFonts w:cstheme="minorHAnsi"/>
          <w:sz w:val="28"/>
          <w:szCs w:val="28"/>
          <w:lang w:val="en-US"/>
        </w:rPr>
        <w:t xml:space="preserve">  Recuperado de </w:t>
      </w:r>
      <w:hyperlink r:id="rId13" w:history="1">
        <w:r w:rsidRPr="005E1103">
          <w:rPr>
            <w:rStyle w:val="Hipervnculo"/>
            <w:rFonts w:cstheme="minorHAnsi"/>
            <w:sz w:val="28"/>
            <w:szCs w:val="28"/>
            <w:lang w:val="en-US"/>
          </w:rPr>
          <w:t>http://www.ohchr.org/EN/HRBodies/CRPD/Pages/CRPDIndex.aspx</w:t>
        </w:r>
      </w:hyperlink>
    </w:p>
    <w:p w:rsidR="00AB65A1" w:rsidRPr="005E1103" w:rsidRDefault="00AB65A1" w:rsidP="00AB65A1">
      <w:pPr>
        <w:ind w:left="426" w:hanging="426"/>
        <w:jc w:val="both"/>
        <w:rPr>
          <w:rFonts w:cstheme="minorHAnsi"/>
          <w:sz w:val="28"/>
          <w:szCs w:val="28"/>
          <w:lang w:val="en-US"/>
        </w:rPr>
      </w:pPr>
      <w:r w:rsidRPr="005E1103">
        <w:rPr>
          <w:rFonts w:cstheme="minorHAnsi"/>
          <w:sz w:val="28"/>
          <w:szCs w:val="28"/>
          <w:lang w:val="en-US"/>
        </w:rPr>
        <w:t xml:space="preserve">UNESCO (2016). </w:t>
      </w:r>
      <w:r w:rsidRPr="005E1103">
        <w:rPr>
          <w:rFonts w:cstheme="minorHAnsi"/>
          <w:i/>
          <w:sz w:val="28"/>
          <w:szCs w:val="28"/>
          <w:lang w:val="en-US"/>
        </w:rPr>
        <w:t xml:space="preserve">Training Tools for Curriculum Development. Reaching out to all Learners: </w:t>
      </w:r>
      <w:r w:rsidR="00FC5683" w:rsidRPr="005E1103">
        <w:rPr>
          <w:rFonts w:cstheme="minorHAnsi"/>
          <w:i/>
          <w:sz w:val="28"/>
          <w:szCs w:val="28"/>
          <w:lang w:val="en-US"/>
        </w:rPr>
        <w:t>A</w:t>
      </w:r>
      <w:r w:rsidRPr="005E1103">
        <w:rPr>
          <w:rFonts w:cstheme="minorHAnsi"/>
          <w:i/>
          <w:sz w:val="28"/>
          <w:szCs w:val="28"/>
          <w:lang w:val="en-US"/>
        </w:rPr>
        <w:t xml:space="preserve"> Resource Pack Supporting Inclusive Education</w:t>
      </w:r>
      <w:r w:rsidRPr="005E1103">
        <w:rPr>
          <w:rFonts w:cstheme="minorHAnsi"/>
          <w:sz w:val="28"/>
          <w:szCs w:val="28"/>
          <w:lang w:val="en-US"/>
        </w:rPr>
        <w:t xml:space="preserve">. Geneva: International Bureau of Education-UNESCO. Recuperado de </w:t>
      </w:r>
      <w:hyperlink r:id="rId14" w:history="1">
        <w:r w:rsidRPr="005E1103">
          <w:rPr>
            <w:rStyle w:val="Hipervnculo"/>
            <w:rFonts w:cstheme="minorHAnsi"/>
            <w:sz w:val="28"/>
            <w:szCs w:val="28"/>
            <w:lang w:val="en-US"/>
          </w:rPr>
          <w:t>http://www.ibe.unesco.org/sites/default/files/resources/ibe-crp-inclusiveeducation-2016_eng.pdf</w:t>
        </w:r>
      </w:hyperlink>
    </w:p>
    <w:p w:rsidR="00AB65A1" w:rsidRPr="005E1103" w:rsidRDefault="00AB65A1">
      <w:pPr>
        <w:rPr>
          <w:rFonts w:cstheme="minorHAnsi"/>
          <w:sz w:val="28"/>
          <w:szCs w:val="28"/>
          <w:lang w:val="en-US"/>
        </w:rPr>
      </w:pPr>
      <w:r w:rsidRPr="005E1103">
        <w:rPr>
          <w:rFonts w:cstheme="minorHAnsi"/>
          <w:sz w:val="28"/>
          <w:szCs w:val="28"/>
          <w:lang w:val="en-US"/>
        </w:rPr>
        <w:br w:type="page"/>
      </w:r>
    </w:p>
    <w:p w:rsidR="00AB65A1" w:rsidRPr="005E1103" w:rsidRDefault="00AB65A1" w:rsidP="00AB65A1">
      <w:pPr>
        <w:spacing w:line="360" w:lineRule="auto"/>
        <w:jc w:val="center"/>
        <w:rPr>
          <w:rFonts w:cstheme="minorHAnsi"/>
          <w:b/>
          <w:sz w:val="28"/>
          <w:szCs w:val="28"/>
        </w:rPr>
      </w:pPr>
      <w:r w:rsidRPr="005E1103">
        <w:rPr>
          <w:rFonts w:cstheme="minorHAnsi"/>
          <w:b/>
          <w:sz w:val="28"/>
          <w:szCs w:val="28"/>
        </w:rPr>
        <w:lastRenderedPageBreak/>
        <w:t>COMUNICACIÓN 2</w:t>
      </w:r>
    </w:p>
    <w:p w:rsidR="00AB65A1" w:rsidRPr="005E1103" w:rsidRDefault="00AB65A1" w:rsidP="00AB65A1">
      <w:pPr>
        <w:pBdr>
          <w:top w:val="single" w:sz="4" w:space="1" w:color="auto"/>
          <w:left w:val="single" w:sz="4" w:space="4" w:color="auto"/>
          <w:bottom w:val="single" w:sz="4" w:space="1" w:color="auto"/>
          <w:right w:val="single" w:sz="4" w:space="4" w:color="auto"/>
        </w:pBdr>
        <w:spacing w:line="240" w:lineRule="auto"/>
        <w:jc w:val="center"/>
        <w:rPr>
          <w:rFonts w:cstheme="minorHAnsi"/>
          <w:sz w:val="28"/>
          <w:szCs w:val="28"/>
          <w:lang w:val="es-ES_tradnl"/>
        </w:rPr>
      </w:pPr>
      <w:r w:rsidRPr="005E1103">
        <w:rPr>
          <w:rFonts w:cstheme="minorHAnsi"/>
          <w:b/>
          <w:sz w:val="28"/>
          <w:szCs w:val="28"/>
        </w:rPr>
        <w:t>La Filosofía de la Inclusión. Un gran reto para el Sistema Educativo universitario español</w:t>
      </w:r>
      <w:r w:rsidRPr="005E1103">
        <w:rPr>
          <w:rStyle w:val="Refdenotaalpie"/>
          <w:rFonts w:cstheme="minorHAnsi"/>
          <w:b/>
          <w:sz w:val="28"/>
          <w:szCs w:val="28"/>
        </w:rPr>
        <w:footnoteReference w:id="1"/>
      </w:r>
    </w:p>
    <w:p w:rsidR="00AB65A1" w:rsidRPr="005E1103" w:rsidRDefault="00AB65A1" w:rsidP="00AB65A1">
      <w:pPr>
        <w:spacing w:line="240" w:lineRule="auto"/>
        <w:jc w:val="right"/>
        <w:rPr>
          <w:rFonts w:cstheme="minorHAnsi"/>
          <w:sz w:val="28"/>
          <w:szCs w:val="28"/>
        </w:rPr>
      </w:pPr>
    </w:p>
    <w:p w:rsidR="00AB65A1" w:rsidRPr="005E1103" w:rsidRDefault="00AB65A1" w:rsidP="00AB65A1">
      <w:pPr>
        <w:spacing w:line="240" w:lineRule="auto"/>
        <w:jc w:val="right"/>
        <w:rPr>
          <w:rFonts w:cstheme="minorHAnsi"/>
          <w:sz w:val="28"/>
          <w:szCs w:val="28"/>
        </w:rPr>
      </w:pPr>
      <w:r w:rsidRPr="005E1103">
        <w:rPr>
          <w:rFonts w:cstheme="minorHAnsi"/>
          <w:sz w:val="28"/>
          <w:szCs w:val="28"/>
        </w:rPr>
        <w:t>Soledad Arnau Ripollés</w:t>
      </w:r>
    </w:p>
    <w:p w:rsidR="00AB65A1" w:rsidRPr="005E1103" w:rsidRDefault="00AB65A1" w:rsidP="00AB65A1">
      <w:pPr>
        <w:spacing w:line="240" w:lineRule="auto"/>
        <w:jc w:val="right"/>
        <w:rPr>
          <w:rFonts w:cstheme="minorHAnsi"/>
          <w:sz w:val="28"/>
          <w:szCs w:val="28"/>
        </w:rPr>
      </w:pPr>
      <w:r w:rsidRPr="005E1103">
        <w:rPr>
          <w:rFonts w:cstheme="minorHAnsi"/>
          <w:sz w:val="28"/>
          <w:szCs w:val="28"/>
        </w:rPr>
        <w:t xml:space="preserve">Directora </w:t>
      </w:r>
    </w:p>
    <w:p w:rsidR="00AB65A1" w:rsidRPr="005E1103" w:rsidRDefault="00AB65A1" w:rsidP="00AB65A1">
      <w:pPr>
        <w:jc w:val="right"/>
        <w:rPr>
          <w:rFonts w:cstheme="minorHAnsi"/>
          <w:sz w:val="28"/>
          <w:szCs w:val="28"/>
        </w:rPr>
      </w:pPr>
      <w:r w:rsidRPr="005E1103">
        <w:rPr>
          <w:rFonts w:cstheme="minorHAnsi"/>
          <w:sz w:val="28"/>
          <w:szCs w:val="28"/>
        </w:rPr>
        <w:t>Universidad Abierta Iberoamericana «Manuel Lobato» (UAIML-IPADEVI)</w:t>
      </w:r>
    </w:p>
    <w:p w:rsidR="00AB65A1" w:rsidRPr="005E1103" w:rsidRDefault="00AB65A1" w:rsidP="00AB65A1">
      <w:pPr>
        <w:spacing w:line="240" w:lineRule="auto"/>
        <w:ind w:firstLine="709"/>
        <w:jc w:val="right"/>
        <w:rPr>
          <w:rFonts w:cstheme="minorHAnsi"/>
          <w:sz w:val="28"/>
          <w:szCs w:val="28"/>
        </w:rPr>
      </w:pPr>
    </w:p>
    <w:p w:rsidR="00AB65A1" w:rsidRPr="005E1103" w:rsidRDefault="00AB65A1" w:rsidP="00AB65A1">
      <w:pPr>
        <w:pStyle w:val="Ttulo1"/>
        <w:rPr>
          <w:rFonts w:asciiTheme="minorHAnsi" w:eastAsia="Times New Roman" w:hAnsiTheme="minorHAnsi" w:cstheme="minorHAnsi"/>
          <w:iCs/>
          <w:lang w:eastAsia="es-ES"/>
        </w:rPr>
      </w:pPr>
      <w:bookmarkStart w:id="0" w:name="_Toc359787998"/>
      <w:bookmarkStart w:id="1" w:name="_Toc360960050"/>
      <w:bookmarkStart w:id="2" w:name="_Toc412737758"/>
      <w:r w:rsidRPr="005E1103">
        <w:rPr>
          <w:rFonts w:asciiTheme="minorHAnsi" w:eastAsia="Times New Roman" w:hAnsiTheme="minorHAnsi" w:cstheme="minorHAnsi"/>
        </w:rPr>
        <w:t xml:space="preserve">Introducción </w:t>
      </w:r>
    </w:p>
    <w:p w:rsidR="00AB65A1" w:rsidRPr="005E1103" w:rsidRDefault="00AB65A1" w:rsidP="00AB65A1">
      <w:pPr>
        <w:spacing w:after="0" w:line="360" w:lineRule="auto"/>
        <w:ind w:firstLine="709"/>
        <w:jc w:val="both"/>
        <w:rPr>
          <w:rFonts w:eastAsia="Times New Roman" w:cstheme="minorHAnsi"/>
          <w:sz w:val="28"/>
          <w:szCs w:val="28"/>
          <w:lang w:eastAsia="es-ES"/>
        </w:rPr>
      </w:pPr>
      <w:r w:rsidRPr="005E1103">
        <w:rPr>
          <w:rFonts w:eastAsia="Times New Roman" w:cstheme="minorHAnsi"/>
          <w:sz w:val="28"/>
          <w:szCs w:val="28"/>
          <w:lang w:eastAsia="es-ES"/>
        </w:rPr>
        <w:t xml:space="preserve">El trabajo </w:t>
      </w:r>
      <w:r w:rsidRPr="005E1103">
        <w:rPr>
          <w:rFonts w:eastAsia="Times New Roman" w:cstheme="minorHAnsi"/>
          <w:b/>
          <w:sz w:val="28"/>
          <w:szCs w:val="28"/>
          <w:lang w:eastAsia="es-ES"/>
        </w:rPr>
        <w:t>«La Filosofía de la Inclusión. Un gran reto para el Sistema Educativo universitario español</w:t>
      </w:r>
      <w:r w:rsidRPr="005E1103">
        <w:rPr>
          <w:rFonts w:eastAsia="Times New Roman" w:cstheme="minorHAnsi"/>
          <w:sz w:val="28"/>
          <w:szCs w:val="28"/>
          <w:lang w:eastAsia="es-ES"/>
        </w:rPr>
        <w:t>», se adentra en una serie de reflexiones y supuestos que, la autora de esta exposición, confía en que puedan ser de utilidad para analizar, desde una postura crítica, el Sistema Educativo en general y, muy en concreto, el universitario en particular.</w:t>
      </w:r>
    </w:p>
    <w:p w:rsidR="00AB65A1" w:rsidRPr="005E1103" w:rsidRDefault="00AB65A1" w:rsidP="00AB65A1">
      <w:pPr>
        <w:spacing w:after="0" w:line="360" w:lineRule="auto"/>
        <w:ind w:firstLine="709"/>
        <w:jc w:val="both"/>
        <w:rPr>
          <w:rFonts w:eastAsia="Times New Roman" w:cstheme="minorHAnsi"/>
          <w:sz w:val="28"/>
          <w:szCs w:val="28"/>
          <w:lang w:eastAsia="es-ES"/>
        </w:rPr>
      </w:pPr>
      <w:r w:rsidRPr="005E1103">
        <w:rPr>
          <w:rFonts w:eastAsia="Times New Roman" w:cstheme="minorHAnsi"/>
          <w:sz w:val="28"/>
          <w:szCs w:val="28"/>
          <w:lang w:eastAsia="es-ES"/>
        </w:rPr>
        <w:t>Desde 2008 nuestro ordenamiento jurídico español dispone de una normativa que presenta la realidad de la "discapacidad", desde un enfoque de Derechos Humanos. La implementación de este enfoque supone todo un desafío para la sociedad, las instituciones públicas y políticas, así como las privadas, a fin de desarrollar adecuadamente dicha postura ante el hecho humano específico de la "discapacidad" o, mejor dicho, la diversidad funcional.</w:t>
      </w:r>
    </w:p>
    <w:p w:rsidR="00AB65A1" w:rsidRPr="005E1103" w:rsidRDefault="00AB65A1" w:rsidP="00AB65A1">
      <w:pPr>
        <w:pStyle w:val="Ttulo2"/>
        <w:rPr>
          <w:rFonts w:asciiTheme="minorHAnsi" w:eastAsia="Times New Roman" w:hAnsiTheme="minorHAnsi" w:cstheme="minorHAnsi"/>
          <w:sz w:val="28"/>
          <w:szCs w:val="28"/>
          <w:lang w:eastAsia="es-ES"/>
        </w:rPr>
      </w:pPr>
      <w:r w:rsidRPr="005E1103">
        <w:rPr>
          <w:rFonts w:asciiTheme="minorHAnsi" w:eastAsia="Times New Roman" w:hAnsiTheme="minorHAnsi" w:cstheme="minorHAnsi"/>
          <w:sz w:val="28"/>
          <w:szCs w:val="28"/>
          <w:lang w:eastAsia="es-ES"/>
        </w:rPr>
        <w:t>La especial "des-educación" de las mujeres con diversidad funcional</w:t>
      </w:r>
    </w:p>
    <w:p w:rsidR="00AB65A1" w:rsidRPr="005E1103" w:rsidRDefault="00AB65A1" w:rsidP="00AB65A1">
      <w:pPr>
        <w:spacing w:after="0" w:line="240" w:lineRule="auto"/>
        <w:ind w:left="708" w:firstLine="709"/>
        <w:jc w:val="both"/>
        <w:rPr>
          <w:rFonts w:eastAsia="Times New Roman" w:cstheme="minorHAnsi"/>
          <w:sz w:val="28"/>
          <w:szCs w:val="28"/>
          <w:lang w:eastAsia="es-ES"/>
        </w:rPr>
      </w:pPr>
    </w:p>
    <w:p w:rsidR="00AB65A1" w:rsidRPr="005E1103" w:rsidRDefault="00AB65A1" w:rsidP="00AB65A1">
      <w:pPr>
        <w:spacing w:line="360" w:lineRule="auto"/>
        <w:ind w:firstLine="709"/>
        <w:jc w:val="both"/>
        <w:rPr>
          <w:rFonts w:cstheme="minorHAnsi"/>
          <w:sz w:val="28"/>
          <w:szCs w:val="28"/>
        </w:rPr>
      </w:pPr>
      <w:r w:rsidRPr="005E1103">
        <w:rPr>
          <w:rFonts w:cstheme="minorHAnsi"/>
          <w:sz w:val="28"/>
          <w:szCs w:val="28"/>
        </w:rPr>
        <w:t>En este trabajo, vamos a nombrar la situación especial de "des -educación" que sufren/sufrimos las mujeres con diversidad funcional, tanto en relación a nuestros compañeros varones en la misma circunstancia como en relación al amplio grupo de mujeres en general.</w:t>
      </w:r>
    </w:p>
    <w:p w:rsidR="00AB65A1" w:rsidRPr="005E1103" w:rsidRDefault="00AB65A1" w:rsidP="00AB65A1">
      <w:pPr>
        <w:spacing w:line="360" w:lineRule="auto"/>
        <w:ind w:firstLine="709"/>
        <w:jc w:val="both"/>
        <w:rPr>
          <w:rFonts w:cstheme="minorHAnsi"/>
          <w:sz w:val="28"/>
          <w:szCs w:val="28"/>
        </w:rPr>
      </w:pPr>
      <w:r w:rsidRPr="005E1103">
        <w:rPr>
          <w:rFonts w:cstheme="minorHAnsi"/>
          <w:sz w:val="28"/>
          <w:szCs w:val="28"/>
        </w:rPr>
        <w:lastRenderedPageBreak/>
        <w:t>El Comité Español de Representantes de Personas con discapacidad (CERMI), en 2008, nos da a conocer un panorama europeo, ya que reúne a distintos países (Alemania, Austria, Bélgica, Bulgaria, Chipre, Dinamarca, Eslovaquia, Eslovenia, España, Estonia, Finlandia, Francia, Grecia, Hungría, Islandia, Italia, Letonia, Lituania, Luxemburgo, Malta, Polonia y Suecia), bastante desolador que lo que tiene que ver con la plena igualdad de oportunidades y de no discriminación hacia la población con diversidad funcional, en especial, al grupo de mujeres. Al hilo de todo ello, cabe hacer hincapié en que todos esos informes que se reunieron para la elaboración de la publicación de 2008, sigue teniendo el fuerte sesgo de quedarnos prácticamente en que ese «</w:t>
      </w:r>
      <w:r w:rsidRPr="005E1103">
        <w:rPr>
          <w:rFonts w:cstheme="minorHAnsi"/>
          <w:b/>
          <w:sz w:val="28"/>
          <w:szCs w:val="28"/>
        </w:rPr>
        <w:t>Sistema (binario) sexo -género</w:t>
      </w:r>
      <w:r w:rsidRPr="005E1103">
        <w:rPr>
          <w:rFonts w:cstheme="minorHAnsi"/>
          <w:sz w:val="28"/>
          <w:szCs w:val="28"/>
        </w:rPr>
        <w:t>». A modo de ejemplo, la autora de este trabajo ha escogido las siguientes representaciones:</w:t>
      </w:r>
    </w:p>
    <w:p w:rsidR="00AB65A1" w:rsidRPr="005E1103" w:rsidRDefault="00AB65A1" w:rsidP="00AB65A1">
      <w:pPr>
        <w:pStyle w:val="Prrafodelista"/>
        <w:numPr>
          <w:ilvl w:val="0"/>
          <w:numId w:val="2"/>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 xml:space="preserve">El Informe del Consejo Nacional de Personas con discapacidad de Bulgaria (NCDPB), presentado por su delegado, Krasimir Kocev, explica que las mujeres con diversidad funcional, de su país, tienen niveles educativos más bajos (CERMI, 2008:131): «[…] el 49% de las mujeres con discapacidad tiene estudios primarios, el 42% tienen estudios secundarios y el 10% tiene estudios superiores». </w:t>
      </w:r>
    </w:p>
    <w:p w:rsidR="00AB65A1" w:rsidRPr="005E1103" w:rsidRDefault="00AB65A1" w:rsidP="00AB65A1">
      <w:pPr>
        <w:pStyle w:val="Prrafodelista"/>
        <w:numPr>
          <w:ilvl w:val="0"/>
          <w:numId w:val="2"/>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El Informe del Consejo Nacional de Personas con discapacidad de Eslovaquia (NROZP), presentado por su delegada, Lucia Antalecova, explica que las mujeres con diversidad funcional, de su país, tienen niveles educativos similares a los de los varones con diversidad funcional, pero más bajos respecto de las mujeres en general, sobre todo, en lo que se refiere a la educación superior. Dice así (CERMI, 2008:152-153):</w:t>
      </w:r>
    </w:p>
    <w:p w:rsidR="00AB65A1" w:rsidRPr="005E1103" w:rsidRDefault="00AB65A1" w:rsidP="00AB65A1">
      <w:pPr>
        <w:spacing w:after="0" w:line="240" w:lineRule="auto"/>
        <w:ind w:left="708" w:firstLine="709"/>
        <w:jc w:val="both"/>
        <w:rPr>
          <w:rFonts w:eastAsia="Times New Roman" w:cstheme="minorHAnsi"/>
          <w:sz w:val="28"/>
          <w:szCs w:val="28"/>
          <w:lang w:eastAsia="es-ES"/>
        </w:rPr>
      </w:pPr>
      <w:r w:rsidRPr="005E1103">
        <w:rPr>
          <w:rFonts w:eastAsia="Times New Roman" w:cstheme="minorHAnsi"/>
          <w:sz w:val="28"/>
          <w:szCs w:val="28"/>
          <w:lang w:eastAsia="es-ES"/>
        </w:rPr>
        <w:t>Las mujeres y niñas con discapacidad disponen del mismo acceso a la educación que los hombres y niños con discapacidad. En comparación con las mujeres y niñas sin discapacidad, sólo acceden a la educación superior en raras ocasiones. Aunque tengan un mejor rendimiento académico, sus progresos se ven truncados por tasas de desempleo cuatro veces mayores que las de los hombres.</w:t>
      </w:r>
    </w:p>
    <w:p w:rsidR="00AB65A1" w:rsidRPr="005E1103" w:rsidRDefault="00AB65A1" w:rsidP="00AB65A1">
      <w:pPr>
        <w:spacing w:after="0" w:line="240" w:lineRule="auto"/>
        <w:ind w:left="708" w:firstLine="709"/>
        <w:jc w:val="both"/>
        <w:rPr>
          <w:rFonts w:eastAsia="Times New Roman" w:cstheme="minorHAnsi"/>
          <w:sz w:val="28"/>
          <w:szCs w:val="28"/>
          <w:lang w:eastAsia="es-ES"/>
        </w:rPr>
      </w:pPr>
    </w:p>
    <w:p w:rsidR="00AB65A1" w:rsidRPr="005E1103" w:rsidRDefault="00AB65A1" w:rsidP="00AB65A1">
      <w:pPr>
        <w:pStyle w:val="Prrafodelista"/>
        <w:numPr>
          <w:ilvl w:val="0"/>
          <w:numId w:val="2"/>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lastRenderedPageBreak/>
        <w:t>El Informe presentado por el Consejo Nacional de Personas con discapacidad de Holanda (VGPN), Yvette Den Bros, nos dice que la educación de la mujer con diversidad funcional "es mejor" que la de los hombres, pero que no se traduce en el mercado laboral. Dice así (CERMI, 2008: 206):</w:t>
      </w:r>
    </w:p>
    <w:p w:rsidR="00AB65A1" w:rsidRPr="005E1103" w:rsidRDefault="00AB65A1" w:rsidP="00AB65A1">
      <w:pPr>
        <w:spacing w:after="0" w:line="240" w:lineRule="auto"/>
        <w:ind w:left="1416" w:firstLine="709"/>
        <w:jc w:val="both"/>
        <w:rPr>
          <w:rFonts w:eastAsia="Times New Roman" w:cstheme="minorHAnsi"/>
          <w:sz w:val="28"/>
          <w:szCs w:val="28"/>
          <w:lang w:eastAsia="es-ES"/>
        </w:rPr>
      </w:pPr>
      <w:r w:rsidRPr="005E1103">
        <w:rPr>
          <w:rFonts w:eastAsia="Times New Roman" w:cstheme="minorHAnsi"/>
          <w:sz w:val="28"/>
          <w:szCs w:val="28"/>
          <w:lang w:eastAsia="es-ES"/>
        </w:rPr>
        <w:t>Las mujeres con discapacidad en Holanda, por ejemplo, reciben una educación mejor que la de los hombres.</w:t>
      </w:r>
    </w:p>
    <w:p w:rsidR="00AB65A1" w:rsidRPr="005E1103" w:rsidRDefault="00AB65A1" w:rsidP="00AB65A1">
      <w:pPr>
        <w:spacing w:after="0" w:line="240" w:lineRule="auto"/>
        <w:ind w:left="1416" w:firstLine="709"/>
        <w:jc w:val="both"/>
        <w:rPr>
          <w:rFonts w:eastAsia="Times New Roman" w:cstheme="minorHAnsi"/>
          <w:sz w:val="28"/>
          <w:szCs w:val="28"/>
          <w:lang w:eastAsia="es-ES"/>
        </w:rPr>
      </w:pPr>
      <w:r w:rsidRPr="005E1103">
        <w:rPr>
          <w:rFonts w:eastAsia="Times New Roman" w:cstheme="minorHAnsi"/>
          <w:sz w:val="28"/>
          <w:szCs w:val="28"/>
          <w:lang w:eastAsia="es-ES"/>
        </w:rPr>
        <w:t>Sin embargo, su situación en el mercado laboral es peor. Las mujeres con discapacidad afirman a menudo: “Estudiar mucho es algo positivo para la persona”, pero cuando una mujer discapacitada se presenta para un puesto de trabajo remunerado, siempre suele escuchar algo como: “No tendrías por qué trabajar. Quédate en casa y diviértete”. Si un hombre discapacitado es el candidato para el puesto remunerado, todo el mundo le entiende. Al parecer, todavía se piensa que ganarse la vida es más importante para un hombre que para una mujer, y cuando una mujer con discapacidad decide quedarse en casa y tener hijos, tampoco hace lo correcto. La gente le dirá: “¡No puedes criar a tus hijos! ¡Tienes discapacidad!”".</w:t>
      </w:r>
    </w:p>
    <w:p w:rsidR="00AB65A1" w:rsidRPr="005E1103" w:rsidRDefault="00AB65A1" w:rsidP="00AB65A1">
      <w:pPr>
        <w:spacing w:after="0" w:line="240" w:lineRule="auto"/>
        <w:ind w:left="708" w:firstLine="709"/>
        <w:jc w:val="both"/>
        <w:rPr>
          <w:rFonts w:eastAsia="Times New Roman" w:cstheme="minorHAnsi"/>
          <w:sz w:val="28"/>
          <w:szCs w:val="28"/>
          <w:lang w:eastAsia="es-ES"/>
        </w:rPr>
      </w:pPr>
    </w:p>
    <w:p w:rsidR="00AB65A1" w:rsidRPr="005E1103" w:rsidRDefault="00AB65A1" w:rsidP="00AB65A1">
      <w:pPr>
        <w:spacing w:after="0" w:line="360" w:lineRule="auto"/>
        <w:ind w:left="709" w:firstLine="709"/>
        <w:jc w:val="both"/>
        <w:rPr>
          <w:rFonts w:cstheme="minorHAnsi"/>
          <w:color w:val="000000"/>
          <w:sz w:val="28"/>
          <w:szCs w:val="28"/>
        </w:rPr>
      </w:pPr>
      <w:r w:rsidRPr="005E1103">
        <w:rPr>
          <w:rFonts w:cstheme="minorHAnsi"/>
          <w:sz w:val="28"/>
          <w:szCs w:val="28"/>
        </w:rPr>
        <w:t>Den Bros, sigue insistiendo en que la educación que se refiere carecer perspectiva de género (207):</w:t>
      </w:r>
    </w:p>
    <w:p w:rsidR="00AB65A1" w:rsidRPr="005E1103" w:rsidRDefault="00AB65A1" w:rsidP="00AB65A1">
      <w:pPr>
        <w:spacing w:after="0" w:line="240" w:lineRule="auto"/>
        <w:ind w:left="1416" w:firstLine="709"/>
        <w:jc w:val="both"/>
        <w:rPr>
          <w:rFonts w:cstheme="minorHAnsi"/>
          <w:color w:val="000000"/>
          <w:sz w:val="28"/>
          <w:szCs w:val="28"/>
        </w:rPr>
      </w:pPr>
      <w:r w:rsidRPr="005E1103">
        <w:rPr>
          <w:rFonts w:cstheme="minorHAnsi"/>
          <w:color w:val="000000"/>
          <w:sz w:val="28"/>
          <w:szCs w:val="28"/>
        </w:rPr>
        <w:t xml:space="preserve">Aparentemente, piensan que su situación general como personas con discapacidad es más importante y puede que no se reconozcan como mujeres. Muchas personas con discapacidad han sido educadas, por así decirlo, como seres ‘carentes de género’. </w:t>
      </w:r>
    </w:p>
    <w:p w:rsidR="00AB65A1" w:rsidRPr="005E1103" w:rsidRDefault="00AB65A1" w:rsidP="00AB65A1">
      <w:pPr>
        <w:spacing w:after="0" w:line="240" w:lineRule="auto"/>
        <w:ind w:left="708" w:firstLine="709"/>
        <w:jc w:val="both"/>
        <w:rPr>
          <w:rFonts w:cstheme="minorHAnsi"/>
          <w:color w:val="000000"/>
          <w:sz w:val="28"/>
          <w:szCs w:val="28"/>
        </w:rPr>
      </w:pPr>
    </w:p>
    <w:p w:rsidR="00AB65A1" w:rsidRPr="005E1103" w:rsidRDefault="00AB65A1" w:rsidP="00AB65A1">
      <w:pPr>
        <w:pStyle w:val="Prrafodelista"/>
        <w:numPr>
          <w:ilvl w:val="0"/>
          <w:numId w:val="2"/>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El Informe presentado por la Comisionada para los Asuntos de la Mujer, Ana Peláez Narváez, del Comité Español de Representantes de Personas con discapacidad (CERMI), nos recuerda la situación empeorada en la que se encuentran las mujeres con diversidad funcional. Dice así (CERMI, 2008: 164):</w:t>
      </w:r>
    </w:p>
    <w:p w:rsidR="00AB65A1" w:rsidRPr="005E1103" w:rsidRDefault="00AB65A1" w:rsidP="00AB65A1">
      <w:pPr>
        <w:autoSpaceDE w:val="0"/>
        <w:autoSpaceDN w:val="0"/>
        <w:adjustRightInd w:val="0"/>
        <w:spacing w:after="140" w:line="260" w:lineRule="atLeast"/>
        <w:ind w:left="1416" w:firstLine="307"/>
        <w:jc w:val="both"/>
        <w:rPr>
          <w:rFonts w:cstheme="minorHAnsi"/>
          <w:color w:val="000000"/>
          <w:sz w:val="28"/>
          <w:szCs w:val="28"/>
        </w:rPr>
      </w:pPr>
      <w:r w:rsidRPr="005E1103">
        <w:rPr>
          <w:rFonts w:cstheme="minorHAnsi"/>
          <w:color w:val="000000"/>
          <w:sz w:val="28"/>
          <w:szCs w:val="28"/>
        </w:rPr>
        <w:t xml:space="preserve">El último estudio realizado en nuestro país sobre la situación de las personas con discapacidad (que fue desarrollado en 1999 por el Instituto Nacional de Estadística en colaboración con el Instituto de Migraciones y Servicios Sociales (IMSERSO) y la Fundación ONCE, la </w:t>
      </w:r>
      <w:r w:rsidRPr="005E1103">
        <w:rPr>
          <w:rFonts w:cstheme="minorHAnsi"/>
          <w:b/>
          <w:bCs/>
          <w:i/>
          <w:iCs/>
          <w:color w:val="000000"/>
          <w:sz w:val="28"/>
          <w:szCs w:val="28"/>
        </w:rPr>
        <w:t>Encuesta de Discapacidades, Deficiencias y Estado de Salud)</w:t>
      </w:r>
      <w:r w:rsidRPr="005E1103">
        <w:rPr>
          <w:rFonts w:cstheme="minorHAnsi"/>
          <w:color w:val="000000"/>
          <w:sz w:val="28"/>
          <w:szCs w:val="28"/>
        </w:rPr>
        <w:t xml:space="preserve">, refiere que más de la mitad </w:t>
      </w:r>
      <w:r w:rsidRPr="005E1103">
        <w:rPr>
          <w:rFonts w:cstheme="minorHAnsi"/>
          <w:color w:val="000000"/>
          <w:sz w:val="28"/>
          <w:szCs w:val="28"/>
        </w:rPr>
        <w:lastRenderedPageBreak/>
        <w:t xml:space="preserve">de la población con discapacidad son mujeres; concretamente, el 58% de ellas, dos tercios están por encima de los 65 años de edad. </w:t>
      </w:r>
    </w:p>
    <w:p w:rsidR="00AB65A1" w:rsidRPr="005E1103" w:rsidRDefault="00AB65A1" w:rsidP="00AB65A1">
      <w:pPr>
        <w:spacing w:after="0" w:line="240" w:lineRule="auto"/>
        <w:ind w:left="1416" w:firstLine="709"/>
        <w:jc w:val="both"/>
        <w:rPr>
          <w:rFonts w:eastAsia="Times New Roman" w:cstheme="minorHAnsi"/>
          <w:sz w:val="28"/>
          <w:szCs w:val="28"/>
          <w:lang w:eastAsia="es-ES"/>
        </w:rPr>
      </w:pPr>
      <w:r w:rsidRPr="005E1103">
        <w:rPr>
          <w:rFonts w:cstheme="minorHAnsi"/>
          <w:color w:val="000000"/>
          <w:sz w:val="28"/>
          <w:szCs w:val="28"/>
        </w:rPr>
        <w:t>Tal y como pone de manifiesto la Encuesta, su principal característica es que se trata de un grupo muy heterogéneo, pero que comparte la especificidad de sufrir un alto índice de discriminación como consecuencia de padecer, por partida doble, los estigmas de género y discapacidad, lo que se traduce en: mayor índice de analfabetismo, bajos niveles educativos, menor actividad laboral y/o con puestos de trabajo de menor responsabilidad y peor remunerados, dependencia económica, etc.</w:t>
      </w:r>
    </w:p>
    <w:p w:rsidR="00AB65A1" w:rsidRPr="005E1103" w:rsidRDefault="00AB65A1" w:rsidP="00AB65A1">
      <w:pPr>
        <w:spacing w:after="0" w:line="240" w:lineRule="auto"/>
        <w:ind w:left="708" w:firstLine="709"/>
        <w:jc w:val="both"/>
        <w:rPr>
          <w:rFonts w:eastAsia="Times New Roman" w:cstheme="minorHAnsi"/>
          <w:sz w:val="28"/>
          <w:szCs w:val="28"/>
          <w:lang w:eastAsia="es-ES"/>
        </w:rPr>
      </w:pPr>
    </w:p>
    <w:p w:rsidR="00AB65A1" w:rsidRPr="005E1103" w:rsidRDefault="00AB65A1" w:rsidP="00AB65A1">
      <w:pPr>
        <w:spacing w:after="0" w:line="360" w:lineRule="auto"/>
        <w:ind w:left="708" w:firstLine="709"/>
        <w:jc w:val="both"/>
        <w:rPr>
          <w:rFonts w:eastAsia="Times New Roman" w:cstheme="minorHAnsi"/>
          <w:sz w:val="28"/>
          <w:szCs w:val="28"/>
          <w:lang w:eastAsia="es-ES"/>
        </w:rPr>
      </w:pPr>
      <w:r w:rsidRPr="005E1103">
        <w:rPr>
          <w:rFonts w:eastAsia="Times New Roman" w:cstheme="minorHAnsi"/>
          <w:sz w:val="28"/>
          <w:szCs w:val="28"/>
          <w:lang w:val="es-ES_tradnl" w:eastAsia="es-ES"/>
        </w:rPr>
        <w:t xml:space="preserve">Linares Márquez de Prado </w:t>
      </w:r>
      <w:r w:rsidRPr="005E1103">
        <w:rPr>
          <w:rFonts w:eastAsia="Times New Roman" w:cstheme="minorHAnsi"/>
          <w:sz w:val="28"/>
          <w:szCs w:val="28"/>
          <w:lang w:eastAsia="es-ES"/>
        </w:rPr>
        <w:t>(2008: 67), explica que, en el caso de España, las mujeres con diversidad funcional tienen situaciones de mayor analfabetismo respecto de sus compañeros varones. Dice así:</w:t>
      </w:r>
    </w:p>
    <w:p w:rsidR="00AB65A1" w:rsidRPr="005E1103" w:rsidRDefault="00AB65A1" w:rsidP="00AB65A1">
      <w:pPr>
        <w:spacing w:after="0" w:line="240" w:lineRule="auto"/>
        <w:ind w:left="1416" w:firstLine="709"/>
        <w:jc w:val="both"/>
        <w:rPr>
          <w:rFonts w:eastAsia="Times New Roman" w:cstheme="minorHAnsi"/>
          <w:sz w:val="28"/>
          <w:szCs w:val="28"/>
          <w:lang w:eastAsia="es-ES"/>
        </w:rPr>
      </w:pPr>
      <w:r w:rsidRPr="005E1103">
        <w:rPr>
          <w:rFonts w:eastAsia="Times New Roman" w:cstheme="minorHAnsi"/>
          <w:sz w:val="28"/>
          <w:szCs w:val="28"/>
          <w:lang w:eastAsia="es-ES"/>
        </w:rPr>
        <w:t>El 74,79%, de las mujeres con discapacidad o carece de estudios o tiene estudios primarios: (Encuesta EDDES) El porcentaje de analfabetismo causado por razones distintas a los problemas estrictamente físicos o psíquicos afecta al 6,74% de mujeres con discapacidad (43.410), frente al 3,66% de hombres (23.463). (Encuesta EDDES)</w:t>
      </w:r>
    </w:p>
    <w:p w:rsidR="00AB65A1" w:rsidRPr="005E1103" w:rsidRDefault="00AB65A1" w:rsidP="00AB65A1">
      <w:pPr>
        <w:spacing w:after="0" w:line="360" w:lineRule="auto"/>
        <w:ind w:firstLine="709"/>
        <w:jc w:val="both"/>
        <w:rPr>
          <w:rFonts w:eastAsia="Times New Roman" w:cstheme="minorHAnsi"/>
          <w:sz w:val="28"/>
          <w:szCs w:val="28"/>
          <w:lang w:val="es-ES_tradnl" w:eastAsia="es-ES"/>
        </w:rPr>
      </w:pPr>
    </w:p>
    <w:p w:rsidR="00AB65A1" w:rsidRPr="005E1103" w:rsidRDefault="00AB65A1" w:rsidP="00AB65A1">
      <w:pPr>
        <w:spacing w:after="0" w:line="360" w:lineRule="auto"/>
        <w:ind w:left="708" w:firstLine="709"/>
        <w:jc w:val="both"/>
        <w:rPr>
          <w:rFonts w:eastAsia="Times New Roman" w:cstheme="minorHAnsi"/>
          <w:sz w:val="28"/>
          <w:szCs w:val="28"/>
          <w:lang w:val="es-ES_tradnl" w:eastAsia="es-ES"/>
        </w:rPr>
      </w:pPr>
      <w:r w:rsidRPr="005E1103">
        <w:rPr>
          <w:rFonts w:eastAsia="Times New Roman" w:cstheme="minorHAnsi"/>
          <w:sz w:val="28"/>
          <w:szCs w:val="28"/>
          <w:lang w:val="es-ES_tradnl" w:eastAsia="es-ES"/>
        </w:rPr>
        <w:t xml:space="preserve">Y, por ello, el </w:t>
      </w:r>
      <w:r w:rsidRPr="005E1103">
        <w:rPr>
          <w:rFonts w:eastAsia="Times New Roman" w:cstheme="minorHAnsi"/>
          <w:bCs/>
          <w:sz w:val="28"/>
          <w:szCs w:val="28"/>
          <w:lang w:eastAsia="es-ES"/>
        </w:rPr>
        <w:t xml:space="preserve">primer </w:t>
      </w:r>
      <w:r w:rsidRPr="005E1103">
        <w:rPr>
          <w:rFonts w:eastAsia="Times New Roman" w:cstheme="minorHAnsi"/>
          <w:b/>
          <w:bCs/>
          <w:i/>
          <w:sz w:val="28"/>
          <w:szCs w:val="28"/>
          <w:lang w:eastAsia="es-ES"/>
        </w:rPr>
        <w:t>Plan de Acción para las Mujeres con Discapacidad (2007)</w:t>
      </w:r>
      <w:r w:rsidRPr="005E1103">
        <w:rPr>
          <w:rFonts w:eastAsia="Times New Roman" w:cstheme="minorHAnsi"/>
          <w:bCs/>
          <w:sz w:val="28"/>
          <w:szCs w:val="28"/>
          <w:lang w:eastAsia="es-ES"/>
        </w:rPr>
        <w:t xml:space="preserve">, del Ministerio de Trabajo y Asuntos Sociales, </w:t>
      </w:r>
      <w:r w:rsidRPr="005E1103">
        <w:rPr>
          <w:rFonts w:eastAsia="Times New Roman" w:cstheme="minorHAnsi"/>
          <w:sz w:val="28"/>
          <w:szCs w:val="28"/>
          <w:lang w:val="es-ES_tradnl" w:eastAsia="es-ES"/>
        </w:rPr>
        <w:t>del Gobierno de España, dispone del "Área 3." dedicada a la Educación de las mujeres. Dice así (Linares Márquez de Prado, 2008: 72):</w:t>
      </w:r>
    </w:p>
    <w:p w:rsidR="00AB65A1" w:rsidRPr="005E1103" w:rsidRDefault="00AB65A1" w:rsidP="00AB65A1">
      <w:pPr>
        <w:spacing w:after="0" w:line="240" w:lineRule="auto"/>
        <w:ind w:left="1416" w:firstLine="709"/>
        <w:jc w:val="both"/>
        <w:rPr>
          <w:rFonts w:eastAsia="Times New Roman" w:cstheme="minorHAnsi"/>
          <w:sz w:val="28"/>
          <w:szCs w:val="28"/>
          <w:lang w:eastAsia="es-ES"/>
        </w:rPr>
      </w:pPr>
      <w:r w:rsidRPr="005E1103">
        <w:rPr>
          <w:rFonts w:eastAsia="Times New Roman" w:cstheme="minorHAnsi"/>
          <w:sz w:val="28"/>
          <w:szCs w:val="28"/>
          <w:lang w:eastAsia="es-ES"/>
        </w:rPr>
        <w:t>Área III. Educación. Dado que las tres cuartas partes de las mujeres con discapacidad, no ha logrado superar los estudios primarios y solo una minoría (4%) tiene estudios superiores, se establecen medidas dirigidas a permanecer en el proceso educativo y desarrollar al máximo sus capacidades y el conocimiento para tomar sus decisiones libremente. ya que la autonomía, el acceso al empleo o a cualquier ámbito de poder es muy difícil para quienes tienen carencias formativas.</w:t>
      </w:r>
    </w:p>
    <w:p w:rsidR="00AB65A1" w:rsidRPr="005E1103" w:rsidRDefault="00AB65A1" w:rsidP="00AB65A1">
      <w:pPr>
        <w:spacing w:after="0" w:line="240" w:lineRule="auto"/>
        <w:ind w:left="1416" w:firstLine="709"/>
        <w:jc w:val="both"/>
        <w:rPr>
          <w:rFonts w:eastAsia="Times New Roman" w:cstheme="minorHAnsi"/>
          <w:sz w:val="28"/>
          <w:szCs w:val="28"/>
          <w:lang w:eastAsia="es-ES"/>
        </w:rPr>
      </w:pPr>
    </w:p>
    <w:p w:rsidR="00AB65A1" w:rsidRPr="005E1103" w:rsidRDefault="00AB65A1" w:rsidP="00AB65A1">
      <w:pPr>
        <w:pStyle w:val="Ttulo2"/>
        <w:jc w:val="both"/>
        <w:rPr>
          <w:rFonts w:asciiTheme="minorHAnsi" w:eastAsia="Times New Roman" w:hAnsiTheme="minorHAnsi" w:cstheme="minorHAnsi"/>
          <w:sz w:val="28"/>
          <w:szCs w:val="28"/>
          <w:lang w:eastAsia="es-ES"/>
        </w:rPr>
      </w:pPr>
      <w:r w:rsidRPr="005E1103">
        <w:rPr>
          <w:rFonts w:asciiTheme="minorHAnsi" w:eastAsia="Times New Roman" w:hAnsiTheme="minorHAnsi" w:cstheme="minorHAnsi"/>
          <w:sz w:val="28"/>
          <w:szCs w:val="28"/>
          <w:lang w:eastAsia="es-ES"/>
        </w:rPr>
        <w:t>Universidad y discapacidad</w:t>
      </w:r>
    </w:p>
    <w:p w:rsidR="00AB65A1" w:rsidRPr="005E1103" w:rsidRDefault="00AB65A1" w:rsidP="00AB65A1">
      <w:pPr>
        <w:spacing w:line="360" w:lineRule="auto"/>
        <w:ind w:firstLine="709"/>
        <w:jc w:val="both"/>
        <w:rPr>
          <w:rFonts w:cstheme="minorHAnsi"/>
          <w:sz w:val="28"/>
          <w:szCs w:val="28"/>
        </w:rPr>
      </w:pPr>
      <w:r w:rsidRPr="005E1103">
        <w:rPr>
          <w:rFonts w:cstheme="minorHAnsi"/>
          <w:sz w:val="28"/>
          <w:szCs w:val="28"/>
        </w:rPr>
        <w:t xml:space="preserve">La Fundación Universia y el Comité Español de Representantes de Personas con Discapacidad (CERMI) presentan los resultados del 2º Estudio «Universidad y </w:t>
      </w:r>
      <w:r w:rsidRPr="005E1103">
        <w:rPr>
          <w:rFonts w:cstheme="minorHAnsi"/>
          <w:sz w:val="28"/>
          <w:szCs w:val="28"/>
        </w:rPr>
        <w:lastRenderedPageBreak/>
        <w:t>Discapacidad»:</w:t>
      </w:r>
      <w:r w:rsidRPr="005E1103">
        <w:rPr>
          <w:rFonts w:cstheme="minorHAnsi"/>
          <w:b/>
          <w:i/>
          <w:sz w:val="28"/>
          <w:szCs w:val="28"/>
        </w:rPr>
        <w:t xml:space="preserve"> </w:t>
      </w:r>
      <w:r w:rsidRPr="005E1103">
        <w:rPr>
          <w:rFonts w:cstheme="minorHAnsi"/>
          <w:b/>
          <w:bCs/>
          <w:i/>
          <w:sz w:val="28"/>
          <w:szCs w:val="28"/>
          <w:lang w:val="es-US"/>
        </w:rPr>
        <w:t xml:space="preserve">Universidad y Discapacidad. </w:t>
      </w:r>
      <w:r w:rsidRPr="005E1103">
        <w:rPr>
          <w:rFonts w:cstheme="minorHAnsi"/>
          <w:b/>
          <w:bCs/>
          <w:i/>
          <w:iCs/>
          <w:sz w:val="28"/>
          <w:szCs w:val="28"/>
          <w:lang w:val="es-US"/>
        </w:rPr>
        <w:t>II Estudio sobre el grado de inclusión del sistema universitario español respecto de la realidad de la discapacidad</w:t>
      </w:r>
      <w:r w:rsidRPr="005E1103">
        <w:rPr>
          <w:rFonts w:cstheme="minorHAnsi"/>
          <w:b/>
          <w:i/>
          <w:sz w:val="28"/>
          <w:szCs w:val="28"/>
        </w:rPr>
        <w:t xml:space="preserve"> </w:t>
      </w:r>
      <w:r w:rsidRPr="005E1103">
        <w:rPr>
          <w:rFonts w:cstheme="minorHAnsi"/>
          <w:sz w:val="28"/>
          <w:szCs w:val="28"/>
        </w:rPr>
        <w:t>(2014), donde se nos recuerda que sólo hay representación de personas con diversidad funcional en un: 1.3% en estudios de grado, primer y segundo ciclo; 1.2% en estudios de posgrado y master; y, 0.6% en estudios de doctorado. El perfil de persona con diversidad funcional en posgrado o master es el de varón (54.4%) con discapacidad física (46%). En el caso de los Estudios de Doctorado, el 51% son mujeres con hacienda con discapacidad física (42.7%). El 69% de las universidades introduce en una variable "discapacidad" en sus actividades de I+D+i (el 19% de universidades todavía no ha incorporado dicha variable en el campo de la investigación).</w:t>
      </w:r>
    </w:p>
    <w:p w:rsidR="00AB65A1" w:rsidRPr="005E1103" w:rsidRDefault="00AB65A1" w:rsidP="00AB65A1">
      <w:pPr>
        <w:spacing w:after="0" w:line="360" w:lineRule="auto"/>
        <w:ind w:firstLine="709"/>
        <w:jc w:val="both"/>
        <w:rPr>
          <w:rFonts w:eastAsia="Times New Roman" w:cstheme="minorHAnsi"/>
          <w:sz w:val="28"/>
          <w:szCs w:val="28"/>
          <w:lang w:eastAsia="es-ES"/>
        </w:rPr>
      </w:pPr>
      <w:r w:rsidRPr="005E1103">
        <w:rPr>
          <w:rFonts w:eastAsia="Times New Roman" w:cstheme="minorHAnsi"/>
          <w:sz w:val="28"/>
          <w:szCs w:val="28"/>
          <w:lang w:eastAsia="es-ES"/>
        </w:rPr>
        <w:t>La Fundación ONCE</w:t>
      </w:r>
      <w:r w:rsidRPr="005E1103">
        <w:rPr>
          <w:rStyle w:val="Refdenotaalpie"/>
          <w:rFonts w:eastAsia="Times New Roman" w:cstheme="minorHAnsi"/>
          <w:sz w:val="28"/>
          <w:szCs w:val="28"/>
          <w:lang w:eastAsia="es-ES"/>
        </w:rPr>
        <w:footnoteReference w:id="2"/>
      </w:r>
      <w:r w:rsidRPr="005E1103">
        <w:rPr>
          <w:rFonts w:eastAsia="Times New Roman" w:cstheme="minorHAnsi"/>
          <w:sz w:val="28"/>
          <w:szCs w:val="28"/>
          <w:lang w:eastAsia="es-ES"/>
        </w:rPr>
        <w:t xml:space="preserve"> nos explica que el porcentaje de personas con diversidad funcional es muy minoritario en lo que se refiere a la obtención de estudios universitarios. En su web, dice así:</w:t>
      </w:r>
    </w:p>
    <w:p w:rsidR="00AB65A1" w:rsidRPr="005E1103" w:rsidRDefault="00AB65A1" w:rsidP="00AB65A1">
      <w:pPr>
        <w:spacing w:after="0" w:line="240" w:lineRule="auto"/>
        <w:ind w:left="708" w:firstLine="709"/>
        <w:jc w:val="both"/>
        <w:rPr>
          <w:rFonts w:eastAsia="Times New Roman" w:cstheme="minorHAnsi"/>
          <w:sz w:val="28"/>
          <w:szCs w:val="28"/>
          <w:lang w:eastAsia="es-ES"/>
        </w:rPr>
      </w:pPr>
      <w:r w:rsidRPr="005E1103">
        <w:rPr>
          <w:rFonts w:eastAsia="Times New Roman" w:cstheme="minorHAnsi"/>
          <w:sz w:val="28"/>
          <w:szCs w:val="28"/>
          <w:lang w:eastAsia="es-ES"/>
        </w:rPr>
        <w:t>El nivel educativo de las personas con discapacidad continúa siendo comparativamente bajo respecto al de personas sin discapacidad. Actualmente las personas con discapacidad sólo están representadas en un 1,3% en los estudios universitarios de grado y el porcentaje es aún inferior cuando hablamos de estudiantes de máster, posgrados o doctorados. Solamente entre el 5 y 6% de las personas con discapacidad tienen estudios universitarios hoy en España, a pesar de que la estrategia europea 2020 nos habla de un horizonte de un 40%.</w:t>
      </w:r>
    </w:p>
    <w:p w:rsidR="00AB65A1" w:rsidRPr="005E1103" w:rsidRDefault="00AB65A1" w:rsidP="00AB65A1">
      <w:pPr>
        <w:pStyle w:val="Ttulo1"/>
        <w:jc w:val="both"/>
        <w:rPr>
          <w:rFonts w:asciiTheme="minorHAnsi" w:eastAsia="Times New Roman" w:hAnsiTheme="minorHAnsi" w:cstheme="minorHAnsi"/>
          <w:lang w:eastAsia="es-ES"/>
        </w:rPr>
      </w:pPr>
      <w:r w:rsidRPr="005E1103">
        <w:rPr>
          <w:rFonts w:asciiTheme="minorHAnsi" w:eastAsia="Times New Roman" w:hAnsiTheme="minorHAnsi" w:cstheme="minorHAnsi"/>
          <w:lang w:eastAsia="es-ES"/>
        </w:rPr>
        <w:t>Enfoque de Derechos Humanos y Filosofía de la Inclusión</w:t>
      </w:r>
    </w:p>
    <w:p w:rsidR="00AB65A1" w:rsidRPr="005E1103" w:rsidRDefault="00AB65A1" w:rsidP="00AB65A1">
      <w:pPr>
        <w:spacing w:line="240" w:lineRule="auto"/>
        <w:ind w:left="709" w:firstLine="709"/>
        <w:jc w:val="both"/>
        <w:rPr>
          <w:rFonts w:cstheme="minorHAnsi"/>
          <w:sz w:val="28"/>
          <w:szCs w:val="28"/>
          <w:lang w:eastAsia="es-ES"/>
        </w:rPr>
      </w:pPr>
      <w:r w:rsidRPr="005E1103">
        <w:rPr>
          <w:rFonts w:cstheme="minorHAnsi"/>
          <w:sz w:val="28"/>
          <w:szCs w:val="28"/>
        </w:rPr>
        <w:t>[…] lo que es bueno para un grupo subordinado también lo es para los grupos y las personas que están situadas en posiciones más favorables.</w:t>
      </w:r>
    </w:p>
    <w:p w:rsidR="00AB65A1" w:rsidRPr="005E1103" w:rsidRDefault="00AB65A1" w:rsidP="00AB65A1">
      <w:pPr>
        <w:spacing w:after="0" w:line="360" w:lineRule="auto"/>
        <w:ind w:firstLine="709"/>
        <w:jc w:val="right"/>
        <w:rPr>
          <w:rFonts w:eastAsia="Times New Roman" w:cstheme="minorHAnsi"/>
          <w:sz w:val="28"/>
          <w:szCs w:val="28"/>
          <w:lang w:eastAsia="es-ES"/>
        </w:rPr>
      </w:pPr>
      <w:r w:rsidRPr="005E1103">
        <w:rPr>
          <w:rFonts w:eastAsia="Times New Roman" w:cstheme="minorHAnsi"/>
          <w:sz w:val="28"/>
          <w:szCs w:val="28"/>
          <w:lang w:eastAsia="es-ES"/>
        </w:rPr>
        <w:t>La Rivière-Zijdel (2008:38)</w:t>
      </w:r>
    </w:p>
    <w:p w:rsidR="00AB65A1" w:rsidRPr="005E1103" w:rsidRDefault="00AB65A1" w:rsidP="00AB65A1">
      <w:pPr>
        <w:spacing w:after="0" w:line="360" w:lineRule="auto"/>
        <w:ind w:firstLine="709"/>
        <w:jc w:val="both"/>
        <w:rPr>
          <w:rFonts w:eastAsia="Times New Roman" w:cstheme="minorHAnsi"/>
          <w:sz w:val="28"/>
          <w:szCs w:val="28"/>
          <w:lang w:eastAsia="es-ES"/>
        </w:rPr>
      </w:pPr>
      <w:r w:rsidRPr="005E1103">
        <w:rPr>
          <w:rFonts w:eastAsia="Times New Roman" w:cstheme="minorHAnsi"/>
          <w:sz w:val="28"/>
          <w:szCs w:val="28"/>
          <w:lang w:eastAsia="es-ES"/>
        </w:rPr>
        <w:t xml:space="preserve">Una de las cuestiones principales a la hora de analizar la implementación que se puede estar desarrollando en torno a la aplicación de la filosofía de la inclusión en el sistema educativo universitario español es, justo, interpretar que, dicha implementación, no sólo es para las personas que de manera inmediata no pueda necesitar, sino que, más </w:t>
      </w:r>
      <w:r w:rsidRPr="005E1103">
        <w:rPr>
          <w:rFonts w:eastAsia="Times New Roman" w:cstheme="minorHAnsi"/>
          <w:sz w:val="28"/>
          <w:szCs w:val="28"/>
          <w:lang w:eastAsia="es-ES"/>
        </w:rPr>
        <w:lastRenderedPageBreak/>
        <w:t>bien, al contrario, debe entenderse que la inclusión, como filosofía que fundamente el hacer pedagógico y educativo, es algo necesario para todo el mundo, sin excepción alguna.</w:t>
      </w:r>
    </w:p>
    <w:p w:rsidR="00AB65A1" w:rsidRPr="005E1103" w:rsidRDefault="00AB65A1" w:rsidP="00AB65A1">
      <w:pPr>
        <w:spacing w:after="0" w:line="360" w:lineRule="auto"/>
        <w:ind w:firstLine="709"/>
        <w:jc w:val="both"/>
        <w:rPr>
          <w:rFonts w:eastAsia="Times New Roman" w:cstheme="minorHAnsi"/>
          <w:sz w:val="28"/>
          <w:szCs w:val="28"/>
          <w:lang w:eastAsia="es-ES"/>
        </w:rPr>
      </w:pPr>
      <w:r w:rsidRPr="005E1103">
        <w:rPr>
          <w:rFonts w:eastAsia="Times New Roman" w:cstheme="minorHAnsi"/>
          <w:sz w:val="28"/>
          <w:szCs w:val="28"/>
          <w:lang w:eastAsia="es-ES"/>
        </w:rPr>
        <w:t>Si se hace una lectura histórica, se puede entrever que en función del enfoque o paradigma que trata de dar explicación del hecho humano específico de la diversidad funcional u otras realidades humanas, que impliquen tener cuerpos no estrictamente normativos, estas casuísticas se encuentran en los márgenes de los espacios y discursos hegemónicos y dominantes.</w:t>
      </w:r>
    </w:p>
    <w:p w:rsidR="00AB65A1" w:rsidRPr="005E1103" w:rsidRDefault="00AB65A1" w:rsidP="00AB65A1">
      <w:pPr>
        <w:spacing w:after="0" w:line="360" w:lineRule="auto"/>
        <w:ind w:firstLine="709"/>
        <w:jc w:val="both"/>
        <w:rPr>
          <w:rFonts w:eastAsia="Times New Roman" w:cstheme="minorHAnsi"/>
          <w:sz w:val="28"/>
          <w:szCs w:val="28"/>
          <w:lang w:eastAsia="es-ES"/>
        </w:rPr>
      </w:pPr>
      <w:r w:rsidRPr="005E1103">
        <w:rPr>
          <w:rFonts w:eastAsia="Times New Roman" w:cstheme="minorHAnsi"/>
          <w:sz w:val="28"/>
          <w:szCs w:val="28"/>
          <w:lang w:eastAsia="es-ES"/>
        </w:rPr>
        <w:t xml:space="preserve">Como gran bloque, sabemos que las mujeres hemos sido discriminadas sistemáticamente por disponer de cuerpos diferentes del de los varones. La cultura occidental se desarrolla fundamentalmente en base a dicotomías/polaridades opuestas. </w:t>
      </w:r>
    </w:p>
    <w:p w:rsidR="00AB65A1" w:rsidRPr="005E1103" w:rsidRDefault="00AB65A1" w:rsidP="00AB65A1">
      <w:pPr>
        <w:spacing w:after="0" w:line="360" w:lineRule="auto"/>
        <w:ind w:firstLine="709"/>
        <w:jc w:val="both"/>
        <w:rPr>
          <w:rFonts w:eastAsia="Times New Roman" w:cstheme="minorHAnsi"/>
          <w:sz w:val="28"/>
          <w:szCs w:val="28"/>
          <w:lang w:eastAsia="es-ES"/>
        </w:rPr>
      </w:pPr>
      <w:r w:rsidRPr="005E1103">
        <w:rPr>
          <w:rFonts w:eastAsia="Times New Roman" w:cstheme="minorHAnsi"/>
          <w:sz w:val="28"/>
          <w:szCs w:val="28"/>
          <w:lang w:eastAsia="es-ES"/>
        </w:rPr>
        <w:t>Así, el Patriarcado se autoconcebido a lo largo del tiempo en aquello que interpretado como "Lo Uno" frente a "Lo Otro" (o, mejor dicho, "Las Otras"). Lo mismo sucede con el sistema capacitista, el cual, ha entendido que "lo uno" se constituye en aquello que tiene capacidades frente a ese otro (o, mejor dicho, un infinito espectro de otros, otras u otrxs que carecen de capacidades y, por tanto, son improductivos). Todas estas interpretaciones/oposiciones/dominancias sobre subordinaciones, también se refleja en el ámbito educativo y, en concreto, también en ese sistema educativo universitario español.</w:t>
      </w:r>
    </w:p>
    <w:p w:rsidR="00AB65A1" w:rsidRPr="005E1103" w:rsidRDefault="00AB65A1" w:rsidP="00AB65A1">
      <w:pPr>
        <w:pStyle w:val="Ttulo2"/>
        <w:jc w:val="both"/>
        <w:rPr>
          <w:rFonts w:asciiTheme="minorHAnsi" w:eastAsia="Times New Roman" w:hAnsiTheme="minorHAnsi" w:cstheme="minorHAnsi"/>
          <w:sz w:val="28"/>
          <w:szCs w:val="28"/>
          <w:lang w:eastAsia="es-ES"/>
        </w:rPr>
      </w:pPr>
      <w:r w:rsidRPr="005E1103">
        <w:rPr>
          <w:rFonts w:asciiTheme="minorHAnsi" w:eastAsia="Times New Roman" w:hAnsiTheme="minorHAnsi" w:cstheme="minorHAnsi"/>
          <w:sz w:val="28"/>
          <w:szCs w:val="28"/>
          <w:lang w:eastAsia="es-ES"/>
        </w:rPr>
        <w:t>La Convención Internacional sobre los Derechos de las Personas con discapacidad</w:t>
      </w:r>
    </w:p>
    <w:p w:rsidR="00AB65A1" w:rsidRPr="005E1103" w:rsidRDefault="00AB65A1" w:rsidP="00AB65A1">
      <w:pPr>
        <w:spacing w:after="120" w:line="360" w:lineRule="auto"/>
        <w:ind w:firstLine="709"/>
        <w:jc w:val="both"/>
        <w:rPr>
          <w:rFonts w:eastAsia="Times New Roman" w:cstheme="minorHAnsi"/>
          <w:bCs/>
          <w:sz w:val="28"/>
          <w:szCs w:val="28"/>
          <w:lang w:eastAsia="es-ES_tradnl"/>
        </w:rPr>
      </w:pPr>
      <w:r w:rsidRPr="005E1103">
        <w:rPr>
          <w:rFonts w:eastAsia="Times New Roman" w:cstheme="minorHAnsi"/>
          <w:bCs/>
          <w:sz w:val="28"/>
          <w:szCs w:val="28"/>
          <w:lang w:eastAsia="es-ES_tradnl"/>
        </w:rPr>
        <w:t xml:space="preserve">La </w:t>
      </w:r>
      <w:r w:rsidRPr="005E1103">
        <w:rPr>
          <w:rFonts w:eastAsia="Times New Roman" w:cstheme="minorHAnsi"/>
          <w:b/>
          <w:bCs/>
          <w:i/>
          <w:sz w:val="28"/>
          <w:szCs w:val="28"/>
          <w:lang w:eastAsia="es-ES_tradnl"/>
        </w:rPr>
        <w:t>Convención Internacional sobre los derechos de las personas con discapacidad</w:t>
      </w:r>
      <w:r w:rsidRPr="005E1103">
        <w:rPr>
          <w:rFonts w:eastAsia="Times New Roman" w:cstheme="minorHAnsi"/>
          <w:bCs/>
          <w:sz w:val="28"/>
          <w:szCs w:val="28"/>
          <w:lang w:eastAsia="es-ES_tradnl"/>
        </w:rPr>
        <w:t xml:space="preserve"> (CDPD) (BOE núm. 96, 21 de abril de 2008) y su </w:t>
      </w:r>
      <w:r w:rsidRPr="005E1103">
        <w:rPr>
          <w:rFonts w:eastAsia="Times New Roman" w:cstheme="minorHAnsi"/>
          <w:b/>
          <w:bCs/>
          <w:i/>
          <w:sz w:val="28"/>
          <w:szCs w:val="28"/>
          <w:lang w:eastAsia="es-ES_tradnl"/>
        </w:rPr>
        <w:t>Protocolo Facultativo</w:t>
      </w:r>
      <w:r w:rsidRPr="005E1103">
        <w:rPr>
          <w:rFonts w:cstheme="minorHAnsi"/>
          <w:sz w:val="28"/>
          <w:szCs w:val="28"/>
        </w:rPr>
        <w:t xml:space="preserve"> </w:t>
      </w:r>
      <w:r w:rsidRPr="005E1103">
        <w:rPr>
          <w:rFonts w:eastAsia="Times New Roman" w:cstheme="minorHAnsi"/>
          <w:bCs/>
          <w:sz w:val="28"/>
          <w:szCs w:val="28"/>
          <w:lang w:eastAsia="es-ES_tradnl"/>
        </w:rPr>
        <w:t xml:space="preserve">(BOE núm. 97, 22 de abril de 2008), fueron aprobados el 13 de diciembre de 2006 en la Sede de las Naciones Unidas en Nueva York. En mayo de 2008, forma parte de nuestro ordenamiento jurídico español. Señala un “cambio paradigmático” de las actitudes y enfoques respecto de las personas con diversidad funcional y, por tanto, también de las líneas de investigación y de trabajo educativas que giran en torno a la diversidad funcional. </w:t>
      </w:r>
    </w:p>
    <w:p w:rsidR="00AB65A1" w:rsidRPr="005E1103" w:rsidRDefault="00AB65A1" w:rsidP="00AB65A1">
      <w:pPr>
        <w:spacing w:after="120" w:line="360" w:lineRule="auto"/>
        <w:ind w:firstLine="709"/>
        <w:jc w:val="both"/>
        <w:rPr>
          <w:rFonts w:eastAsia="Times New Roman" w:cstheme="minorHAnsi"/>
          <w:bCs/>
          <w:sz w:val="28"/>
          <w:szCs w:val="28"/>
          <w:lang w:eastAsia="es-ES_tradnl"/>
        </w:rPr>
      </w:pPr>
      <w:r w:rsidRPr="005E1103">
        <w:rPr>
          <w:rFonts w:eastAsia="Times New Roman" w:cstheme="minorHAnsi"/>
          <w:bCs/>
          <w:sz w:val="28"/>
          <w:szCs w:val="28"/>
          <w:lang w:eastAsia="es-ES_tradnl"/>
        </w:rPr>
        <w:lastRenderedPageBreak/>
        <w:t>Este documento promueve un cambio epistemológico en la comprensión de la "discapacidad", que pasa de ser algo estrictamente del ámbito de la salud (o, mejor dicho, de "ausencia de salud") a algo que pertenece al campo de los Derechos Humanos. Aún así, y siguiendo a la Organización Mundial de la Salud (OMS), de Naciones Unidas, continúa usando el concepto biomédico-clínico-sociosanitario, fundamentado en el capacitismo, de "discapacidad".</w:t>
      </w:r>
    </w:p>
    <w:p w:rsidR="00AB65A1" w:rsidRPr="005E1103" w:rsidRDefault="00AB65A1" w:rsidP="00AB65A1">
      <w:pPr>
        <w:spacing w:after="0" w:line="360" w:lineRule="auto"/>
        <w:ind w:firstLine="709"/>
        <w:jc w:val="both"/>
        <w:rPr>
          <w:rFonts w:eastAsia="Times New Roman" w:cstheme="minorHAnsi"/>
          <w:sz w:val="28"/>
          <w:szCs w:val="28"/>
          <w:lang w:eastAsia="es-ES"/>
        </w:rPr>
      </w:pPr>
      <w:r w:rsidRPr="005E1103">
        <w:rPr>
          <w:rFonts w:eastAsia="Times New Roman" w:cstheme="minorHAnsi"/>
          <w:sz w:val="28"/>
          <w:szCs w:val="28"/>
          <w:lang w:eastAsia="es-ES"/>
        </w:rPr>
        <w:t>El Art. 24. "Educación" se constituye en el referente ineludible de la petición de implementación de la "filosofía de la inclusión" en todos los niveles educativos (en el punto 1). En el punto 5 de este mismo artículo hace referencia explícita a la «Educación Superior». Dice así:</w:t>
      </w:r>
    </w:p>
    <w:p w:rsidR="00AB65A1" w:rsidRPr="005E1103" w:rsidRDefault="00AB65A1" w:rsidP="00AB65A1">
      <w:pPr>
        <w:spacing w:after="0" w:line="240" w:lineRule="auto"/>
        <w:ind w:left="1417" w:hanging="709"/>
        <w:jc w:val="both"/>
        <w:rPr>
          <w:rFonts w:eastAsia="Times New Roman" w:cstheme="minorHAnsi"/>
          <w:sz w:val="28"/>
          <w:szCs w:val="28"/>
          <w:lang w:eastAsia="es-ES"/>
        </w:rPr>
      </w:pPr>
      <w:r w:rsidRPr="005E1103">
        <w:rPr>
          <w:rFonts w:eastAsia="Times New Roman" w:cstheme="minorHAnsi"/>
          <w:sz w:val="28"/>
          <w:szCs w:val="28"/>
          <w:lang w:eastAsia="es-ES"/>
        </w:rPr>
        <w:t xml:space="preserve">5. Los Estados Partes asegurarán que </w:t>
      </w:r>
      <w:r w:rsidRPr="005E1103">
        <w:rPr>
          <w:rFonts w:eastAsia="Times New Roman" w:cstheme="minorHAnsi"/>
          <w:b/>
          <w:bCs/>
          <w:sz w:val="28"/>
          <w:szCs w:val="28"/>
          <w:u w:val="single"/>
          <w:lang w:eastAsia="es-ES"/>
        </w:rPr>
        <w:t>las personas con discapacidad tengan acceso general a la educación superior</w:t>
      </w:r>
      <w:r w:rsidRPr="005E1103">
        <w:rPr>
          <w:rFonts w:eastAsia="Times New Roman" w:cstheme="minorHAnsi"/>
          <w:sz w:val="28"/>
          <w:szCs w:val="28"/>
          <w:lang w:eastAsia="es-ES"/>
        </w:rPr>
        <w:t xml:space="preserve">, la formación profesional, la educación para adultos y el aprendizaje durante toda la vida </w:t>
      </w:r>
      <w:r w:rsidRPr="005E1103">
        <w:rPr>
          <w:rFonts w:eastAsia="Times New Roman" w:cstheme="minorHAnsi"/>
          <w:b/>
          <w:bCs/>
          <w:sz w:val="28"/>
          <w:szCs w:val="28"/>
          <w:lang w:eastAsia="es-ES"/>
        </w:rPr>
        <w:t>sin discriminación y en igualdad de condiciones con las demás</w:t>
      </w:r>
      <w:r w:rsidRPr="005E1103">
        <w:rPr>
          <w:rFonts w:eastAsia="Times New Roman" w:cstheme="minorHAnsi"/>
          <w:sz w:val="28"/>
          <w:szCs w:val="28"/>
          <w:lang w:eastAsia="es-ES"/>
        </w:rPr>
        <w:t xml:space="preserve">. A tal fin, los Estados Partes asegurarán que </w:t>
      </w:r>
      <w:r w:rsidRPr="005E1103">
        <w:rPr>
          <w:rFonts w:eastAsia="Times New Roman" w:cstheme="minorHAnsi"/>
          <w:b/>
          <w:bCs/>
          <w:sz w:val="28"/>
          <w:szCs w:val="28"/>
          <w:lang w:eastAsia="es-ES"/>
        </w:rPr>
        <w:t>se realicen ajustes razonables para las personas con discapacidad.</w:t>
      </w:r>
    </w:p>
    <w:p w:rsidR="00AB65A1" w:rsidRPr="005E1103" w:rsidRDefault="00AB65A1" w:rsidP="00AB65A1">
      <w:pPr>
        <w:pStyle w:val="Ttulo2"/>
        <w:rPr>
          <w:rFonts w:asciiTheme="minorHAnsi" w:eastAsia="Times New Roman" w:hAnsiTheme="minorHAnsi" w:cstheme="minorHAnsi"/>
          <w:sz w:val="28"/>
          <w:szCs w:val="28"/>
          <w:lang w:eastAsia="es-ES"/>
        </w:rPr>
      </w:pPr>
      <w:r w:rsidRPr="005E1103">
        <w:rPr>
          <w:rFonts w:asciiTheme="minorHAnsi" w:eastAsia="Times New Roman" w:hAnsiTheme="minorHAnsi" w:cstheme="minorHAnsi"/>
          <w:sz w:val="28"/>
          <w:szCs w:val="28"/>
          <w:lang w:eastAsia="es-ES"/>
        </w:rPr>
        <w:t>Paradigmas en torno a la diversidad</w:t>
      </w:r>
    </w:p>
    <w:p w:rsidR="00AB65A1" w:rsidRPr="005E1103" w:rsidRDefault="00AB65A1" w:rsidP="00AB65A1">
      <w:pPr>
        <w:spacing w:after="0" w:line="360" w:lineRule="auto"/>
        <w:ind w:firstLine="709"/>
        <w:jc w:val="both"/>
        <w:rPr>
          <w:rFonts w:eastAsia="Times New Roman" w:cstheme="minorHAnsi"/>
          <w:sz w:val="28"/>
          <w:szCs w:val="28"/>
          <w:lang w:eastAsia="es-ES"/>
        </w:rPr>
      </w:pPr>
      <w:r w:rsidRPr="005E1103">
        <w:rPr>
          <w:rFonts w:eastAsia="Times New Roman" w:cstheme="minorHAnsi"/>
          <w:sz w:val="28"/>
          <w:szCs w:val="28"/>
          <w:lang w:eastAsia="es-ES"/>
        </w:rPr>
        <w:t>El ser humano con diversidad funcional y, en concreto, esta circunstancia, históricamente ha sufrido mucha marginación y discriminación por ella. Cultural y simbólicamente, la diversidad funcional nunca ha sido interpretada en términos positivos. A la persona que se encuentre en posesión de diversidad funcional, ha sido abstraída de cualquier otra característica/categoría/variable que pueda, también, intervenir en el proceso de discriminación, o, por el contrario, de empoderamiento.</w:t>
      </w:r>
    </w:p>
    <w:p w:rsidR="00AB65A1" w:rsidRPr="005E1103" w:rsidRDefault="00AB65A1" w:rsidP="00AB65A1">
      <w:pPr>
        <w:spacing w:after="0" w:line="360" w:lineRule="auto"/>
        <w:ind w:firstLine="709"/>
        <w:jc w:val="both"/>
        <w:rPr>
          <w:rFonts w:eastAsia="Times New Roman" w:cstheme="minorHAnsi"/>
          <w:sz w:val="28"/>
          <w:szCs w:val="28"/>
          <w:lang w:eastAsia="es-ES"/>
        </w:rPr>
      </w:pPr>
      <w:r w:rsidRPr="005E1103">
        <w:rPr>
          <w:rFonts w:eastAsia="Times New Roman" w:cstheme="minorHAnsi"/>
          <w:sz w:val="28"/>
          <w:szCs w:val="28"/>
          <w:lang w:eastAsia="es-ES"/>
        </w:rPr>
        <w:t xml:space="preserve">Ideologías eugenésicas (implícitas y explícitas) y la mirada científica biomédica, junto con la tradición judeocristiana, constituyen toda una simbología de interpretación de identificar la realidad de la diversidad funcional como una enfermedad. La enfermedad, a su vez, es entendida como algo negativo, es decir, como ausencia de salud, al mismo tiempo que da lástima y, por tanto, en todo caso, se pretende practicar la caridad hacia estas personas que "sufren una discapacidad". Todo ello, </w:t>
      </w:r>
      <w:r w:rsidRPr="005E1103">
        <w:rPr>
          <w:rFonts w:eastAsia="Times New Roman" w:cstheme="minorHAnsi"/>
          <w:sz w:val="28"/>
          <w:szCs w:val="28"/>
          <w:lang w:eastAsia="es-ES"/>
        </w:rPr>
        <w:lastRenderedPageBreak/>
        <w:t>indiscutiblemente, condiciona una modalidad educativa u otra. A grandes rasgos, la autora de este trabajo ha realizado el siguiente esquema donde establece una correspondencia entre las políticas socioculturales y simbólicas y las modalidades educativas. Veámoslo:</w:t>
      </w:r>
    </w:p>
    <w:p w:rsidR="00AB65A1" w:rsidRPr="005E1103" w:rsidRDefault="00AB65A1" w:rsidP="00AB65A1">
      <w:pPr>
        <w:spacing w:after="0" w:line="360" w:lineRule="auto"/>
        <w:ind w:firstLine="709"/>
        <w:jc w:val="both"/>
        <w:rPr>
          <w:rFonts w:eastAsia="Times New Roman" w:cstheme="minorHAnsi"/>
          <w:sz w:val="28"/>
          <w:szCs w:val="28"/>
          <w:lang w:eastAsia="es-ES"/>
        </w:rPr>
      </w:pPr>
    </w:p>
    <w:p w:rsidR="00AB65A1" w:rsidRPr="005E1103" w:rsidRDefault="00AB65A1" w:rsidP="00AB65A1">
      <w:pPr>
        <w:spacing w:after="0" w:line="360" w:lineRule="auto"/>
        <w:ind w:firstLine="709"/>
        <w:jc w:val="both"/>
        <w:rPr>
          <w:rFonts w:eastAsia="Times New Roman" w:cstheme="minorHAnsi"/>
          <w:sz w:val="28"/>
          <w:szCs w:val="28"/>
          <w:lang w:eastAsia="es-ES"/>
        </w:rPr>
      </w:pPr>
    </w:p>
    <w:p w:rsidR="00AB65A1" w:rsidRPr="005E1103" w:rsidRDefault="00AB65A1" w:rsidP="00AB65A1">
      <w:pPr>
        <w:spacing w:after="0" w:line="360" w:lineRule="auto"/>
        <w:ind w:firstLine="709"/>
        <w:jc w:val="both"/>
        <w:rPr>
          <w:rFonts w:eastAsia="Times New Roman" w:cstheme="minorHAnsi"/>
          <w:sz w:val="28"/>
          <w:szCs w:val="28"/>
          <w:lang w:eastAsia="es-ES"/>
        </w:rPr>
      </w:pPr>
    </w:p>
    <w:p w:rsidR="00AB65A1" w:rsidRPr="005E1103" w:rsidRDefault="00AB65A1" w:rsidP="00AB65A1">
      <w:pPr>
        <w:spacing w:after="0" w:line="360" w:lineRule="auto"/>
        <w:ind w:firstLine="709"/>
        <w:jc w:val="both"/>
        <w:rPr>
          <w:rFonts w:eastAsia="Times New Roman" w:cstheme="minorHAnsi"/>
          <w:sz w:val="28"/>
          <w:szCs w:val="28"/>
          <w:lang w:eastAsia="es-ES"/>
        </w:rPr>
      </w:pPr>
      <w:r w:rsidRPr="005E1103">
        <w:rPr>
          <w:rFonts w:eastAsia="Times New Roman" w:cstheme="minorHAnsi"/>
          <w:noProof/>
          <w:sz w:val="28"/>
          <w:szCs w:val="28"/>
          <w:lang w:eastAsia="es-ES"/>
        </w:rPr>
        <w:drawing>
          <wp:anchor distT="0" distB="0" distL="114300" distR="114300" simplePos="0" relativeHeight="251661312" behindDoc="0" locked="0" layoutInCell="1" allowOverlap="1" wp14:anchorId="64458B95" wp14:editId="5B08C219">
            <wp:simplePos x="0" y="0"/>
            <wp:positionH relativeFrom="column">
              <wp:posOffset>1217295</wp:posOffset>
            </wp:positionH>
            <wp:positionV relativeFrom="paragraph">
              <wp:posOffset>-167640</wp:posOffset>
            </wp:positionV>
            <wp:extent cx="2957195" cy="2217420"/>
            <wp:effectExtent l="0" t="0" r="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57195" cy="2217420"/>
                    </a:xfrm>
                    <a:prstGeom prst="rect">
                      <a:avLst/>
                    </a:prstGeom>
                    <a:noFill/>
                  </pic:spPr>
                </pic:pic>
              </a:graphicData>
            </a:graphic>
            <wp14:sizeRelH relativeFrom="page">
              <wp14:pctWidth>0</wp14:pctWidth>
            </wp14:sizeRelH>
            <wp14:sizeRelV relativeFrom="page">
              <wp14:pctHeight>0</wp14:pctHeight>
            </wp14:sizeRelV>
          </wp:anchor>
        </w:drawing>
      </w:r>
    </w:p>
    <w:p w:rsidR="00AB65A1" w:rsidRPr="005E1103" w:rsidRDefault="00AB65A1" w:rsidP="00AB65A1">
      <w:pPr>
        <w:spacing w:after="0" w:line="360" w:lineRule="auto"/>
        <w:ind w:firstLine="709"/>
        <w:jc w:val="both"/>
        <w:rPr>
          <w:rFonts w:eastAsia="Times New Roman" w:cstheme="minorHAnsi"/>
          <w:sz w:val="28"/>
          <w:szCs w:val="28"/>
          <w:lang w:eastAsia="es-ES"/>
        </w:rPr>
      </w:pPr>
    </w:p>
    <w:p w:rsidR="00AB65A1" w:rsidRPr="005E1103" w:rsidRDefault="00AB65A1" w:rsidP="00AB65A1">
      <w:pPr>
        <w:spacing w:after="0" w:line="360" w:lineRule="auto"/>
        <w:ind w:firstLine="709"/>
        <w:jc w:val="both"/>
        <w:rPr>
          <w:rFonts w:eastAsia="Times New Roman" w:cstheme="minorHAnsi"/>
          <w:sz w:val="28"/>
          <w:szCs w:val="28"/>
          <w:lang w:eastAsia="es-ES"/>
        </w:rPr>
      </w:pPr>
    </w:p>
    <w:p w:rsidR="00AB65A1" w:rsidRPr="005E1103" w:rsidRDefault="00AB65A1" w:rsidP="00AB65A1">
      <w:pPr>
        <w:spacing w:after="0" w:line="360" w:lineRule="auto"/>
        <w:ind w:firstLine="709"/>
        <w:jc w:val="both"/>
        <w:rPr>
          <w:rFonts w:eastAsia="Times New Roman" w:cstheme="minorHAnsi"/>
          <w:sz w:val="28"/>
          <w:szCs w:val="28"/>
          <w:lang w:eastAsia="es-ES"/>
        </w:rPr>
      </w:pPr>
    </w:p>
    <w:p w:rsidR="00AB65A1" w:rsidRPr="005E1103" w:rsidRDefault="00AB65A1" w:rsidP="00AB65A1">
      <w:pPr>
        <w:spacing w:after="0" w:line="360" w:lineRule="auto"/>
        <w:ind w:firstLine="709"/>
        <w:jc w:val="both"/>
        <w:rPr>
          <w:rFonts w:eastAsia="Times New Roman" w:cstheme="minorHAnsi"/>
          <w:sz w:val="28"/>
          <w:szCs w:val="28"/>
          <w:lang w:eastAsia="es-ES"/>
        </w:rPr>
      </w:pPr>
    </w:p>
    <w:p w:rsidR="00AB65A1" w:rsidRPr="005E1103" w:rsidRDefault="00AB65A1" w:rsidP="00AB65A1">
      <w:pPr>
        <w:spacing w:after="0" w:line="360" w:lineRule="auto"/>
        <w:ind w:firstLine="709"/>
        <w:jc w:val="both"/>
        <w:rPr>
          <w:rFonts w:eastAsia="Times New Roman" w:cstheme="minorHAnsi"/>
          <w:sz w:val="28"/>
          <w:szCs w:val="28"/>
          <w:lang w:eastAsia="es-ES"/>
        </w:rPr>
      </w:pPr>
    </w:p>
    <w:p w:rsidR="00AB65A1" w:rsidRPr="005E1103" w:rsidRDefault="00AB65A1" w:rsidP="00AB65A1">
      <w:pPr>
        <w:spacing w:after="0" w:line="360" w:lineRule="auto"/>
        <w:ind w:firstLine="709"/>
        <w:jc w:val="both"/>
        <w:rPr>
          <w:rFonts w:eastAsia="Times New Roman" w:cstheme="minorHAnsi"/>
          <w:sz w:val="28"/>
          <w:szCs w:val="28"/>
          <w:lang w:eastAsia="es-ES"/>
        </w:rPr>
      </w:pPr>
    </w:p>
    <w:p w:rsidR="00AB65A1" w:rsidRPr="005E1103" w:rsidRDefault="00AB65A1" w:rsidP="00AB65A1">
      <w:pPr>
        <w:spacing w:after="0" w:line="360" w:lineRule="auto"/>
        <w:ind w:firstLine="709"/>
        <w:jc w:val="both"/>
        <w:rPr>
          <w:rFonts w:eastAsia="Times New Roman" w:cstheme="minorHAnsi"/>
          <w:sz w:val="28"/>
          <w:szCs w:val="28"/>
          <w:lang w:eastAsia="es-ES"/>
        </w:rPr>
      </w:pPr>
    </w:p>
    <w:p w:rsidR="00AB65A1" w:rsidRPr="005E1103" w:rsidRDefault="00AB65A1" w:rsidP="00AB65A1">
      <w:pPr>
        <w:spacing w:after="0" w:line="360" w:lineRule="auto"/>
        <w:ind w:left="708" w:firstLine="709"/>
        <w:jc w:val="both"/>
        <w:rPr>
          <w:rFonts w:eastAsia="Times New Roman" w:cstheme="minorHAnsi"/>
          <w:sz w:val="28"/>
          <w:szCs w:val="28"/>
          <w:lang w:eastAsia="es-ES"/>
        </w:rPr>
      </w:pPr>
      <w:r w:rsidRPr="005E1103">
        <w:rPr>
          <w:rFonts w:eastAsia="Times New Roman" w:cstheme="minorHAnsi"/>
          <w:sz w:val="28"/>
          <w:szCs w:val="28"/>
          <w:lang w:eastAsia="es-ES"/>
        </w:rPr>
        <w:t>Esquema 1. De elaboración propia.</w:t>
      </w:r>
    </w:p>
    <w:p w:rsidR="00AB65A1" w:rsidRPr="005E1103" w:rsidRDefault="00AB65A1" w:rsidP="00AB65A1">
      <w:pPr>
        <w:autoSpaceDE w:val="0"/>
        <w:autoSpaceDN w:val="0"/>
        <w:adjustRightInd w:val="0"/>
        <w:spacing w:after="0" w:line="360" w:lineRule="auto"/>
        <w:ind w:firstLine="709"/>
        <w:jc w:val="both"/>
        <w:rPr>
          <w:rFonts w:eastAsia="Times New Roman" w:cstheme="minorHAnsi"/>
          <w:sz w:val="28"/>
          <w:szCs w:val="28"/>
          <w:lang w:val="es-ES_tradnl" w:eastAsia="es-ES_tradnl"/>
        </w:rPr>
      </w:pPr>
      <w:r w:rsidRPr="005E1103">
        <w:rPr>
          <w:rFonts w:eastAsia="Times New Roman" w:cstheme="minorHAnsi"/>
          <w:sz w:val="28"/>
          <w:szCs w:val="28"/>
          <w:lang w:val="es-ES_tradnl" w:eastAsia="es-ES_tradnl"/>
        </w:rPr>
        <w:t xml:space="preserve">En cuanto al modelo </w:t>
      </w:r>
      <w:r w:rsidRPr="005E1103">
        <w:rPr>
          <w:rFonts w:eastAsia="Times New Roman" w:cstheme="minorHAnsi"/>
          <w:i/>
          <w:iCs/>
          <w:sz w:val="28"/>
          <w:szCs w:val="28"/>
          <w:lang w:val="es-ES_tradnl" w:eastAsia="es-ES_tradnl"/>
        </w:rPr>
        <w:t>eugenésico</w:t>
      </w:r>
      <w:r w:rsidRPr="005E1103">
        <w:rPr>
          <w:rFonts w:eastAsia="Times New Roman" w:cstheme="minorHAnsi"/>
          <w:sz w:val="28"/>
          <w:szCs w:val="28"/>
          <w:lang w:val="es-ES_tradnl" w:eastAsia="es-ES_tradnl"/>
        </w:rPr>
        <w:t xml:space="preserve"> podría ser situado en la antigüedad clásica. Tanto la sociedad griega como la romana, basándose fundamentalmente en motivos religiosos, aunque también políticos, consideraban inconveniente el desarrollo y crecimiento de niños y niñas con diversidad funcional. La explicación respecto de las causas de la misma era religiosa: el nacimiento de un niño o niña con diversidad funcional era el resultado de un pecado cometido por la madre y el padre en el caso de Grecia, o una advertencia de que la alianza con los dioses se encontraba rota en el caso de Roma. Ello, unido a la idea de que la vida de una persona con diversidad funcional no merecía la pena ser vivida, más la consideración acerca de su condición de carga (para los padres y madres, y para la sociedad), llevaba a prescindir de estas personas mediante prácticas eugenésicas, como </w:t>
      </w:r>
      <w:r w:rsidRPr="005E1103">
        <w:rPr>
          <w:rFonts w:eastAsia="Times New Roman" w:cstheme="minorHAnsi"/>
          <w:sz w:val="28"/>
          <w:szCs w:val="28"/>
          <w:lang w:val="es-ES_tradnl" w:eastAsia="es-ES_tradnl"/>
        </w:rPr>
        <w:lastRenderedPageBreak/>
        <w:t xml:space="preserve">el infanticidio en el caso de los niños y niñas. Este modelo acoge la "perspectiva de género", principalmente, en lo que concierne a las mujeres - embarazadas. </w:t>
      </w:r>
    </w:p>
    <w:p w:rsidR="00AB65A1" w:rsidRPr="005E1103" w:rsidRDefault="00AB65A1" w:rsidP="00AB65A1">
      <w:pPr>
        <w:spacing w:after="0" w:line="360" w:lineRule="auto"/>
        <w:ind w:firstLine="709"/>
        <w:jc w:val="both"/>
        <w:rPr>
          <w:rFonts w:eastAsia="Times New Roman" w:cstheme="minorHAnsi"/>
          <w:sz w:val="28"/>
          <w:szCs w:val="28"/>
          <w:lang w:eastAsia="es-ES"/>
        </w:rPr>
      </w:pPr>
      <w:r w:rsidRPr="005E1103">
        <w:rPr>
          <w:rFonts w:eastAsia="Times New Roman" w:cstheme="minorHAnsi"/>
          <w:sz w:val="28"/>
          <w:szCs w:val="28"/>
          <w:lang w:eastAsia="es-ES"/>
        </w:rPr>
        <w:t>A grosso modo, es importante tener presente que el enfoque eugenésico tradicional no necesita ninguna modalidad educativa que trate de implementar la diversidad. Contempla el alumnado como un grupo homogéneo.</w:t>
      </w:r>
    </w:p>
    <w:p w:rsidR="00AB65A1" w:rsidRPr="005E1103" w:rsidRDefault="00AB65A1" w:rsidP="00AB65A1">
      <w:pPr>
        <w:autoSpaceDE w:val="0"/>
        <w:autoSpaceDN w:val="0"/>
        <w:adjustRightInd w:val="0"/>
        <w:spacing w:after="120" w:line="360" w:lineRule="auto"/>
        <w:ind w:firstLine="709"/>
        <w:jc w:val="both"/>
        <w:rPr>
          <w:rFonts w:eastAsia="Times New Roman" w:cstheme="minorHAnsi"/>
          <w:sz w:val="28"/>
          <w:szCs w:val="28"/>
          <w:lang w:eastAsia="es-ES"/>
        </w:rPr>
      </w:pPr>
      <w:r w:rsidRPr="005E1103">
        <w:rPr>
          <w:rFonts w:eastAsia="Times New Roman" w:cstheme="minorHAnsi"/>
          <w:sz w:val="28"/>
          <w:szCs w:val="28"/>
          <w:lang w:eastAsia="es-ES"/>
        </w:rPr>
        <w:t xml:space="preserve">El segundo modelo es el denominado </w:t>
      </w:r>
      <w:r w:rsidRPr="005E1103">
        <w:rPr>
          <w:rFonts w:eastAsia="Times New Roman" w:cstheme="minorHAnsi"/>
          <w:i/>
          <w:sz w:val="28"/>
          <w:szCs w:val="28"/>
          <w:lang w:eastAsia="es-ES"/>
        </w:rPr>
        <w:t>modelo médico-</w:t>
      </w:r>
      <w:r w:rsidRPr="005E1103">
        <w:rPr>
          <w:rFonts w:eastAsia="Times New Roman" w:cstheme="minorHAnsi"/>
          <w:i/>
          <w:iCs/>
          <w:sz w:val="28"/>
          <w:szCs w:val="28"/>
          <w:lang w:eastAsia="es-ES"/>
        </w:rPr>
        <w:t>rehabilitador</w:t>
      </w:r>
      <w:r w:rsidRPr="005E1103">
        <w:rPr>
          <w:rFonts w:eastAsia="Times New Roman" w:cstheme="minorHAnsi"/>
          <w:sz w:val="28"/>
          <w:szCs w:val="28"/>
          <w:lang w:eastAsia="es-ES"/>
        </w:rPr>
        <w:t>. Este modelo fundamenta sus postulados en planteamientos médico-científicos, motivo por el que considera que las causas que justifican la diversidad funcional/intersexualidad/transexualidad…, son la enfermedad o la ausencia de salud. Dicho modelo parte de las "insuficiencias"/"deficiencias"/"INcapacidades" de la propia persona con diversidad funcional, o con condiciones intersexuales.</w:t>
      </w:r>
    </w:p>
    <w:p w:rsidR="00AB65A1" w:rsidRPr="005E1103" w:rsidRDefault="00AB65A1" w:rsidP="00AB65A1">
      <w:pPr>
        <w:spacing w:after="0" w:line="360" w:lineRule="auto"/>
        <w:ind w:firstLine="709"/>
        <w:jc w:val="both"/>
        <w:rPr>
          <w:rFonts w:eastAsia="Times New Roman" w:cstheme="minorHAnsi"/>
          <w:sz w:val="28"/>
          <w:szCs w:val="28"/>
          <w:lang w:eastAsia="es-ES"/>
        </w:rPr>
      </w:pPr>
      <w:r w:rsidRPr="005E1103">
        <w:rPr>
          <w:rFonts w:eastAsia="Times New Roman" w:cstheme="minorHAnsi"/>
          <w:sz w:val="28"/>
          <w:szCs w:val="28"/>
          <w:lang w:eastAsia="es-ES"/>
        </w:rPr>
        <w:t>Este paradigma biomédico-clínico genera una «Educación especial», en la medida en que interpreta que las personas que necesitan acudir a esta modalidad educativa son aquellas que el sistema biomédico-científico no logra reparar en su totalidad. Rajkov reitera en que el mayor grado de discriminación que sufren/sufrimos las mujeres con diversidad funcional se produce en escuelas especiales, pero también en escuelas integradas. Dice así</w:t>
      </w:r>
      <w:r w:rsidRPr="005E1103">
        <w:rPr>
          <w:rFonts w:eastAsia="Times New Roman" w:cstheme="minorHAnsi"/>
          <w:i/>
          <w:sz w:val="28"/>
          <w:szCs w:val="28"/>
          <w:lang w:eastAsia="es-ES"/>
        </w:rPr>
        <w:t xml:space="preserve"> </w:t>
      </w:r>
      <w:r w:rsidRPr="005E1103">
        <w:rPr>
          <w:rFonts w:eastAsia="Times New Roman" w:cstheme="minorHAnsi"/>
          <w:sz w:val="28"/>
          <w:szCs w:val="28"/>
          <w:lang w:eastAsia="es-ES"/>
        </w:rPr>
        <w:t xml:space="preserve">(Rajkov, 2008:105): "Permanecer alertas, porque la </w:t>
      </w:r>
      <w:r w:rsidRPr="005E1103">
        <w:rPr>
          <w:rFonts w:eastAsia="Times New Roman" w:cstheme="minorHAnsi"/>
          <w:b/>
          <w:sz w:val="28"/>
          <w:szCs w:val="28"/>
          <w:lang w:eastAsia="es-ES"/>
        </w:rPr>
        <w:t>discriminación empieza en el colegio (tanto en educación integrada como en educación especial)</w:t>
      </w:r>
      <w:r w:rsidRPr="005E1103">
        <w:rPr>
          <w:rFonts w:eastAsia="Times New Roman" w:cstheme="minorHAnsi"/>
          <w:sz w:val="28"/>
          <w:szCs w:val="28"/>
          <w:lang w:eastAsia="es-ES"/>
        </w:rPr>
        <w:t>, dado que las escuelas especiales se consideran guarderías y no como instituciones educativas adecuadas.".</w:t>
      </w:r>
    </w:p>
    <w:p w:rsidR="00AB65A1" w:rsidRPr="005E1103" w:rsidRDefault="00AB65A1" w:rsidP="00AB65A1">
      <w:pPr>
        <w:autoSpaceDE w:val="0"/>
        <w:autoSpaceDN w:val="0"/>
        <w:adjustRightInd w:val="0"/>
        <w:spacing w:after="120" w:line="360" w:lineRule="auto"/>
        <w:ind w:firstLine="709"/>
        <w:jc w:val="both"/>
        <w:rPr>
          <w:rFonts w:eastAsia="Times New Roman" w:cstheme="minorHAnsi"/>
          <w:sz w:val="28"/>
          <w:szCs w:val="28"/>
          <w:lang w:eastAsia="es-ES"/>
        </w:rPr>
      </w:pPr>
      <w:r w:rsidRPr="005E1103">
        <w:rPr>
          <w:rFonts w:eastAsia="Times New Roman" w:cstheme="minorHAnsi"/>
          <w:sz w:val="28"/>
          <w:szCs w:val="28"/>
          <w:lang w:eastAsia="es-ES"/>
        </w:rPr>
        <w:t>Por último, nos encontramos con ese modelo o enfoque basado en los Derechos Humanos que promueve la plena igualdad entre los géneros (co- educación) y/o entre las personas excluidas (filosofía inclusiva). Dentro del ámbito educativo, sin lugar a dudas, el paradigma de la diversidad y la filosofía de la inclusión convergen armoniosamente.</w:t>
      </w:r>
    </w:p>
    <w:p w:rsidR="00AB65A1" w:rsidRPr="005E1103" w:rsidRDefault="00AB65A1" w:rsidP="00AB65A1">
      <w:pPr>
        <w:autoSpaceDE w:val="0"/>
        <w:autoSpaceDN w:val="0"/>
        <w:adjustRightInd w:val="0"/>
        <w:spacing w:after="120" w:line="360" w:lineRule="auto"/>
        <w:ind w:firstLine="709"/>
        <w:jc w:val="both"/>
        <w:rPr>
          <w:rFonts w:eastAsia="Times New Roman" w:cstheme="minorHAnsi"/>
          <w:sz w:val="28"/>
          <w:szCs w:val="28"/>
          <w:lang w:eastAsia="es-ES"/>
        </w:rPr>
      </w:pPr>
      <w:r w:rsidRPr="005E1103">
        <w:rPr>
          <w:rFonts w:eastAsia="Times New Roman" w:cstheme="minorHAnsi"/>
          <w:sz w:val="28"/>
          <w:szCs w:val="28"/>
          <w:lang w:eastAsia="es-ES"/>
        </w:rPr>
        <w:t xml:space="preserve">Palacios Rizzo y Romañach Cabrero (2006), nos recuerda que el Paradigma de la Diversidad se fundamenta, justo en la dignidad intrínseca de todo ser humano, por el sencillo hecho de serlo. Con lo cual, toda persona tiene el mismo valor moral </w:t>
      </w:r>
      <w:r w:rsidRPr="005E1103">
        <w:rPr>
          <w:rFonts w:eastAsia="Times New Roman" w:cstheme="minorHAnsi"/>
          <w:sz w:val="28"/>
          <w:szCs w:val="28"/>
          <w:lang w:eastAsia="es-ES"/>
        </w:rPr>
        <w:lastRenderedPageBreak/>
        <w:t>independientemente de sus circunstancias o casuísticas. Este enfoque encaja armoniosamente con esa mirada de derechos humanos. Tanto la dignidad intrínseca como la dignidad en sentido extrínseco, se constituyen en el eje central sobre el que se pueda trabajar.</w:t>
      </w:r>
    </w:p>
    <w:p w:rsidR="00AB65A1" w:rsidRPr="005E1103" w:rsidRDefault="00AB65A1" w:rsidP="00AB65A1">
      <w:pPr>
        <w:pStyle w:val="Ttulo1"/>
        <w:rPr>
          <w:rFonts w:asciiTheme="minorHAnsi" w:hAnsiTheme="minorHAnsi" w:cstheme="minorHAnsi"/>
        </w:rPr>
      </w:pPr>
      <w:bookmarkStart w:id="3" w:name="_Toc462868797"/>
      <w:r w:rsidRPr="005E1103">
        <w:rPr>
          <w:rFonts w:asciiTheme="minorHAnsi" w:hAnsiTheme="minorHAnsi" w:cstheme="minorHAnsi"/>
        </w:rPr>
        <w:t>A modo de conclusiones</w:t>
      </w:r>
      <w:bookmarkEnd w:id="3"/>
    </w:p>
    <w:p w:rsidR="00AB65A1" w:rsidRPr="005E1103" w:rsidRDefault="00AB65A1" w:rsidP="00AB65A1">
      <w:pPr>
        <w:spacing w:line="360" w:lineRule="auto"/>
        <w:ind w:firstLine="709"/>
        <w:jc w:val="both"/>
        <w:rPr>
          <w:rFonts w:cstheme="minorHAnsi"/>
          <w:bCs/>
          <w:sz w:val="28"/>
          <w:szCs w:val="28"/>
          <w:lang w:val="es-US"/>
        </w:rPr>
      </w:pPr>
      <w:r w:rsidRPr="005E1103">
        <w:rPr>
          <w:rFonts w:cstheme="minorHAnsi"/>
          <w:bCs/>
          <w:sz w:val="28"/>
          <w:szCs w:val="28"/>
          <w:lang w:val="es-US"/>
        </w:rPr>
        <w:t xml:space="preserve">De manera breve hemos hecho un pequeño recorrido por tres visiones (eugenesia, biomédico -clínico, derechos humanos) que, indiscutiblemente, desarrollan enfoques y filosofías pedagógicas que determinan el sentido de la educación, en todo su ciclo. A nivel estatal es interesante resaltar la </w:t>
      </w:r>
      <w:r w:rsidRPr="005E1103">
        <w:rPr>
          <w:rFonts w:cstheme="minorHAnsi"/>
          <w:b/>
          <w:bCs/>
          <w:i/>
          <w:sz w:val="28"/>
          <w:szCs w:val="28"/>
          <w:lang w:val="es-US"/>
        </w:rPr>
        <w:t>LEY 14/2011, de 1 de junio, de la Ciencia, la Tecnología y la Innovación</w:t>
      </w:r>
      <w:r w:rsidRPr="005E1103">
        <w:rPr>
          <w:rFonts w:cstheme="minorHAnsi"/>
          <w:bCs/>
          <w:sz w:val="28"/>
          <w:szCs w:val="28"/>
          <w:lang w:val="es-US"/>
        </w:rPr>
        <w:t>, que en su artículo 2, referente a los "objetivos generales", introduce la importancia de incluir la «perspectiva de género» (Apartado "k") en el</w:t>
      </w:r>
      <w:r w:rsidRPr="005E1103">
        <w:rPr>
          <w:rFonts w:cstheme="minorHAnsi"/>
          <w:bCs/>
          <w:i/>
          <w:sz w:val="28"/>
          <w:szCs w:val="28"/>
          <w:lang w:val="es-US"/>
        </w:rPr>
        <w:t xml:space="preserve"> «Sistema Español de Ciencia, Tecnología e Innovación», </w:t>
      </w:r>
      <w:r w:rsidRPr="005E1103">
        <w:rPr>
          <w:rFonts w:cstheme="minorHAnsi"/>
          <w:bCs/>
          <w:sz w:val="28"/>
          <w:szCs w:val="28"/>
          <w:lang w:val="es-US"/>
        </w:rPr>
        <w:t>expresando que se habrá de promover una presencia equilibrada de mujeres y hombres en todos los ámbitos de dicho sistema.</w:t>
      </w:r>
      <w:r w:rsidRPr="005E1103">
        <w:rPr>
          <w:rFonts w:cstheme="minorHAnsi"/>
          <w:noProof/>
          <w:sz w:val="28"/>
          <w:szCs w:val="28"/>
          <w:lang w:eastAsia="es-ES"/>
        </w:rPr>
        <w:t xml:space="preserve"> </w:t>
      </w:r>
      <w:r w:rsidRPr="005E1103">
        <w:rPr>
          <w:rFonts w:cstheme="minorHAnsi"/>
          <w:bCs/>
          <w:sz w:val="28"/>
          <w:szCs w:val="28"/>
          <w:lang w:val="es-US"/>
        </w:rPr>
        <w:t>Sin embargo, si nos fijamos en lo que concierne al apartado "m" dedicado a la diversidad funcional ya no se expresa esa necesidad de una presencia equilibrada entre personas con y sin diversidad funcional. En todo caso, se interpreta la diversidad funcional (en forma de "discapacidad" o "dependencia") como objeto de atención por parte de esta normativa estatal. Ello, resulta ser sumamente significativo a la hora de pensar si, verdaderamente, puede existir una gradación de Derechos Humanos. Es decir, y a modo de ejemplo, la coeducación y la filosofía de la inclusión, ¿están en un mismo nivel? El concepto de "coeducación" parte de ese "Sistema binario sexo-género" que divide la realidad humana en hombres y mujeres. Desde el Periódico Feminista de Mujeres en Red</w:t>
      </w:r>
      <w:r w:rsidRPr="005E1103">
        <w:rPr>
          <w:rStyle w:val="Refdenotaalpie"/>
          <w:rFonts w:cstheme="minorHAnsi"/>
          <w:sz w:val="28"/>
          <w:szCs w:val="28"/>
          <w:lang w:val="es-US"/>
        </w:rPr>
        <w:footnoteReference w:id="3"/>
      </w:r>
      <w:r w:rsidRPr="005E1103">
        <w:rPr>
          <w:rFonts w:cstheme="minorHAnsi"/>
          <w:bCs/>
          <w:sz w:val="28"/>
          <w:szCs w:val="28"/>
          <w:lang w:val="es-US"/>
        </w:rPr>
        <w:t>, se define el concepto de "Coeducación" del siguiente modo:</w:t>
      </w:r>
    </w:p>
    <w:p w:rsidR="00AB65A1" w:rsidRPr="005E1103" w:rsidRDefault="00AB65A1" w:rsidP="00AB65A1">
      <w:pPr>
        <w:spacing w:line="240" w:lineRule="auto"/>
        <w:ind w:left="709" w:firstLine="709"/>
        <w:jc w:val="both"/>
        <w:rPr>
          <w:rFonts w:cstheme="minorHAnsi"/>
          <w:bCs/>
          <w:sz w:val="28"/>
          <w:szCs w:val="28"/>
        </w:rPr>
      </w:pPr>
      <w:r w:rsidRPr="005E1103">
        <w:rPr>
          <w:rFonts w:cstheme="minorHAnsi"/>
          <w:bCs/>
          <w:sz w:val="28"/>
          <w:szCs w:val="28"/>
        </w:rPr>
        <w:t>Es el método de intervención educativo que va más allá de la educación mixta y cuyas bases se asientan en el reconocimiento de las potencialidades e individualidades de niñas y niños, independientemente de su sexo.</w:t>
      </w:r>
    </w:p>
    <w:p w:rsidR="00AB65A1" w:rsidRPr="005E1103" w:rsidRDefault="00AB65A1" w:rsidP="00AB65A1">
      <w:pPr>
        <w:spacing w:line="240" w:lineRule="auto"/>
        <w:ind w:left="709" w:firstLine="709"/>
        <w:jc w:val="both"/>
        <w:rPr>
          <w:rFonts w:cstheme="minorHAnsi"/>
          <w:bCs/>
          <w:sz w:val="28"/>
          <w:szCs w:val="28"/>
        </w:rPr>
      </w:pPr>
      <w:r w:rsidRPr="005E1103">
        <w:rPr>
          <w:rFonts w:cstheme="minorHAnsi"/>
          <w:bCs/>
          <w:sz w:val="28"/>
          <w:szCs w:val="28"/>
        </w:rPr>
        <w:lastRenderedPageBreak/>
        <w:t>Coeducar significa por tanto educar desde la igualdad de valores de las personas.</w:t>
      </w:r>
    </w:p>
    <w:p w:rsidR="00AB65A1" w:rsidRPr="005E1103" w:rsidRDefault="00AB65A1" w:rsidP="00AB65A1">
      <w:pPr>
        <w:spacing w:line="360" w:lineRule="auto"/>
        <w:ind w:firstLine="709"/>
        <w:jc w:val="both"/>
        <w:rPr>
          <w:rFonts w:cstheme="minorHAnsi"/>
          <w:bCs/>
          <w:sz w:val="28"/>
          <w:szCs w:val="28"/>
        </w:rPr>
      </w:pPr>
      <w:r w:rsidRPr="005E1103">
        <w:rPr>
          <w:rFonts w:cstheme="minorHAnsi"/>
          <w:bCs/>
          <w:sz w:val="28"/>
          <w:szCs w:val="28"/>
        </w:rPr>
        <w:t>Barrio de la Puente (2009: 14), por su parte, nos define el concepto de inclusión en el ámbito educativo. Dice así:</w:t>
      </w:r>
    </w:p>
    <w:p w:rsidR="00AB65A1" w:rsidRPr="005E1103" w:rsidRDefault="00AB65A1" w:rsidP="00AB65A1">
      <w:pPr>
        <w:spacing w:line="240" w:lineRule="auto"/>
        <w:ind w:left="708" w:firstLine="709"/>
        <w:jc w:val="both"/>
        <w:rPr>
          <w:rFonts w:cstheme="minorHAnsi"/>
          <w:bCs/>
          <w:sz w:val="28"/>
          <w:szCs w:val="28"/>
        </w:rPr>
      </w:pPr>
      <w:r w:rsidRPr="005E1103">
        <w:rPr>
          <w:rFonts w:cstheme="minorHAnsi"/>
          <w:bCs/>
          <w:sz w:val="28"/>
          <w:szCs w:val="28"/>
        </w:rPr>
        <w:t>La inclusión o Educación Inclusiva es un concepto teórico de la pedagogía que hace referencia al modo en que se debe dar respuesta en la escuela a la diversidad. Es un término que surge en los años 90 y pretende sustituir al de integración, hasta ese momento dominante en la práctica educativa. Su supuesto básico es que hay que modificar el sistema para responder a todos los alumnos, en vez de entender que son los alumnos quienes se tienen que adaptar al sistema, integrándose en él.</w:t>
      </w:r>
    </w:p>
    <w:p w:rsidR="00AB65A1" w:rsidRPr="005E1103" w:rsidRDefault="00AB65A1" w:rsidP="00AB65A1">
      <w:pPr>
        <w:spacing w:line="360" w:lineRule="auto"/>
        <w:ind w:firstLine="709"/>
        <w:jc w:val="both"/>
        <w:rPr>
          <w:rFonts w:cstheme="minorHAnsi"/>
          <w:bCs/>
          <w:sz w:val="28"/>
          <w:szCs w:val="28"/>
        </w:rPr>
      </w:pPr>
      <w:r w:rsidRPr="005E1103">
        <w:rPr>
          <w:rFonts w:cstheme="minorHAnsi"/>
          <w:bCs/>
          <w:sz w:val="28"/>
          <w:szCs w:val="28"/>
        </w:rPr>
        <w:t>A nivel teórico y conceptual, la respuesta sería que ambas terminologías y filosofías que las enmarcan "cohabitan" en pro de la igualdad en valores, unas personas respecto de otras. ¿Es este el Sistema educativo universitario español que tenemos? Todo apunta a que todavía no (el porcentaje tan minoritario de las personas con diversidad funcional delata la desigualdad estructural implícita en dicho sistema). ¿Es el sistema educativo universitario español al que debiéramos aspirar? La respuesta debiera ser afirmativa (las universidades públicas y privadas, deben servir en la creación de una sociedad plural y respetuosa con las diversidades humanas (Arnau Ripollés, 2010, 2014 y 2015).</w:t>
      </w:r>
    </w:p>
    <w:p w:rsidR="00AB65A1" w:rsidRPr="005E1103" w:rsidRDefault="00AB65A1" w:rsidP="00AB65A1">
      <w:pPr>
        <w:spacing w:line="360" w:lineRule="auto"/>
        <w:ind w:firstLine="709"/>
        <w:jc w:val="both"/>
        <w:rPr>
          <w:rFonts w:cstheme="minorHAnsi"/>
          <w:bCs/>
          <w:sz w:val="28"/>
          <w:szCs w:val="28"/>
        </w:rPr>
      </w:pPr>
    </w:p>
    <w:p w:rsidR="00AB65A1" w:rsidRPr="005E1103" w:rsidRDefault="00AB65A1" w:rsidP="00AB65A1">
      <w:pPr>
        <w:spacing w:line="360" w:lineRule="auto"/>
        <w:ind w:firstLine="709"/>
        <w:jc w:val="both"/>
        <w:rPr>
          <w:rFonts w:cstheme="minorHAnsi"/>
          <w:bCs/>
          <w:sz w:val="28"/>
          <w:szCs w:val="28"/>
        </w:rPr>
      </w:pPr>
    </w:p>
    <w:p w:rsidR="00AB65A1" w:rsidRPr="005E1103" w:rsidRDefault="00AB65A1" w:rsidP="00AB65A1">
      <w:pPr>
        <w:spacing w:line="360" w:lineRule="auto"/>
        <w:ind w:firstLine="709"/>
        <w:jc w:val="both"/>
        <w:rPr>
          <w:rFonts w:cstheme="minorHAnsi"/>
          <w:bCs/>
          <w:sz w:val="28"/>
          <w:szCs w:val="28"/>
        </w:rPr>
      </w:pPr>
    </w:p>
    <w:p w:rsidR="00AB65A1" w:rsidRPr="005E1103" w:rsidRDefault="00AB65A1" w:rsidP="00AB65A1">
      <w:pPr>
        <w:spacing w:line="360" w:lineRule="auto"/>
        <w:ind w:firstLine="709"/>
        <w:jc w:val="both"/>
        <w:rPr>
          <w:rFonts w:cstheme="minorHAnsi"/>
          <w:bCs/>
          <w:sz w:val="28"/>
          <w:szCs w:val="28"/>
        </w:rPr>
      </w:pPr>
    </w:p>
    <w:p w:rsidR="00AB65A1" w:rsidRPr="005E1103" w:rsidRDefault="00AB65A1" w:rsidP="00AB65A1">
      <w:pPr>
        <w:pStyle w:val="Ttulo1"/>
        <w:jc w:val="both"/>
        <w:rPr>
          <w:rFonts w:asciiTheme="minorHAnsi" w:hAnsiTheme="minorHAnsi" w:cstheme="minorHAnsi"/>
        </w:rPr>
      </w:pPr>
      <w:bookmarkStart w:id="4" w:name="_Toc462868798"/>
      <w:bookmarkEnd w:id="0"/>
      <w:bookmarkEnd w:id="1"/>
      <w:bookmarkEnd w:id="2"/>
      <w:r w:rsidRPr="005E1103">
        <w:rPr>
          <w:rFonts w:asciiTheme="minorHAnsi" w:hAnsiTheme="minorHAnsi" w:cstheme="minorHAnsi"/>
        </w:rPr>
        <w:t>Bibliografía</w:t>
      </w:r>
      <w:bookmarkEnd w:id="4"/>
    </w:p>
    <w:p w:rsidR="00AB65A1" w:rsidRPr="005E1103" w:rsidRDefault="00AB65A1" w:rsidP="00AB65A1">
      <w:pPr>
        <w:spacing w:after="0" w:line="240" w:lineRule="auto"/>
        <w:ind w:left="709" w:hanging="709"/>
        <w:jc w:val="both"/>
        <w:rPr>
          <w:rFonts w:eastAsia="Times New Roman" w:cstheme="minorHAnsi"/>
          <w:color w:val="000080"/>
          <w:sz w:val="28"/>
          <w:szCs w:val="28"/>
          <w:lang w:eastAsia="es-ES"/>
        </w:rPr>
      </w:pPr>
      <w:r w:rsidRPr="005E1103">
        <w:rPr>
          <w:rFonts w:eastAsia="Times New Roman" w:cstheme="minorHAnsi"/>
          <w:iCs/>
          <w:sz w:val="28"/>
          <w:szCs w:val="28"/>
          <w:lang w:eastAsia="es-ES"/>
        </w:rPr>
        <w:t xml:space="preserve">Arnau </w:t>
      </w:r>
      <w:r w:rsidRPr="005E1103">
        <w:rPr>
          <w:rFonts w:eastAsia="Times New Roman" w:cstheme="minorHAnsi"/>
          <w:sz w:val="28"/>
          <w:szCs w:val="28"/>
          <w:lang w:eastAsia="es-ES"/>
        </w:rPr>
        <w:t xml:space="preserve">Ripollés, Mª. Soledad, «Educación para una "Cultura de Vida Independiente": Nueva materia curricular para una Cultura de Paz», en Cuadernos de Educación y Desarrollo. Vol. 2, Nº 11 (enero 2010). Disponible en web: </w:t>
      </w:r>
      <w:hyperlink r:id="rId16" w:history="1">
        <w:r w:rsidRPr="005E1103">
          <w:rPr>
            <w:rFonts w:eastAsia="Times New Roman" w:cstheme="minorHAnsi"/>
            <w:color w:val="0000FF"/>
            <w:sz w:val="28"/>
            <w:szCs w:val="28"/>
            <w:u w:val="single"/>
            <w:lang w:eastAsia="es-ES"/>
          </w:rPr>
          <w:t>http://www.eumed.net/rev/ced/11/sar.htm</w:t>
        </w:r>
      </w:hyperlink>
      <w:r w:rsidRPr="005E1103">
        <w:rPr>
          <w:rFonts w:eastAsia="Times New Roman" w:cstheme="minorHAnsi"/>
          <w:color w:val="000080"/>
          <w:sz w:val="28"/>
          <w:szCs w:val="28"/>
          <w:lang w:eastAsia="es-ES"/>
        </w:rPr>
        <w:t xml:space="preserve">  </w:t>
      </w:r>
    </w:p>
    <w:p w:rsidR="00AB65A1" w:rsidRPr="005E1103" w:rsidRDefault="00AB65A1" w:rsidP="00AB65A1">
      <w:pPr>
        <w:spacing w:after="0" w:line="240" w:lineRule="auto"/>
        <w:ind w:left="709" w:hanging="709"/>
        <w:jc w:val="both"/>
        <w:rPr>
          <w:rFonts w:eastAsia="Times New Roman" w:cstheme="minorHAnsi"/>
          <w:color w:val="000080"/>
          <w:sz w:val="28"/>
          <w:szCs w:val="28"/>
          <w:lang w:eastAsia="es-ES"/>
        </w:rPr>
      </w:pPr>
      <w:r w:rsidRPr="005E1103">
        <w:rPr>
          <w:rFonts w:eastAsia="Times New Roman" w:cstheme="minorHAnsi"/>
          <w:iCs/>
          <w:sz w:val="28"/>
          <w:szCs w:val="28"/>
          <w:lang w:eastAsia="es-ES"/>
        </w:rPr>
        <w:lastRenderedPageBreak/>
        <w:t xml:space="preserve">Arnau </w:t>
      </w:r>
      <w:r w:rsidRPr="005E1103">
        <w:rPr>
          <w:rFonts w:eastAsia="Times New Roman" w:cstheme="minorHAnsi"/>
          <w:sz w:val="28"/>
          <w:szCs w:val="28"/>
          <w:lang w:eastAsia="es-ES"/>
        </w:rPr>
        <w:t xml:space="preserve">Ripollés, Mª. Soledad (2014), «Educación Inclusiva y perspectiva de género en la Política Científica y de Investigación Universitaria», Comunicación presentada en el II Congreso Internacional </w:t>
      </w:r>
      <w:r w:rsidRPr="005E1103">
        <w:rPr>
          <w:rFonts w:eastAsia="Times New Roman" w:cstheme="minorHAnsi"/>
          <w:i/>
          <w:sz w:val="28"/>
          <w:szCs w:val="28"/>
          <w:lang w:eastAsia="es-ES"/>
        </w:rPr>
        <w:t>Universidad y Discapacidad</w:t>
      </w:r>
      <w:r w:rsidRPr="005E1103">
        <w:rPr>
          <w:rFonts w:eastAsia="Times New Roman" w:cstheme="minorHAnsi"/>
          <w:sz w:val="28"/>
          <w:szCs w:val="28"/>
          <w:lang w:eastAsia="es-ES"/>
        </w:rPr>
        <w:t xml:space="preserve"> (CIUD) (Madrid, 27-28/11/2014).</w:t>
      </w:r>
      <w:r w:rsidRPr="005E1103">
        <w:rPr>
          <w:rFonts w:eastAsia="Times New Roman" w:cstheme="minorHAnsi"/>
          <w:color w:val="000080"/>
          <w:sz w:val="28"/>
          <w:szCs w:val="28"/>
          <w:lang w:eastAsia="es-ES"/>
        </w:rPr>
        <w:t xml:space="preserve">  </w:t>
      </w:r>
    </w:p>
    <w:p w:rsidR="00AB65A1" w:rsidRPr="005E1103" w:rsidRDefault="00AB65A1" w:rsidP="00AB65A1">
      <w:pPr>
        <w:spacing w:after="0" w:line="240" w:lineRule="auto"/>
        <w:ind w:left="709" w:hanging="709"/>
        <w:jc w:val="both"/>
        <w:rPr>
          <w:rFonts w:eastAsia="Times New Roman" w:cstheme="minorHAnsi"/>
          <w:sz w:val="28"/>
          <w:szCs w:val="28"/>
          <w:lang w:eastAsia="es-ES"/>
        </w:rPr>
      </w:pPr>
      <w:r w:rsidRPr="005E1103">
        <w:rPr>
          <w:rFonts w:eastAsia="Times New Roman" w:cstheme="minorHAnsi"/>
          <w:iCs/>
          <w:sz w:val="28"/>
          <w:szCs w:val="28"/>
          <w:lang w:eastAsia="es-ES"/>
        </w:rPr>
        <w:t xml:space="preserve">Arnau </w:t>
      </w:r>
      <w:r w:rsidRPr="005E1103">
        <w:rPr>
          <w:rFonts w:eastAsia="Times New Roman" w:cstheme="minorHAnsi"/>
          <w:sz w:val="28"/>
          <w:szCs w:val="28"/>
          <w:lang w:eastAsia="es-ES"/>
        </w:rPr>
        <w:t xml:space="preserve">Ripollés, Mª. Soledad, «Breve análisis sobre la Política Científica y de Investigación Universitaria, desde la demanda de Inclusión por parte de las personas con diversidad Funcional», en </w:t>
      </w:r>
      <w:r w:rsidRPr="005E1103">
        <w:rPr>
          <w:rFonts w:eastAsia="Times New Roman" w:cstheme="minorHAnsi"/>
          <w:i/>
          <w:sz w:val="28"/>
          <w:szCs w:val="28"/>
          <w:lang w:eastAsia="es-ES"/>
        </w:rPr>
        <w:t>Revista Inclusiones</w:t>
      </w:r>
      <w:r w:rsidRPr="005E1103">
        <w:rPr>
          <w:rFonts w:eastAsia="Times New Roman" w:cstheme="minorHAnsi"/>
          <w:sz w:val="28"/>
          <w:szCs w:val="28"/>
          <w:lang w:eastAsia="es-ES"/>
        </w:rPr>
        <w:t xml:space="preserve">. Vol. 2. Núm. 3. Julio-Septiembre (2015). Págs. 233-249. Disponible en web: </w:t>
      </w:r>
      <w:hyperlink r:id="rId17" w:history="1">
        <w:r w:rsidRPr="005E1103">
          <w:rPr>
            <w:rFonts w:eastAsia="Times New Roman" w:cstheme="minorHAnsi"/>
            <w:color w:val="0000FF"/>
            <w:sz w:val="28"/>
            <w:szCs w:val="28"/>
            <w:u w:val="single"/>
            <w:lang w:eastAsia="es-ES"/>
          </w:rPr>
          <w:t>http://www.revistainclusiones.cl/volumen-2-nb03/oficial-articulo-2015-lic.-soledad-arnau-ripolles.pdf</w:t>
        </w:r>
      </w:hyperlink>
    </w:p>
    <w:p w:rsidR="00AB65A1" w:rsidRPr="005E1103" w:rsidRDefault="00AB65A1" w:rsidP="00AB65A1">
      <w:pPr>
        <w:spacing w:after="0" w:line="240" w:lineRule="auto"/>
        <w:ind w:left="709" w:hanging="709"/>
        <w:jc w:val="both"/>
        <w:rPr>
          <w:rFonts w:cstheme="minorHAnsi"/>
          <w:sz w:val="28"/>
          <w:szCs w:val="28"/>
        </w:rPr>
      </w:pPr>
      <w:r w:rsidRPr="005E1103">
        <w:rPr>
          <w:rFonts w:cstheme="minorHAnsi"/>
          <w:sz w:val="28"/>
          <w:szCs w:val="28"/>
        </w:rPr>
        <w:t xml:space="preserve">Barrio de la Puente, José Luis, «Hacia una Educación Inclusiva para todos», en </w:t>
      </w:r>
      <w:r w:rsidRPr="005E1103">
        <w:rPr>
          <w:rFonts w:cstheme="minorHAnsi"/>
          <w:i/>
          <w:iCs/>
          <w:sz w:val="28"/>
          <w:szCs w:val="28"/>
        </w:rPr>
        <w:t>Revista Complutense de Educación</w:t>
      </w:r>
      <w:r w:rsidRPr="005E1103">
        <w:rPr>
          <w:rFonts w:cstheme="minorHAnsi"/>
          <w:iCs/>
          <w:sz w:val="28"/>
          <w:szCs w:val="28"/>
        </w:rPr>
        <w:t>.</w:t>
      </w:r>
      <w:r w:rsidRPr="005E1103">
        <w:rPr>
          <w:rFonts w:cstheme="minorHAnsi"/>
          <w:sz w:val="28"/>
          <w:szCs w:val="28"/>
        </w:rPr>
        <w:t xml:space="preserve"> Vol. 20. Núm. 1. (2009). Págs. 13-31. Disponible en web:</w:t>
      </w:r>
      <w:hyperlink r:id="rId18" w:history="1">
        <w:r w:rsidRPr="005E1103">
          <w:rPr>
            <w:rStyle w:val="Hipervnculo"/>
            <w:rFonts w:cstheme="minorHAnsi"/>
            <w:sz w:val="28"/>
            <w:szCs w:val="28"/>
          </w:rPr>
          <w:t>https://revistas.ucm.es/index.php/RCED/article/viewFile/RCED0909120013A/15360</w:t>
        </w:r>
      </w:hyperlink>
      <w:r w:rsidRPr="005E1103">
        <w:rPr>
          <w:rFonts w:cstheme="minorHAnsi"/>
          <w:sz w:val="28"/>
          <w:szCs w:val="28"/>
        </w:rPr>
        <w:t xml:space="preserve"> </w:t>
      </w:r>
    </w:p>
    <w:p w:rsidR="00AB65A1" w:rsidRPr="005E1103" w:rsidRDefault="00AB65A1" w:rsidP="00AB65A1">
      <w:pPr>
        <w:spacing w:after="0" w:line="240" w:lineRule="auto"/>
        <w:ind w:left="709" w:hanging="709"/>
        <w:jc w:val="both"/>
        <w:rPr>
          <w:rFonts w:eastAsia="Times New Roman" w:cstheme="minorHAnsi"/>
          <w:color w:val="0000FF"/>
          <w:sz w:val="28"/>
          <w:szCs w:val="28"/>
          <w:u w:val="single"/>
          <w:lang w:val="es-ES_tradnl" w:eastAsia="es-ES_tradnl"/>
        </w:rPr>
      </w:pPr>
      <w:r w:rsidRPr="005E1103">
        <w:rPr>
          <w:rFonts w:eastAsia="Times New Roman" w:cstheme="minorHAnsi"/>
          <w:sz w:val="28"/>
          <w:szCs w:val="28"/>
          <w:lang w:val="es-ES_tradnl" w:eastAsia="es-ES"/>
        </w:rPr>
        <w:t>Cermi (2008),</w:t>
      </w:r>
      <w:r w:rsidRPr="005E1103">
        <w:rPr>
          <w:rFonts w:eastAsia="Times New Roman" w:cstheme="minorHAnsi"/>
          <w:i/>
          <w:sz w:val="28"/>
          <w:szCs w:val="28"/>
          <w:lang w:val="es-ES_tradnl" w:eastAsia="es-ES"/>
        </w:rPr>
        <w:t xml:space="preserve"> Reconociendo los Derechos de las niñas y mujeres con discapacidad. Un valor añadido para la sociedad futura </w:t>
      </w:r>
      <w:r w:rsidRPr="005E1103">
        <w:rPr>
          <w:rFonts w:eastAsia="Times New Roman" w:cstheme="minorHAnsi"/>
          <w:sz w:val="28"/>
          <w:szCs w:val="28"/>
          <w:lang w:val="es-ES_tradnl" w:eastAsia="es-ES"/>
        </w:rPr>
        <w:t>(Conferencia europea, 2007)</w:t>
      </w:r>
      <w:r w:rsidRPr="005E1103">
        <w:rPr>
          <w:rFonts w:eastAsia="Times New Roman" w:cstheme="minorHAnsi"/>
          <w:i/>
          <w:iCs/>
          <w:sz w:val="28"/>
          <w:szCs w:val="28"/>
          <w:lang w:val="es-ES_tradnl" w:eastAsia="es-ES"/>
        </w:rPr>
        <w:t xml:space="preserve">, </w:t>
      </w:r>
      <w:r w:rsidRPr="005E1103">
        <w:rPr>
          <w:rFonts w:eastAsia="Times New Roman" w:cstheme="minorHAnsi"/>
          <w:sz w:val="28"/>
          <w:szCs w:val="28"/>
          <w:lang w:val="es-ES_tradnl" w:eastAsia="es-ES"/>
        </w:rPr>
        <w:t>Madrid: CERMI y Ediciones Cinca. Págs. 65-73. Disponible en web:</w:t>
      </w:r>
      <w:r w:rsidRPr="005E1103">
        <w:rPr>
          <w:rFonts w:eastAsia="Times New Roman" w:cstheme="minorHAnsi"/>
          <w:sz w:val="28"/>
          <w:szCs w:val="28"/>
          <w:lang w:val="es-ES_tradnl" w:eastAsia="es-ES_tradnl"/>
        </w:rPr>
        <w:t xml:space="preserve"> </w:t>
      </w:r>
      <w:hyperlink r:id="rId19" w:history="1">
        <w:r w:rsidRPr="005E1103">
          <w:rPr>
            <w:rFonts w:eastAsia="Times New Roman" w:cstheme="minorHAnsi"/>
            <w:color w:val="0000FF"/>
            <w:sz w:val="28"/>
            <w:szCs w:val="28"/>
            <w:u w:val="single"/>
            <w:lang w:val="es-ES_tradnl" w:eastAsia="es-ES_tradnl"/>
          </w:rPr>
          <w:t>http://www.fundacioncermimujeres.es/sites/default/files/debate_general_mujeres_ninas_discapacidad.pdf</w:t>
        </w:r>
      </w:hyperlink>
    </w:p>
    <w:p w:rsidR="00AB65A1" w:rsidRPr="005E1103" w:rsidRDefault="00AB65A1" w:rsidP="00AB65A1">
      <w:pPr>
        <w:spacing w:after="0" w:line="240" w:lineRule="auto"/>
        <w:ind w:left="709" w:hanging="709"/>
        <w:jc w:val="both"/>
        <w:rPr>
          <w:rFonts w:cstheme="minorHAnsi"/>
          <w:sz w:val="28"/>
          <w:szCs w:val="28"/>
        </w:rPr>
      </w:pPr>
      <w:r w:rsidRPr="005E1103">
        <w:rPr>
          <w:rFonts w:cstheme="minorHAnsi"/>
          <w:sz w:val="28"/>
          <w:szCs w:val="28"/>
        </w:rPr>
        <w:t>Fundación Universia y Cermi (2014):</w:t>
      </w:r>
      <w:r w:rsidRPr="005E1103">
        <w:rPr>
          <w:rFonts w:cstheme="minorHAnsi"/>
          <w:i/>
          <w:sz w:val="28"/>
          <w:szCs w:val="28"/>
        </w:rPr>
        <w:t xml:space="preserve"> </w:t>
      </w:r>
      <w:r w:rsidRPr="005E1103">
        <w:rPr>
          <w:rFonts w:cstheme="minorHAnsi"/>
          <w:bCs/>
          <w:i/>
          <w:sz w:val="28"/>
          <w:szCs w:val="28"/>
          <w:lang w:val="es-US"/>
        </w:rPr>
        <w:t xml:space="preserve">Universidad y Discapacidad. </w:t>
      </w:r>
      <w:r w:rsidRPr="005E1103">
        <w:rPr>
          <w:rFonts w:cstheme="minorHAnsi"/>
          <w:bCs/>
          <w:i/>
          <w:iCs/>
          <w:sz w:val="28"/>
          <w:szCs w:val="28"/>
          <w:lang w:val="es-US"/>
        </w:rPr>
        <w:t>II Estudio sobre el grado de inclusión del sistema universitario español respecto de la realidad de la discapacidad</w:t>
      </w:r>
      <w:r w:rsidRPr="005E1103">
        <w:rPr>
          <w:rFonts w:cstheme="minorHAnsi"/>
          <w:sz w:val="28"/>
          <w:szCs w:val="28"/>
        </w:rPr>
        <w:t>. Madrid:</w:t>
      </w:r>
      <w:r w:rsidRPr="005E1103">
        <w:rPr>
          <w:rFonts w:eastAsia="Times New Roman" w:cstheme="minorHAnsi"/>
          <w:sz w:val="28"/>
          <w:szCs w:val="28"/>
          <w:lang w:val="es-ES_tradnl" w:eastAsia="es-ES"/>
        </w:rPr>
        <w:t xml:space="preserve"> </w:t>
      </w:r>
      <w:r w:rsidRPr="005E1103">
        <w:rPr>
          <w:rFonts w:cstheme="minorHAnsi"/>
          <w:sz w:val="28"/>
          <w:szCs w:val="28"/>
        </w:rPr>
        <w:t xml:space="preserve">Fundación Universia y el Comité Español de Representantes de Personas con Discapacidad (CERMI). Disponible en web: </w:t>
      </w:r>
      <w:hyperlink r:id="rId20" w:history="1">
        <w:r w:rsidRPr="005E1103">
          <w:rPr>
            <w:rStyle w:val="Hipervnculo"/>
            <w:rFonts w:cstheme="minorHAnsi"/>
            <w:sz w:val="28"/>
            <w:szCs w:val="28"/>
          </w:rPr>
          <w:t>www.fundacionuniversia.net/fichero?id=2471</w:t>
        </w:r>
      </w:hyperlink>
      <w:r w:rsidRPr="005E1103">
        <w:rPr>
          <w:rFonts w:cstheme="minorHAnsi"/>
          <w:sz w:val="28"/>
          <w:szCs w:val="28"/>
        </w:rPr>
        <w:t xml:space="preserve">    </w:t>
      </w:r>
    </w:p>
    <w:p w:rsidR="00AB65A1" w:rsidRPr="005E1103" w:rsidRDefault="00AB65A1" w:rsidP="00AB65A1">
      <w:pPr>
        <w:spacing w:after="0" w:line="240" w:lineRule="auto"/>
        <w:ind w:left="709" w:hanging="709"/>
        <w:jc w:val="both"/>
        <w:rPr>
          <w:rFonts w:eastAsia="Times New Roman" w:cstheme="minorHAnsi"/>
          <w:sz w:val="28"/>
          <w:szCs w:val="28"/>
          <w:lang w:val="es-ES_tradnl" w:eastAsia="es-ES"/>
        </w:rPr>
      </w:pPr>
      <w:r w:rsidRPr="005E1103">
        <w:rPr>
          <w:rFonts w:eastAsia="Times New Roman" w:cstheme="minorHAnsi"/>
          <w:sz w:val="28"/>
          <w:szCs w:val="28"/>
          <w:lang w:val="es-ES_tradnl" w:eastAsia="es-ES"/>
        </w:rPr>
        <w:t>La Rivière-Zijdel, Lydia (2008):</w:t>
      </w:r>
      <w:r w:rsidRPr="005E1103">
        <w:rPr>
          <w:rFonts w:eastAsia="Calibri" w:cstheme="minorHAnsi"/>
          <w:sz w:val="28"/>
          <w:szCs w:val="28"/>
        </w:rPr>
        <w:t xml:space="preserve"> «Ser mujer con discapacidad: Afrontar la discriminación múltiple</w:t>
      </w:r>
      <w:r w:rsidRPr="005E1103">
        <w:rPr>
          <w:rFonts w:eastAsia="Times New Roman" w:cstheme="minorHAnsi"/>
          <w:sz w:val="28"/>
          <w:szCs w:val="28"/>
          <w:lang w:val="es-ES_tradnl" w:eastAsia="es-ES"/>
        </w:rPr>
        <w:t>», en CERMI (2008):</w:t>
      </w:r>
      <w:r w:rsidRPr="005E1103">
        <w:rPr>
          <w:rFonts w:eastAsia="Times New Roman" w:cstheme="minorHAnsi"/>
          <w:i/>
          <w:sz w:val="28"/>
          <w:szCs w:val="28"/>
          <w:lang w:val="es-ES_tradnl" w:eastAsia="es-ES"/>
        </w:rPr>
        <w:t xml:space="preserve"> Reconociendo los Derechos de las niñas y mujeres con discapacidad. Un valor añadido para la sociedad futura </w:t>
      </w:r>
      <w:r w:rsidRPr="005E1103">
        <w:rPr>
          <w:rFonts w:eastAsia="Times New Roman" w:cstheme="minorHAnsi"/>
          <w:sz w:val="28"/>
          <w:szCs w:val="28"/>
          <w:lang w:val="es-ES_tradnl" w:eastAsia="es-ES"/>
        </w:rPr>
        <w:t>(Conferencia europea, 2007)</w:t>
      </w:r>
      <w:r w:rsidRPr="005E1103">
        <w:rPr>
          <w:rFonts w:eastAsia="Times New Roman" w:cstheme="minorHAnsi"/>
          <w:i/>
          <w:iCs/>
          <w:sz w:val="28"/>
          <w:szCs w:val="28"/>
          <w:lang w:val="es-ES_tradnl" w:eastAsia="es-ES"/>
        </w:rPr>
        <w:t xml:space="preserve">, </w:t>
      </w:r>
      <w:r w:rsidRPr="005E1103">
        <w:rPr>
          <w:rFonts w:eastAsia="Times New Roman" w:cstheme="minorHAnsi"/>
          <w:sz w:val="28"/>
          <w:szCs w:val="28"/>
          <w:lang w:val="es-ES_tradnl" w:eastAsia="es-ES"/>
        </w:rPr>
        <w:t>Madrid: CERMI y Ediciones Cinca. Págs. 27 - 44. Disponible en web:</w:t>
      </w:r>
      <w:r w:rsidRPr="005E1103">
        <w:rPr>
          <w:rFonts w:eastAsia="Times New Roman" w:cstheme="minorHAnsi"/>
          <w:sz w:val="28"/>
          <w:szCs w:val="28"/>
          <w:lang w:val="es-ES_tradnl" w:eastAsia="es-ES_tradnl"/>
        </w:rPr>
        <w:t xml:space="preserve"> </w:t>
      </w:r>
      <w:hyperlink r:id="rId21" w:history="1">
        <w:r w:rsidRPr="005E1103">
          <w:rPr>
            <w:rFonts w:eastAsia="Times New Roman" w:cstheme="minorHAnsi"/>
            <w:color w:val="0000FF"/>
            <w:sz w:val="28"/>
            <w:szCs w:val="28"/>
            <w:u w:val="single"/>
            <w:lang w:val="es-ES_tradnl" w:eastAsia="es-ES_tradnl"/>
          </w:rPr>
          <w:t>http://www.fundacioncermimujeres.es/sites/default/files/debate_general_mujeres_ninas_discapacidad.pdf</w:t>
        </w:r>
      </w:hyperlink>
      <w:r w:rsidRPr="005E1103">
        <w:rPr>
          <w:rFonts w:eastAsia="Times New Roman" w:cstheme="minorHAnsi"/>
          <w:sz w:val="28"/>
          <w:szCs w:val="28"/>
          <w:lang w:val="es-ES_tradnl" w:eastAsia="es-ES_tradnl"/>
        </w:rPr>
        <w:t xml:space="preserve">  </w:t>
      </w:r>
    </w:p>
    <w:p w:rsidR="00AB65A1" w:rsidRPr="005E1103" w:rsidRDefault="00AB65A1" w:rsidP="00AB65A1">
      <w:pPr>
        <w:spacing w:after="0" w:line="240" w:lineRule="auto"/>
        <w:ind w:left="709" w:hanging="709"/>
        <w:jc w:val="both"/>
        <w:rPr>
          <w:rFonts w:eastAsia="Times New Roman" w:cstheme="minorHAnsi"/>
          <w:sz w:val="28"/>
          <w:szCs w:val="28"/>
          <w:lang w:val="es-ES_tradnl" w:eastAsia="es-ES"/>
        </w:rPr>
      </w:pPr>
      <w:r w:rsidRPr="005E1103">
        <w:rPr>
          <w:rFonts w:eastAsia="Times New Roman" w:cstheme="minorHAnsi"/>
          <w:sz w:val="28"/>
          <w:szCs w:val="28"/>
          <w:lang w:val="es-ES_tradnl" w:eastAsia="es-ES"/>
        </w:rPr>
        <w:t>Linares Márquez de Prado, Lola (2008):</w:t>
      </w:r>
      <w:r w:rsidRPr="005E1103">
        <w:rPr>
          <w:rFonts w:eastAsia="Calibri" w:cstheme="minorHAnsi"/>
          <w:sz w:val="28"/>
          <w:szCs w:val="28"/>
        </w:rPr>
        <w:t xml:space="preserve"> «El Plan de Acción para las Mujeres con discapacidad en </w:t>
      </w:r>
      <w:r w:rsidR="00420F8D" w:rsidRPr="005E1103">
        <w:rPr>
          <w:rFonts w:eastAsia="Calibri" w:cstheme="minorHAnsi"/>
          <w:sz w:val="28"/>
          <w:szCs w:val="28"/>
        </w:rPr>
        <w:t>España</w:t>
      </w:r>
      <w:r w:rsidR="00420F8D" w:rsidRPr="005E1103">
        <w:rPr>
          <w:rFonts w:eastAsia="Times New Roman" w:cstheme="minorHAnsi"/>
          <w:sz w:val="28"/>
          <w:szCs w:val="28"/>
          <w:lang w:val="es-ES_tradnl" w:eastAsia="es-ES"/>
        </w:rPr>
        <w:t>»</w:t>
      </w:r>
      <w:r w:rsidRPr="005E1103">
        <w:rPr>
          <w:rFonts w:eastAsia="Times New Roman" w:cstheme="minorHAnsi"/>
          <w:sz w:val="28"/>
          <w:szCs w:val="28"/>
          <w:lang w:val="es-ES_tradnl" w:eastAsia="es-ES"/>
        </w:rPr>
        <w:t>, en CERMI (2008):</w:t>
      </w:r>
      <w:r w:rsidRPr="005E1103">
        <w:rPr>
          <w:rFonts w:eastAsia="Times New Roman" w:cstheme="minorHAnsi"/>
          <w:i/>
          <w:sz w:val="28"/>
          <w:szCs w:val="28"/>
          <w:lang w:val="es-ES_tradnl" w:eastAsia="es-ES"/>
        </w:rPr>
        <w:t xml:space="preserve"> Reconociendo los Derechos de las niñas y mujeres con discapacidad. Un valor añadido para la sociedad futura </w:t>
      </w:r>
      <w:r w:rsidRPr="005E1103">
        <w:rPr>
          <w:rFonts w:eastAsia="Times New Roman" w:cstheme="minorHAnsi"/>
          <w:sz w:val="28"/>
          <w:szCs w:val="28"/>
          <w:lang w:val="es-ES_tradnl" w:eastAsia="es-ES"/>
        </w:rPr>
        <w:t>(Conferencia europea, 2007)</w:t>
      </w:r>
      <w:r w:rsidRPr="005E1103">
        <w:rPr>
          <w:rFonts w:eastAsia="Times New Roman" w:cstheme="minorHAnsi"/>
          <w:i/>
          <w:iCs/>
          <w:sz w:val="28"/>
          <w:szCs w:val="28"/>
          <w:lang w:val="es-ES_tradnl" w:eastAsia="es-ES"/>
        </w:rPr>
        <w:t xml:space="preserve">, </w:t>
      </w:r>
      <w:r w:rsidRPr="005E1103">
        <w:rPr>
          <w:rFonts w:eastAsia="Times New Roman" w:cstheme="minorHAnsi"/>
          <w:sz w:val="28"/>
          <w:szCs w:val="28"/>
          <w:lang w:val="es-ES_tradnl" w:eastAsia="es-ES"/>
        </w:rPr>
        <w:t>Madrid: CERMI y Ediciones Cinca. Págs. 65-73. Disponible en web:</w:t>
      </w:r>
      <w:r w:rsidRPr="005E1103">
        <w:rPr>
          <w:rFonts w:eastAsia="Times New Roman" w:cstheme="minorHAnsi"/>
          <w:sz w:val="28"/>
          <w:szCs w:val="28"/>
          <w:lang w:val="es-ES_tradnl" w:eastAsia="es-ES_tradnl"/>
        </w:rPr>
        <w:t xml:space="preserve"> </w:t>
      </w:r>
      <w:hyperlink r:id="rId22" w:history="1">
        <w:r w:rsidRPr="005E1103">
          <w:rPr>
            <w:rFonts w:eastAsia="Times New Roman" w:cstheme="minorHAnsi"/>
            <w:color w:val="0000FF"/>
            <w:sz w:val="28"/>
            <w:szCs w:val="28"/>
            <w:u w:val="single"/>
            <w:lang w:val="es-ES_tradnl" w:eastAsia="es-ES_tradnl"/>
          </w:rPr>
          <w:t>http://www.fundacioncermimujeres.es/sites/default/files/debate_general_mujeres_ninas_discapacidad.pdf</w:t>
        </w:r>
      </w:hyperlink>
      <w:r w:rsidRPr="005E1103">
        <w:rPr>
          <w:rFonts w:eastAsia="Times New Roman" w:cstheme="minorHAnsi"/>
          <w:sz w:val="28"/>
          <w:szCs w:val="28"/>
          <w:lang w:val="es-ES_tradnl" w:eastAsia="es-ES_tradnl"/>
        </w:rPr>
        <w:t xml:space="preserve">  </w:t>
      </w:r>
    </w:p>
    <w:p w:rsidR="00AB65A1" w:rsidRPr="005E1103" w:rsidRDefault="00AB65A1" w:rsidP="00AB65A1">
      <w:pPr>
        <w:spacing w:after="0" w:line="240" w:lineRule="auto"/>
        <w:ind w:left="709" w:hanging="709"/>
        <w:jc w:val="both"/>
        <w:rPr>
          <w:rFonts w:eastAsia="Times New Roman" w:cstheme="minorHAnsi"/>
          <w:sz w:val="28"/>
          <w:szCs w:val="28"/>
          <w:lang w:val="es-ES_tradnl" w:eastAsia="es-ES"/>
        </w:rPr>
      </w:pPr>
      <w:r w:rsidRPr="005E1103">
        <w:rPr>
          <w:rFonts w:eastAsia="Times New Roman" w:cstheme="minorHAnsi"/>
          <w:sz w:val="28"/>
          <w:szCs w:val="28"/>
          <w:lang w:val="es-ES_tradnl" w:eastAsia="es-ES"/>
        </w:rPr>
        <w:t>Nyman, María (2008):</w:t>
      </w:r>
      <w:r w:rsidRPr="005E1103">
        <w:rPr>
          <w:rFonts w:eastAsia="Calibri" w:cstheme="minorHAnsi"/>
          <w:sz w:val="28"/>
          <w:szCs w:val="28"/>
        </w:rPr>
        <w:t xml:space="preserve"> «</w:t>
      </w:r>
      <w:r w:rsidRPr="005E1103">
        <w:rPr>
          <w:rFonts w:eastAsia="Times New Roman" w:cstheme="minorHAnsi"/>
          <w:sz w:val="28"/>
          <w:szCs w:val="28"/>
          <w:lang w:val="es-ES_tradnl" w:eastAsia="es-ES"/>
        </w:rPr>
        <w:t xml:space="preserve">Situación de las niñas y mujeres con discapacidad en el Foro Europeo de Discapacidad (EDF) y sus </w:t>
      </w:r>
      <w:r w:rsidR="00420F8D" w:rsidRPr="005E1103">
        <w:rPr>
          <w:rFonts w:eastAsia="Times New Roman" w:cstheme="minorHAnsi"/>
          <w:sz w:val="28"/>
          <w:szCs w:val="28"/>
          <w:lang w:val="es-ES_tradnl" w:eastAsia="es-ES"/>
        </w:rPr>
        <w:t>organizaciones miembros</w:t>
      </w:r>
      <w:r w:rsidRPr="005E1103">
        <w:rPr>
          <w:rFonts w:eastAsia="Times New Roman" w:cstheme="minorHAnsi"/>
          <w:sz w:val="28"/>
          <w:szCs w:val="28"/>
          <w:lang w:val="es-ES_tradnl" w:eastAsia="es-ES"/>
        </w:rPr>
        <w:t>», en CERMI (2008):</w:t>
      </w:r>
      <w:r w:rsidRPr="005E1103">
        <w:rPr>
          <w:rFonts w:eastAsia="Times New Roman" w:cstheme="minorHAnsi"/>
          <w:i/>
          <w:sz w:val="28"/>
          <w:szCs w:val="28"/>
          <w:lang w:val="es-ES_tradnl" w:eastAsia="es-ES"/>
        </w:rPr>
        <w:t xml:space="preserve"> Reconociendo los Derechos de las niñas y mujeres con discapacidad. Un valor añadido para la sociedad futura </w:t>
      </w:r>
      <w:r w:rsidRPr="005E1103">
        <w:rPr>
          <w:rFonts w:eastAsia="Times New Roman" w:cstheme="minorHAnsi"/>
          <w:sz w:val="28"/>
          <w:szCs w:val="28"/>
          <w:lang w:val="es-ES_tradnl" w:eastAsia="es-ES"/>
        </w:rPr>
        <w:t>(Conferencia europea, 2007)</w:t>
      </w:r>
      <w:r w:rsidRPr="005E1103">
        <w:rPr>
          <w:rFonts w:eastAsia="Times New Roman" w:cstheme="minorHAnsi"/>
          <w:i/>
          <w:iCs/>
          <w:sz w:val="28"/>
          <w:szCs w:val="28"/>
          <w:lang w:val="es-ES_tradnl" w:eastAsia="es-ES"/>
        </w:rPr>
        <w:t xml:space="preserve">, </w:t>
      </w:r>
      <w:r w:rsidRPr="005E1103">
        <w:rPr>
          <w:rFonts w:eastAsia="Times New Roman" w:cstheme="minorHAnsi"/>
          <w:sz w:val="28"/>
          <w:szCs w:val="28"/>
          <w:lang w:val="es-ES_tradnl" w:eastAsia="es-ES"/>
        </w:rPr>
        <w:t xml:space="preserve">Madrid: CERMI y </w:t>
      </w:r>
      <w:r w:rsidRPr="005E1103">
        <w:rPr>
          <w:rFonts w:eastAsia="Times New Roman" w:cstheme="minorHAnsi"/>
          <w:sz w:val="28"/>
          <w:szCs w:val="28"/>
          <w:lang w:val="es-ES_tradnl" w:eastAsia="es-ES"/>
        </w:rPr>
        <w:lastRenderedPageBreak/>
        <w:t>Ediciones Cinca. Págs. 19 - 26. Disponible en web:</w:t>
      </w:r>
      <w:r w:rsidRPr="005E1103">
        <w:rPr>
          <w:rFonts w:eastAsia="Times New Roman" w:cstheme="minorHAnsi"/>
          <w:sz w:val="28"/>
          <w:szCs w:val="28"/>
          <w:lang w:val="es-ES_tradnl" w:eastAsia="es-ES_tradnl"/>
        </w:rPr>
        <w:t xml:space="preserve"> </w:t>
      </w:r>
      <w:hyperlink r:id="rId23" w:history="1">
        <w:r w:rsidRPr="005E1103">
          <w:rPr>
            <w:rFonts w:eastAsia="Times New Roman" w:cstheme="minorHAnsi"/>
            <w:color w:val="0000FF"/>
            <w:sz w:val="28"/>
            <w:szCs w:val="28"/>
            <w:u w:val="single"/>
            <w:lang w:val="es-ES_tradnl" w:eastAsia="es-ES_tradnl"/>
          </w:rPr>
          <w:t>http://www.fundacioncermimujeres.es/sites/default/files/debate_general_mujeres_ninas_discapacidad.pdf</w:t>
        </w:r>
      </w:hyperlink>
      <w:r w:rsidRPr="005E1103">
        <w:rPr>
          <w:rFonts w:eastAsia="Times New Roman" w:cstheme="minorHAnsi"/>
          <w:sz w:val="28"/>
          <w:szCs w:val="28"/>
          <w:lang w:val="es-ES_tradnl" w:eastAsia="es-ES_tradnl"/>
        </w:rPr>
        <w:t xml:space="preserve">  </w:t>
      </w:r>
    </w:p>
    <w:p w:rsidR="00AB65A1" w:rsidRPr="005E1103" w:rsidRDefault="00AB65A1" w:rsidP="00AB65A1">
      <w:pPr>
        <w:spacing w:line="360" w:lineRule="auto"/>
        <w:jc w:val="center"/>
        <w:rPr>
          <w:rFonts w:eastAsia="Times New Roman" w:cstheme="minorHAnsi"/>
          <w:color w:val="0000FF"/>
          <w:sz w:val="28"/>
          <w:szCs w:val="28"/>
          <w:u w:val="single"/>
          <w:lang w:val="es-ES_tradnl" w:eastAsia="es-ES_tradnl"/>
        </w:rPr>
      </w:pPr>
      <w:r w:rsidRPr="005E1103">
        <w:rPr>
          <w:rFonts w:eastAsia="Times New Roman" w:cstheme="minorHAnsi"/>
          <w:sz w:val="28"/>
          <w:szCs w:val="28"/>
          <w:lang w:val="es-ES_tradnl" w:eastAsia="es-ES"/>
        </w:rPr>
        <w:t>Rajkov, Gordana (2008):</w:t>
      </w:r>
      <w:r w:rsidRPr="005E1103">
        <w:rPr>
          <w:rFonts w:eastAsia="Calibri" w:cstheme="minorHAnsi"/>
          <w:sz w:val="28"/>
          <w:szCs w:val="28"/>
        </w:rPr>
        <w:t xml:space="preserve"> «</w:t>
      </w:r>
      <w:r w:rsidRPr="005E1103">
        <w:rPr>
          <w:rFonts w:cstheme="minorHAnsi"/>
          <w:sz w:val="28"/>
          <w:szCs w:val="28"/>
        </w:rPr>
        <w:t xml:space="preserve"> </w:t>
      </w:r>
      <w:r w:rsidRPr="005E1103">
        <w:rPr>
          <w:rFonts w:eastAsia="Calibri" w:cstheme="minorHAnsi"/>
          <w:sz w:val="28"/>
          <w:szCs w:val="28"/>
        </w:rPr>
        <w:t xml:space="preserve">Cómo involucrar de forma activa a las mujeres y niñas con discapacidad en el diseño e introducción de políticas para asegurar la mejora de su calidad de vida </w:t>
      </w:r>
      <w:r w:rsidRPr="005E1103">
        <w:rPr>
          <w:rFonts w:eastAsia="Times New Roman" w:cstheme="minorHAnsi"/>
          <w:sz w:val="28"/>
          <w:szCs w:val="28"/>
          <w:lang w:val="es-ES_tradnl" w:eastAsia="es-ES"/>
        </w:rPr>
        <w:t>», en CERMI (2008):</w:t>
      </w:r>
      <w:r w:rsidRPr="005E1103">
        <w:rPr>
          <w:rFonts w:eastAsia="Times New Roman" w:cstheme="minorHAnsi"/>
          <w:i/>
          <w:sz w:val="28"/>
          <w:szCs w:val="28"/>
          <w:lang w:val="es-ES_tradnl" w:eastAsia="es-ES"/>
        </w:rPr>
        <w:t xml:space="preserve"> Reconociendo los Derechos de las niñas y mujeres con discapacidad. Un valor añadido para la sociedad futura </w:t>
      </w:r>
      <w:r w:rsidRPr="005E1103">
        <w:rPr>
          <w:rFonts w:eastAsia="Times New Roman" w:cstheme="minorHAnsi"/>
          <w:sz w:val="28"/>
          <w:szCs w:val="28"/>
          <w:lang w:val="es-ES_tradnl" w:eastAsia="es-ES"/>
        </w:rPr>
        <w:t>(Conferencia europea, 2007)</w:t>
      </w:r>
      <w:r w:rsidRPr="005E1103">
        <w:rPr>
          <w:rFonts w:eastAsia="Times New Roman" w:cstheme="minorHAnsi"/>
          <w:i/>
          <w:iCs/>
          <w:sz w:val="28"/>
          <w:szCs w:val="28"/>
          <w:lang w:val="es-ES_tradnl" w:eastAsia="es-ES"/>
        </w:rPr>
        <w:t xml:space="preserve">, </w:t>
      </w:r>
      <w:r w:rsidRPr="005E1103">
        <w:rPr>
          <w:rFonts w:eastAsia="Times New Roman" w:cstheme="minorHAnsi"/>
          <w:sz w:val="28"/>
          <w:szCs w:val="28"/>
          <w:lang w:val="es-ES_tradnl" w:eastAsia="es-ES"/>
        </w:rPr>
        <w:t>Madrid: CERMI y Ediciones Cinca. Págs. 97-106. Disponible en web:</w:t>
      </w:r>
      <w:r w:rsidRPr="005E1103">
        <w:rPr>
          <w:rFonts w:eastAsia="Times New Roman" w:cstheme="minorHAnsi"/>
          <w:sz w:val="28"/>
          <w:szCs w:val="28"/>
          <w:lang w:val="es-ES_tradnl" w:eastAsia="es-ES_tradnl"/>
        </w:rPr>
        <w:t xml:space="preserve"> </w:t>
      </w:r>
      <w:hyperlink r:id="rId24" w:history="1">
        <w:r w:rsidRPr="005E1103">
          <w:rPr>
            <w:rFonts w:eastAsia="Times New Roman" w:cstheme="minorHAnsi"/>
            <w:color w:val="0000FF"/>
            <w:sz w:val="28"/>
            <w:szCs w:val="28"/>
            <w:u w:val="single"/>
            <w:lang w:val="es-ES_tradnl" w:eastAsia="es-ES_tradnl"/>
          </w:rPr>
          <w:t>http://www.fundacioncermimujeres.es/sites/default/files/debate_general_mujeres_ninas_discapacidad.pdf</w:t>
        </w:r>
      </w:hyperlink>
    </w:p>
    <w:p w:rsidR="005E1103" w:rsidRDefault="005E1103">
      <w:pPr>
        <w:rPr>
          <w:rFonts w:cstheme="minorHAnsi"/>
          <w:b/>
          <w:sz w:val="28"/>
          <w:szCs w:val="28"/>
        </w:rPr>
      </w:pPr>
      <w:r>
        <w:rPr>
          <w:rFonts w:cstheme="minorHAnsi"/>
          <w:b/>
          <w:sz w:val="28"/>
          <w:szCs w:val="28"/>
        </w:rPr>
        <w:br w:type="page"/>
      </w:r>
    </w:p>
    <w:p w:rsidR="00C71AF3" w:rsidRPr="005E1103" w:rsidRDefault="00C71AF3" w:rsidP="00C71AF3">
      <w:pPr>
        <w:spacing w:line="360" w:lineRule="auto"/>
        <w:jc w:val="center"/>
        <w:rPr>
          <w:rFonts w:cstheme="minorHAnsi"/>
          <w:b/>
          <w:sz w:val="28"/>
          <w:szCs w:val="28"/>
        </w:rPr>
      </w:pPr>
      <w:r w:rsidRPr="005E1103">
        <w:rPr>
          <w:rFonts w:cstheme="minorHAnsi"/>
          <w:b/>
          <w:sz w:val="28"/>
          <w:szCs w:val="28"/>
        </w:rPr>
        <w:lastRenderedPageBreak/>
        <w:t>COMUNICACIÓN 3</w:t>
      </w:r>
    </w:p>
    <w:p w:rsidR="00C71AF3" w:rsidRPr="00420F8D" w:rsidRDefault="00C71AF3" w:rsidP="00420F8D">
      <w:pPr>
        <w:pBdr>
          <w:top w:val="single" w:sz="4" w:space="1" w:color="auto"/>
          <w:left w:val="single" w:sz="4" w:space="4" w:color="auto"/>
          <w:bottom w:val="single" w:sz="4" w:space="1" w:color="auto"/>
          <w:right w:val="single" w:sz="4" w:space="4" w:color="auto"/>
        </w:pBdr>
        <w:spacing w:after="0" w:line="240" w:lineRule="auto"/>
        <w:jc w:val="center"/>
        <w:rPr>
          <w:rFonts w:cstheme="minorHAnsi"/>
          <w:b/>
          <w:sz w:val="28"/>
          <w:szCs w:val="28"/>
        </w:rPr>
      </w:pPr>
      <w:r w:rsidRPr="00420F8D">
        <w:rPr>
          <w:rFonts w:cstheme="minorHAnsi"/>
          <w:b/>
          <w:sz w:val="28"/>
          <w:szCs w:val="28"/>
        </w:rPr>
        <w:t>LA INCLUSIÓN COMO CRITERIO DE CALIDAD EN LA UNIVERSIDAD. LA ATENCIÓN A LA DISCAPACIDAD Y EL RANKING UNIVERSITARIO MUNDIAL</w:t>
      </w:r>
    </w:p>
    <w:p w:rsidR="00C71AF3" w:rsidRPr="005E1103" w:rsidRDefault="00C71AF3" w:rsidP="00C71AF3">
      <w:pPr>
        <w:spacing w:line="360" w:lineRule="auto"/>
        <w:jc w:val="center"/>
        <w:rPr>
          <w:rFonts w:cstheme="minorHAnsi"/>
          <w:b/>
          <w:sz w:val="28"/>
          <w:szCs w:val="28"/>
        </w:rPr>
      </w:pPr>
    </w:p>
    <w:p w:rsidR="00C71AF3" w:rsidRPr="005E1103" w:rsidRDefault="00C71AF3" w:rsidP="00C71AF3">
      <w:pPr>
        <w:spacing w:after="0" w:line="360" w:lineRule="auto"/>
        <w:jc w:val="right"/>
        <w:rPr>
          <w:rFonts w:cstheme="minorHAnsi"/>
          <w:sz w:val="28"/>
          <w:szCs w:val="28"/>
        </w:rPr>
      </w:pPr>
      <w:r w:rsidRPr="005E1103">
        <w:rPr>
          <w:rFonts w:cstheme="minorHAnsi"/>
          <w:sz w:val="28"/>
          <w:szCs w:val="28"/>
        </w:rPr>
        <w:t>Dra. Gemma Rodríguez Infante</w:t>
      </w:r>
    </w:p>
    <w:p w:rsidR="00C71AF3" w:rsidRPr="005E1103" w:rsidRDefault="00C71AF3" w:rsidP="00C71AF3">
      <w:pPr>
        <w:spacing w:after="0" w:line="360" w:lineRule="auto"/>
        <w:jc w:val="right"/>
        <w:rPr>
          <w:rFonts w:cstheme="minorHAnsi"/>
          <w:sz w:val="28"/>
          <w:szCs w:val="28"/>
        </w:rPr>
      </w:pPr>
      <w:r w:rsidRPr="005E1103">
        <w:rPr>
          <w:rFonts w:cstheme="minorHAnsi"/>
          <w:sz w:val="28"/>
          <w:szCs w:val="28"/>
        </w:rPr>
        <w:t>Profesora asociada del Dpto. Psicología Evolutiva y de la Educación</w:t>
      </w:r>
    </w:p>
    <w:p w:rsidR="00C71AF3" w:rsidRPr="005E1103" w:rsidRDefault="00C71AF3" w:rsidP="00C71AF3">
      <w:pPr>
        <w:spacing w:after="0" w:line="360" w:lineRule="auto"/>
        <w:jc w:val="right"/>
        <w:rPr>
          <w:rFonts w:cstheme="minorHAnsi"/>
          <w:sz w:val="28"/>
          <w:szCs w:val="28"/>
        </w:rPr>
      </w:pPr>
      <w:r w:rsidRPr="005E1103">
        <w:rPr>
          <w:rFonts w:cstheme="minorHAnsi"/>
          <w:sz w:val="28"/>
          <w:szCs w:val="28"/>
        </w:rPr>
        <w:t>Universidad de Málaga</w:t>
      </w:r>
    </w:p>
    <w:p w:rsidR="00C71AF3" w:rsidRPr="005E1103" w:rsidRDefault="00C71AF3" w:rsidP="00C71AF3">
      <w:pPr>
        <w:spacing w:after="0" w:line="360" w:lineRule="auto"/>
        <w:jc w:val="right"/>
        <w:rPr>
          <w:rFonts w:cstheme="minorHAnsi"/>
          <w:sz w:val="28"/>
          <w:szCs w:val="28"/>
        </w:rPr>
      </w:pPr>
    </w:p>
    <w:p w:rsidR="00C71AF3" w:rsidRPr="005E1103" w:rsidRDefault="00C71AF3" w:rsidP="00C71AF3">
      <w:pPr>
        <w:spacing w:after="0" w:line="360" w:lineRule="auto"/>
        <w:jc w:val="right"/>
        <w:rPr>
          <w:rFonts w:cstheme="minorHAnsi"/>
          <w:sz w:val="28"/>
          <w:szCs w:val="28"/>
        </w:rPr>
      </w:pPr>
      <w:r w:rsidRPr="005E1103">
        <w:rPr>
          <w:rFonts w:cstheme="minorHAnsi"/>
          <w:sz w:val="28"/>
          <w:szCs w:val="28"/>
        </w:rPr>
        <w:t xml:space="preserve"> Dra. Rocío Lavigne Cerván</w:t>
      </w:r>
    </w:p>
    <w:p w:rsidR="00C71AF3" w:rsidRPr="005E1103" w:rsidRDefault="00C71AF3" w:rsidP="00C71AF3">
      <w:pPr>
        <w:spacing w:after="0" w:line="360" w:lineRule="auto"/>
        <w:jc w:val="right"/>
        <w:rPr>
          <w:rFonts w:cstheme="minorHAnsi"/>
          <w:sz w:val="28"/>
          <w:szCs w:val="28"/>
        </w:rPr>
      </w:pPr>
      <w:r w:rsidRPr="005E1103">
        <w:rPr>
          <w:rFonts w:cstheme="minorHAnsi"/>
          <w:sz w:val="28"/>
          <w:szCs w:val="28"/>
        </w:rPr>
        <w:t>Profesora Contratada Doctora del Dpto. Psicología Evolutiva y de la Educación</w:t>
      </w:r>
    </w:p>
    <w:p w:rsidR="00C71AF3" w:rsidRPr="005E1103" w:rsidRDefault="00C71AF3" w:rsidP="00C71AF3">
      <w:pPr>
        <w:spacing w:after="0" w:line="360" w:lineRule="auto"/>
        <w:jc w:val="right"/>
        <w:rPr>
          <w:rFonts w:cstheme="minorHAnsi"/>
          <w:sz w:val="28"/>
          <w:szCs w:val="28"/>
        </w:rPr>
      </w:pPr>
      <w:r w:rsidRPr="005E1103">
        <w:rPr>
          <w:rFonts w:cstheme="minorHAnsi"/>
          <w:sz w:val="28"/>
          <w:szCs w:val="28"/>
        </w:rPr>
        <w:t>Universidad de Málaga</w:t>
      </w:r>
    </w:p>
    <w:p w:rsidR="00C71AF3" w:rsidRPr="005E1103" w:rsidRDefault="00C71AF3" w:rsidP="00C71AF3">
      <w:pPr>
        <w:spacing w:after="0" w:line="360" w:lineRule="auto"/>
        <w:jc w:val="right"/>
        <w:rPr>
          <w:rFonts w:cstheme="minorHAnsi"/>
          <w:sz w:val="28"/>
          <w:szCs w:val="28"/>
        </w:rPr>
      </w:pPr>
    </w:p>
    <w:p w:rsidR="00C71AF3" w:rsidRPr="005E1103" w:rsidRDefault="00C71AF3" w:rsidP="00C71AF3">
      <w:pPr>
        <w:spacing w:after="0" w:line="360" w:lineRule="auto"/>
        <w:jc w:val="right"/>
        <w:rPr>
          <w:rFonts w:cstheme="minorHAnsi"/>
          <w:sz w:val="28"/>
          <w:szCs w:val="28"/>
        </w:rPr>
      </w:pPr>
      <w:r w:rsidRPr="005E1103">
        <w:rPr>
          <w:rFonts w:cstheme="minorHAnsi"/>
          <w:sz w:val="28"/>
          <w:szCs w:val="28"/>
        </w:rPr>
        <w:t>Dr. Juan F. Romero Pérez</w:t>
      </w:r>
    </w:p>
    <w:p w:rsidR="00C71AF3" w:rsidRPr="005E1103" w:rsidRDefault="00C71AF3" w:rsidP="00C71AF3">
      <w:pPr>
        <w:spacing w:after="0" w:line="360" w:lineRule="auto"/>
        <w:jc w:val="right"/>
        <w:rPr>
          <w:rFonts w:cstheme="minorHAnsi"/>
          <w:sz w:val="28"/>
          <w:szCs w:val="28"/>
        </w:rPr>
      </w:pPr>
      <w:r w:rsidRPr="005E1103">
        <w:rPr>
          <w:rFonts w:cstheme="minorHAnsi"/>
          <w:sz w:val="28"/>
          <w:szCs w:val="28"/>
        </w:rPr>
        <w:t>Catedrático del Área de Psicología Evolutiva y de la Educación</w:t>
      </w:r>
    </w:p>
    <w:p w:rsidR="00C71AF3" w:rsidRPr="005E1103" w:rsidRDefault="00C71AF3" w:rsidP="00C71AF3">
      <w:pPr>
        <w:spacing w:after="0" w:line="360" w:lineRule="auto"/>
        <w:jc w:val="right"/>
        <w:rPr>
          <w:rFonts w:cstheme="minorHAnsi"/>
          <w:sz w:val="28"/>
          <w:szCs w:val="28"/>
        </w:rPr>
      </w:pPr>
      <w:r w:rsidRPr="005E1103">
        <w:rPr>
          <w:rFonts w:cstheme="minorHAnsi"/>
          <w:sz w:val="28"/>
          <w:szCs w:val="28"/>
        </w:rPr>
        <w:t>Universidad de Málaga</w:t>
      </w:r>
    </w:p>
    <w:p w:rsidR="00C71AF3" w:rsidRPr="005E1103" w:rsidRDefault="00C71AF3" w:rsidP="00C71AF3">
      <w:pPr>
        <w:spacing w:line="360" w:lineRule="auto"/>
        <w:ind w:firstLine="284"/>
        <w:jc w:val="both"/>
        <w:rPr>
          <w:rFonts w:cstheme="minorHAnsi"/>
          <w:b/>
          <w:sz w:val="28"/>
          <w:szCs w:val="28"/>
        </w:rPr>
      </w:pPr>
    </w:p>
    <w:p w:rsidR="00C71AF3" w:rsidRPr="005E1103" w:rsidRDefault="00C71AF3" w:rsidP="00C71AF3">
      <w:pPr>
        <w:spacing w:line="360" w:lineRule="auto"/>
        <w:ind w:firstLine="284"/>
        <w:jc w:val="both"/>
        <w:rPr>
          <w:rFonts w:cstheme="minorHAnsi"/>
          <w:b/>
          <w:sz w:val="28"/>
          <w:szCs w:val="28"/>
        </w:rPr>
      </w:pPr>
      <w:r w:rsidRPr="005E1103">
        <w:rPr>
          <w:rFonts w:cstheme="minorHAnsi"/>
          <w:b/>
          <w:sz w:val="28"/>
          <w:szCs w:val="28"/>
        </w:rPr>
        <w:t>INTRODUCCIÓN</w:t>
      </w:r>
    </w:p>
    <w:p w:rsidR="00C71AF3" w:rsidRPr="005E1103" w:rsidRDefault="00C71AF3" w:rsidP="00C71AF3">
      <w:pPr>
        <w:spacing w:after="0" w:line="360" w:lineRule="auto"/>
        <w:ind w:firstLine="284"/>
        <w:jc w:val="both"/>
        <w:rPr>
          <w:rFonts w:cstheme="minorHAnsi"/>
          <w:color w:val="222222"/>
          <w:sz w:val="28"/>
          <w:szCs w:val="28"/>
        </w:rPr>
      </w:pPr>
      <w:r w:rsidRPr="005E1103">
        <w:rPr>
          <w:rFonts w:cstheme="minorHAnsi"/>
          <w:sz w:val="28"/>
          <w:szCs w:val="28"/>
        </w:rPr>
        <w:t>Actualmente las universidades compiten por situarse en los mejores puestos en las clasificaciones internacionales.  Una de las clasificaciones más prestigiosas es la ofrecida por el</w:t>
      </w:r>
      <w:r w:rsidRPr="005E1103">
        <w:rPr>
          <w:rFonts w:cstheme="minorHAnsi"/>
          <w:color w:val="222222"/>
          <w:sz w:val="28"/>
          <w:szCs w:val="28"/>
        </w:rPr>
        <w:t xml:space="preserve"> Center for World University Rankings (CWUR), que mide la calidad de la educación y la formación de los estudiantes, el prestigio del profesorado y la calidad de las investigaciones de las diferentes universidades a nivel internacional. </w:t>
      </w:r>
      <w:r w:rsidRPr="005E1103">
        <w:rPr>
          <w:rFonts w:cstheme="minorHAnsi"/>
          <w:sz w:val="28"/>
          <w:szCs w:val="28"/>
        </w:rPr>
        <w:t xml:space="preserve">Sin embargo, como afirma Martínez I.M. (2015), en estos rankings faltan indicadores relacionados con la responsabilidad social y la apuesta por la diversidad y la inclusión. </w:t>
      </w:r>
    </w:p>
    <w:p w:rsidR="00C71AF3" w:rsidRPr="005E1103" w:rsidRDefault="00C71AF3" w:rsidP="00C71AF3">
      <w:pPr>
        <w:autoSpaceDE w:val="0"/>
        <w:autoSpaceDN w:val="0"/>
        <w:adjustRightInd w:val="0"/>
        <w:spacing w:after="0" w:line="360" w:lineRule="auto"/>
        <w:ind w:firstLine="284"/>
        <w:jc w:val="both"/>
        <w:rPr>
          <w:rFonts w:cstheme="minorHAnsi"/>
          <w:sz w:val="28"/>
          <w:szCs w:val="28"/>
        </w:rPr>
      </w:pPr>
      <w:r w:rsidRPr="005E1103">
        <w:rPr>
          <w:rFonts w:cstheme="minorHAnsi"/>
          <w:sz w:val="28"/>
          <w:szCs w:val="28"/>
        </w:rPr>
        <w:t>Estudios como los de</w:t>
      </w:r>
      <w:r w:rsidRPr="005E1103">
        <w:rPr>
          <w:rFonts w:cstheme="minorHAnsi"/>
          <w:sz w:val="28"/>
          <w:szCs w:val="28"/>
        </w:rPr>
        <w:fldChar w:fldCharType="begin"/>
      </w:r>
      <w:r w:rsidRPr="005E1103">
        <w:rPr>
          <w:rFonts w:cstheme="minorHAnsi"/>
          <w:sz w:val="28"/>
          <w:szCs w:val="28"/>
        </w:rPr>
        <w:instrText xml:space="preserve"> ADDIN ZOTERO_ITEM CSL_CITATION {"citationID":"YKP42SvP","properties":{"formattedCitation":"(Peralta, A., 2007)","plainCitation":"(Peralta, A., 2007)"},"citationItems":[{"id":41,"uris":["http://zotero.org/users/2399953/items/DV6KZQJC"],"uri":["http://zotero.org/users/2399953/items/DV6KZQJC"],"itemData":{"id":41,"type":"book","title":"Libro Blanco sobre Universidad y Discapacidad","publisher":"Real Patronato sobre Discapacidad.","publisher-place":"Madrid","event-place":"Madrid","author":[{"family":"Peralta, A.","given":""}],"issued":{"date-parts":[["2007"]]}}}],"schema":"https://github.com/citation-style-language/schema/raw/master/csl-citation.json"} </w:instrText>
      </w:r>
      <w:r w:rsidRPr="005E1103">
        <w:rPr>
          <w:rFonts w:cstheme="minorHAnsi"/>
          <w:sz w:val="28"/>
          <w:szCs w:val="28"/>
        </w:rPr>
        <w:fldChar w:fldCharType="separate"/>
      </w:r>
      <w:r w:rsidRPr="005E1103">
        <w:rPr>
          <w:rFonts w:cstheme="minorHAnsi"/>
          <w:sz w:val="28"/>
          <w:szCs w:val="28"/>
        </w:rPr>
        <w:t xml:space="preserve"> Peralta, A., (2007)</w:t>
      </w:r>
      <w:r w:rsidRPr="005E1103">
        <w:rPr>
          <w:rFonts w:cstheme="minorHAnsi"/>
          <w:sz w:val="28"/>
          <w:szCs w:val="28"/>
        </w:rPr>
        <w:fldChar w:fldCharType="end"/>
      </w:r>
      <w:r w:rsidRPr="005E1103">
        <w:rPr>
          <w:rFonts w:cstheme="minorHAnsi"/>
          <w:sz w:val="28"/>
          <w:szCs w:val="28"/>
        </w:rPr>
        <w:t xml:space="preserve">, </w:t>
      </w:r>
      <w:r w:rsidRPr="005E1103">
        <w:rPr>
          <w:rFonts w:cstheme="minorHAnsi"/>
          <w:sz w:val="28"/>
          <w:szCs w:val="28"/>
        </w:rPr>
        <w:fldChar w:fldCharType="begin"/>
      </w:r>
      <w:r w:rsidRPr="005E1103">
        <w:rPr>
          <w:rFonts w:cstheme="minorHAnsi"/>
          <w:sz w:val="28"/>
          <w:szCs w:val="28"/>
        </w:rPr>
        <w:instrText xml:space="preserve"> ADDIN ZOTERO_ITEM CSL_CITATION {"citationID":"RFy5iBFT","properties":{"formattedCitation":"(Alegre, O.M. &amp; Villar, L.M., 2009)","plainCitation":"(Alegre, O.M. &amp; Villar, L.M., 2009)"},"citationItems":[{"id":103,"uris":["http://zotero.org/users/2399953/items/UX9K2UXP"],"uri":["http://zotero.org/users/2399953/items/UX9K2UXP"],"itemData":{"id":103,"type":"article-journal","title":"Master´s Degree \"Education in Diversity\" (MDED): Toward Inclusion Education Qality.","container-title":"International Journal of Training and Learning in Higher Education","page":"82-98","volume":"39 (2)","issue":"226","author":[{"literal":"Alegre, O.M."},{"literal":"Villar, L.M."}],"issued":{"date-parts":[["2009"]]}}}],"schema":"https://github.com/citation-style-language/schema/raw/master/csl-citation.json"} </w:instrText>
      </w:r>
      <w:r w:rsidRPr="005E1103">
        <w:rPr>
          <w:rFonts w:cstheme="minorHAnsi"/>
          <w:sz w:val="28"/>
          <w:szCs w:val="28"/>
        </w:rPr>
        <w:fldChar w:fldCharType="separate"/>
      </w:r>
      <w:r w:rsidRPr="005E1103">
        <w:rPr>
          <w:rFonts w:cstheme="minorHAnsi"/>
          <w:sz w:val="28"/>
          <w:szCs w:val="28"/>
        </w:rPr>
        <w:t>Alegre, O.M. &amp; Villar, L.M., (2009)</w:t>
      </w:r>
      <w:r w:rsidRPr="005E1103">
        <w:rPr>
          <w:rFonts w:cstheme="minorHAnsi"/>
          <w:sz w:val="28"/>
          <w:szCs w:val="28"/>
        </w:rPr>
        <w:fldChar w:fldCharType="end"/>
      </w:r>
      <w:r w:rsidRPr="005E1103">
        <w:rPr>
          <w:rFonts w:cstheme="minorHAnsi"/>
          <w:sz w:val="28"/>
          <w:szCs w:val="28"/>
        </w:rPr>
        <w:t xml:space="preserve">, </w:t>
      </w:r>
      <w:r w:rsidRPr="005E1103">
        <w:rPr>
          <w:rFonts w:cstheme="minorHAnsi"/>
          <w:sz w:val="28"/>
          <w:szCs w:val="28"/>
        </w:rPr>
        <w:fldChar w:fldCharType="begin"/>
      </w:r>
      <w:r w:rsidRPr="005E1103">
        <w:rPr>
          <w:rFonts w:cstheme="minorHAnsi"/>
          <w:sz w:val="28"/>
          <w:szCs w:val="28"/>
        </w:rPr>
        <w:instrText xml:space="preserve"> ADDIN ZOTERO_ITEM CSL_CITATION {"citationID":"JgzJUyG4","properties":{"formattedCitation":"{\\rtf (D\\uc0\\u237{}ez, E. et\\uc0\\u160{}al., 2011)}","plainCitation":"(Díez, E. et al., 2011)"},"citationItems":[{"id":99,"uris":["http://zotero.org/users/2399953/items/U86UFRZP"],"uri":["http://zotero.org/users/2399953/items/U86UFRZP"],"itemData":{"id":99,"type":"book","title":"Espacio Europeo de Educación Superior: estándares e indicadores de buenas prácticas para la atención a estudiantes universitarios con discapacicad.","publisher":"INICO","publisher-place":"Salamanca","event-place":"Salamanca","author":[{"family":"Díez, E.","given":""},{"family":"Alonso, A.","given":""},{"family":"Verdugo, M.A.","given":""},{"family":"Campo, M.","given":""},{"family":"Sancho, S.","given":""},{"family":"Calvo, I.","given":""},{"family":"Moral, E.","given":""}],"issued":{"date-parts":[["2011"]]}}}],"schema":"https://github.com/citation-style-language/schema/raw/master/csl-citation.json"} </w:instrText>
      </w:r>
      <w:r w:rsidRPr="005E1103">
        <w:rPr>
          <w:rFonts w:cstheme="minorHAnsi"/>
          <w:sz w:val="28"/>
          <w:szCs w:val="28"/>
        </w:rPr>
        <w:fldChar w:fldCharType="separate"/>
      </w:r>
      <w:r w:rsidRPr="005E1103">
        <w:rPr>
          <w:rFonts w:cstheme="minorHAnsi"/>
          <w:sz w:val="28"/>
          <w:szCs w:val="28"/>
        </w:rPr>
        <w:t>Díez, E. et al., (2011)</w:t>
      </w:r>
      <w:r w:rsidRPr="005E1103">
        <w:rPr>
          <w:rFonts w:cstheme="minorHAnsi"/>
          <w:sz w:val="28"/>
          <w:szCs w:val="28"/>
        </w:rPr>
        <w:fldChar w:fldCharType="end"/>
      </w:r>
      <w:r w:rsidRPr="005E1103">
        <w:rPr>
          <w:rFonts w:cstheme="minorHAnsi"/>
          <w:sz w:val="28"/>
          <w:szCs w:val="28"/>
        </w:rPr>
        <w:t xml:space="preserve">, </w:t>
      </w:r>
      <w:r w:rsidRPr="005E1103">
        <w:rPr>
          <w:rFonts w:cstheme="minorHAnsi"/>
          <w:sz w:val="28"/>
          <w:szCs w:val="28"/>
        </w:rPr>
        <w:fldChar w:fldCharType="begin"/>
      </w:r>
      <w:r w:rsidRPr="005E1103">
        <w:rPr>
          <w:rFonts w:cstheme="minorHAnsi"/>
          <w:sz w:val="28"/>
          <w:szCs w:val="28"/>
        </w:rPr>
        <w:instrText xml:space="preserve"> ADDIN ZOTERO_ITEM CSL_CITATION {"citationID":"4lOg81y6","properties":{"formattedCitation":"{\\rtf (Luque,  A. &amp; Guti\\uc0\\u233{}rrez, R., 2014)}","plainCitation":"(Luque,  A. &amp; Gutiérrez, R., 2014)"},"citationItems":[{"id":42,"uris":["http://zotero.org/users/2399953/items/DWCTZARV"],"uri":["http://zotero.org/users/2399953/items/DWCTZARV"],"itemData":{"id":42,"type":"article-journal","title":"La integración educativa y social del alumnado con discapacidad en el EEES: Universidad de Bolonia.","container-title":"Revista complutense de Educación","page":"153-175","volume":"25","issue":"1","author":[{"family":"Luque,  A.","given":""},{"family":"Gutiérrez, R.","given":""}],"issued":{"date-parts":[["2014"]]}}}],"schema":"https://github.com/citation-style-language/schema/raw/master/csl-citation.json"} </w:instrText>
      </w:r>
      <w:r w:rsidRPr="005E1103">
        <w:rPr>
          <w:rFonts w:cstheme="minorHAnsi"/>
          <w:sz w:val="28"/>
          <w:szCs w:val="28"/>
        </w:rPr>
        <w:fldChar w:fldCharType="separate"/>
      </w:r>
      <w:r w:rsidRPr="005E1103">
        <w:rPr>
          <w:rFonts w:cstheme="minorHAnsi"/>
          <w:sz w:val="28"/>
          <w:szCs w:val="28"/>
        </w:rPr>
        <w:t>Luque, A. &amp; Gutiérrez, R., (2014)</w:t>
      </w:r>
      <w:r w:rsidRPr="005E1103">
        <w:rPr>
          <w:rFonts w:cstheme="minorHAnsi"/>
          <w:sz w:val="28"/>
          <w:szCs w:val="28"/>
        </w:rPr>
        <w:fldChar w:fldCharType="end"/>
      </w:r>
      <w:r w:rsidRPr="005E1103">
        <w:rPr>
          <w:rFonts w:cstheme="minorHAnsi"/>
          <w:sz w:val="28"/>
          <w:szCs w:val="28"/>
        </w:rPr>
        <w:t xml:space="preserve"> y  </w:t>
      </w:r>
      <w:r w:rsidRPr="005E1103">
        <w:rPr>
          <w:rFonts w:cstheme="minorHAnsi"/>
          <w:sz w:val="28"/>
          <w:szCs w:val="28"/>
        </w:rPr>
        <w:fldChar w:fldCharType="begin"/>
      </w:r>
      <w:r w:rsidRPr="005E1103">
        <w:rPr>
          <w:rFonts w:cstheme="minorHAnsi"/>
          <w:sz w:val="28"/>
          <w:szCs w:val="28"/>
        </w:rPr>
        <w:instrText xml:space="preserve"> ADDIN ZOTERO_ITEM CSL_CITATION {"citationID":"d0h7aMmI","properties":{"formattedCitation":"(Ferreira, C., Vieira, M.J., &amp; Vidal, J., 2014)","plainCitation":"(Ferreira, C., Vieira, M.J., &amp; Vidal, J., 2014)","dontUpdate":true},"citationItems":[{"id":57,"uris":["http://zotero.org/users/2399953/items/H44BKSIC"],"uri":["http://zotero.org/users/2399953/items/H44BKSIC"],"itemData":{"id":57,"type":"article-journal","title":"Sistema de indicadores sobre el apoyo a los estudiantes con discapacidad en las universidades españolas","container-title":"Revista de Educación","page":"412-444","volume":"363","issue":"Enero-Abril 2014","DOI":"104438/1988-592X-RE-2012-363-193","author":[{"literal":"Ferreira, C."},{"literal":"Vieira, M.J."},{"literal":"Vidal, J."}],"issued":{"date-parts":[["2014"]]}}}],"schema":"https://github.com/citation-style-language/schema/raw/master/csl-citation.json"} </w:instrText>
      </w:r>
      <w:r w:rsidRPr="005E1103">
        <w:rPr>
          <w:rFonts w:cstheme="minorHAnsi"/>
          <w:sz w:val="28"/>
          <w:szCs w:val="28"/>
        </w:rPr>
        <w:fldChar w:fldCharType="separate"/>
      </w:r>
      <w:r w:rsidRPr="005E1103">
        <w:rPr>
          <w:rFonts w:cstheme="minorHAnsi"/>
          <w:sz w:val="28"/>
          <w:szCs w:val="28"/>
        </w:rPr>
        <w:t xml:space="preserve">Ferreira, C., Vieira, M.J., &amp; Vidal, J., </w:t>
      </w:r>
      <w:r w:rsidRPr="005E1103">
        <w:rPr>
          <w:rFonts w:cstheme="minorHAnsi"/>
          <w:sz w:val="28"/>
          <w:szCs w:val="28"/>
        </w:rPr>
        <w:lastRenderedPageBreak/>
        <w:t>(2014)</w:t>
      </w:r>
      <w:r w:rsidRPr="005E1103">
        <w:rPr>
          <w:rFonts w:cstheme="minorHAnsi"/>
          <w:sz w:val="28"/>
          <w:szCs w:val="28"/>
        </w:rPr>
        <w:fldChar w:fldCharType="end"/>
      </w:r>
      <w:r w:rsidRPr="005E1103">
        <w:rPr>
          <w:rFonts w:cstheme="minorHAnsi"/>
          <w:sz w:val="28"/>
          <w:szCs w:val="28"/>
        </w:rPr>
        <w:t>, constatan la necesidad de la introducción de los indicadores del nivel de inclusión en los criterios de calidad de las universidades. Pese a ello, los datos ofrecidos por Fundación Universia en 2014, nos muestran como la evaluación de la calidad es todavía escasa cuando se habla de la atención a la diversidad. De hecho, sólo el 44% de los Servicios de Atención a Estudiantes con Discapacidad de las 59 universidades participantes en el estudio contaban con sistemas de evaluación interna y de gestión de la calidad.</w:t>
      </w:r>
    </w:p>
    <w:p w:rsidR="00C71AF3" w:rsidRPr="005E1103" w:rsidRDefault="00C71AF3" w:rsidP="00C71AF3">
      <w:pPr>
        <w:spacing w:after="0" w:line="360" w:lineRule="auto"/>
        <w:ind w:firstLine="284"/>
        <w:jc w:val="both"/>
        <w:rPr>
          <w:rFonts w:cstheme="minorHAnsi"/>
          <w:sz w:val="28"/>
          <w:szCs w:val="28"/>
        </w:rPr>
      </w:pPr>
      <w:r w:rsidRPr="005E1103">
        <w:rPr>
          <w:rFonts w:cstheme="minorHAnsi"/>
          <w:sz w:val="28"/>
          <w:szCs w:val="28"/>
        </w:rPr>
        <w:t xml:space="preserve">Partiendo de estos datos, presentamos una investigación donde se analiza la existencia de indicadores de calidad en la atención a estudiantes con </w:t>
      </w:r>
      <w:r w:rsidR="00420F8D" w:rsidRPr="005E1103">
        <w:rPr>
          <w:rFonts w:cstheme="minorHAnsi"/>
          <w:sz w:val="28"/>
          <w:szCs w:val="28"/>
        </w:rPr>
        <w:t>discapacidad en</w:t>
      </w:r>
      <w:r w:rsidRPr="005E1103">
        <w:rPr>
          <w:rFonts w:cstheme="minorHAnsi"/>
          <w:sz w:val="28"/>
          <w:szCs w:val="28"/>
        </w:rPr>
        <w:t xml:space="preserve"> las universidades de los primeros puestos del CWUR en el año 2014, con el objeto de conocer si el nivel de excelencia otorgado se corresponde con su compromiso con la inclusión de su alumnado. Pretende ser una investigación que abra las puertas a futuros estudios sobre esta cuestión, donde se promueva y reivindique la inclusión como criterio de calidad en las universidades.</w:t>
      </w:r>
    </w:p>
    <w:p w:rsidR="00C71AF3" w:rsidRPr="005E1103" w:rsidRDefault="00C71AF3" w:rsidP="00C71AF3">
      <w:pPr>
        <w:pStyle w:val="Ttulo2"/>
        <w:keepNext w:val="0"/>
        <w:keepLines w:val="0"/>
        <w:widowControl w:val="0"/>
        <w:numPr>
          <w:ilvl w:val="0"/>
          <w:numId w:val="5"/>
        </w:numPr>
        <w:spacing w:before="0" w:line="360" w:lineRule="auto"/>
        <w:rPr>
          <w:rFonts w:asciiTheme="minorHAnsi" w:hAnsiTheme="minorHAnsi" w:cstheme="minorHAnsi"/>
          <w:sz w:val="28"/>
          <w:szCs w:val="28"/>
        </w:rPr>
      </w:pPr>
      <w:bookmarkStart w:id="5" w:name="_Toc313706832"/>
      <w:r w:rsidRPr="005E1103">
        <w:rPr>
          <w:rFonts w:asciiTheme="minorHAnsi" w:hAnsiTheme="minorHAnsi" w:cstheme="minorHAnsi"/>
          <w:sz w:val="28"/>
          <w:szCs w:val="28"/>
        </w:rPr>
        <w:t>Objetivos</w:t>
      </w:r>
      <w:bookmarkEnd w:id="5"/>
      <w:r w:rsidRPr="005E1103">
        <w:rPr>
          <w:rFonts w:asciiTheme="minorHAnsi" w:hAnsiTheme="minorHAnsi" w:cstheme="minorHAnsi"/>
          <w:sz w:val="28"/>
          <w:szCs w:val="28"/>
        </w:rPr>
        <w:t xml:space="preserve"> </w:t>
      </w:r>
    </w:p>
    <w:p w:rsidR="00C71AF3" w:rsidRPr="005E1103" w:rsidRDefault="005E1103" w:rsidP="00C71AF3">
      <w:pPr>
        <w:pStyle w:val="Ttulo3"/>
        <w:rPr>
          <w:rFonts w:asciiTheme="minorHAnsi" w:hAnsiTheme="minorHAnsi" w:cstheme="minorHAnsi"/>
          <w:sz w:val="28"/>
          <w:szCs w:val="28"/>
        </w:rPr>
      </w:pPr>
      <w:bookmarkStart w:id="6" w:name="_Toc313644783"/>
      <w:bookmarkStart w:id="7" w:name="_Toc313706833"/>
      <w:r>
        <w:rPr>
          <w:rFonts w:asciiTheme="minorHAnsi" w:hAnsiTheme="minorHAnsi" w:cstheme="minorHAnsi"/>
          <w:sz w:val="28"/>
          <w:szCs w:val="28"/>
        </w:rPr>
        <w:t>O</w:t>
      </w:r>
      <w:r w:rsidR="00C71AF3" w:rsidRPr="005E1103">
        <w:rPr>
          <w:rFonts w:asciiTheme="minorHAnsi" w:hAnsiTheme="minorHAnsi" w:cstheme="minorHAnsi"/>
          <w:sz w:val="28"/>
          <w:szCs w:val="28"/>
        </w:rPr>
        <w:t>bjetivo general</w:t>
      </w:r>
      <w:bookmarkEnd w:id="6"/>
      <w:bookmarkEnd w:id="7"/>
    </w:p>
    <w:p w:rsidR="00C71AF3" w:rsidRPr="005E1103" w:rsidRDefault="00C71AF3" w:rsidP="00C71AF3">
      <w:pPr>
        <w:spacing w:after="0" w:line="360" w:lineRule="auto"/>
        <w:ind w:firstLine="284"/>
        <w:jc w:val="both"/>
        <w:rPr>
          <w:rFonts w:cstheme="minorHAnsi"/>
          <w:sz w:val="28"/>
          <w:szCs w:val="28"/>
        </w:rPr>
      </w:pPr>
      <w:r w:rsidRPr="005E1103">
        <w:rPr>
          <w:rFonts w:cstheme="minorHAnsi"/>
          <w:sz w:val="28"/>
          <w:szCs w:val="28"/>
        </w:rPr>
        <w:t>Analizar la atención a los estudiantes con discapacidad en las universidades más valoradas por el</w:t>
      </w:r>
      <w:r w:rsidRPr="005E1103">
        <w:rPr>
          <w:rFonts w:cstheme="minorHAnsi"/>
          <w:color w:val="222222"/>
          <w:sz w:val="28"/>
          <w:szCs w:val="28"/>
        </w:rPr>
        <w:t xml:space="preserve"> Center for World University Rankings </w:t>
      </w:r>
      <w:r w:rsidRPr="005E1103">
        <w:rPr>
          <w:rFonts w:cstheme="minorHAnsi"/>
          <w:sz w:val="28"/>
          <w:szCs w:val="28"/>
        </w:rPr>
        <w:t>a nivel mundial, europeo y nacional.</w:t>
      </w:r>
    </w:p>
    <w:p w:rsidR="00C71AF3" w:rsidRPr="005E1103" w:rsidRDefault="00C71AF3" w:rsidP="00C71AF3">
      <w:pPr>
        <w:pStyle w:val="Ttulo3"/>
        <w:rPr>
          <w:rFonts w:asciiTheme="minorHAnsi" w:hAnsiTheme="minorHAnsi" w:cstheme="minorHAnsi"/>
          <w:sz w:val="28"/>
          <w:szCs w:val="28"/>
        </w:rPr>
      </w:pPr>
      <w:bookmarkStart w:id="8" w:name="_Toc313644784"/>
      <w:bookmarkStart w:id="9" w:name="_Toc313706834"/>
      <w:r w:rsidRPr="005E1103">
        <w:rPr>
          <w:rFonts w:asciiTheme="minorHAnsi" w:hAnsiTheme="minorHAnsi" w:cstheme="minorHAnsi"/>
          <w:sz w:val="28"/>
          <w:szCs w:val="28"/>
        </w:rPr>
        <w:t>Objetivos específicos</w:t>
      </w:r>
      <w:bookmarkEnd w:id="8"/>
      <w:bookmarkEnd w:id="9"/>
    </w:p>
    <w:p w:rsidR="00C71AF3" w:rsidRPr="005E1103" w:rsidRDefault="00C71AF3" w:rsidP="00C71AF3">
      <w:pPr>
        <w:pStyle w:val="Prrafodelista"/>
        <w:numPr>
          <w:ilvl w:val="0"/>
          <w:numId w:val="3"/>
        </w:numPr>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Analizar la existencia de recursos destinados a estudiantes con discapacidad en las universidades más valoradas por el CWUR a nivel internacional.</w:t>
      </w:r>
    </w:p>
    <w:p w:rsidR="00C71AF3" w:rsidRPr="005E1103" w:rsidRDefault="00C71AF3" w:rsidP="00C71AF3">
      <w:pPr>
        <w:pStyle w:val="Prrafodelista"/>
        <w:numPr>
          <w:ilvl w:val="0"/>
          <w:numId w:val="3"/>
        </w:numPr>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Analizar la existencia de recursos destinados a estudiantes con discapacidad en las universidades más valoradas por el CWUR a nivel europeo.</w:t>
      </w:r>
    </w:p>
    <w:p w:rsidR="00C71AF3" w:rsidRPr="005E1103" w:rsidRDefault="00C71AF3" w:rsidP="00C71AF3">
      <w:pPr>
        <w:pStyle w:val="Prrafodelista"/>
        <w:numPr>
          <w:ilvl w:val="0"/>
          <w:numId w:val="3"/>
        </w:numPr>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Analizar la existencia de recursos destinados a estudiantes con discapacidad en las universidades más valoradas por el CWUR a nivel nacional.</w:t>
      </w:r>
    </w:p>
    <w:p w:rsidR="00C71AF3" w:rsidRPr="005E1103" w:rsidRDefault="00C71AF3" w:rsidP="00C71AF3">
      <w:pPr>
        <w:spacing w:after="0" w:line="360" w:lineRule="auto"/>
        <w:jc w:val="both"/>
        <w:rPr>
          <w:rFonts w:cstheme="minorHAnsi"/>
          <w:b/>
          <w:sz w:val="28"/>
          <w:szCs w:val="28"/>
        </w:rPr>
      </w:pPr>
    </w:p>
    <w:p w:rsidR="00C71AF3" w:rsidRPr="005E1103" w:rsidRDefault="00C71AF3" w:rsidP="005E1103">
      <w:pPr>
        <w:rPr>
          <w:rFonts w:cstheme="minorHAnsi"/>
          <w:sz w:val="28"/>
          <w:szCs w:val="28"/>
        </w:rPr>
      </w:pPr>
      <w:bookmarkStart w:id="10" w:name="_Toc313706835"/>
      <w:r w:rsidRPr="005E1103">
        <w:rPr>
          <w:rFonts w:cstheme="minorHAnsi"/>
          <w:sz w:val="28"/>
          <w:szCs w:val="28"/>
        </w:rPr>
        <w:br w:type="page"/>
      </w:r>
      <w:r w:rsidRPr="005E1103">
        <w:rPr>
          <w:rFonts w:cstheme="minorHAnsi"/>
          <w:sz w:val="28"/>
          <w:szCs w:val="28"/>
        </w:rPr>
        <w:lastRenderedPageBreak/>
        <w:t>Muestra</w:t>
      </w:r>
      <w:bookmarkEnd w:id="10"/>
    </w:p>
    <w:p w:rsidR="00C71AF3" w:rsidRPr="005E1103" w:rsidRDefault="00C71AF3" w:rsidP="00C71AF3">
      <w:pPr>
        <w:spacing w:after="0" w:line="360" w:lineRule="auto"/>
        <w:ind w:firstLine="284"/>
        <w:jc w:val="both"/>
        <w:rPr>
          <w:rFonts w:cstheme="minorHAnsi"/>
          <w:b/>
          <w:sz w:val="28"/>
          <w:szCs w:val="28"/>
        </w:rPr>
      </w:pPr>
      <w:r w:rsidRPr="005E1103">
        <w:rPr>
          <w:rFonts w:cstheme="minorHAnsi"/>
          <w:sz w:val="28"/>
          <w:szCs w:val="28"/>
        </w:rPr>
        <w:t>La muestra la componen 28 universidades, las que ocupan los 10 primeros puestos en el ranking de CWUR a nivel internacional</w:t>
      </w:r>
      <w:r w:rsidRPr="005E1103">
        <w:rPr>
          <w:rStyle w:val="Refdenotaalpie"/>
          <w:rFonts w:cstheme="minorHAnsi"/>
          <w:sz w:val="28"/>
          <w:szCs w:val="28"/>
        </w:rPr>
        <w:footnoteReference w:id="4"/>
      </w:r>
      <w:r w:rsidRPr="005E1103">
        <w:rPr>
          <w:rFonts w:cstheme="minorHAnsi"/>
          <w:sz w:val="28"/>
          <w:szCs w:val="28"/>
        </w:rPr>
        <w:t>, europeo</w:t>
      </w:r>
      <w:r w:rsidRPr="005E1103">
        <w:rPr>
          <w:rStyle w:val="Refdenotaalpie"/>
          <w:rFonts w:cstheme="minorHAnsi"/>
          <w:sz w:val="28"/>
          <w:szCs w:val="28"/>
        </w:rPr>
        <w:footnoteReference w:id="5"/>
      </w:r>
      <w:r w:rsidRPr="005E1103">
        <w:rPr>
          <w:rFonts w:cstheme="minorHAnsi"/>
          <w:sz w:val="28"/>
          <w:szCs w:val="28"/>
        </w:rPr>
        <w:t xml:space="preserve"> y nacional</w:t>
      </w:r>
      <w:r w:rsidRPr="005E1103">
        <w:rPr>
          <w:rStyle w:val="Refdenotaalpie"/>
          <w:rFonts w:cstheme="minorHAnsi"/>
          <w:sz w:val="28"/>
          <w:szCs w:val="28"/>
        </w:rPr>
        <w:footnoteReference w:id="6"/>
      </w:r>
      <w:r w:rsidRPr="005E1103">
        <w:rPr>
          <w:rFonts w:cstheme="minorHAnsi"/>
          <w:sz w:val="28"/>
          <w:szCs w:val="28"/>
        </w:rPr>
        <w:t>:</w:t>
      </w:r>
    </w:p>
    <w:p w:rsidR="00C71AF3" w:rsidRPr="005E1103" w:rsidRDefault="00C71AF3" w:rsidP="00C71AF3">
      <w:pPr>
        <w:spacing w:after="0" w:line="360" w:lineRule="auto"/>
        <w:jc w:val="both"/>
        <w:rPr>
          <w:rFonts w:cstheme="minorHAnsi"/>
          <w:sz w:val="28"/>
          <w:szCs w:val="28"/>
        </w:rPr>
      </w:pPr>
      <w:r w:rsidRPr="005E1103">
        <w:rPr>
          <w:rFonts w:cstheme="minorHAnsi"/>
          <w:sz w:val="28"/>
          <w:szCs w:val="28"/>
        </w:rPr>
        <w:t>University College London, Harvard University, Stanford University, University of Cambridge, Universidad Autónoma de Barcelona, Universidad Autónoma de Madrid, École normale supeériure-París, Imperial College London, University of Paris-Sud, Massachussetts Institute of Technology, University of Oxford, Universidad de Barcelona, Universidad de Valencia, Universidad de Sevilla, Universidad Politécnica de Madrid, Universidad Complutense de Madrid, University of  Edinburgh, Columbia University, University of Chicago, Universidad de Santiago de Compostela, Princenton University, University of California, Berkeley, Swiss Federal Institute of Techmology in Zurich, Yale University, Universidad de Navarra, Universidad Politécnica de Catalunya, École Polytechnique, Lomonosov Moscow State University.</w:t>
      </w:r>
    </w:p>
    <w:p w:rsidR="00C71AF3" w:rsidRPr="005E1103" w:rsidRDefault="00C71AF3" w:rsidP="00C71AF3">
      <w:pPr>
        <w:spacing w:after="0" w:line="360" w:lineRule="auto"/>
        <w:rPr>
          <w:rFonts w:cstheme="minorHAnsi"/>
          <w:sz w:val="28"/>
          <w:szCs w:val="28"/>
        </w:rPr>
      </w:pPr>
    </w:p>
    <w:p w:rsidR="00C71AF3" w:rsidRPr="005E1103" w:rsidRDefault="00C71AF3" w:rsidP="00C71AF3">
      <w:pPr>
        <w:pStyle w:val="Ttulo2"/>
        <w:keepNext w:val="0"/>
        <w:keepLines w:val="0"/>
        <w:widowControl w:val="0"/>
        <w:numPr>
          <w:ilvl w:val="0"/>
          <w:numId w:val="5"/>
        </w:numPr>
        <w:spacing w:before="0" w:line="360" w:lineRule="auto"/>
        <w:rPr>
          <w:rFonts w:asciiTheme="minorHAnsi" w:hAnsiTheme="minorHAnsi" w:cstheme="minorHAnsi"/>
          <w:sz w:val="28"/>
          <w:szCs w:val="28"/>
        </w:rPr>
      </w:pPr>
      <w:bookmarkStart w:id="11" w:name="_Toc313706836"/>
      <w:r w:rsidRPr="005E1103">
        <w:rPr>
          <w:rFonts w:asciiTheme="minorHAnsi" w:hAnsiTheme="minorHAnsi" w:cstheme="minorHAnsi"/>
          <w:sz w:val="28"/>
          <w:szCs w:val="28"/>
        </w:rPr>
        <w:t>Metodología</w:t>
      </w:r>
      <w:bookmarkEnd w:id="11"/>
    </w:p>
    <w:p w:rsidR="00C71AF3" w:rsidRPr="005E1103" w:rsidRDefault="00C71AF3" w:rsidP="00C71AF3">
      <w:pPr>
        <w:spacing w:after="0" w:line="360" w:lineRule="auto"/>
        <w:ind w:firstLine="284"/>
        <w:jc w:val="both"/>
        <w:rPr>
          <w:rFonts w:cstheme="minorHAnsi"/>
          <w:sz w:val="28"/>
          <w:szCs w:val="28"/>
        </w:rPr>
      </w:pPr>
      <w:r w:rsidRPr="005E1103">
        <w:rPr>
          <w:rFonts w:cstheme="minorHAnsi"/>
          <w:sz w:val="28"/>
          <w:szCs w:val="28"/>
        </w:rPr>
        <w:t xml:space="preserve">Un primer proceso de este estudio consistió en el establecimiento de los indicadores de calidad a evaluar en la atención a los estudiantes con discapacidad en las universidades seleccionadas, y </w:t>
      </w:r>
      <w:r w:rsidR="005E1103" w:rsidRPr="005E1103">
        <w:rPr>
          <w:rFonts w:cstheme="minorHAnsi"/>
          <w:sz w:val="28"/>
          <w:szCs w:val="28"/>
        </w:rPr>
        <w:t>que,</w:t>
      </w:r>
      <w:r w:rsidRPr="005E1103">
        <w:rPr>
          <w:rFonts w:cstheme="minorHAnsi"/>
          <w:sz w:val="28"/>
          <w:szCs w:val="28"/>
        </w:rPr>
        <w:t xml:space="preserve"> según la bibliografía de referencia, debe ofrecer toda universidad con unos estándares mínimos de inclusividad.</w:t>
      </w:r>
    </w:p>
    <w:p w:rsidR="00C71AF3" w:rsidRPr="005E1103" w:rsidRDefault="00C71AF3" w:rsidP="00C71AF3">
      <w:pPr>
        <w:spacing w:line="360" w:lineRule="auto"/>
        <w:ind w:firstLine="284"/>
        <w:jc w:val="both"/>
        <w:rPr>
          <w:rFonts w:cstheme="minorHAnsi"/>
          <w:sz w:val="28"/>
          <w:szCs w:val="28"/>
        </w:rPr>
      </w:pPr>
      <w:r w:rsidRPr="005E1103">
        <w:rPr>
          <w:rFonts w:cstheme="minorHAnsi"/>
          <w:sz w:val="28"/>
          <w:szCs w:val="28"/>
        </w:rPr>
        <w:t xml:space="preserve">Se fijaron 14 indicadores. Para comprobar su existencia se utilizó la información recogida en las páginas webs. Los indicadores fueron definidos en términos generales, buscando en cada universidad el mismo recurso tal como lo conocemos en España, u otro </w:t>
      </w:r>
      <w:r w:rsidRPr="005E1103">
        <w:rPr>
          <w:rFonts w:cstheme="minorHAnsi"/>
          <w:sz w:val="28"/>
          <w:szCs w:val="28"/>
        </w:rPr>
        <w:lastRenderedPageBreak/>
        <w:t xml:space="preserve">similar dirigido al mismo objetivo. A </w:t>
      </w:r>
      <w:r w:rsidR="005E1103" w:rsidRPr="005E1103">
        <w:rPr>
          <w:rFonts w:cstheme="minorHAnsi"/>
          <w:sz w:val="28"/>
          <w:szCs w:val="28"/>
        </w:rPr>
        <w:t>continuación,</w:t>
      </w:r>
      <w:r w:rsidRPr="005E1103">
        <w:rPr>
          <w:rFonts w:cstheme="minorHAnsi"/>
          <w:sz w:val="28"/>
          <w:szCs w:val="28"/>
        </w:rPr>
        <w:t xml:space="preserve"> se especifican los indicadores objeto de la búsqueda y su definición:</w:t>
      </w:r>
    </w:p>
    <w:p w:rsidR="00C71AF3" w:rsidRPr="005E1103" w:rsidRDefault="00C71AF3" w:rsidP="00C71AF3">
      <w:pPr>
        <w:pStyle w:val="Prrafodelista"/>
        <w:numPr>
          <w:ilvl w:val="0"/>
          <w:numId w:val="4"/>
        </w:numPr>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Normativa: normativa específica desarrollada por la universidad y aprobada por sus órganos de gobierno de atención al estudiante con discapacidad.</w:t>
      </w:r>
    </w:p>
    <w:p w:rsidR="00C71AF3" w:rsidRPr="005E1103" w:rsidRDefault="00C71AF3" w:rsidP="00C71AF3">
      <w:pPr>
        <w:pStyle w:val="Prrafodelista"/>
        <w:numPr>
          <w:ilvl w:val="0"/>
          <w:numId w:val="4"/>
        </w:numPr>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Ilse: Intérprete de Lengua de Signos.</w:t>
      </w:r>
    </w:p>
    <w:p w:rsidR="00C71AF3" w:rsidRPr="005E1103" w:rsidRDefault="00C71AF3" w:rsidP="00C71AF3">
      <w:pPr>
        <w:pStyle w:val="Prrafodelista"/>
        <w:numPr>
          <w:ilvl w:val="0"/>
          <w:numId w:val="4"/>
        </w:numPr>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Asistente: persona encargada de ayudar en las tareas cotidianas a estudiantes en situación de dependencia.</w:t>
      </w:r>
      <w:r w:rsidRPr="005E1103">
        <w:rPr>
          <w:rFonts w:asciiTheme="minorHAnsi" w:hAnsiTheme="minorHAnsi" w:cstheme="minorHAnsi"/>
          <w:sz w:val="28"/>
          <w:szCs w:val="28"/>
        </w:rPr>
        <w:tab/>
      </w:r>
    </w:p>
    <w:p w:rsidR="00C71AF3" w:rsidRPr="005E1103" w:rsidRDefault="00C71AF3" w:rsidP="00C71AF3">
      <w:pPr>
        <w:pStyle w:val="Prrafodelista"/>
        <w:numPr>
          <w:ilvl w:val="0"/>
          <w:numId w:val="4"/>
        </w:numPr>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Alumno colaborador: estudiante universitario designado para ofrecer ayuda en las tareas académicas a su compañero con discapacidad.</w:t>
      </w:r>
    </w:p>
    <w:p w:rsidR="00C71AF3" w:rsidRPr="005E1103" w:rsidRDefault="00C71AF3" w:rsidP="00C71AF3">
      <w:pPr>
        <w:pStyle w:val="Prrafodelista"/>
        <w:numPr>
          <w:ilvl w:val="0"/>
          <w:numId w:val="4"/>
        </w:numPr>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Tecnologías de la Información y la Comunicación: poseer y poner a disposición del estudiante con discapacidad diferentes tecnologías de la información y la comunicación (grabadoras, tele-lupa, ordenadores portátiles…).</w:t>
      </w:r>
    </w:p>
    <w:p w:rsidR="00C71AF3" w:rsidRPr="005E1103" w:rsidRDefault="00C71AF3" w:rsidP="00C71AF3">
      <w:pPr>
        <w:pStyle w:val="Prrafodelista"/>
        <w:numPr>
          <w:ilvl w:val="0"/>
          <w:numId w:val="4"/>
        </w:numPr>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Transporte: proporcionar transporte adaptado para acudir al centro universitario o en su defecto, de ayudas o becas.</w:t>
      </w:r>
    </w:p>
    <w:p w:rsidR="00C71AF3" w:rsidRPr="005E1103" w:rsidRDefault="00C71AF3" w:rsidP="00C71AF3">
      <w:pPr>
        <w:pStyle w:val="Prrafodelista"/>
        <w:numPr>
          <w:ilvl w:val="0"/>
          <w:numId w:val="4"/>
        </w:numPr>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 xml:space="preserve">Becas: cualquier tipo de ayuda económica a estudiantes con discapacidad. </w:t>
      </w:r>
    </w:p>
    <w:p w:rsidR="00C71AF3" w:rsidRPr="005E1103" w:rsidRDefault="00C71AF3" w:rsidP="00C71AF3">
      <w:pPr>
        <w:pStyle w:val="Prrafodelista"/>
        <w:numPr>
          <w:ilvl w:val="0"/>
          <w:numId w:val="4"/>
        </w:numPr>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Adaptaciones curriculares: posibilidad de adaptaciones curriculares en las materias universitarias.</w:t>
      </w:r>
    </w:p>
    <w:p w:rsidR="00C71AF3" w:rsidRPr="005E1103" w:rsidRDefault="00C71AF3" w:rsidP="00C71AF3">
      <w:pPr>
        <w:pStyle w:val="Prrafodelista"/>
        <w:numPr>
          <w:ilvl w:val="0"/>
          <w:numId w:val="4"/>
        </w:numPr>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Profesor tutor: profesor designado para orientar y asesorar al estudiante con discapacidad durante el desarrollo de sus estudios.</w:t>
      </w:r>
    </w:p>
    <w:p w:rsidR="00C71AF3" w:rsidRPr="005E1103" w:rsidRDefault="00C71AF3" w:rsidP="00C71AF3">
      <w:pPr>
        <w:pStyle w:val="Prrafodelista"/>
        <w:numPr>
          <w:ilvl w:val="0"/>
          <w:numId w:val="4"/>
        </w:numPr>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Laboral: cualquier iniciativa de orientación y/o inserción laboral específica para estudiantes con discapacidad.</w:t>
      </w:r>
    </w:p>
    <w:p w:rsidR="00C71AF3" w:rsidRPr="005E1103" w:rsidRDefault="00C71AF3" w:rsidP="00C71AF3">
      <w:pPr>
        <w:pStyle w:val="Prrafodelista"/>
        <w:numPr>
          <w:ilvl w:val="0"/>
          <w:numId w:val="4"/>
        </w:numPr>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Voluntariado: programas de voluntariados dirigidos a atender al alumnado universitario con discapacidad.</w:t>
      </w:r>
    </w:p>
    <w:p w:rsidR="00C71AF3" w:rsidRPr="005E1103" w:rsidRDefault="00C71AF3" w:rsidP="00C71AF3">
      <w:pPr>
        <w:pStyle w:val="Prrafodelista"/>
        <w:numPr>
          <w:ilvl w:val="0"/>
          <w:numId w:val="4"/>
        </w:numPr>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Accesibilidad: programas, proyectos, guías sobre la accesibilidad arquitectónica de la universidad.</w:t>
      </w:r>
    </w:p>
    <w:p w:rsidR="00C71AF3" w:rsidRPr="005E1103" w:rsidRDefault="00C71AF3" w:rsidP="00C71AF3">
      <w:pPr>
        <w:pStyle w:val="Prrafodelista"/>
        <w:numPr>
          <w:ilvl w:val="0"/>
          <w:numId w:val="4"/>
        </w:numPr>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Atención Psicológica: atención psicológica dirigida a estudiantes con discapacidad.</w:t>
      </w:r>
    </w:p>
    <w:p w:rsidR="00C71AF3" w:rsidRPr="005E1103" w:rsidRDefault="00C71AF3" w:rsidP="00C71AF3">
      <w:pPr>
        <w:pStyle w:val="Prrafodelista"/>
        <w:numPr>
          <w:ilvl w:val="0"/>
          <w:numId w:val="4"/>
        </w:numPr>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Alojamiento: alojamiento adaptado para estudiantes con discapacidad.</w:t>
      </w:r>
    </w:p>
    <w:p w:rsidR="00C71AF3" w:rsidRPr="005E1103" w:rsidRDefault="00C71AF3" w:rsidP="00C71AF3">
      <w:pPr>
        <w:spacing w:after="0" w:line="360" w:lineRule="auto"/>
        <w:ind w:firstLine="360"/>
        <w:jc w:val="both"/>
        <w:rPr>
          <w:rFonts w:cstheme="minorHAnsi"/>
          <w:sz w:val="28"/>
          <w:szCs w:val="28"/>
        </w:rPr>
      </w:pPr>
      <w:r w:rsidRPr="005E1103">
        <w:rPr>
          <w:rFonts w:cstheme="minorHAnsi"/>
          <w:sz w:val="28"/>
          <w:szCs w:val="28"/>
        </w:rPr>
        <w:lastRenderedPageBreak/>
        <w:t>Tras establecer los recursos se procedió a examinar la existencia de los mismos en cada universidad.</w:t>
      </w:r>
    </w:p>
    <w:p w:rsidR="00C71AF3" w:rsidRPr="005E1103" w:rsidRDefault="00C71AF3" w:rsidP="00C71AF3">
      <w:pPr>
        <w:pStyle w:val="Ttulo2"/>
        <w:keepNext w:val="0"/>
        <w:keepLines w:val="0"/>
        <w:widowControl w:val="0"/>
        <w:numPr>
          <w:ilvl w:val="0"/>
          <w:numId w:val="5"/>
        </w:numPr>
        <w:spacing w:before="0" w:line="360" w:lineRule="auto"/>
        <w:rPr>
          <w:rFonts w:asciiTheme="minorHAnsi" w:hAnsiTheme="minorHAnsi" w:cstheme="minorHAnsi"/>
          <w:sz w:val="28"/>
          <w:szCs w:val="28"/>
        </w:rPr>
      </w:pPr>
      <w:bookmarkStart w:id="12" w:name="_Toc313706837"/>
      <w:r w:rsidRPr="005E1103">
        <w:rPr>
          <w:rFonts w:asciiTheme="minorHAnsi" w:hAnsiTheme="minorHAnsi" w:cstheme="minorHAnsi"/>
          <w:sz w:val="28"/>
          <w:szCs w:val="28"/>
        </w:rPr>
        <w:t>Resultados y Discusión</w:t>
      </w:r>
      <w:bookmarkEnd w:id="12"/>
      <w:r w:rsidRPr="005E1103">
        <w:rPr>
          <w:rFonts w:asciiTheme="minorHAnsi" w:hAnsiTheme="minorHAnsi" w:cstheme="minorHAnsi"/>
          <w:sz w:val="28"/>
          <w:szCs w:val="28"/>
        </w:rPr>
        <w:t xml:space="preserve"> </w:t>
      </w:r>
    </w:p>
    <w:p w:rsidR="00C71AF3" w:rsidRPr="005E1103" w:rsidRDefault="00C71AF3" w:rsidP="00C71AF3">
      <w:pPr>
        <w:spacing w:line="360" w:lineRule="auto"/>
        <w:ind w:firstLine="284"/>
        <w:jc w:val="both"/>
        <w:rPr>
          <w:rFonts w:cstheme="minorHAnsi"/>
          <w:sz w:val="28"/>
          <w:szCs w:val="28"/>
        </w:rPr>
      </w:pPr>
      <w:r w:rsidRPr="005E1103">
        <w:rPr>
          <w:rFonts w:cstheme="minorHAnsi"/>
          <w:sz w:val="28"/>
          <w:szCs w:val="28"/>
        </w:rPr>
        <w:t>El análisis de los datos obtenidos se realizó en tres niveles diferentes, internacional, europeo, nacional. Se exponen los resultados en cada uno de los niveles señalados.</w:t>
      </w:r>
    </w:p>
    <w:p w:rsidR="00C71AF3" w:rsidRPr="005E1103" w:rsidRDefault="00C71AF3" w:rsidP="00C71AF3">
      <w:pPr>
        <w:pStyle w:val="Ttulo3"/>
        <w:rPr>
          <w:rFonts w:asciiTheme="minorHAnsi" w:hAnsiTheme="minorHAnsi" w:cstheme="minorHAnsi"/>
          <w:sz w:val="28"/>
          <w:szCs w:val="28"/>
          <w:u w:val="single"/>
        </w:rPr>
      </w:pPr>
      <w:bookmarkStart w:id="13" w:name="_Toc313644788"/>
      <w:bookmarkStart w:id="14" w:name="_Toc313706838"/>
      <w:r w:rsidRPr="005E1103">
        <w:rPr>
          <w:rFonts w:asciiTheme="minorHAnsi" w:hAnsiTheme="minorHAnsi" w:cstheme="minorHAnsi"/>
          <w:sz w:val="28"/>
          <w:szCs w:val="28"/>
          <w:u w:val="single"/>
        </w:rPr>
        <w:t>Universidades internacionales</w:t>
      </w:r>
      <w:bookmarkEnd w:id="13"/>
      <w:bookmarkEnd w:id="14"/>
      <w:r w:rsidRPr="005E1103">
        <w:rPr>
          <w:rFonts w:asciiTheme="minorHAnsi" w:hAnsiTheme="minorHAnsi" w:cstheme="minorHAnsi"/>
          <w:sz w:val="28"/>
          <w:szCs w:val="28"/>
          <w:u w:val="single"/>
        </w:rPr>
        <w:t xml:space="preserve"> </w:t>
      </w:r>
    </w:p>
    <w:p w:rsidR="00C71AF3" w:rsidRPr="005E1103" w:rsidRDefault="00C71AF3" w:rsidP="00C71AF3">
      <w:pPr>
        <w:spacing w:after="0" w:line="360" w:lineRule="auto"/>
        <w:ind w:firstLine="284"/>
        <w:jc w:val="both"/>
        <w:rPr>
          <w:rFonts w:cstheme="minorHAnsi"/>
          <w:sz w:val="28"/>
          <w:szCs w:val="28"/>
        </w:rPr>
      </w:pPr>
      <w:r w:rsidRPr="005E1103">
        <w:rPr>
          <w:rFonts w:cstheme="minorHAnsi"/>
          <w:sz w:val="28"/>
          <w:szCs w:val="28"/>
        </w:rPr>
        <w:t xml:space="preserve">Las 10 primeras universidades a nivel internacional del CWUR poseen un servicio específico dirigido a estudiantes con discapacidad. Excepto la Universidad de Cambridge y la Universidad de Oxford (Reino Unido), todas son universidades estadounidenses. </w:t>
      </w:r>
    </w:p>
    <w:p w:rsidR="00C71AF3" w:rsidRPr="005E1103" w:rsidRDefault="00C71AF3" w:rsidP="00C71AF3">
      <w:pPr>
        <w:spacing w:after="0" w:line="360" w:lineRule="auto"/>
        <w:ind w:firstLine="284"/>
        <w:jc w:val="both"/>
        <w:rPr>
          <w:rFonts w:cstheme="minorHAnsi"/>
          <w:sz w:val="28"/>
          <w:szCs w:val="28"/>
        </w:rPr>
      </w:pPr>
      <w:r w:rsidRPr="005E1103">
        <w:rPr>
          <w:rFonts w:cstheme="minorHAnsi"/>
          <w:b/>
          <w:noProof/>
          <w:sz w:val="28"/>
          <w:szCs w:val="28"/>
          <w:lang w:eastAsia="es-ES"/>
        </w:rPr>
        <w:drawing>
          <wp:anchor distT="0" distB="0" distL="114300" distR="114300" simplePos="0" relativeHeight="251663360" behindDoc="0" locked="0" layoutInCell="1" allowOverlap="1" wp14:anchorId="0C9EEEB7" wp14:editId="48389402">
            <wp:simplePos x="0" y="0"/>
            <wp:positionH relativeFrom="column">
              <wp:posOffset>-52070</wp:posOffset>
            </wp:positionH>
            <wp:positionV relativeFrom="paragraph">
              <wp:posOffset>1420495</wp:posOffset>
            </wp:positionV>
            <wp:extent cx="6258560" cy="2204720"/>
            <wp:effectExtent l="0" t="0" r="15240" b="30480"/>
            <wp:wrapSquare wrapText="bothSides"/>
            <wp:docPr id="22" name="Gráfico 22" descr="las universidad de Harvard, Stanford y Cambridge, que ocupan el 1º, 2º y 4º lugar en el ranking, presentan los 14 recursos analizados. La Universidad de Massachussetts (3º en el ranking mundial) cumple 13 de los recursos. La Universidad de Oxford (5º en el ranking) 12, la Universidad de Columbia (6º) 10, la Universidad de Chicago (8º) 9, la Universidad de Princenton (9º) 8, la Universidad de California (7º) 6, y por último, la Universidad de Yale (10º) 5." title="Representación gráfica del número de recursos de cada universidad según el ranking internacional."/>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page">
              <wp14:pctWidth>0</wp14:pctWidth>
            </wp14:sizeRelH>
            <wp14:sizeRelV relativeFrom="page">
              <wp14:pctHeight>0</wp14:pctHeight>
            </wp14:sizeRelV>
          </wp:anchor>
        </w:drawing>
      </w:r>
      <w:r w:rsidRPr="005E1103">
        <w:rPr>
          <w:rFonts w:cstheme="minorHAnsi"/>
          <w:sz w:val="28"/>
          <w:szCs w:val="28"/>
        </w:rPr>
        <w:t>Como se observa en la Figura 1, a medida que nos alejamos de los primeros puestos del ranking el número de recursos de estas universidades también decrece. Las universidades situadas en los primeros cuatro puestos cumplen prácticamente todos los indicadores, 13 en el caso de Massachussetts Institute.  Yale University se situaría en último lugar en cuanto al número de recursos existentes para estudiantes con discapacidad.</w:t>
      </w:r>
    </w:p>
    <w:p w:rsidR="00C71AF3" w:rsidRPr="005E1103" w:rsidRDefault="00C71AF3" w:rsidP="00C71AF3">
      <w:pPr>
        <w:spacing w:after="0" w:line="240" w:lineRule="auto"/>
        <w:jc w:val="both"/>
        <w:rPr>
          <w:rFonts w:cstheme="minorHAnsi"/>
          <w:sz w:val="28"/>
          <w:szCs w:val="28"/>
        </w:rPr>
      </w:pPr>
      <w:bookmarkStart w:id="15" w:name="_Ref304912969"/>
      <w:bookmarkStart w:id="16" w:name="_Toc313646809"/>
      <w:bookmarkStart w:id="17" w:name="_Toc313818215"/>
      <w:r w:rsidRPr="005E1103">
        <w:rPr>
          <w:rFonts w:cstheme="minorHAnsi"/>
          <w:b/>
          <w:sz w:val="28"/>
          <w:szCs w:val="28"/>
        </w:rPr>
        <w:t xml:space="preserve">Figura </w:t>
      </w:r>
      <w:bookmarkEnd w:id="15"/>
      <w:r w:rsidRPr="005E1103">
        <w:rPr>
          <w:rFonts w:cstheme="minorHAnsi"/>
          <w:b/>
          <w:sz w:val="28"/>
          <w:szCs w:val="28"/>
        </w:rPr>
        <w:t>1. Número de recursos de cada universidad según el ranking internacional</w:t>
      </w:r>
      <w:bookmarkEnd w:id="16"/>
      <w:bookmarkEnd w:id="17"/>
    </w:p>
    <w:p w:rsidR="00C71AF3" w:rsidRPr="005E1103" w:rsidRDefault="00C71AF3" w:rsidP="00C71AF3">
      <w:pPr>
        <w:spacing w:after="0" w:line="240" w:lineRule="auto"/>
        <w:outlineLvl w:val="0"/>
        <w:rPr>
          <w:rFonts w:cstheme="minorHAnsi"/>
          <w:sz w:val="28"/>
          <w:szCs w:val="28"/>
        </w:rPr>
      </w:pPr>
      <w:r w:rsidRPr="005E1103">
        <w:rPr>
          <w:rFonts w:cstheme="minorHAnsi"/>
          <w:sz w:val="28"/>
          <w:szCs w:val="28"/>
        </w:rPr>
        <w:t>Fuente: Elaboración propia</w:t>
      </w:r>
    </w:p>
    <w:p w:rsidR="00C71AF3" w:rsidRPr="005E1103" w:rsidRDefault="00C71AF3" w:rsidP="00C71AF3">
      <w:pPr>
        <w:spacing w:after="0" w:line="360" w:lineRule="auto"/>
        <w:ind w:firstLine="284"/>
        <w:jc w:val="both"/>
        <w:rPr>
          <w:rFonts w:cstheme="minorHAnsi"/>
          <w:sz w:val="28"/>
          <w:szCs w:val="28"/>
        </w:rPr>
      </w:pPr>
    </w:p>
    <w:p w:rsidR="00C71AF3" w:rsidRPr="005E1103" w:rsidRDefault="00C71AF3" w:rsidP="00C71AF3">
      <w:pPr>
        <w:spacing w:after="0" w:line="360" w:lineRule="auto"/>
        <w:ind w:firstLine="284"/>
        <w:jc w:val="both"/>
        <w:rPr>
          <w:rFonts w:cstheme="minorHAnsi"/>
          <w:sz w:val="28"/>
          <w:szCs w:val="28"/>
        </w:rPr>
      </w:pPr>
      <w:r w:rsidRPr="005E1103">
        <w:rPr>
          <w:rFonts w:cstheme="minorHAnsi"/>
          <w:sz w:val="28"/>
          <w:szCs w:val="28"/>
        </w:rPr>
        <w:t xml:space="preserve">Con respecto al tipo de recursos más frecuentes en estas universidades, los resultados muestran como la accesibilidad, las adaptaciones curriculares, el transporte adaptado, las </w:t>
      </w:r>
      <w:r w:rsidRPr="005E1103">
        <w:rPr>
          <w:rFonts w:cstheme="minorHAnsi"/>
          <w:sz w:val="28"/>
          <w:szCs w:val="28"/>
        </w:rPr>
        <w:lastRenderedPageBreak/>
        <w:t xml:space="preserve">tecnologías de la información y la comunicación y los intérpretes de lengua de signos, están presentes en todas las universidades. </w:t>
      </w:r>
      <w:r w:rsidR="005E1103" w:rsidRPr="005E1103">
        <w:rPr>
          <w:rFonts w:cstheme="minorHAnsi"/>
          <w:sz w:val="28"/>
          <w:szCs w:val="28"/>
        </w:rPr>
        <w:t>Los programas</w:t>
      </w:r>
      <w:r w:rsidRPr="005E1103">
        <w:rPr>
          <w:rFonts w:cstheme="minorHAnsi"/>
          <w:sz w:val="28"/>
          <w:szCs w:val="28"/>
        </w:rPr>
        <w:t xml:space="preserve"> de alojamiento en el 90% de las universidades, la orientación laboral en el 70%, y la atención psicológica y la normativa interna, en el 60%. Recursos como el voluntariado, el profesor tutor, el asistente y becas específicas sólo se encuentran en el 50% de las universidades analizadas.</w:t>
      </w:r>
    </w:p>
    <w:p w:rsidR="00C71AF3" w:rsidRPr="005E1103" w:rsidRDefault="00C71AF3" w:rsidP="00C71AF3">
      <w:pPr>
        <w:spacing w:after="0" w:line="360" w:lineRule="auto"/>
        <w:ind w:firstLine="284"/>
        <w:jc w:val="both"/>
        <w:rPr>
          <w:rFonts w:cstheme="minorHAnsi"/>
          <w:sz w:val="28"/>
          <w:szCs w:val="28"/>
        </w:rPr>
      </w:pPr>
    </w:p>
    <w:p w:rsidR="00C71AF3" w:rsidRPr="005E1103" w:rsidRDefault="00C71AF3" w:rsidP="00C71AF3">
      <w:pPr>
        <w:pStyle w:val="Ttulo3"/>
        <w:rPr>
          <w:rFonts w:asciiTheme="minorHAnsi" w:hAnsiTheme="minorHAnsi" w:cstheme="minorHAnsi"/>
          <w:sz w:val="28"/>
          <w:szCs w:val="28"/>
          <w:u w:val="single"/>
        </w:rPr>
      </w:pPr>
      <w:bookmarkStart w:id="18" w:name="_Toc313644789"/>
      <w:bookmarkStart w:id="19" w:name="_Toc313706839"/>
      <w:r w:rsidRPr="005E1103">
        <w:rPr>
          <w:rFonts w:asciiTheme="minorHAnsi" w:hAnsiTheme="minorHAnsi" w:cstheme="minorHAnsi"/>
          <w:sz w:val="28"/>
          <w:szCs w:val="28"/>
          <w:u w:val="single"/>
        </w:rPr>
        <w:t>Universidades europeas</w:t>
      </w:r>
      <w:bookmarkEnd w:id="18"/>
      <w:bookmarkEnd w:id="19"/>
    </w:p>
    <w:p w:rsidR="00C71AF3" w:rsidRPr="005E1103" w:rsidRDefault="00C71AF3" w:rsidP="00C71AF3">
      <w:pPr>
        <w:spacing w:after="0" w:line="360" w:lineRule="auto"/>
        <w:ind w:firstLine="284"/>
        <w:jc w:val="both"/>
        <w:rPr>
          <w:rFonts w:cstheme="minorHAnsi"/>
          <w:sz w:val="28"/>
          <w:szCs w:val="28"/>
        </w:rPr>
      </w:pPr>
      <w:r w:rsidRPr="005E1103">
        <w:rPr>
          <w:rFonts w:cstheme="minorHAnsi"/>
          <w:sz w:val="28"/>
          <w:szCs w:val="28"/>
        </w:rPr>
        <w:t xml:space="preserve">De las 10 primeras universidades a nivel europeo del CWUR, 8 poseen un servicio específico dirigido a estudiantes con discapacidad. En el caso de </w:t>
      </w:r>
      <w:r w:rsidRPr="005E1103">
        <w:rPr>
          <w:rFonts w:cstheme="minorHAnsi"/>
          <w:bCs/>
          <w:sz w:val="28"/>
          <w:szCs w:val="28"/>
        </w:rPr>
        <w:t>la École Polytechnique</w:t>
      </w:r>
      <w:r w:rsidRPr="005E1103">
        <w:rPr>
          <w:rStyle w:val="Refdenotaalpie"/>
          <w:rFonts w:cstheme="minorHAnsi"/>
          <w:sz w:val="28"/>
          <w:szCs w:val="28"/>
        </w:rPr>
        <w:footnoteReference w:id="7"/>
      </w:r>
      <w:r w:rsidRPr="005E1103">
        <w:rPr>
          <w:rFonts w:cstheme="minorHAnsi"/>
          <w:sz w:val="28"/>
          <w:szCs w:val="28"/>
        </w:rPr>
        <w:t xml:space="preserve"> de Francia y la Lomonosov Moscow State University de Rusia no se encontraron referencias a la existencia de dicho servicio.  Las 10 universidades europeas más valoradas son de Francia, Reino Unido, Alemania y Rusia. </w:t>
      </w:r>
    </w:p>
    <w:p w:rsidR="00C71AF3" w:rsidRPr="005E1103" w:rsidRDefault="00C71AF3" w:rsidP="00C71AF3">
      <w:pPr>
        <w:spacing w:after="0" w:line="360" w:lineRule="auto"/>
        <w:ind w:firstLine="284"/>
        <w:jc w:val="both"/>
        <w:rPr>
          <w:rFonts w:cstheme="minorHAnsi"/>
          <w:sz w:val="28"/>
          <w:szCs w:val="28"/>
        </w:rPr>
      </w:pPr>
      <w:r w:rsidRPr="005E1103">
        <w:rPr>
          <w:rFonts w:cstheme="minorHAnsi"/>
          <w:sz w:val="28"/>
          <w:szCs w:val="28"/>
        </w:rPr>
        <w:t>En la siguiente figura se pueden observar el número de recursos que presenta cada una de las universidades analizadas:</w:t>
      </w:r>
    </w:p>
    <w:p w:rsidR="00C71AF3" w:rsidRPr="005E1103" w:rsidRDefault="00C71AF3" w:rsidP="00C71AF3">
      <w:pPr>
        <w:spacing w:after="0" w:line="360" w:lineRule="auto"/>
        <w:ind w:firstLine="284"/>
        <w:jc w:val="both"/>
        <w:rPr>
          <w:rFonts w:cstheme="minorHAnsi"/>
          <w:sz w:val="28"/>
          <w:szCs w:val="28"/>
        </w:rPr>
      </w:pPr>
    </w:p>
    <w:p w:rsidR="00C71AF3" w:rsidRPr="005E1103" w:rsidRDefault="00C71AF3" w:rsidP="00C71AF3">
      <w:pPr>
        <w:keepNext/>
        <w:spacing w:after="0" w:line="360" w:lineRule="auto"/>
        <w:jc w:val="both"/>
        <w:rPr>
          <w:rFonts w:cstheme="minorHAnsi"/>
          <w:sz w:val="28"/>
          <w:szCs w:val="28"/>
        </w:rPr>
      </w:pPr>
      <w:r w:rsidRPr="005E1103">
        <w:rPr>
          <w:rFonts w:cstheme="minorHAnsi"/>
          <w:noProof/>
          <w:sz w:val="28"/>
          <w:szCs w:val="28"/>
          <w:lang w:eastAsia="es-ES"/>
        </w:rPr>
        <w:drawing>
          <wp:inline distT="0" distB="0" distL="0" distR="0" wp14:anchorId="3D92ED0A" wp14:editId="489C6A14">
            <wp:extent cx="6136640" cy="2133600"/>
            <wp:effectExtent l="0" t="0" r="35560" b="25400"/>
            <wp:docPr id="26" name="Gráfico 26" descr="Los recursos que cada universidad del ranking europeo presentan, son (las universidad están ordenadas desde las universidades situadas en las primeras posiciones hasta las situadas en las últimas posiciones. Su lugar en el ranking mundial se especifica entre paréntesis):&#10;Universidad de Cambridge (4º): 14 recursos&#10;Universidad de Oxford (5º): 12 recursos&#10;Universidad Swiss Federal Institute of Technology in Zurich (18): 5 recursos&#10;Universidad College de Londres (30): 14 recursos&#10;Ecole normale supeeriure de Paris (35): 13 recursos&#10;Ecole Polytecnique (36): 0 recursos&#10;Imperial College de Londres (39): 13 recursos&#10;Lomonosov Moscow State University (48): 0 recursos&#10;Universidad de Paris (50): 13 recursos&#10;Universidad de Edimburgo (56): 10 recursos" title="Representación gráfica del número de recursos de cada universidad según el ranking europeo."/>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C71AF3" w:rsidRPr="005E1103" w:rsidRDefault="00C71AF3" w:rsidP="00C71AF3">
      <w:pPr>
        <w:pStyle w:val="Epgrafe"/>
        <w:spacing w:after="0"/>
        <w:outlineLvl w:val="0"/>
        <w:rPr>
          <w:rFonts w:asciiTheme="minorHAnsi" w:hAnsiTheme="minorHAnsi" w:cstheme="minorHAnsi"/>
          <w:sz w:val="28"/>
          <w:szCs w:val="28"/>
          <w:lang w:val="es-ES"/>
        </w:rPr>
      </w:pPr>
      <w:bookmarkStart w:id="20" w:name="_Toc313646812"/>
      <w:bookmarkStart w:id="21" w:name="_Toc313818218"/>
      <w:r w:rsidRPr="005E1103">
        <w:rPr>
          <w:rFonts w:asciiTheme="minorHAnsi" w:hAnsiTheme="minorHAnsi" w:cstheme="minorHAnsi"/>
          <w:sz w:val="28"/>
          <w:szCs w:val="28"/>
          <w:lang w:val="es-ES"/>
        </w:rPr>
        <w:t>Figura 2. Número de recursos de cada universidad según el ranking europeo.</w:t>
      </w:r>
      <w:bookmarkEnd w:id="20"/>
      <w:bookmarkEnd w:id="21"/>
    </w:p>
    <w:p w:rsidR="00C71AF3" w:rsidRPr="005E1103" w:rsidRDefault="00C71AF3" w:rsidP="00C71AF3">
      <w:pPr>
        <w:spacing w:after="0" w:line="240" w:lineRule="auto"/>
        <w:outlineLvl w:val="0"/>
        <w:rPr>
          <w:rFonts w:cstheme="minorHAnsi"/>
          <w:sz w:val="28"/>
          <w:szCs w:val="28"/>
        </w:rPr>
      </w:pPr>
      <w:r w:rsidRPr="005E1103">
        <w:rPr>
          <w:rFonts w:cstheme="minorHAnsi"/>
          <w:sz w:val="28"/>
          <w:szCs w:val="28"/>
        </w:rPr>
        <w:t>Fuente: Elaboración propia.</w:t>
      </w:r>
    </w:p>
    <w:p w:rsidR="00C71AF3" w:rsidRPr="005E1103" w:rsidRDefault="00C71AF3" w:rsidP="00C71AF3">
      <w:pPr>
        <w:spacing w:after="0" w:line="240" w:lineRule="auto"/>
        <w:outlineLvl w:val="0"/>
        <w:rPr>
          <w:rFonts w:cstheme="minorHAnsi"/>
          <w:sz w:val="28"/>
          <w:szCs w:val="28"/>
        </w:rPr>
      </w:pPr>
    </w:p>
    <w:p w:rsidR="00C71AF3" w:rsidRPr="005E1103" w:rsidRDefault="00C71AF3" w:rsidP="00C71AF3">
      <w:pPr>
        <w:spacing w:after="0" w:line="360" w:lineRule="auto"/>
        <w:ind w:firstLine="284"/>
        <w:jc w:val="both"/>
        <w:rPr>
          <w:rFonts w:cstheme="minorHAnsi"/>
          <w:sz w:val="28"/>
          <w:szCs w:val="28"/>
        </w:rPr>
      </w:pPr>
    </w:p>
    <w:p w:rsidR="00C71AF3" w:rsidRPr="005E1103" w:rsidRDefault="00C71AF3" w:rsidP="00C71AF3">
      <w:pPr>
        <w:spacing w:after="0" w:line="360" w:lineRule="auto"/>
        <w:ind w:firstLine="284"/>
        <w:jc w:val="both"/>
        <w:rPr>
          <w:rFonts w:cstheme="minorHAnsi"/>
          <w:sz w:val="28"/>
          <w:szCs w:val="28"/>
        </w:rPr>
      </w:pPr>
      <w:r w:rsidRPr="005E1103">
        <w:rPr>
          <w:rFonts w:cstheme="minorHAnsi"/>
          <w:sz w:val="28"/>
          <w:szCs w:val="28"/>
        </w:rPr>
        <w:lastRenderedPageBreak/>
        <w:t xml:space="preserve">No se encontró información en las dos universidades sin servicio señaladas anteriormente, </w:t>
      </w:r>
      <w:r w:rsidRPr="005E1103">
        <w:rPr>
          <w:rFonts w:cstheme="minorHAnsi"/>
          <w:bCs/>
          <w:sz w:val="28"/>
          <w:szCs w:val="28"/>
        </w:rPr>
        <w:t>la École Polytechnique</w:t>
      </w:r>
      <w:r w:rsidRPr="005E1103">
        <w:rPr>
          <w:rFonts w:cstheme="minorHAnsi"/>
          <w:sz w:val="28"/>
          <w:szCs w:val="28"/>
        </w:rPr>
        <w:t xml:space="preserve"> y la Lomonosov Moscow State University. La Figura 2 muestra como la Universidad de Cambridge y el College London son las que más número de recursos presentan, 14. Las universidades con menos recursos no son las situadas en las últimas posiciones. Por ejemplo, en </w:t>
      </w:r>
      <w:r w:rsidRPr="005E1103">
        <w:rPr>
          <w:rFonts w:cstheme="minorHAnsi"/>
          <w:color w:val="000000"/>
          <w:sz w:val="28"/>
          <w:szCs w:val="28"/>
        </w:rPr>
        <w:t xml:space="preserve">el Swiss Federal Institute of Techmology in </w:t>
      </w:r>
      <w:r w:rsidR="005E1103" w:rsidRPr="005E1103">
        <w:rPr>
          <w:rFonts w:cstheme="minorHAnsi"/>
          <w:color w:val="000000"/>
          <w:sz w:val="28"/>
          <w:szCs w:val="28"/>
        </w:rPr>
        <w:t>Zurich, tercera</w:t>
      </w:r>
      <w:r w:rsidRPr="005E1103">
        <w:rPr>
          <w:rFonts w:cstheme="minorHAnsi"/>
          <w:color w:val="000000"/>
          <w:sz w:val="28"/>
          <w:szCs w:val="28"/>
        </w:rPr>
        <w:t xml:space="preserve"> a nivel europeo y en el puesto 18 a nivel mundial, sólo se han podido encontrar cinco de los 14 recursos. De forma similar, la citada </w:t>
      </w:r>
      <w:r w:rsidRPr="005E1103">
        <w:rPr>
          <w:rFonts w:cstheme="minorHAnsi"/>
          <w:bCs/>
          <w:sz w:val="28"/>
          <w:szCs w:val="28"/>
        </w:rPr>
        <w:t>École Polytechnique</w:t>
      </w:r>
      <w:r w:rsidRPr="005E1103">
        <w:rPr>
          <w:rFonts w:cstheme="minorHAnsi"/>
          <w:sz w:val="28"/>
          <w:szCs w:val="28"/>
        </w:rPr>
        <w:t xml:space="preserve"> se sitúa en sexto lugar a nivel europeo y en la posición 36 a nivel mundial. La University of Paris-Sud y la University </w:t>
      </w:r>
      <w:r w:rsidR="005E1103" w:rsidRPr="005E1103">
        <w:rPr>
          <w:rFonts w:cstheme="minorHAnsi"/>
          <w:sz w:val="28"/>
          <w:szCs w:val="28"/>
        </w:rPr>
        <w:t>of Edinburgh</w:t>
      </w:r>
      <w:r w:rsidRPr="005E1103">
        <w:rPr>
          <w:rFonts w:cstheme="minorHAnsi"/>
          <w:sz w:val="28"/>
          <w:szCs w:val="28"/>
        </w:rPr>
        <w:t>, son las dos universidades de nuestro estudio situadas en los últimos puestos a nivel europeo, pero cumplen con bastantes más recursos.</w:t>
      </w:r>
    </w:p>
    <w:p w:rsidR="00C71AF3" w:rsidRPr="005E1103" w:rsidRDefault="00C71AF3" w:rsidP="00C71AF3">
      <w:pPr>
        <w:spacing w:after="0" w:line="360" w:lineRule="auto"/>
        <w:ind w:firstLine="284"/>
        <w:jc w:val="both"/>
        <w:outlineLvl w:val="0"/>
        <w:rPr>
          <w:rFonts w:cstheme="minorHAnsi"/>
          <w:sz w:val="28"/>
          <w:szCs w:val="28"/>
        </w:rPr>
      </w:pPr>
      <w:r w:rsidRPr="005E1103">
        <w:rPr>
          <w:rFonts w:cstheme="minorHAnsi"/>
          <w:sz w:val="28"/>
          <w:szCs w:val="28"/>
        </w:rPr>
        <w:t xml:space="preserve">A diferencia </w:t>
      </w:r>
      <w:r w:rsidR="005E1103" w:rsidRPr="005E1103">
        <w:rPr>
          <w:rFonts w:cstheme="minorHAnsi"/>
          <w:sz w:val="28"/>
          <w:szCs w:val="28"/>
        </w:rPr>
        <w:t>que,</w:t>
      </w:r>
      <w:r w:rsidRPr="005E1103">
        <w:rPr>
          <w:rFonts w:cstheme="minorHAnsi"/>
          <w:sz w:val="28"/>
          <w:szCs w:val="28"/>
        </w:rPr>
        <w:t xml:space="preserve"> en el ranking mundial, en los datos obtenidos de las universidades del ranking europeo, no se han encontrado recursos que se cumplan en el 100% de las instituciones europeas estudiadas. Los recursos más numerosos, en el 80% de los </w:t>
      </w:r>
      <w:r w:rsidR="005E1103" w:rsidRPr="005E1103">
        <w:rPr>
          <w:rFonts w:cstheme="minorHAnsi"/>
          <w:sz w:val="28"/>
          <w:szCs w:val="28"/>
        </w:rPr>
        <w:t>casos, son</w:t>
      </w:r>
      <w:r w:rsidRPr="005E1103">
        <w:rPr>
          <w:rFonts w:cstheme="minorHAnsi"/>
          <w:sz w:val="28"/>
          <w:szCs w:val="28"/>
        </w:rPr>
        <w:t xml:space="preserve"> la accesibilidad, la atención psicológica y las becas. Le siguen, en el 70% de los casos, la existencia de los programas de alojamiento, </w:t>
      </w:r>
      <w:r w:rsidR="005E1103" w:rsidRPr="005E1103">
        <w:rPr>
          <w:rFonts w:cstheme="minorHAnsi"/>
          <w:sz w:val="28"/>
          <w:szCs w:val="28"/>
        </w:rPr>
        <w:t>los intérpretes</w:t>
      </w:r>
      <w:r w:rsidRPr="005E1103">
        <w:rPr>
          <w:rFonts w:cstheme="minorHAnsi"/>
          <w:sz w:val="28"/>
          <w:szCs w:val="28"/>
        </w:rPr>
        <w:t xml:space="preserve"> de lengua de signos, el asistente personal, la normativa interna, las adaptaciones curriculares, las tecnologías de la información y la comunicación, y el profesor tutor. El 60% de las universidades evaluadas tiene programas de voluntariado, transporte accesible y programas de orientación y/o inserción laboral. El recurso que en menor medida se encuentra es la figura del alumno colaborador, sólo en el 30% de las universidades.</w:t>
      </w:r>
    </w:p>
    <w:p w:rsidR="00C71AF3" w:rsidRPr="005E1103" w:rsidRDefault="00C71AF3" w:rsidP="00C71AF3">
      <w:pPr>
        <w:pStyle w:val="Ttulo3"/>
        <w:rPr>
          <w:rFonts w:asciiTheme="minorHAnsi" w:hAnsiTheme="minorHAnsi" w:cstheme="minorHAnsi"/>
          <w:sz w:val="28"/>
          <w:szCs w:val="28"/>
          <w:u w:val="single"/>
        </w:rPr>
      </w:pPr>
      <w:bookmarkStart w:id="22" w:name="_Toc313644790"/>
      <w:bookmarkStart w:id="23" w:name="_Toc313706840"/>
      <w:r w:rsidRPr="005E1103">
        <w:rPr>
          <w:rFonts w:asciiTheme="minorHAnsi" w:hAnsiTheme="minorHAnsi" w:cstheme="minorHAnsi"/>
          <w:sz w:val="28"/>
          <w:szCs w:val="28"/>
          <w:u w:val="single"/>
        </w:rPr>
        <w:t>Universidades españolas</w:t>
      </w:r>
      <w:bookmarkEnd w:id="22"/>
      <w:bookmarkEnd w:id="23"/>
    </w:p>
    <w:p w:rsidR="00C71AF3" w:rsidRPr="005E1103" w:rsidRDefault="00C71AF3" w:rsidP="00C71AF3">
      <w:pPr>
        <w:spacing w:after="0" w:line="360" w:lineRule="auto"/>
        <w:ind w:firstLine="284"/>
        <w:jc w:val="both"/>
        <w:rPr>
          <w:rFonts w:cstheme="minorHAnsi"/>
          <w:sz w:val="28"/>
          <w:szCs w:val="28"/>
        </w:rPr>
      </w:pPr>
      <w:r w:rsidRPr="005E1103">
        <w:rPr>
          <w:rFonts w:cstheme="minorHAnsi"/>
          <w:sz w:val="28"/>
          <w:szCs w:val="28"/>
        </w:rPr>
        <w:t xml:space="preserve">Todas las universidades españolas seleccionadas siguiendo la clasificación CWUR, poseen un servicio específico dirigido a estudiantes con discapacidad. Las universidades españolas más valoradas pertenecen a Cataluña, Valencia, Navarra, Galicia, Madrid y Andalucía. </w:t>
      </w:r>
    </w:p>
    <w:p w:rsidR="00C71AF3" w:rsidRPr="005E1103" w:rsidRDefault="00C71AF3" w:rsidP="00C71AF3">
      <w:pPr>
        <w:spacing w:after="0" w:line="360" w:lineRule="auto"/>
        <w:ind w:firstLine="284"/>
        <w:jc w:val="both"/>
        <w:rPr>
          <w:rFonts w:cstheme="minorHAnsi"/>
          <w:sz w:val="28"/>
          <w:szCs w:val="28"/>
        </w:rPr>
      </w:pPr>
      <w:r w:rsidRPr="005E1103">
        <w:rPr>
          <w:rFonts w:cstheme="minorHAnsi"/>
          <w:sz w:val="28"/>
          <w:szCs w:val="28"/>
        </w:rPr>
        <w:lastRenderedPageBreak/>
        <w:t>En ninguna de las 10 primeras universidades nacionales se cumplen los 14 recursos seleccionados, como se muestra en la siguiente figura:</w:t>
      </w:r>
    </w:p>
    <w:p w:rsidR="00C71AF3" w:rsidRPr="005E1103" w:rsidRDefault="00C71AF3" w:rsidP="00C71AF3">
      <w:pPr>
        <w:keepNext/>
        <w:spacing w:after="0" w:line="360" w:lineRule="auto"/>
        <w:jc w:val="both"/>
        <w:rPr>
          <w:rFonts w:cstheme="minorHAnsi"/>
          <w:sz w:val="28"/>
          <w:szCs w:val="28"/>
        </w:rPr>
      </w:pPr>
      <w:r w:rsidRPr="005E1103">
        <w:rPr>
          <w:rFonts w:cstheme="minorHAnsi"/>
          <w:noProof/>
          <w:sz w:val="28"/>
          <w:szCs w:val="28"/>
          <w:lang w:eastAsia="es-ES"/>
        </w:rPr>
        <w:drawing>
          <wp:inline distT="0" distB="0" distL="0" distR="0" wp14:anchorId="339E6C1D" wp14:editId="5FA66F1F">
            <wp:extent cx="6126480" cy="1981200"/>
            <wp:effectExtent l="0" t="0" r="20320" b="25400"/>
            <wp:docPr id="28" name="Gráfico 28" descr="Los recursos que cada universidad del ranking nacional presentan, son (las universidad están ordenadas desde las universidades situadas en las primeras posiciones hasta las situadas en las últimas posiciones. Su lugar en el ranking mundial se especifica entre paréntesis):&#10;Universidad de Barcelona (120): 11&#10;Universidad Complutense de Madrid (198): 10&#10;Universidad Autónoma de Barcelona (254): 13&#10;Universidad de Valencia (301): 11&#10;Universidad Autónoma de Madrid (309): 13&#10;Universidad de Navarra (347): 4&#10;Universidad de Santiago de Compostela (356): 8&#10;Universidad de Sevilla (384): 11&#10;Universidad Politécnica de Cataluña (410): 4&#10;Universidad Politécnica de Madrid (416): 11&#10;" title="Representación gráfica del número de recursos de cada universidad según el ranking nacional."/>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bookmarkStart w:id="24" w:name="_Ref304913661"/>
      <w:bookmarkStart w:id="25" w:name="_Toc313646815"/>
      <w:bookmarkStart w:id="26" w:name="_Toc313818221"/>
    </w:p>
    <w:p w:rsidR="00C71AF3" w:rsidRPr="005E1103" w:rsidRDefault="00C71AF3" w:rsidP="00C71AF3">
      <w:pPr>
        <w:pStyle w:val="Epgrafe"/>
        <w:spacing w:after="0"/>
        <w:outlineLvl w:val="0"/>
        <w:rPr>
          <w:rFonts w:asciiTheme="minorHAnsi" w:hAnsiTheme="minorHAnsi" w:cstheme="minorHAnsi"/>
          <w:sz w:val="28"/>
          <w:szCs w:val="28"/>
          <w:lang w:val="es-ES"/>
        </w:rPr>
      </w:pPr>
      <w:r w:rsidRPr="005E1103">
        <w:rPr>
          <w:rFonts w:asciiTheme="minorHAnsi" w:hAnsiTheme="minorHAnsi" w:cstheme="minorHAnsi"/>
          <w:sz w:val="28"/>
          <w:szCs w:val="28"/>
          <w:lang w:val="es-ES"/>
        </w:rPr>
        <w:t>Figura</w:t>
      </w:r>
      <w:bookmarkEnd w:id="24"/>
      <w:r w:rsidRPr="005E1103">
        <w:rPr>
          <w:rFonts w:asciiTheme="minorHAnsi" w:hAnsiTheme="minorHAnsi" w:cstheme="minorHAnsi"/>
          <w:sz w:val="28"/>
          <w:szCs w:val="28"/>
          <w:lang w:val="es-ES"/>
        </w:rPr>
        <w:t>3. Número de recursos de cada universidad española.</w:t>
      </w:r>
      <w:bookmarkEnd w:id="25"/>
      <w:bookmarkEnd w:id="26"/>
    </w:p>
    <w:p w:rsidR="00C71AF3" w:rsidRPr="005E1103" w:rsidRDefault="00C71AF3" w:rsidP="00C71AF3">
      <w:pPr>
        <w:spacing w:after="0" w:line="240" w:lineRule="auto"/>
        <w:outlineLvl w:val="0"/>
        <w:rPr>
          <w:rFonts w:cstheme="minorHAnsi"/>
          <w:sz w:val="28"/>
          <w:szCs w:val="28"/>
        </w:rPr>
      </w:pPr>
      <w:r w:rsidRPr="005E1103">
        <w:rPr>
          <w:rFonts w:cstheme="minorHAnsi"/>
          <w:sz w:val="28"/>
          <w:szCs w:val="28"/>
        </w:rPr>
        <w:t>Fuente: Elaboración propia.</w:t>
      </w:r>
    </w:p>
    <w:p w:rsidR="00C71AF3" w:rsidRPr="005E1103" w:rsidRDefault="00C71AF3" w:rsidP="00C71AF3">
      <w:pPr>
        <w:spacing w:after="0" w:line="240" w:lineRule="auto"/>
        <w:outlineLvl w:val="0"/>
        <w:rPr>
          <w:rFonts w:cstheme="minorHAnsi"/>
          <w:sz w:val="28"/>
          <w:szCs w:val="28"/>
        </w:rPr>
      </w:pPr>
    </w:p>
    <w:p w:rsidR="00C71AF3" w:rsidRPr="005E1103" w:rsidRDefault="00C71AF3" w:rsidP="00C71AF3">
      <w:pPr>
        <w:spacing w:after="0" w:line="360" w:lineRule="auto"/>
        <w:ind w:firstLine="284"/>
        <w:jc w:val="both"/>
        <w:rPr>
          <w:rFonts w:cstheme="minorHAnsi"/>
          <w:sz w:val="28"/>
          <w:szCs w:val="28"/>
        </w:rPr>
      </w:pPr>
      <w:r w:rsidRPr="005E1103">
        <w:rPr>
          <w:rFonts w:cstheme="minorHAnsi"/>
          <w:sz w:val="28"/>
          <w:szCs w:val="28"/>
        </w:rPr>
        <w:t>La Universidad Autónoma de Barcelona, en el puesto 3, y la Universidad Autónoma de Madrid, en el puesto 5, cuentan con 13 de los indicadores. La Universidad de Navarra, Santiago de Compostela y Politécnica de Cataluña son las que menos recursos presentan, estando en los últimos puestos, 6º, 7º y 9º lugar respectivamente.</w:t>
      </w:r>
    </w:p>
    <w:p w:rsidR="00C71AF3" w:rsidRPr="005E1103" w:rsidRDefault="00C71AF3" w:rsidP="00C71AF3">
      <w:pPr>
        <w:spacing w:after="0" w:line="360" w:lineRule="auto"/>
        <w:ind w:firstLine="284"/>
        <w:jc w:val="both"/>
        <w:rPr>
          <w:rFonts w:cstheme="minorHAnsi"/>
          <w:sz w:val="28"/>
          <w:szCs w:val="28"/>
        </w:rPr>
      </w:pPr>
      <w:r w:rsidRPr="005E1103">
        <w:rPr>
          <w:rFonts w:cstheme="minorHAnsi"/>
          <w:sz w:val="28"/>
          <w:szCs w:val="28"/>
        </w:rPr>
        <w:t>La accesibilidad es el indicador que se cumple en el 100% de las universidades analizadas, seguido de los programas de voluntariado y la gestión de adaptaciones curriculares individualizadas, en el 90% de los casos. Le siguen la presencia de intérprete de lengua de signos, alumno colaborador y las TICs (en el 80% de las universidades). El 70% de las universidades analizadas cuentan con algún tipo de programa de orientación y/o inserción laboral, becas y normativa propia. La atención psicológica y el servicio de alojamiento están presentes en el 60% de las universidades, el profesor tutor en el 50%. El transporte adaptado y la figura del asistente son los recursos menos presentes, sólo en el 30% de las universidades. Un dato diferente al mostrado en el ranking mundial y europeo, donde ambos recursos estaban presente en la mayoría de las universidades.</w:t>
      </w:r>
      <w:bookmarkStart w:id="27" w:name="_Toc313706841"/>
    </w:p>
    <w:p w:rsidR="00C71AF3" w:rsidRPr="005E1103" w:rsidRDefault="00C71AF3" w:rsidP="00C71AF3">
      <w:pPr>
        <w:pStyle w:val="Ttulo2"/>
        <w:rPr>
          <w:rFonts w:asciiTheme="minorHAnsi" w:hAnsiTheme="minorHAnsi" w:cstheme="minorHAnsi"/>
          <w:sz w:val="28"/>
          <w:szCs w:val="28"/>
        </w:rPr>
      </w:pPr>
      <w:r w:rsidRPr="005E1103">
        <w:rPr>
          <w:rFonts w:asciiTheme="minorHAnsi" w:hAnsiTheme="minorHAnsi" w:cstheme="minorHAnsi"/>
          <w:sz w:val="28"/>
          <w:szCs w:val="28"/>
        </w:rPr>
        <w:lastRenderedPageBreak/>
        <w:t>CONCLUSIÓN</w:t>
      </w:r>
      <w:bookmarkEnd w:id="27"/>
    </w:p>
    <w:p w:rsidR="00C71AF3" w:rsidRPr="005E1103" w:rsidRDefault="00C71AF3" w:rsidP="00C71AF3">
      <w:pPr>
        <w:spacing w:after="0" w:line="360" w:lineRule="auto"/>
        <w:ind w:firstLine="284"/>
        <w:jc w:val="both"/>
        <w:rPr>
          <w:rFonts w:cstheme="minorHAnsi"/>
          <w:sz w:val="28"/>
          <w:szCs w:val="28"/>
        </w:rPr>
      </w:pPr>
      <w:r w:rsidRPr="005E1103">
        <w:rPr>
          <w:rFonts w:cstheme="minorHAnsi"/>
          <w:sz w:val="28"/>
          <w:szCs w:val="28"/>
        </w:rPr>
        <w:t>A través de los datos obtenidos de las diferentes universidades, siguiendo la clasificación del CWUR y estableciendo los recursos a buscar, en términos de los indicadores de la calidad en la atención al alumnado con discapacidad, se ha realizado un análisis de la atención a los estudiantes con discapacidad en las universidades más valoradas a nivel mundial, europeo y nacional, cuyos resultados han sido expuestos anteriormente.</w:t>
      </w:r>
    </w:p>
    <w:p w:rsidR="00C71AF3" w:rsidRPr="005E1103" w:rsidRDefault="00C71AF3" w:rsidP="00C71AF3">
      <w:pPr>
        <w:spacing w:after="0" w:line="360" w:lineRule="auto"/>
        <w:ind w:firstLine="284"/>
        <w:jc w:val="both"/>
        <w:rPr>
          <w:rFonts w:cstheme="minorHAnsi"/>
          <w:sz w:val="28"/>
          <w:szCs w:val="28"/>
        </w:rPr>
      </w:pPr>
      <w:r w:rsidRPr="005E1103">
        <w:rPr>
          <w:rFonts w:cstheme="minorHAnsi"/>
          <w:sz w:val="28"/>
          <w:szCs w:val="28"/>
        </w:rPr>
        <w:t xml:space="preserve">Exceptuando el ranking mundial, no se observa una relación entre el puesto que ocupa cada universidad dentro de la clasificación del Center for World University Rankings (CWUR) y la calidad del servicio dirigido a estudiantes con discapacidad, medido a través de los 14 recursos señalados. Se debe destacar la existencia de dos universidades, aun estando en los primeros puestos a nivel europeo, no cuentan con un servicio de atención al alumnado con discapacidad. </w:t>
      </w:r>
    </w:p>
    <w:p w:rsidR="00C71AF3" w:rsidRPr="005E1103" w:rsidRDefault="00C71AF3" w:rsidP="00C71AF3">
      <w:pPr>
        <w:spacing w:after="0" w:line="360" w:lineRule="auto"/>
        <w:ind w:firstLine="284"/>
        <w:jc w:val="both"/>
        <w:rPr>
          <w:rFonts w:cstheme="minorHAnsi"/>
          <w:sz w:val="28"/>
          <w:szCs w:val="28"/>
        </w:rPr>
      </w:pPr>
      <w:r w:rsidRPr="005E1103">
        <w:rPr>
          <w:rFonts w:cstheme="minorHAnsi"/>
          <w:sz w:val="28"/>
          <w:szCs w:val="28"/>
        </w:rPr>
        <w:t>En principio, con las universidades de Harvard, Stanford y Cambridge, 1, 2 y 4 en el CWUR, situadas también en los primeros puestos de nuestra clasificación, puede parecer que existe relación entre las universidades más valoradas y su atención a los estudiantes con discapacidad. Sin embargo, esta tendencia desaparece cuando encontramos que la Universidad Autónoma de Barcelona, en el puesto 254, y la Universidad Autónoma de Madrid, en el puesto 309, presentan mayor número de recursos dirigidos a sus estudiantes con discapacidad que universidades como la Lomonosov Moscow State, la École Polytechnique o Yale University, en los puestos 48, 36 y 10 de la clasificación CWUR.</w:t>
      </w:r>
    </w:p>
    <w:p w:rsidR="00C71AF3" w:rsidRPr="005E1103" w:rsidRDefault="00C71AF3" w:rsidP="00C71AF3">
      <w:pPr>
        <w:spacing w:after="0" w:line="360" w:lineRule="auto"/>
        <w:ind w:firstLine="284"/>
        <w:jc w:val="both"/>
        <w:rPr>
          <w:rFonts w:cstheme="minorHAnsi"/>
          <w:sz w:val="28"/>
          <w:szCs w:val="28"/>
        </w:rPr>
      </w:pPr>
      <w:r w:rsidRPr="005E1103">
        <w:rPr>
          <w:rFonts w:cstheme="minorHAnsi"/>
          <w:sz w:val="28"/>
          <w:szCs w:val="28"/>
        </w:rPr>
        <w:t xml:space="preserve">La accesibilidad es el recurso más frecuente en las universidades analizadas del ranking mundial, europeo y español. Con respecto a los restantes recursos su mayor o menor presencia varía dependiendo de la clasificación de universidades en internacionales, europeas y nacionales. </w:t>
      </w:r>
    </w:p>
    <w:p w:rsidR="00C71AF3" w:rsidRPr="005E1103" w:rsidRDefault="00C71AF3" w:rsidP="00C71AF3">
      <w:pPr>
        <w:spacing w:after="0" w:line="360" w:lineRule="auto"/>
        <w:ind w:firstLine="284"/>
        <w:jc w:val="both"/>
        <w:rPr>
          <w:rFonts w:cstheme="minorHAnsi"/>
          <w:sz w:val="28"/>
          <w:szCs w:val="28"/>
        </w:rPr>
      </w:pPr>
      <w:r w:rsidRPr="005E1103">
        <w:rPr>
          <w:rFonts w:cstheme="minorHAnsi"/>
          <w:sz w:val="28"/>
          <w:szCs w:val="28"/>
        </w:rPr>
        <w:lastRenderedPageBreak/>
        <w:t>En la clasificación mundial la accesibilidad, las adaptaciones curriculares, el transporte adaptado, las tecnologías de la información y la comunicación y los intérpretes de lengua de signos, están presentes en todas las universidades analizadas. A nivel europeo las más frecuentes son la accesibilidad, la atención psicológica y las becas, en el 80% de los casos. En España, a la accesibilidad le siguen los programas de voluntariado y la gestión de adaptaciones curriculares individualizadas, en el 90% de los casos. En las tres clasificaciones utilizadas se coincide en la accesibilidad como la característica que con más frecuencia presentan las universidades.</w:t>
      </w:r>
    </w:p>
    <w:p w:rsidR="00C71AF3" w:rsidRPr="005E1103" w:rsidRDefault="00C71AF3" w:rsidP="00C71AF3">
      <w:pPr>
        <w:spacing w:after="0" w:line="360" w:lineRule="auto"/>
        <w:ind w:firstLine="284"/>
        <w:jc w:val="both"/>
        <w:rPr>
          <w:rFonts w:cstheme="minorHAnsi"/>
          <w:sz w:val="28"/>
          <w:szCs w:val="28"/>
        </w:rPr>
      </w:pPr>
      <w:r w:rsidRPr="005E1103">
        <w:rPr>
          <w:rFonts w:cstheme="minorHAnsi"/>
          <w:sz w:val="28"/>
          <w:szCs w:val="28"/>
        </w:rPr>
        <w:t xml:space="preserve">No existen coincidencias en los recursos que en menor medida se encuentran en las universidades según sean internacionales, europeas o españolas. A nivel mundial los recursos más escasos son las becas, el voluntariado y el profesor tutor, pero sólo faltan </w:t>
      </w:r>
    </w:p>
    <w:p w:rsidR="00C71AF3" w:rsidRPr="005E1103" w:rsidRDefault="00C71AF3" w:rsidP="00C71AF3">
      <w:pPr>
        <w:spacing w:after="0" w:line="360" w:lineRule="auto"/>
        <w:jc w:val="both"/>
        <w:rPr>
          <w:rFonts w:cstheme="minorHAnsi"/>
          <w:sz w:val="28"/>
          <w:szCs w:val="28"/>
        </w:rPr>
      </w:pPr>
      <w:r w:rsidRPr="005E1103">
        <w:rPr>
          <w:rFonts w:cstheme="minorHAnsi"/>
          <w:sz w:val="28"/>
          <w:szCs w:val="28"/>
        </w:rPr>
        <w:t xml:space="preserve">en el 50% de las universidades. En las universidades europeas el recurso menos frecuente es el alumno colaborador, no existiendo en el 70% de los casos. En las universidades </w:t>
      </w:r>
      <w:r w:rsidR="005E1103" w:rsidRPr="005E1103">
        <w:rPr>
          <w:rFonts w:cstheme="minorHAnsi"/>
          <w:sz w:val="28"/>
          <w:szCs w:val="28"/>
        </w:rPr>
        <w:t>españolas, el</w:t>
      </w:r>
      <w:r w:rsidRPr="005E1103">
        <w:rPr>
          <w:rFonts w:cstheme="minorHAnsi"/>
          <w:sz w:val="28"/>
          <w:szCs w:val="28"/>
        </w:rPr>
        <w:t xml:space="preserve"> transporte adaptado y la figura del asistente personal para los estudiantes dependientes tampoco se encuentran en el 70% de los casos.  Partiendo de estos datos, se podría concluir que las universidades del ranking mundial presentan mayores recursos a la hora de atender al alumnado con discapacidad que las de la clasificación europea y la clasificación nacional.</w:t>
      </w:r>
    </w:p>
    <w:p w:rsidR="00C71AF3" w:rsidRPr="005E1103" w:rsidRDefault="00C71AF3" w:rsidP="00C71AF3">
      <w:pPr>
        <w:spacing w:after="0" w:line="360" w:lineRule="auto"/>
        <w:ind w:firstLine="284"/>
        <w:jc w:val="both"/>
        <w:rPr>
          <w:rFonts w:cstheme="minorHAnsi"/>
          <w:sz w:val="28"/>
          <w:szCs w:val="28"/>
        </w:rPr>
      </w:pPr>
      <w:r w:rsidRPr="005E1103">
        <w:rPr>
          <w:rFonts w:cstheme="minorHAnsi"/>
          <w:sz w:val="28"/>
          <w:szCs w:val="28"/>
        </w:rPr>
        <w:t xml:space="preserve">En general, y exceptuando la </w:t>
      </w:r>
      <w:r w:rsidRPr="005E1103">
        <w:rPr>
          <w:rFonts w:cstheme="minorHAnsi"/>
          <w:bCs/>
          <w:sz w:val="28"/>
          <w:szCs w:val="28"/>
        </w:rPr>
        <w:t>École Polytechnique</w:t>
      </w:r>
      <w:r w:rsidRPr="005E1103">
        <w:rPr>
          <w:rFonts w:cstheme="minorHAnsi"/>
          <w:sz w:val="28"/>
          <w:szCs w:val="28"/>
        </w:rPr>
        <w:t xml:space="preserve"> y la Lomonosov Moscow State University, los recursos y servicios específicos para estudiantes con discapacidad están presentes, en mayor o menor medida, en las universidades más valoradas, pese a no tenerse en cuenta en </w:t>
      </w:r>
      <w:r w:rsidR="005E1103" w:rsidRPr="005E1103">
        <w:rPr>
          <w:rFonts w:cstheme="minorHAnsi"/>
          <w:sz w:val="28"/>
          <w:szCs w:val="28"/>
        </w:rPr>
        <w:t>los rankings</w:t>
      </w:r>
      <w:r w:rsidRPr="005E1103">
        <w:rPr>
          <w:rFonts w:cstheme="minorHAnsi"/>
          <w:sz w:val="28"/>
          <w:szCs w:val="28"/>
        </w:rPr>
        <w:t xml:space="preserve"> de universidades, como el CWUR. No se puede obviar el hecho de que muchas de las universidades analizadas puedan presentar más recursos de los que están presentes en su página web o que no se han considerado dentro de los 14 recursos seleccionados. Ambos aspectos son las mayores limitaciones de este estudio, unidas a las idiomáticas.</w:t>
      </w:r>
    </w:p>
    <w:p w:rsidR="00C71AF3" w:rsidRPr="005E1103" w:rsidRDefault="00C71AF3" w:rsidP="00C71AF3">
      <w:pPr>
        <w:spacing w:after="0" w:line="360" w:lineRule="auto"/>
        <w:ind w:firstLine="284"/>
        <w:jc w:val="both"/>
        <w:rPr>
          <w:rFonts w:cstheme="minorHAnsi"/>
          <w:sz w:val="28"/>
          <w:szCs w:val="28"/>
        </w:rPr>
      </w:pPr>
      <w:r w:rsidRPr="005E1103">
        <w:rPr>
          <w:rFonts w:cstheme="minorHAnsi"/>
          <w:sz w:val="28"/>
          <w:szCs w:val="28"/>
        </w:rPr>
        <w:t>Concluimos y coincidimos, con Martínez I.M. (2015):</w:t>
      </w:r>
    </w:p>
    <w:p w:rsidR="00C71AF3" w:rsidRPr="005E1103" w:rsidRDefault="00C71AF3" w:rsidP="00C71AF3">
      <w:pPr>
        <w:spacing w:after="0" w:line="360" w:lineRule="auto"/>
        <w:ind w:left="284"/>
        <w:jc w:val="both"/>
        <w:rPr>
          <w:rFonts w:cstheme="minorHAnsi"/>
          <w:sz w:val="28"/>
          <w:szCs w:val="28"/>
        </w:rPr>
      </w:pPr>
      <w:r w:rsidRPr="005E1103">
        <w:rPr>
          <w:rFonts w:cstheme="minorHAnsi"/>
          <w:sz w:val="28"/>
          <w:szCs w:val="28"/>
        </w:rPr>
        <w:lastRenderedPageBreak/>
        <w:t xml:space="preserve">Las Universidades españolas se encuentran en este momento inmersas en un proceso de cambios profundos, algunos de ellos provocados por la reformas del gobierno, pero también por la necesidad de adaptarse a los nuevos retos de la sociedad del conocimiento y la innovación, en medio de esta profunda crisis. Todas compiten ahora por situarse en los mejores niveles de excelencia y competitividad, pero cuando hablamos de excelencia en las Universidades, sólo pensamos en ranking e indicadores internacionales que nos posicionen en los mejores puestos. Sin embargo, en </w:t>
      </w:r>
      <w:r w:rsidR="005E1103" w:rsidRPr="005E1103">
        <w:rPr>
          <w:rFonts w:cstheme="minorHAnsi"/>
          <w:sz w:val="28"/>
          <w:szCs w:val="28"/>
        </w:rPr>
        <w:t>estos rankings</w:t>
      </w:r>
      <w:r w:rsidRPr="005E1103">
        <w:rPr>
          <w:rFonts w:cstheme="minorHAnsi"/>
          <w:sz w:val="28"/>
          <w:szCs w:val="28"/>
        </w:rPr>
        <w:t xml:space="preserve"> faltan aún, algunos indicadores que sin duda son un fiel reflejo de la excelencia de las Universidades y una clave para afrontrar el futuro. Entre estos indicadores están la responsabilidad social y la apuesta por la diversidad y la inclusión. (párr. 1).</w:t>
      </w:r>
    </w:p>
    <w:p w:rsidR="00C71AF3" w:rsidRPr="005E1103" w:rsidRDefault="00C71AF3" w:rsidP="00C71AF3">
      <w:pPr>
        <w:pStyle w:val="Ttulo1"/>
        <w:spacing w:before="0"/>
        <w:rPr>
          <w:rFonts w:asciiTheme="minorHAnsi" w:hAnsiTheme="minorHAnsi" w:cstheme="minorHAnsi"/>
        </w:rPr>
      </w:pPr>
    </w:p>
    <w:p w:rsidR="00C71AF3" w:rsidRPr="005E1103" w:rsidRDefault="00C71AF3" w:rsidP="00C71AF3">
      <w:pPr>
        <w:pStyle w:val="Ttulo1"/>
        <w:spacing w:before="0"/>
        <w:rPr>
          <w:rFonts w:asciiTheme="minorHAnsi" w:hAnsiTheme="minorHAnsi" w:cstheme="minorHAnsi"/>
        </w:rPr>
      </w:pPr>
      <w:r w:rsidRPr="005E1103">
        <w:rPr>
          <w:rFonts w:asciiTheme="minorHAnsi" w:hAnsiTheme="minorHAnsi" w:cstheme="minorHAnsi"/>
        </w:rPr>
        <w:t>referencias Bibliográficas</w:t>
      </w:r>
    </w:p>
    <w:p w:rsidR="00C71AF3" w:rsidRPr="005E1103" w:rsidRDefault="00C71AF3" w:rsidP="00C71AF3">
      <w:pPr>
        <w:pStyle w:val="Prrafodelista"/>
        <w:widowControl w:val="0"/>
        <w:numPr>
          <w:ilvl w:val="0"/>
          <w:numId w:val="3"/>
        </w:numPr>
        <w:autoSpaceDE w:val="0"/>
        <w:autoSpaceDN w:val="0"/>
        <w:adjustRightInd w:val="0"/>
        <w:spacing w:before="0" w:line="360" w:lineRule="auto"/>
        <w:jc w:val="both"/>
        <w:rPr>
          <w:rFonts w:asciiTheme="minorHAnsi" w:hAnsiTheme="minorHAnsi" w:cstheme="minorHAnsi"/>
          <w:i/>
          <w:sz w:val="28"/>
          <w:szCs w:val="28"/>
        </w:rPr>
      </w:pPr>
      <w:r w:rsidRPr="005E1103">
        <w:rPr>
          <w:rFonts w:asciiTheme="minorHAnsi" w:hAnsiTheme="minorHAnsi" w:cstheme="minorHAnsi"/>
          <w:sz w:val="28"/>
          <w:szCs w:val="28"/>
        </w:rPr>
        <w:t xml:space="preserve">Alcantud Marín, F., Avila, V., &amp; Asensi, M. (2000). </w:t>
      </w:r>
      <w:r w:rsidRPr="005E1103">
        <w:rPr>
          <w:rFonts w:asciiTheme="minorHAnsi" w:hAnsiTheme="minorHAnsi" w:cstheme="minorHAnsi"/>
          <w:i/>
          <w:sz w:val="28"/>
          <w:szCs w:val="28"/>
        </w:rPr>
        <w:t>La integración de estudiantes con discapacidad en los estudios superiores.</w:t>
      </w:r>
      <w:r w:rsidRPr="005E1103">
        <w:rPr>
          <w:rFonts w:asciiTheme="minorHAnsi" w:hAnsiTheme="minorHAnsi" w:cstheme="minorHAnsi"/>
          <w:sz w:val="28"/>
          <w:szCs w:val="28"/>
        </w:rPr>
        <w:t xml:space="preserve"> Valencia: Universidad de Valencia.</w:t>
      </w:r>
    </w:p>
    <w:p w:rsidR="00C71AF3" w:rsidRPr="005E1103" w:rsidRDefault="00C71AF3" w:rsidP="00C71AF3">
      <w:pPr>
        <w:pStyle w:val="Prrafodelista"/>
        <w:widowControl w:val="0"/>
        <w:numPr>
          <w:ilvl w:val="0"/>
          <w:numId w:val="3"/>
        </w:numPr>
        <w:autoSpaceDE w:val="0"/>
        <w:autoSpaceDN w:val="0"/>
        <w:adjustRightInd w:val="0"/>
        <w:spacing w:before="0" w:line="360" w:lineRule="auto"/>
        <w:jc w:val="both"/>
        <w:rPr>
          <w:rFonts w:asciiTheme="minorHAnsi" w:hAnsiTheme="minorHAnsi" w:cstheme="minorHAnsi"/>
          <w:sz w:val="28"/>
          <w:szCs w:val="28"/>
          <w:lang w:val="en-US"/>
        </w:rPr>
      </w:pPr>
      <w:r w:rsidRPr="005E1103">
        <w:rPr>
          <w:rFonts w:asciiTheme="minorHAnsi" w:hAnsiTheme="minorHAnsi" w:cstheme="minorHAnsi"/>
          <w:sz w:val="28"/>
          <w:szCs w:val="28"/>
        </w:rPr>
        <w:t xml:space="preserve">Alegre, O.M., &amp; Villar, L.M. (2009). </w:t>
      </w:r>
      <w:r w:rsidRPr="005E1103">
        <w:rPr>
          <w:rFonts w:asciiTheme="minorHAnsi" w:hAnsiTheme="minorHAnsi" w:cstheme="minorHAnsi"/>
          <w:sz w:val="28"/>
          <w:szCs w:val="28"/>
          <w:lang w:val="en-US"/>
        </w:rPr>
        <w:t xml:space="preserve">Master´s Degree «Education in Diversity» (MDED): Toward Inclusion Education Qality. </w:t>
      </w:r>
      <w:r w:rsidRPr="005E1103">
        <w:rPr>
          <w:rFonts w:asciiTheme="minorHAnsi" w:hAnsiTheme="minorHAnsi" w:cstheme="minorHAnsi"/>
          <w:i/>
          <w:iCs/>
          <w:sz w:val="28"/>
          <w:szCs w:val="28"/>
          <w:lang w:val="en-US"/>
        </w:rPr>
        <w:t>International Journal of Training and Learning in Higher Education</w:t>
      </w:r>
      <w:r w:rsidRPr="005E1103">
        <w:rPr>
          <w:rFonts w:asciiTheme="minorHAnsi" w:hAnsiTheme="minorHAnsi" w:cstheme="minorHAnsi"/>
          <w:sz w:val="28"/>
          <w:szCs w:val="28"/>
          <w:lang w:val="en-US"/>
        </w:rPr>
        <w:t xml:space="preserve">, </w:t>
      </w:r>
      <w:r w:rsidRPr="005E1103">
        <w:rPr>
          <w:rFonts w:asciiTheme="minorHAnsi" w:hAnsiTheme="minorHAnsi" w:cstheme="minorHAnsi"/>
          <w:i/>
          <w:iCs/>
          <w:sz w:val="28"/>
          <w:szCs w:val="28"/>
          <w:lang w:val="en-US"/>
        </w:rPr>
        <w:t>39 (</w:t>
      </w:r>
      <w:r w:rsidR="00420F8D" w:rsidRPr="005E1103">
        <w:rPr>
          <w:rFonts w:asciiTheme="minorHAnsi" w:hAnsiTheme="minorHAnsi" w:cstheme="minorHAnsi"/>
          <w:i/>
          <w:iCs/>
          <w:sz w:val="28"/>
          <w:szCs w:val="28"/>
          <w:lang w:val="en-US"/>
        </w:rPr>
        <w:t>2)</w:t>
      </w:r>
      <w:r w:rsidR="00420F8D" w:rsidRPr="005E1103">
        <w:rPr>
          <w:rFonts w:asciiTheme="minorHAnsi" w:hAnsiTheme="minorHAnsi" w:cstheme="minorHAnsi"/>
          <w:sz w:val="28"/>
          <w:szCs w:val="28"/>
          <w:lang w:val="en-US"/>
        </w:rPr>
        <w:t xml:space="preserve"> (</w:t>
      </w:r>
      <w:r w:rsidRPr="005E1103">
        <w:rPr>
          <w:rFonts w:asciiTheme="minorHAnsi" w:hAnsiTheme="minorHAnsi" w:cstheme="minorHAnsi"/>
          <w:sz w:val="28"/>
          <w:szCs w:val="28"/>
          <w:lang w:val="en-US"/>
        </w:rPr>
        <w:t>226), 82-98.</w:t>
      </w:r>
    </w:p>
    <w:p w:rsidR="00C71AF3" w:rsidRPr="005E1103" w:rsidRDefault="00C71AF3" w:rsidP="00C71AF3">
      <w:pPr>
        <w:pStyle w:val="Prrafodelista"/>
        <w:widowControl w:val="0"/>
        <w:numPr>
          <w:ilvl w:val="0"/>
          <w:numId w:val="3"/>
        </w:numPr>
        <w:autoSpaceDE w:val="0"/>
        <w:autoSpaceDN w:val="0"/>
        <w:adjustRightInd w:val="0"/>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Alonso, A., &amp; Díez, E. (2008). Universidad y discapacidad: indicadores de buenas prácticas y</w:t>
      </w:r>
    </w:p>
    <w:p w:rsidR="00C71AF3" w:rsidRPr="005E1103" w:rsidRDefault="00C71AF3" w:rsidP="00C71AF3">
      <w:pPr>
        <w:pStyle w:val="Prrafodelista"/>
        <w:autoSpaceDE w:val="0"/>
        <w:autoSpaceDN w:val="0"/>
        <w:adjustRightInd w:val="0"/>
        <w:spacing w:line="360" w:lineRule="auto"/>
        <w:ind w:left="360"/>
        <w:jc w:val="both"/>
        <w:rPr>
          <w:rFonts w:asciiTheme="minorHAnsi" w:hAnsiTheme="minorHAnsi" w:cstheme="minorHAnsi"/>
          <w:sz w:val="28"/>
          <w:szCs w:val="28"/>
        </w:rPr>
      </w:pPr>
      <w:r w:rsidRPr="005E1103">
        <w:rPr>
          <w:rFonts w:asciiTheme="minorHAnsi" w:hAnsiTheme="minorHAnsi" w:cstheme="minorHAnsi"/>
          <w:sz w:val="28"/>
          <w:szCs w:val="28"/>
        </w:rPr>
        <w:t xml:space="preserve">estándares de actuación para programas y servicios. </w:t>
      </w:r>
      <w:r w:rsidRPr="005E1103">
        <w:rPr>
          <w:rFonts w:asciiTheme="minorHAnsi" w:hAnsiTheme="minorHAnsi" w:cstheme="minorHAnsi"/>
          <w:i/>
          <w:iCs/>
          <w:sz w:val="28"/>
          <w:szCs w:val="28"/>
        </w:rPr>
        <w:t>Siglo Cero</w:t>
      </w:r>
      <w:r w:rsidRPr="005E1103">
        <w:rPr>
          <w:rFonts w:asciiTheme="minorHAnsi" w:hAnsiTheme="minorHAnsi" w:cstheme="minorHAnsi"/>
          <w:sz w:val="28"/>
          <w:szCs w:val="28"/>
        </w:rPr>
        <w:t xml:space="preserve">, </w:t>
      </w:r>
      <w:r w:rsidRPr="005E1103">
        <w:rPr>
          <w:rFonts w:asciiTheme="minorHAnsi" w:hAnsiTheme="minorHAnsi" w:cstheme="minorHAnsi"/>
          <w:i/>
          <w:iCs/>
          <w:sz w:val="28"/>
          <w:szCs w:val="28"/>
        </w:rPr>
        <w:t>39</w:t>
      </w:r>
      <w:r w:rsidRPr="005E1103">
        <w:rPr>
          <w:rFonts w:asciiTheme="minorHAnsi" w:hAnsiTheme="minorHAnsi" w:cstheme="minorHAnsi"/>
          <w:sz w:val="28"/>
          <w:szCs w:val="28"/>
        </w:rPr>
        <w:t>(2), 82-98.</w:t>
      </w:r>
    </w:p>
    <w:p w:rsidR="00C71AF3" w:rsidRPr="005E1103" w:rsidRDefault="00C71AF3" w:rsidP="00C71AF3">
      <w:pPr>
        <w:pStyle w:val="Prrafodelista"/>
        <w:widowControl w:val="0"/>
        <w:numPr>
          <w:ilvl w:val="0"/>
          <w:numId w:val="3"/>
        </w:numPr>
        <w:autoSpaceDE w:val="0"/>
        <w:autoSpaceDN w:val="0"/>
        <w:adjustRightInd w:val="0"/>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Álvarez, P.R., Alegre, O.M., &amp; López, D. (2012). Las dificultades de adaptación a la enseñanza</w:t>
      </w:r>
    </w:p>
    <w:p w:rsidR="00C71AF3" w:rsidRPr="005E1103" w:rsidRDefault="00C71AF3" w:rsidP="00C71AF3">
      <w:pPr>
        <w:pStyle w:val="Prrafodelista"/>
        <w:autoSpaceDE w:val="0"/>
        <w:autoSpaceDN w:val="0"/>
        <w:adjustRightInd w:val="0"/>
        <w:spacing w:line="360" w:lineRule="auto"/>
        <w:ind w:left="360"/>
        <w:jc w:val="both"/>
        <w:rPr>
          <w:rFonts w:asciiTheme="minorHAnsi" w:hAnsiTheme="minorHAnsi" w:cstheme="minorHAnsi"/>
          <w:sz w:val="28"/>
          <w:szCs w:val="28"/>
        </w:rPr>
      </w:pPr>
      <w:r w:rsidRPr="005E1103">
        <w:rPr>
          <w:rFonts w:asciiTheme="minorHAnsi" w:hAnsiTheme="minorHAnsi" w:cstheme="minorHAnsi"/>
          <w:sz w:val="28"/>
          <w:szCs w:val="28"/>
        </w:rPr>
        <w:t xml:space="preserve">universitaria de los estudiantes con discapacidad: un análisis desde un enfoque de orientación inclusiva. </w:t>
      </w:r>
      <w:r w:rsidRPr="005E1103">
        <w:rPr>
          <w:rFonts w:asciiTheme="minorHAnsi" w:hAnsiTheme="minorHAnsi" w:cstheme="minorHAnsi"/>
          <w:i/>
          <w:iCs/>
          <w:sz w:val="28"/>
          <w:szCs w:val="28"/>
        </w:rPr>
        <w:t>Relieve</w:t>
      </w:r>
      <w:r w:rsidRPr="005E1103">
        <w:rPr>
          <w:rFonts w:asciiTheme="minorHAnsi" w:hAnsiTheme="minorHAnsi" w:cstheme="minorHAnsi"/>
          <w:sz w:val="28"/>
          <w:szCs w:val="28"/>
        </w:rPr>
        <w:t xml:space="preserve">, </w:t>
      </w:r>
      <w:r w:rsidRPr="005E1103">
        <w:rPr>
          <w:rFonts w:asciiTheme="minorHAnsi" w:hAnsiTheme="minorHAnsi" w:cstheme="minorHAnsi"/>
          <w:i/>
          <w:iCs/>
          <w:sz w:val="28"/>
          <w:szCs w:val="28"/>
        </w:rPr>
        <w:t>18</w:t>
      </w:r>
      <w:r w:rsidRPr="005E1103">
        <w:rPr>
          <w:rFonts w:asciiTheme="minorHAnsi" w:hAnsiTheme="minorHAnsi" w:cstheme="minorHAnsi"/>
          <w:sz w:val="28"/>
          <w:szCs w:val="28"/>
        </w:rPr>
        <w:t>(2), art.3. doi:10.7203/relieve.18.2.1986</w:t>
      </w:r>
    </w:p>
    <w:p w:rsidR="00C71AF3" w:rsidRPr="005E1103" w:rsidRDefault="00C71AF3" w:rsidP="00C71AF3">
      <w:pPr>
        <w:pStyle w:val="Prrafodelista"/>
        <w:widowControl w:val="0"/>
        <w:numPr>
          <w:ilvl w:val="0"/>
          <w:numId w:val="3"/>
        </w:numPr>
        <w:autoSpaceDE w:val="0"/>
        <w:autoSpaceDN w:val="0"/>
        <w:adjustRightInd w:val="0"/>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Bilbao, M</w:t>
      </w:r>
      <w:r w:rsidRPr="005E1103">
        <w:rPr>
          <w:rFonts w:asciiTheme="minorHAnsi" w:hAnsiTheme="minorHAnsi" w:cstheme="minorHAnsi"/>
          <w:sz w:val="28"/>
          <w:szCs w:val="28"/>
          <w:vertAlign w:val="superscript"/>
        </w:rPr>
        <w:t>a</w:t>
      </w:r>
      <w:r w:rsidRPr="005E1103">
        <w:rPr>
          <w:rFonts w:asciiTheme="minorHAnsi" w:hAnsiTheme="minorHAnsi" w:cstheme="minorHAnsi"/>
          <w:sz w:val="28"/>
          <w:szCs w:val="28"/>
        </w:rPr>
        <w:t xml:space="preserve"> C. (2010). Percepción de los recursos que favorecen la integración de estudiantes con discapacidad en la educación superior según los docentes de la </w:t>
      </w:r>
      <w:r w:rsidRPr="005E1103">
        <w:rPr>
          <w:rFonts w:asciiTheme="minorHAnsi" w:hAnsiTheme="minorHAnsi" w:cstheme="minorHAnsi"/>
          <w:sz w:val="28"/>
          <w:szCs w:val="28"/>
        </w:rPr>
        <w:lastRenderedPageBreak/>
        <w:t xml:space="preserve">Universidad de Burgos. </w:t>
      </w:r>
      <w:r w:rsidRPr="005E1103">
        <w:rPr>
          <w:rFonts w:asciiTheme="minorHAnsi" w:hAnsiTheme="minorHAnsi" w:cstheme="minorHAnsi"/>
          <w:i/>
          <w:iCs/>
          <w:sz w:val="28"/>
          <w:szCs w:val="28"/>
        </w:rPr>
        <w:t>Educación y diversidad.</w:t>
      </w:r>
      <w:r w:rsidRPr="005E1103">
        <w:rPr>
          <w:rFonts w:asciiTheme="minorHAnsi" w:hAnsiTheme="minorHAnsi" w:cstheme="minorHAnsi"/>
          <w:sz w:val="28"/>
          <w:szCs w:val="28"/>
        </w:rPr>
        <w:t xml:space="preserve">, </w:t>
      </w:r>
      <w:r w:rsidRPr="005E1103">
        <w:rPr>
          <w:rFonts w:asciiTheme="minorHAnsi" w:hAnsiTheme="minorHAnsi" w:cstheme="minorHAnsi"/>
          <w:i/>
          <w:iCs/>
          <w:sz w:val="28"/>
          <w:szCs w:val="28"/>
        </w:rPr>
        <w:t xml:space="preserve">4 </w:t>
      </w:r>
      <w:r w:rsidRPr="005E1103">
        <w:rPr>
          <w:rFonts w:asciiTheme="minorHAnsi" w:hAnsiTheme="minorHAnsi" w:cstheme="minorHAnsi"/>
          <w:sz w:val="28"/>
          <w:szCs w:val="28"/>
        </w:rPr>
        <w:t>(2, Julio-diciembre), 33-50.</w:t>
      </w:r>
    </w:p>
    <w:p w:rsidR="00C71AF3" w:rsidRPr="005E1103" w:rsidRDefault="00C71AF3" w:rsidP="00C71AF3">
      <w:pPr>
        <w:pStyle w:val="Prrafodelista"/>
        <w:widowControl w:val="0"/>
        <w:numPr>
          <w:ilvl w:val="0"/>
          <w:numId w:val="3"/>
        </w:numPr>
        <w:autoSpaceDE w:val="0"/>
        <w:autoSpaceDN w:val="0"/>
        <w:adjustRightInd w:val="0"/>
        <w:spacing w:before="0" w:line="360" w:lineRule="auto"/>
        <w:jc w:val="both"/>
        <w:rPr>
          <w:rFonts w:asciiTheme="minorHAnsi" w:hAnsiTheme="minorHAnsi" w:cstheme="minorHAnsi"/>
          <w:i/>
          <w:iCs/>
          <w:sz w:val="28"/>
          <w:szCs w:val="28"/>
        </w:rPr>
      </w:pPr>
      <w:r w:rsidRPr="005E1103">
        <w:rPr>
          <w:rFonts w:asciiTheme="minorHAnsi" w:hAnsiTheme="minorHAnsi" w:cstheme="minorHAnsi"/>
          <w:sz w:val="28"/>
          <w:szCs w:val="28"/>
        </w:rPr>
        <w:t xml:space="preserve">CERMI. (2010). </w:t>
      </w:r>
      <w:r w:rsidRPr="005E1103">
        <w:rPr>
          <w:rFonts w:asciiTheme="minorHAnsi" w:hAnsiTheme="minorHAnsi" w:cstheme="minorHAnsi"/>
          <w:i/>
          <w:iCs/>
          <w:sz w:val="28"/>
          <w:szCs w:val="28"/>
        </w:rPr>
        <w:t>Guía para la elaboración de un «Plan de acción al alumnado con discapacidad en la universidad»</w:t>
      </w:r>
      <w:r w:rsidRPr="005E1103">
        <w:rPr>
          <w:rFonts w:asciiTheme="minorHAnsi" w:hAnsiTheme="minorHAnsi" w:cstheme="minorHAnsi"/>
          <w:sz w:val="28"/>
          <w:szCs w:val="28"/>
        </w:rPr>
        <w:t>. CERMI.</w:t>
      </w:r>
    </w:p>
    <w:p w:rsidR="00C71AF3" w:rsidRPr="005E1103" w:rsidRDefault="00C71AF3" w:rsidP="00C71AF3">
      <w:pPr>
        <w:pStyle w:val="Prrafodelista"/>
        <w:widowControl w:val="0"/>
        <w:numPr>
          <w:ilvl w:val="0"/>
          <w:numId w:val="3"/>
        </w:numPr>
        <w:autoSpaceDE w:val="0"/>
        <w:autoSpaceDN w:val="0"/>
        <w:adjustRightInd w:val="0"/>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Díez, E., Alonso, A., Verdugo, M.A., Campo, M., Sancho, S., Calvo, I., &amp; Moral, E. (2011).</w:t>
      </w:r>
    </w:p>
    <w:p w:rsidR="00C71AF3" w:rsidRPr="005E1103" w:rsidRDefault="00C71AF3" w:rsidP="00C71AF3">
      <w:pPr>
        <w:pStyle w:val="Prrafodelista"/>
        <w:autoSpaceDE w:val="0"/>
        <w:autoSpaceDN w:val="0"/>
        <w:adjustRightInd w:val="0"/>
        <w:spacing w:line="360" w:lineRule="auto"/>
        <w:ind w:left="360"/>
        <w:jc w:val="both"/>
        <w:rPr>
          <w:rFonts w:asciiTheme="minorHAnsi" w:hAnsiTheme="minorHAnsi" w:cstheme="minorHAnsi"/>
          <w:sz w:val="28"/>
          <w:szCs w:val="28"/>
        </w:rPr>
      </w:pPr>
      <w:r w:rsidRPr="005E1103">
        <w:rPr>
          <w:rFonts w:asciiTheme="minorHAnsi" w:hAnsiTheme="minorHAnsi" w:cstheme="minorHAnsi"/>
          <w:i/>
          <w:iCs/>
          <w:sz w:val="28"/>
          <w:szCs w:val="28"/>
        </w:rPr>
        <w:t>Espacio Europeo de Educación Superior: estándares e indicadores de buenas prácticas para la atención a estudiantes universitarios con discapacidad.</w:t>
      </w:r>
      <w:r w:rsidRPr="005E1103">
        <w:rPr>
          <w:rFonts w:asciiTheme="minorHAnsi" w:hAnsiTheme="minorHAnsi" w:cstheme="minorHAnsi"/>
          <w:sz w:val="28"/>
          <w:szCs w:val="28"/>
        </w:rPr>
        <w:t xml:space="preserve"> Salamanca: INICO.</w:t>
      </w:r>
    </w:p>
    <w:p w:rsidR="00C71AF3" w:rsidRPr="005E1103" w:rsidRDefault="00C71AF3" w:rsidP="00C71AF3">
      <w:pPr>
        <w:pStyle w:val="Prrafodelista"/>
        <w:widowControl w:val="0"/>
        <w:numPr>
          <w:ilvl w:val="0"/>
          <w:numId w:val="6"/>
        </w:numPr>
        <w:autoSpaceDE w:val="0"/>
        <w:autoSpaceDN w:val="0"/>
        <w:adjustRightInd w:val="0"/>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 xml:space="preserve">Ferreira, C., Vieira, M.J., &amp; Vidal, J. (2014). Sistema de indicadores sobre el apoyo a los estudiantes con discapacidad en las universidades españolas. </w:t>
      </w:r>
      <w:r w:rsidRPr="005E1103">
        <w:rPr>
          <w:rFonts w:asciiTheme="minorHAnsi" w:hAnsiTheme="minorHAnsi" w:cstheme="minorHAnsi"/>
          <w:i/>
          <w:iCs/>
          <w:sz w:val="28"/>
          <w:szCs w:val="28"/>
        </w:rPr>
        <w:t>Revista de Educación</w:t>
      </w:r>
      <w:r w:rsidRPr="005E1103">
        <w:rPr>
          <w:rFonts w:asciiTheme="minorHAnsi" w:hAnsiTheme="minorHAnsi" w:cstheme="minorHAnsi"/>
          <w:sz w:val="28"/>
          <w:szCs w:val="28"/>
        </w:rPr>
        <w:t xml:space="preserve">, </w:t>
      </w:r>
      <w:r w:rsidRPr="005E1103">
        <w:rPr>
          <w:rFonts w:asciiTheme="minorHAnsi" w:hAnsiTheme="minorHAnsi" w:cstheme="minorHAnsi"/>
          <w:i/>
          <w:iCs/>
          <w:sz w:val="28"/>
          <w:szCs w:val="28"/>
        </w:rPr>
        <w:t xml:space="preserve">363 </w:t>
      </w:r>
      <w:r w:rsidRPr="005E1103">
        <w:rPr>
          <w:rFonts w:asciiTheme="minorHAnsi" w:hAnsiTheme="minorHAnsi" w:cstheme="minorHAnsi"/>
          <w:sz w:val="28"/>
          <w:szCs w:val="28"/>
        </w:rPr>
        <w:t>(</w:t>
      </w:r>
      <w:r w:rsidR="00420F8D" w:rsidRPr="005E1103">
        <w:rPr>
          <w:rFonts w:asciiTheme="minorHAnsi" w:hAnsiTheme="minorHAnsi" w:cstheme="minorHAnsi"/>
          <w:sz w:val="28"/>
          <w:szCs w:val="28"/>
        </w:rPr>
        <w:t>enero</w:t>
      </w:r>
      <w:r w:rsidRPr="005E1103">
        <w:rPr>
          <w:rFonts w:asciiTheme="minorHAnsi" w:hAnsiTheme="minorHAnsi" w:cstheme="minorHAnsi"/>
          <w:sz w:val="28"/>
          <w:szCs w:val="28"/>
        </w:rPr>
        <w:t>-</w:t>
      </w:r>
      <w:r w:rsidR="00420F8D" w:rsidRPr="005E1103">
        <w:rPr>
          <w:rFonts w:asciiTheme="minorHAnsi" w:hAnsiTheme="minorHAnsi" w:cstheme="minorHAnsi"/>
          <w:sz w:val="28"/>
          <w:szCs w:val="28"/>
        </w:rPr>
        <w:t>abril</w:t>
      </w:r>
      <w:r w:rsidRPr="005E1103">
        <w:rPr>
          <w:rFonts w:asciiTheme="minorHAnsi" w:hAnsiTheme="minorHAnsi" w:cstheme="minorHAnsi"/>
          <w:sz w:val="28"/>
          <w:szCs w:val="28"/>
        </w:rPr>
        <w:t xml:space="preserve"> 2014), 412-444. doi:104438/1988-592X-RE-2012-363-193.</w:t>
      </w:r>
    </w:p>
    <w:p w:rsidR="00C71AF3" w:rsidRPr="005E1103" w:rsidRDefault="00C71AF3" w:rsidP="00C71AF3">
      <w:pPr>
        <w:pStyle w:val="Prrafodelista"/>
        <w:widowControl w:val="0"/>
        <w:numPr>
          <w:ilvl w:val="0"/>
          <w:numId w:val="6"/>
        </w:numPr>
        <w:autoSpaceDE w:val="0"/>
        <w:autoSpaceDN w:val="0"/>
        <w:adjustRightInd w:val="0"/>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 xml:space="preserve">Fundación ONCE, Fundación Repsol, &amp; Universidad Carlos III de Madrid (Eds.). (2013). </w:t>
      </w:r>
      <w:r w:rsidRPr="005E1103">
        <w:rPr>
          <w:rFonts w:asciiTheme="minorHAnsi" w:hAnsiTheme="minorHAnsi" w:cstheme="minorHAnsi"/>
          <w:i/>
          <w:iCs/>
          <w:sz w:val="28"/>
          <w:szCs w:val="28"/>
        </w:rPr>
        <w:t>Investigación sobre las necesidades formativas de los docentes en la educación de estudiantes con discapacidad</w:t>
      </w:r>
      <w:r w:rsidRPr="005E1103">
        <w:rPr>
          <w:rFonts w:asciiTheme="minorHAnsi" w:hAnsiTheme="minorHAnsi" w:cstheme="minorHAnsi"/>
          <w:sz w:val="28"/>
          <w:szCs w:val="28"/>
        </w:rPr>
        <w:t>. España: Fundación ONCE y Fundación REPSOL.</w:t>
      </w:r>
    </w:p>
    <w:p w:rsidR="00C71AF3" w:rsidRPr="005E1103" w:rsidRDefault="00C71AF3" w:rsidP="00C71AF3">
      <w:pPr>
        <w:pStyle w:val="Prrafodelista"/>
        <w:widowControl w:val="0"/>
        <w:numPr>
          <w:ilvl w:val="0"/>
          <w:numId w:val="6"/>
        </w:numPr>
        <w:autoSpaceDE w:val="0"/>
        <w:autoSpaceDN w:val="0"/>
        <w:adjustRightInd w:val="0"/>
        <w:spacing w:before="0" w:line="360" w:lineRule="auto"/>
        <w:jc w:val="both"/>
        <w:rPr>
          <w:rFonts w:asciiTheme="minorHAnsi" w:hAnsiTheme="minorHAnsi" w:cstheme="minorHAnsi"/>
          <w:i/>
          <w:iCs/>
          <w:sz w:val="28"/>
          <w:szCs w:val="28"/>
        </w:rPr>
      </w:pPr>
      <w:r w:rsidRPr="005E1103">
        <w:rPr>
          <w:rFonts w:asciiTheme="minorHAnsi" w:hAnsiTheme="minorHAnsi" w:cstheme="minorHAnsi"/>
          <w:sz w:val="28"/>
          <w:szCs w:val="28"/>
        </w:rPr>
        <w:t xml:space="preserve">Fundación Universia. (2014). </w:t>
      </w:r>
      <w:r w:rsidRPr="005E1103">
        <w:rPr>
          <w:rFonts w:asciiTheme="minorHAnsi" w:hAnsiTheme="minorHAnsi" w:cstheme="minorHAnsi"/>
          <w:i/>
          <w:iCs/>
          <w:sz w:val="28"/>
          <w:szCs w:val="28"/>
        </w:rPr>
        <w:t>Universidad y Discapacidad. II Estudio sobre el grado de inclusión del sistema universitario español respecto de la realidad de la discapacidad</w:t>
      </w:r>
      <w:r w:rsidRPr="005E1103">
        <w:rPr>
          <w:rFonts w:asciiTheme="minorHAnsi" w:hAnsiTheme="minorHAnsi" w:cstheme="minorHAnsi"/>
          <w:sz w:val="28"/>
          <w:szCs w:val="28"/>
        </w:rPr>
        <w:t xml:space="preserve">. Fundación Universia. </w:t>
      </w:r>
    </w:p>
    <w:p w:rsidR="00C71AF3" w:rsidRPr="005E1103" w:rsidRDefault="005E1103" w:rsidP="00C71AF3">
      <w:pPr>
        <w:pStyle w:val="Prrafodelista"/>
        <w:widowControl w:val="0"/>
        <w:numPr>
          <w:ilvl w:val="0"/>
          <w:numId w:val="6"/>
        </w:numPr>
        <w:autoSpaceDE w:val="0"/>
        <w:autoSpaceDN w:val="0"/>
        <w:adjustRightInd w:val="0"/>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Luque, A.</w:t>
      </w:r>
      <w:r w:rsidR="00C71AF3" w:rsidRPr="005E1103">
        <w:rPr>
          <w:rFonts w:asciiTheme="minorHAnsi" w:hAnsiTheme="minorHAnsi" w:cstheme="minorHAnsi"/>
          <w:sz w:val="28"/>
          <w:szCs w:val="28"/>
        </w:rPr>
        <w:t xml:space="preserve">, &amp; Gutiérrez, R. (2014). La integración educativa y social del alumnado con discapacidad en el EEES: Universidad de Bolonia. </w:t>
      </w:r>
      <w:r w:rsidR="00C71AF3" w:rsidRPr="005E1103">
        <w:rPr>
          <w:rFonts w:asciiTheme="minorHAnsi" w:hAnsiTheme="minorHAnsi" w:cstheme="minorHAnsi"/>
          <w:i/>
          <w:iCs/>
          <w:sz w:val="28"/>
          <w:szCs w:val="28"/>
        </w:rPr>
        <w:t>Revista complutense de Educación</w:t>
      </w:r>
      <w:r w:rsidR="00C71AF3" w:rsidRPr="005E1103">
        <w:rPr>
          <w:rFonts w:asciiTheme="minorHAnsi" w:hAnsiTheme="minorHAnsi" w:cstheme="minorHAnsi"/>
          <w:sz w:val="28"/>
          <w:szCs w:val="28"/>
        </w:rPr>
        <w:t xml:space="preserve">, </w:t>
      </w:r>
      <w:r w:rsidR="00C71AF3" w:rsidRPr="005E1103">
        <w:rPr>
          <w:rFonts w:asciiTheme="minorHAnsi" w:hAnsiTheme="minorHAnsi" w:cstheme="minorHAnsi"/>
          <w:i/>
          <w:iCs/>
          <w:sz w:val="28"/>
          <w:szCs w:val="28"/>
        </w:rPr>
        <w:t>25</w:t>
      </w:r>
      <w:r w:rsidR="00C71AF3" w:rsidRPr="005E1103">
        <w:rPr>
          <w:rFonts w:asciiTheme="minorHAnsi" w:hAnsiTheme="minorHAnsi" w:cstheme="minorHAnsi"/>
          <w:sz w:val="28"/>
          <w:szCs w:val="28"/>
        </w:rPr>
        <w:t>(1), 153-175.</w:t>
      </w:r>
    </w:p>
    <w:p w:rsidR="00C71AF3" w:rsidRPr="005E1103" w:rsidRDefault="00C71AF3" w:rsidP="00C71AF3">
      <w:pPr>
        <w:pStyle w:val="Prrafodelista"/>
        <w:widowControl w:val="0"/>
        <w:numPr>
          <w:ilvl w:val="0"/>
          <w:numId w:val="6"/>
        </w:numPr>
        <w:autoSpaceDE w:val="0"/>
        <w:autoSpaceDN w:val="0"/>
        <w:adjustRightInd w:val="0"/>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 xml:space="preserve">Luque, D. J., Rodríguez, G., &amp; Luque, M. J. (2014). Adecuación del currículum al alumnado universitario con discapacidad: un estudio de caso. </w:t>
      </w:r>
      <w:r w:rsidRPr="005E1103">
        <w:rPr>
          <w:rFonts w:asciiTheme="minorHAnsi" w:hAnsiTheme="minorHAnsi" w:cstheme="minorHAnsi"/>
          <w:i/>
          <w:iCs/>
          <w:sz w:val="28"/>
          <w:szCs w:val="28"/>
        </w:rPr>
        <w:t>Revista iberoamericana de educación superior</w:t>
      </w:r>
      <w:r w:rsidRPr="005E1103">
        <w:rPr>
          <w:rFonts w:asciiTheme="minorHAnsi" w:hAnsiTheme="minorHAnsi" w:cstheme="minorHAnsi"/>
          <w:sz w:val="28"/>
          <w:szCs w:val="28"/>
        </w:rPr>
        <w:t xml:space="preserve">, </w:t>
      </w:r>
      <w:r w:rsidRPr="005E1103">
        <w:rPr>
          <w:rFonts w:asciiTheme="minorHAnsi" w:hAnsiTheme="minorHAnsi" w:cstheme="minorHAnsi"/>
          <w:i/>
          <w:iCs/>
          <w:sz w:val="28"/>
          <w:szCs w:val="28"/>
        </w:rPr>
        <w:t>5</w:t>
      </w:r>
      <w:r w:rsidRPr="005E1103">
        <w:rPr>
          <w:rFonts w:asciiTheme="minorHAnsi" w:hAnsiTheme="minorHAnsi" w:cstheme="minorHAnsi"/>
          <w:sz w:val="28"/>
          <w:szCs w:val="28"/>
        </w:rPr>
        <w:t>(13), 101-116.</w:t>
      </w:r>
    </w:p>
    <w:p w:rsidR="00C71AF3" w:rsidRPr="005E1103" w:rsidRDefault="00C71AF3" w:rsidP="00C71AF3">
      <w:pPr>
        <w:pStyle w:val="Prrafodelista"/>
        <w:widowControl w:val="0"/>
        <w:numPr>
          <w:ilvl w:val="0"/>
          <w:numId w:val="6"/>
        </w:numPr>
        <w:autoSpaceDE w:val="0"/>
        <w:autoSpaceDN w:val="0"/>
        <w:adjustRightInd w:val="0"/>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Martínez, I.M. (2015). La inclusión, un valor de excelencia para la Universidad de Granada.</w:t>
      </w:r>
    </w:p>
    <w:p w:rsidR="00C71AF3" w:rsidRPr="005E1103" w:rsidRDefault="00C71AF3" w:rsidP="00C71AF3">
      <w:pPr>
        <w:pStyle w:val="Prrafodelista"/>
        <w:autoSpaceDE w:val="0"/>
        <w:autoSpaceDN w:val="0"/>
        <w:adjustRightInd w:val="0"/>
        <w:spacing w:line="360" w:lineRule="auto"/>
        <w:ind w:left="360"/>
        <w:jc w:val="both"/>
        <w:rPr>
          <w:rFonts w:asciiTheme="minorHAnsi" w:hAnsiTheme="minorHAnsi" w:cstheme="minorHAnsi"/>
          <w:sz w:val="28"/>
          <w:szCs w:val="28"/>
        </w:rPr>
      </w:pPr>
      <w:r w:rsidRPr="005E1103">
        <w:rPr>
          <w:rFonts w:asciiTheme="minorHAnsi" w:hAnsiTheme="minorHAnsi" w:cstheme="minorHAnsi"/>
          <w:sz w:val="28"/>
          <w:szCs w:val="28"/>
        </w:rPr>
        <w:t xml:space="preserve">Recuperado a partir de </w:t>
      </w:r>
      <w:hyperlink r:id="rId28" w:history="1">
        <w:r w:rsidRPr="005E1103">
          <w:rPr>
            <w:rStyle w:val="Hipervnculo"/>
            <w:rFonts w:asciiTheme="minorHAnsi" w:hAnsiTheme="minorHAnsi" w:cstheme="minorHAnsi"/>
            <w:sz w:val="28"/>
            <w:szCs w:val="28"/>
          </w:rPr>
          <w:t>http://pilararanda.info/reflexiones-sobre-la-ugr/la-inclusion-un-valor-de</w:t>
        </w:r>
      </w:hyperlink>
    </w:p>
    <w:p w:rsidR="00C71AF3" w:rsidRPr="005E1103" w:rsidRDefault="00C71AF3" w:rsidP="00C71AF3">
      <w:pPr>
        <w:pStyle w:val="Prrafodelista"/>
        <w:autoSpaceDE w:val="0"/>
        <w:autoSpaceDN w:val="0"/>
        <w:adjustRightInd w:val="0"/>
        <w:spacing w:line="360" w:lineRule="auto"/>
        <w:ind w:left="360"/>
        <w:jc w:val="both"/>
        <w:rPr>
          <w:rFonts w:asciiTheme="minorHAnsi" w:hAnsiTheme="minorHAnsi" w:cstheme="minorHAnsi"/>
          <w:sz w:val="28"/>
          <w:szCs w:val="28"/>
        </w:rPr>
      </w:pPr>
      <w:r w:rsidRPr="005E1103">
        <w:rPr>
          <w:rFonts w:asciiTheme="minorHAnsi" w:hAnsiTheme="minorHAnsi" w:cstheme="minorHAnsi"/>
          <w:sz w:val="28"/>
          <w:szCs w:val="28"/>
        </w:rPr>
        <w:t>excelencia-para-la-universidad-de-granada-por-isabel-m-martinez-lozano/.</w:t>
      </w:r>
    </w:p>
    <w:p w:rsidR="00C71AF3" w:rsidRPr="005E1103" w:rsidRDefault="00C71AF3" w:rsidP="00C71AF3">
      <w:pPr>
        <w:pStyle w:val="Prrafodelista"/>
        <w:widowControl w:val="0"/>
        <w:numPr>
          <w:ilvl w:val="0"/>
          <w:numId w:val="3"/>
        </w:numPr>
        <w:autoSpaceDE w:val="0"/>
        <w:autoSpaceDN w:val="0"/>
        <w:adjustRightInd w:val="0"/>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lastRenderedPageBreak/>
        <w:t xml:space="preserve">Peralta, A. (2007). </w:t>
      </w:r>
      <w:r w:rsidRPr="005E1103">
        <w:rPr>
          <w:rFonts w:asciiTheme="minorHAnsi" w:hAnsiTheme="minorHAnsi" w:cstheme="minorHAnsi"/>
          <w:i/>
          <w:iCs/>
          <w:sz w:val="28"/>
          <w:szCs w:val="28"/>
        </w:rPr>
        <w:t>Libro Blanco sobre Universidad y Discapacidad</w:t>
      </w:r>
      <w:r w:rsidRPr="005E1103">
        <w:rPr>
          <w:rFonts w:asciiTheme="minorHAnsi" w:hAnsiTheme="minorHAnsi" w:cstheme="minorHAnsi"/>
          <w:sz w:val="28"/>
          <w:szCs w:val="28"/>
        </w:rPr>
        <w:t>. Madrid: Real Patronato sobre Discapacidad.</w:t>
      </w:r>
    </w:p>
    <w:p w:rsidR="00C71AF3" w:rsidRPr="005E1103" w:rsidRDefault="00C71AF3" w:rsidP="00C71AF3">
      <w:pPr>
        <w:pStyle w:val="Prrafodelista"/>
        <w:widowControl w:val="0"/>
        <w:numPr>
          <w:ilvl w:val="0"/>
          <w:numId w:val="3"/>
        </w:numPr>
        <w:autoSpaceDE w:val="0"/>
        <w:autoSpaceDN w:val="0"/>
        <w:adjustRightInd w:val="0"/>
        <w:spacing w:before="0" w:line="360" w:lineRule="auto"/>
        <w:jc w:val="both"/>
        <w:rPr>
          <w:rFonts w:asciiTheme="minorHAnsi" w:hAnsiTheme="minorHAnsi" w:cstheme="minorHAnsi"/>
          <w:i/>
          <w:iCs/>
          <w:sz w:val="28"/>
          <w:szCs w:val="28"/>
        </w:rPr>
      </w:pPr>
      <w:r w:rsidRPr="005E1103">
        <w:rPr>
          <w:rFonts w:asciiTheme="minorHAnsi" w:hAnsiTheme="minorHAnsi" w:cstheme="minorHAnsi"/>
          <w:sz w:val="28"/>
          <w:szCs w:val="28"/>
        </w:rPr>
        <w:t xml:space="preserve">Rubiralta, M. (2011). </w:t>
      </w:r>
      <w:r w:rsidRPr="005E1103">
        <w:rPr>
          <w:rFonts w:asciiTheme="minorHAnsi" w:hAnsiTheme="minorHAnsi" w:cstheme="minorHAnsi"/>
          <w:i/>
          <w:iCs/>
          <w:sz w:val="28"/>
          <w:szCs w:val="28"/>
        </w:rPr>
        <w:t>Las políticas sobre discapacidad en el sistema universitario español.</w:t>
      </w:r>
      <w:r w:rsidRPr="005E1103">
        <w:rPr>
          <w:rFonts w:asciiTheme="minorHAnsi" w:hAnsiTheme="minorHAnsi" w:cstheme="minorHAnsi"/>
          <w:sz w:val="28"/>
          <w:szCs w:val="28"/>
        </w:rPr>
        <w:t xml:space="preserve"> MEC.</w:t>
      </w:r>
    </w:p>
    <w:p w:rsidR="00C71AF3" w:rsidRPr="005E1103" w:rsidRDefault="00C71AF3" w:rsidP="00C71AF3">
      <w:pPr>
        <w:pStyle w:val="Prrafodelista"/>
        <w:widowControl w:val="0"/>
        <w:numPr>
          <w:ilvl w:val="0"/>
          <w:numId w:val="3"/>
        </w:numPr>
        <w:autoSpaceDE w:val="0"/>
        <w:autoSpaceDN w:val="0"/>
        <w:adjustRightInd w:val="0"/>
        <w:spacing w:before="0" w:line="360" w:lineRule="auto"/>
        <w:jc w:val="both"/>
        <w:rPr>
          <w:rFonts w:asciiTheme="minorHAnsi" w:hAnsiTheme="minorHAnsi" w:cstheme="minorHAnsi"/>
          <w:sz w:val="28"/>
          <w:szCs w:val="28"/>
          <w:lang w:val="en-US"/>
        </w:rPr>
      </w:pPr>
      <w:r w:rsidRPr="005E1103">
        <w:rPr>
          <w:rFonts w:asciiTheme="minorHAnsi" w:hAnsiTheme="minorHAnsi" w:cstheme="minorHAnsi"/>
          <w:sz w:val="28"/>
          <w:szCs w:val="28"/>
        </w:rPr>
        <w:t xml:space="preserve">Vieira, M.J., Junquera, S., &amp; Vidal, J. (2004). Los servicios de estudiantes en la Universidad como criterio de calidad. </w:t>
      </w:r>
      <w:r w:rsidRPr="005E1103">
        <w:rPr>
          <w:rFonts w:asciiTheme="minorHAnsi" w:hAnsiTheme="minorHAnsi" w:cstheme="minorHAnsi"/>
          <w:i/>
          <w:iCs/>
          <w:sz w:val="28"/>
          <w:szCs w:val="28"/>
          <w:lang w:val="en-US"/>
        </w:rPr>
        <w:t>Revista de Pedagogía</w:t>
      </w:r>
      <w:r w:rsidRPr="005E1103">
        <w:rPr>
          <w:rFonts w:asciiTheme="minorHAnsi" w:hAnsiTheme="minorHAnsi" w:cstheme="minorHAnsi"/>
          <w:sz w:val="28"/>
          <w:szCs w:val="28"/>
          <w:lang w:val="en-US"/>
        </w:rPr>
        <w:t xml:space="preserve">, </w:t>
      </w:r>
      <w:r w:rsidRPr="005E1103">
        <w:rPr>
          <w:rFonts w:asciiTheme="minorHAnsi" w:hAnsiTheme="minorHAnsi" w:cstheme="minorHAnsi"/>
          <w:i/>
          <w:iCs/>
          <w:sz w:val="28"/>
          <w:szCs w:val="28"/>
          <w:lang w:val="en-US"/>
        </w:rPr>
        <w:t>56</w:t>
      </w:r>
      <w:r w:rsidRPr="005E1103">
        <w:rPr>
          <w:rFonts w:asciiTheme="minorHAnsi" w:hAnsiTheme="minorHAnsi" w:cstheme="minorHAnsi"/>
          <w:sz w:val="28"/>
          <w:szCs w:val="28"/>
          <w:lang w:val="en-US"/>
        </w:rPr>
        <w:t>(2), 330-345.</w:t>
      </w:r>
    </w:p>
    <w:p w:rsidR="00C71AF3" w:rsidRPr="005E1103" w:rsidRDefault="00C71AF3">
      <w:pPr>
        <w:rPr>
          <w:rFonts w:eastAsia="Calibri" w:cstheme="minorHAnsi"/>
          <w:sz w:val="28"/>
          <w:szCs w:val="28"/>
          <w:lang w:val="en-US"/>
        </w:rPr>
      </w:pPr>
      <w:r w:rsidRPr="005E1103">
        <w:rPr>
          <w:rFonts w:cstheme="minorHAnsi"/>
          <w:sz w:val="28"/>
          <w:szCs w:val="28"/>
          <w:lang w:val="en-US"/>
        </w:rPr>
        <w:br w:type="page"/>
      </w:r>
    </w:p>
    <w:p w:rsidR="00C71AF3" w:rsidRPr="005E1103" w:rsidRDefault="00C71AF3" w:rsidP="00C71AF3">
      <w:pPr>
        <w:spacing w:line="360" w:lineRule="auto"/>
        <w:jc w:val="center"/>
        <w:rPr>
          <w:rFonts w:cstheme="minorHAnsi"/>
          <w:b/>
          <w:sz w:val="28"/>
          <w:szCs w:val="28"/>
        </w:rPr>
      </w:pPr>
      <w:r w:rsidRPr="005E1103">
        <w:rPr>
          <w:rFonts w:cstheme="minorHAnsi"/>
          <w:b/>
          <w:sz w:val="28"/>
          <w:szCs w:val="28"/>
        </w:rPr>
        <w:lastRenderedPageBreak/>
        <w:t>COMUNICACIÓN 4</w:t>
      </w:r>
    </w:p>
    <w:p w:rsidR="00C71AF3" w:rsidRPr="00420F8D" w:rsidRDefault="00C71AF3" w:rsidP="00420F8D">
      <w:pPr>
        <w:pBdr>
          <w:top w:val="single" w:sz="4" w:space="1" w:color="auto"/>
          <w:left w:val="single" w:sz="4" w:space="4" w:color="auto"/>
          <w:bottom w:val="single" w:sz="4" w:space="1" w:color="auto"/>
          <w:right w:val="single" w:sz="4" w:space="4" w:color="auto"/>
        </w:pBdr>
        <w:spacing w:line="240" w:lineRule="auto"/>
        <w:jc w:val="center"/>
        <w:rPr>
          <w:rFonts w:eastAsia="MS Mincho" w:cstheme="minorHAnsi"/>
          <w:b/>
          <w:sz w:val="28"/>
          <w:szCs w:val="28"/>
          <w:lang w:val="es-ES_tradnl" w:eastAsia="es-ES"/>
        </w:rPr>
      </w:pPr>
      <w:r w:rsidRPr="00420F8D">
        <w:rPr>
          <w:rFonts w:eastAsia="MS Mincho" w:cstheme="minorHAnsi"/>
          <w:b/>
          <w:sz w:val="28"/>
          <w:szCs w:val="28"/>
          <w:lang w:val="es-ES_tradnl" w:eastAsia="es-ES"/>
        </w:rPr>
        <w:t>Conclusiones del Informe “Cuestiones jurídico-administrativas en torno a la inclusión del alumnado universitario con discapacidad y necesidades educativas especiales”</w:t>
      </w:r>
    </w:p>
    <w:p w:rsidR="00C71AF3" w:rsidRPr="005E1103" w:rsidRDefault="00C71AF3" w:rsidP="00C71AF3">
      <w:pPr>
        <w:spacing w:line="360" w:lineRule="auto"/>
        <w:jc w:val="center"/>
        <w:rPr>
          <w:rFonts w:cstheme="minorHAnsi"/>
          <w:b/>
          <w:sz w:val="28"/>
          <w:szCs w:val="28"/>
          <w:lang w:val="es-ES_tradnl"/>
        </w:rPr>
      </w:pPr>
    </w:p>
    <w:p w:rsidR="00C71AF3" w:rsidRPr="005E1103" w:rsidRDefault="00C71AF3" w:rsidP="00C71AF3">
      <w:pPr>
        <w:spacing w:after="0"/>
        <w:jc w:val="right"/>
        <w:rPr>
          <w:rFonts w:eastAsia="MS Mincho" w:cstheme="minorHAnsi"/>
          <w:sz w:val="28"/>
          <w:szCs w:val="28"/>
          <w:lang w:val="es-ES_tradnl" w:eastAsia="es-ES"/>
        </w:rPr>
      </w:pPr>
      <w:r w:rsidRPr="005E1103">
        <w:rPr>
          <w:rFonts w:eastAsia="MS Mincho" w:cstheme="minorHAnsi"/>
          <w:sz w:val="28"/>
          <w:szCs w:val="28"/>
          <w:lang w:val="es-ES_tradnl" w:eastAsia="es-ES"/>
        </w:rPr>
        <w:t>Paloma Caneiro González</w:t>
      </w:r>
    </w:p>
    <w:p w:rsidR="00C71AF3" w:rsidRPr="005E1103" w:rsidRDefault="00C71AF3" w:rsidP="00C71AF3">
      <w:pPr>
        <w:spacing w:after="0"/>
        <w:jc w:val="right"/>
        <w:rPr>
          <w:rFonts w:eastAsia="MS Mincho" w:cstheme="minorHAnsi"/>
          <w:sz w:val="28"/>
          <w:szCs w:val="28"/>
          <w:lang w:val="es-ES_tradnl" w:eastAsia="es-ES"/>
        </w:rPr>
      </w:pPr>
      <w:r w:rsidRPr="005E1103">
        <w:rPr>
          <w:rFonts w:eastAsia="MS Mincho" w:cstheme="minorHAnsi"/>
          <w:sz w:val="28"/>
          <w:szCs w:val="28"/>
          <w:lang w:val="es-ES_tradnl" w:eastAsia="es-ES"/>
        </w:rPr>
        <w:t>Becaria de la Fundación ONCE, Programa “Oportunidad para el talento”</w:t>
      </w:r>
    </w:p>
    <w:p w:rsidR="00C71AF3" w:rsidRPr="005E1103" w:rsidRDefault="00C71AF3" w:rsidP="00C71AF3">
      <w:pPr>
        <w:spacing w:after="0"/>
        <w:jc w:val="right"/>
        <w:rPr>
          <w:rFonts w:eastAsia="MS Mincho" w:cstheme="minorHAnsi"/>
          <w:sz w:val="28"/>
          <w:szCs w:val="28"/>
          <w:lang w:val="es-ES_tradnl" w:eastAsia="es-ES"/>
        </w:rPr>
      </w:pPr>
      <w:r w:rsidRPr="005E1103">
        <w:rPr>
          <w:rFonts w:eastAsia="MS Mincho" w:cstheme="minorHAnsi"/>
          <w:sz w:val="28"/>
          <w:szCs w:val="28"/>
          <w:lang w:val="es-ES_tradnl" w:eastAsia="es-ES"/>
        </w:rPr>
        <w:t>Doctoranda e investigadora</w:t>
      </w:r>
    </w:p>
    <w:p w:rsidR="00C71AF3" w:rsidRPr="005E1103" w:rsidRDefault="00C71AF3" w:rsidP="00C71AF3">
      <w:pPr>
        <w:spacing w:after="0"/>
        <w:jc w:val="right"/>
        <w:rPr>
          <w:rFonts w:eastAsia="MS Mincho" w:cstheme="minorHAnsi"/>
          <w:sz w:val="28"/>
          <w:szCs w:val="28"/>
          <w:lang w:val="es-ES_tradnl" w:eastAsia="es-ES"/>
        </w:rPr>
      </w:pPr>
      <w:r w:rsidRPr="005E1103">
        <w:rPr>
          <w:rFonts w:eastAsia="MS Mincho" w:cstheme="minorHAnsi"/>
          <w:sz w:val="28"/>
          <w:szCs w:val="28"/>
          <w:lang w:val="es-ES_tradnl" w:eastAsia="es-ES"/>
        </w:rPr>
        <w:t>Universidade da Coruña</w:t>
      </w:r>
    </w:p>
    <w:p w:rsidR="00C71AF3" w:rsidRPr="005E1103" w:rsidRDefault="00C71AF3" w:rsidP="00C71AF3">
      <w:pPr>
        <w:spacing w:after="0"/>
        <w:jc w:val="right"/>
        <w:rPr>
          <w:rFonts w:eastAsia="MS Mincho" w:cstheme="minorHAnsi"/>
          <w:sz w:val="28"/>
          <w:szCs w:val="28"/>
          <w:lang w:val="es-ES_tradnl" w:eastAsia="es-ES"/>
        </w:rPr>
      </w:pPr>
    </w:p>
    <w:p w:rsidR="00C71AF3" w:rsidRPr="005E1103" w:rsidRDefault="00C71AF3" w:rsidP="00C71AF3">
      <w:pPr>
        <w:spacing w:after="0"/>
        <w:jc w:val="right"/>
        <w:rPr>
          <w:rFonts w:eastAsia="MS Mincho" w:cstheme="minorHAnsi"/>
          <w:sz w:val="28"/>
          <w:szCs w:val="28"/>
          <w:lang w:val="es-ES_tradnl" w:eastAsia="es-ES"/>
        </w:rPr>
      </w:pPr>
      <w:r w:rsidRPr="005E1103">
        <w:rPr>
          <w:rFonts w:eastAsia="MS Mincho" w:cstheme="minorHAnsi"/>
          <w:sz w:val="28"/>
          <w:szCs w:val="28"/>
          <w:lang w:val="es-ES_tradnl" w:eastAsia="es-ES"/>
        </w:rPr>
        <w:t>Jorge López-Veiga Brea</w:t>
      </w:r>
    </w:p>
    <w:p w:rsidR="00C71AF3" w:rsidRPr="005E1103" w:rsidRDefault="00C71AF3" w:rsidP="00C71AF3">
      <w:pPr>
        <w:spacing w:after="0"/>
        <w:jc w:val="right"/>
        <w:rPr>
          <w:rFonts w:eastAsia="MS Mincho" w:cstheme="minorHAnsi"/>
          <w:sz w:val="28"/>
          <w:szCs w:val="28"/>
          <w:lang w:val="es-ES_tradnl" w:eastAsia="es-ES"/>
        </w:rPr>
      </w:pPr>
      <w:r w:rsidRPr="005E1103">
        <w:rPr>
          <w:rFonts w:eastAsia="MS Mincho" w:cstheme="minorHAnsi"/>
          <w:sz w:val="28"/>
          <w:szCs w:val="28"/>
          <w:lang w:val="es-ES_tradnl" w:eastAsia="es-ES"/>
        </w:rPr>
        <w:t xml:space="preserve">Doctorando e investigador </w:t>
      </w:r>
    </w:p>
    <w:p w:rsidR="00C71AF3" w:rsidRPr="005E1103" w:rsidRDefault="00C71AF3" w:rsidP="00C71AF3">
      <w:pPr>
        <w:spacing w:after="0"/>
        <w:jc w:val="right"/>
        <w:rPr>
          <w:rFonts w:eastAsia="MS Mincho" w:cstheme="minorHAnsi"/>
          <w:sz w:val="28"/>
          <w:szCs w:val="28"/>
          <w:lang w:val="es-ES_tradnl" w:eastAsia="es-ES"/>
        </w:rPr>
      </w:pPr>
      <w:r w:rsidRPr="005E1103">
        <w:rPr>
          <w:rFonts w:eastAsia="MS Mincho" w:cstheme="minorHAnsi"/>
          <w:sz w:val="28"/>
          <w:szCs w:val="28"/>
          <w:lang w:val="es-ES_tradnl" w:eastAsia="es-ES"/>
        </w:rPr>
        <w:t>Universidade da Coruña</w:t>
      </w:r>
    </w:p>
    <w:p w:rsidR="00C71AF3" w:rsidRPr="005E1103" w:rsidRDefault="00C71AF3" w:rsidP="00C71AF3">
      <w:pPr>
        <w:spacing w:line="360" w:lineRule="auto"/>
        <w:jc w:val="both"/>
        <w:rPr>
          <w:rFonts w:eastAsia="MS Mincho" w:cstheme="minorHAnsi"/>
          <w:sz w:val="28"/>
          <w:szCs w:val="28"/>
          <w:lang w:val="es-ES_tradnl" w:eastAsia="es-ES"/>
        </w:rPr>
      </w:pPr>
    </w:p>
    <w:p w:rsidR="00C71AF3" w:rsidRPr="005E1103" w:rsidRDefault="00C71AF3" w:rsidP="00C71AF3">
      <w:pPr>
        <w:spacing w:line="360" w:lineRule="auto"/>
        <w:jc w:val="both"/>
        <w:rPr>
          <w:rFonts w:eastAsia="MS Mincho" w:cstheme="minorHAnsi"/>
          <w:sz w:val="28"/>
          <w:szCs w:val="28"/>
          <w:lang w:eastAsia="es-ES"/>
        </w:rPr>
      </w:pPr>
      <w:r w:rsidRPr="005E1103">
        <w:rPr>
          <w:rFonts w:eastAsia="MS Mincho" w:cstheme="minorHAnsi"/>
          <w:sz w:val="28"/>
          <w:szCs w:val="28"/>
          <w:lang w:val="es-ES_tradnl" w:eastAsia="es-ES"/>
        </w:rPr>
        <w:t xml:space="preserve">En febrero de 2014 se constituyó en la Facultad de Derecho de A Coruña el </w:t>
      </w:r>
      <w:r w:rsidRPr="005E1103">
        <w:rPr>
          <w:rFonts w:eastAsia="MS Mincho" w:cstheme="minorHAnsi"/>
          <w:i/>
          <w:sz w:val="28"/>
          <w:szCs w:val="28"/>
          <w:lang w:val="es-ES_tradnl" w:eastAsia="es-ES"/>
        </w:rPr>
        <w:t>Seminario Permanente sobre Diversidad</w:t>
      </w:r>
      <w:r w:rsidRPr="005E1103">
        <w:rPr>
          <w:rFonts w:eastAsia="MS Mincho" w:cstheme="minorHAnsi"/>
          <w:sz w:val="28"/>
          <w:szCs w:val="28"/>
          <w:lang w:val="es-ES_tradnl" w:eastAsia="es-ES"/>
        </w:rPr>
        <w:t xml:space="preserve">, bajo el patrocinio del Consello Social de la Universidade da Coruña. </w:t>
      </w:r>
      <w:r w:rsidRPr="005E1103">
        <w:rPr>
          <w:rFonts w:eastAsia="MS Mincho" w:cstheme="minorHAnsi"/>
          <w:sz w:val="28"/>
          <w:szCs w:val="28"/>
          <w:lang w:eastAsia="es-ES"/>
        </w:rPr>
        <w:t>Las primeras acciones del Seminario se dirigieron a recopilar, sistematizar, analizar y evaluar la normativa universitaria destinada a los estudiantes con discapacidad, con la finalidad de hacer propuestas de reforma, mejora e innovación en el tratamiento de la diversidad. Nuestra atención se centró desde ese momento en la igualdad de oportunidades, fuese cual fuese la causa de la desigualdad.</w:t>
      </w:r>
    </w:p>
    <w:p w:rsidR="00C71AF3" w:rsidRPr="005E1103" w:rsidRDefault="00C71AF3" w:rsidP="00C71AF3">
      <w:pPr>
        <w:spacing w:line="360" w:lineRule="auto"/>
        <w:jc w:val="both"/>
        <w:rPr>
          <w:rFonts w:eastAsia="MS Mincho" w:cstheme="minorHAnsi"/>
          <w:sz w:val="28"/>
          <w:szCs w:val="28"/>
          <w:lang w:eastAsia="es-ES"/>
        </w:rPr>
      </w:pPr>
      <w:r w:rsidRPr="005E1103">
        <w:rPr>
          <w:rFonts w:eastAsia="MS Mincho" w:cstheme="minorHAnsi"/>
          <w:sz w:val="28"/>
          <w:szCs w:val="28"/>
          <w:lang w:eastAsia="es-ES"/>
        </w:rPr>
        <w:t xml:space="preserve">El </w:t>
      </w:r>
      <w:r w:rsidRPr="005E1103">
        <w:rPr>
          <w:rFonts w:eastAsia="MS Mincho" w:cstheme="minorHAnsi"/>
          <w:i/>
          <w:sz w:val="28"/>
          <w:szCs w:val="28"/>
          <w:lang w:eastAsia="es-ES"/>
        </w:rPr>
        <w:t xml:space="preserve">Seminario </w:t>
      </w:r>
      <w:r w:rsidRPr="005E1103">
        <w:rPr>
          <w:rFonts w:eastAsia="MS Mincho" w:cstheme="minorHAnsi"/>
          <w:sz w:val="28"/>
          <w:szCs w:val="28"/>
          <w:lang w:eastAsia="es-ES"/>
        </w:rPr>
        <w:t xml:space="preserve">se constituyó en </w:t>
      </w:r>
      <w:r w:rsidRPr="005E1103">
        <w:rPr>
          <w:rFonts w:eastAsia="MS Mincho" w:cstheme="minorHAnsi"/>
          <w:i/>
          <w:sz w:val="28"/>
          <w:szCs w:val="28"/>
          <w:lang w:eastAsia="es-ES"/>
        </w:rPr>
        <w:t>Observatorio de políticas públicas en materia de discapacidad, atención a la diversidad e igualdad de oportunidades</w:t>
      </w:r>
      <w:r w:rsidRPr="005E1103">
        <w:rPr>
          <w:rFonts w:eastAsia="MS Mincho" w:cstheme="minorHAnsi"/>
          <w:sz w:val="28"/>
          <w:szCs w:val="28"/>
          <w:lang w:eastAsia="es-ES"/>
        </w:rPr>
        <w:t xml:space="preserve">. </w:t>
      </w:r>
      <w:r w:rsidRPr="005E1103">
        <w:rPr>
          <w:rFonts w:eastAsia="MS Mincho" w:cstheme="minorHAnsi"/>
          <w:sz w:val="28"/>
          <w:szCs w:val="28"/>
          <w:lang w:val="es-ES_tradnl" w:eastAsia="es-ES"/>
        </w:rPr>
        <w:t xml:space="preserve">El primer resultado del </w:t>
      </w:r>
      <w:r w:rsidRPr="005E1103">
        <w:rPr>
          <w:rFonts w:eastAsia="MS Mincho" w:cstheme="minorHAnsi"/>
          <w:i/>
          <w:sz w:val="28"/>
          <w:szCs w:val="28"/>
          <w:lang w:val="es-ES_tradnl" w:eastAsia="es-ES"/>
        </w:rPr>
        <w:t>Observatorio</w:t>
      </w:r>
      <w:r w:rsidRPr="005E1103">
        <w:rPr>
          <w:rFonts w:eastAsia="MS Mincho" w:cstheme="minorHAnsi"/>
          <w:sz w:val="28"/>
          <w:szCs w:val="28"/>
          <w:lang w:val="es-ES_tradnl" w:eastAsia="es-ES"/>
        </w:rPr>
        <w:t xml:space="preserve"> fue la </w:t>
      </w:r>
      <w:r w:rsidRPr="005E1103">
        <w:rPr>
          <w:rFonts w:eastAsia="MS Mincho" w:cstheme="minorHAnsi"/>
          <w:i/>
          <w:sz w:val="28"/>
          <w:szCs w:val="28"/>
          <w:lang w:val="es-ES_tradnl" w:eastAsia="es-ES"/>
        </w:rPr>
        <w:t>Carta de los derechos de los estudiantes con discapacidad en la Universidad</w:t>
      </w:r>
      <w:r w:rsidRPr="005E1103">
        <w:rPr>
          <w:rFonts w:eastAsia="MS Mincho" w:cstheme="minorHAnsi"/>
          <w:sz w:val="28"/>
          <w:szCs w:val="28"/>
          <w:lang w:val="es-ES_tradnl" w:eastAsia="es-ES"/>
        </w:rPr>
        <w:t xml:space="preserve">, presentada en el </w:t>
      </w:r>
      <w:r w:rsidRPr="005E1103">
        <w:rPr>
          <w:rFonts w:eastAsia="MS Mincho" w:cstheme="minorHAnsi"/>
          <w:i/>
          <w:sz w:val="28"/>
          <w:szCs w:val="28"/>
          <w:lang w:val="es-ES_tradnl" w:eastAsia="es-ES"/>
        </w:rPr>
        <w:t>II Congreso Internacional sobre Universidad y Discapacidad. Universidades inclusivas, Universidades de Futuro”</w:t>
      </w:r>
      <w:r w:rsidRPr="005E1103">
        <w:rPr>
          <w:rFonts w:eastAsia="MS Mincho" w:cstheme="minorHAnsi"/>
          <w:sz w:val="28"/>
          <w:szCs w:val="28"/>
          <w:lang w:val="es-ES_tradnl" w:eastAsia="es-ES"/>
        </w:rPr>
        <w:t xml:space="preserve">, organizado por la Fundación ONCE y celebrado en noviembre de 2014. Como se expuso en esa ocasión, la </w:t>
      </w:r>
      <w:r w:rsidRPr="005E1103">
        <w:rPr>
          <w:rFonts w:eastAsia="MS Mincho" w:cstheme="minorHAnsi"/>
          <w:i/>
          <w:sz w:val="28"/>
          <w:szCs w:val="28"/>
          <w:lang w:eastAsia="es-ES"/>
        </w:rPr>
        <w:t>Carta</w:t>
      </w:r>
      <w:r w:rsidRPr="005E1103">
        <w:rPr>
          <w:rFonts w:eastAsia="MS Mincho" w:cstheme="minorHAnsi"/>
          <w:sz w:val="28"/>
          <w:szCs w:val="28"/>
          <w:lang w:eastAsia="es-ES"/>
        </w:rPr>
        <w:t xml:space="preserve"> tenía la pretensión de presentarse a la comunidad universitaria con el reto </w:t>
      </w:r>
      <w:r w:rsidRPr="005E1103">
        <w:rPr>
          <w:rFonts w:eastAsia="MS Mincho" w:cstheme="minorHAnsi"/>
          <w:i/>
          <w:iCs/>
          <w:sz w:val="28"/>
          <w:szCs w:val="28"/>
          <w:lang w:eastAsia="es-ES"/>
        </w:rPr>
        <w:t xml:space="preserve">ad futurum </w:t>
      </w:r>
      <w:r w:rsidRPr="005E1103">
        <w:rPr>
          <w:rFonts w:eastAsia="MS Mincho" w:cstheme="minorHAnsi"/>
          <w:sz w:val="28"/>
          <w:szCs w:val="28"/>
          <w:lang w:eastAsia="es-ES"/>
        </w:rPr>
        <w:t xml:space="preserve">de lograr su reconocimiento en las leyes de educación universitaria y en los </w:t>
      </w:r>
      <w:r w:rsidRPr="005E1103">
        <w:rPr>
          <w:rFonts w:eastAsia="MS Mincho" w:cstheme="minorHAnsi"/>
          <w:sz w:val="28"/>
          <w:szCs w:val="28"/>
          <w:lang w:eastAsia="es-ES"/>
        </w:rPr>
        <w:lastRenderedPageBreak/>
        <w:t xml:space="preserve">Estatutos de las universidades. Entretanto, podría ofrecerse como </w:t>
      </w:r>
      <w:r w:rsidRPr="005E1103">
        <w:rPr>
          <w:rFonts w:eastAsia="MS Mincho" w:cstheme="minorHAnsi"/>
          <w:i/>
          <w:iCs/>
          <w:sz w:val="28"/>
          <w:szCs w:val="28"/>
          <w:lang w:eastAsia="es-ES"/>
        </w:rPr>
        <w:t>soft law,</w:t>
      </w:r>
      <w:r w:rsidRPr="005E1103">
        <w:rPr>
          <w:rFonts w:eastAsia="MS Mincho" w:cstheme="minorHAnsi"/>
          <w:sz w:val="28"/>
          <w:szCs w:val="28"/>
          <w:lang w:eastAsia="es-ES"/>
        </w:rPr>
        <w:t xml:space="preserve"> a modo de código de buenas prácticas, que permitiría reconocer a las instituciones de educación superior que hubiesen alcanzado un compromiso real y efectivo en la consecución de una universidad presidida por el “diseño para todos”.</w:t>
      </w:r>
    </w:p>
    <w:p w:rsidR="00C71AF3" w:rsidRPr="005E1103" w:rsidRDefault="00C71AF3" w:rsidP="00C71AF3">
      <w:pPr>
        <w:tabs>
          <w:tab w:val="num" w:pos="720"/>
        </w:tabs>
        <w:spacing w:line="360" w:lineRule="auto"/>
        <w:jc w:val="both"/>
        <w:rPr>
          <w:rFonts w:eastAsia="MS Mincho" w:cstheme="minorHAnsi"/>
          <w:bCs/>
          <w:color w:val="000000"/>
          <w:sz w:val="28"/>
          <w:szCs w:val="28"/>
          <w:lang w:val="es-ES_tradnl" w:eastAsia="es-ES"/>
        </w:rPr>
      </w:pPr>
      <w:r w:rsidRPr="005E1103">
        <w:rPr>
          <w:rFonts w:eastAsia="MS Mincho" w:cstheme="minorHAnsi"/>
          <w:color w:val="000000"/>
          <w:sz w:val="28"/>
          <w:szCs w:val="28"/>
          <w:lang w:val="es-ES_tradnl" w:eastAsia="es-ES"/>
        </w:rPr>
        <w:t xml:space="preserve">La </w:t>
      </w:r>
      <w:r w:rsidRPr="005E1103">
        <w:rPr>
          <w:rFonts w:eastAsia="MS Mincho" w:cstheme="minorHAnsi"/>
          <w:i/>
          <w:color w:val="000000"/>
          <w:sz w:val="28"/>
          <w:szCs w:val="28"/>
          <w:lang w:val="es-ES_tradnl" w:eastAsia="es-ES"/>
        </w:rPr>
        <w:t xml:space="preserve">Carta </w:t>
      </w:r>
      <w:r w:rsidRPr="005E1103">
        <w:rPr>
          <w:rFonts w:eastAsia="MS Mincho" w:cstheme="minorHAnsi"/>
          <w:color w:val="000000"/>
          <w:sz w:val="28"/>
          <w:szCs w:val="28"/>
          <w:lang w:val="es-ES_tradnl" w:eastAsia="es-ES"/>
        </w:rPr>
        <w:t xml:space="preserve">ha servido de atalaya desde la que contemplar la realidad de la discapacidad en la Universidad. A partir de ella, hemos elaborado el </w:t>
      </w:r>
      <w:r w:rsidRPr="005E1103">
        <w:rPr>
          <w:rFonts w:eastAsia="MS Mincho" w:cstheme="minorHAnsi"/>
          <w:i/>
          <w:color w:val="000000"/>
          <w:sz w:val="28"/>
          <w:szCs w:val="28"/>
          <w:lang w:val="es-ES_tradnl" w:eastAsia="es-ES"/>
        </w:rPr>
        <w:t>Informe “</w:t>
      </w:r>
      <w:r w:rsidRPr="005E1103">
        <w:rPr>
          <w:rFonts w:eastAsia="MS Mincho" w:cstheme="minorHAnsi"/>
          <w:bCs/>
          <w:i/>
          <w:color w:val="000000"/>
          <w:sz w:val="28"/>
          <w:szCs w:val="28"/>
          <w:lang w:val="es-ES_tradnl" w:eastAsia="es-ES_tradnl"/>
        </w:rPr>
        <w:t>Cuestiones jurídico-administrativas en torno a la inclusión del alumnado universitario con discapacidad y necesidades educativas especiales</w:t>
      </w:r>
      <w:r w:rsidRPr="005E1103">
        <w:rPr>
          <w:rFonts w:eastAsia="MS Mincho" w:cstheme="minorHAnsi"/>
          <w:bCs/>
          <w:color w:val="000000"/>
          <w:sz w:val="28"/>
          <w:szCs w:val="28"/>
          <w:lang w:val="es-ES_tradnl" w:eastAsia="es-ES"/>
        </w:rPr>
        <w:t>”, que presentamos en este nuevo Foro.</w:t>
      </w:r>
    </w:p>
    <w:p w:rsidR="00C71AF3" w:rsidRPr="005E1103" w:rsidRDefault="00C71AF3" w:rsidP="00C71AF3">
      <w:pPr>
        <w:tabs>
          <w:tab w:val="num" w:pos="720"/>
        </w:tabs>
        <w:spacing w:line="360" w:lineRule="auto"/>
        <w:jc w:val="center"/>
        <w:rPr>
          <w:rFonts w:eastAsia="MS Mincho" w:cstheme="minorHAnsi"/>
          <w:bCs/>
          <w:color w:val="000000"/>
          <w:sz w:val="28"/>
          <w:szCs w:val="28"/>
          <w:lang w:val="es-ES_tradnl" w:eastAsia="es-ES"/>
        </w:rPr>
      </w:pPr>
      <w:r w:rsidRPr="005E1103">
        <w:rPr>
          <w:rFonts w:eastAsia="MS Mincho" w:cstheme="minorHAnsi"/>
          <w:bCs/>
          <w:color w:val="000000"/>
          <w:sz w:val="28"/>
          <w:szCs w:val="28"/>
          <w:lang w:val="es-ES_tradnl" w:eastAsia="es-ES"/>
        </w:rPr>
        <w:t>* * *</w:t>
      </w:r>
    </w:p>
    <w:p w:rsidR="00C71AF3" w:rsidRPr="005E1103" w:rsidRDefault="00C71AF3" w:rsidP="00C71AF3">
      <w:pPr>
        <w:tabs>
          <w:tab w:val="num" w:pos="720"/>
        </w:tabs>
        <w:spacing w:line="360" w:lineRule="auto"/>
        <w:jc w:val="both"/>
        <w:rPr>
          <w:rFonts w:eastAsia="MS Mincho" w:cstheme="minorHAnsi"/>
          <w:bCs/>
          <w:color w:val="000000"/>
          <w:sz w:val="28"/>
          <w:szCs w:val="28"/>
          <w:lang w:eastAsia="es-ES"/>
        </w:rPr>
      </w:pPr>
      <w:r w:rsidRPr="005E1103">
        <w:rPr>
          <w:rFonts w:eastAsia="MS Mincho" w:cstheme="minorHAnsi"/>
          <w:bCs/>
          <w:color w:val="000000"/>
          <w:sz w:val="28"/>
          <w:szCs w:val="28"/>
          <w:lang w:val="es-ES_tradnl" w:eastAsia="es-ES"/>
        </w:rPr>
        <w:t xml:space="preserve">El </w:t>
      </w:r>
      <w:r w:rsidRPr="005E1103">
        <w:rPr>
          <w:rFonts w:eastAsia="MS Mincho" w:cstheme="minorHAnsi"/>
          <w:bCs/>
          <w:i/>
          <w:color w:val="000000"/>
          <w:sz w:val="28"/>
          <w:szCs w:val="28"/>
          <w:lang w:val="es-ES_tradnl" w:eastAsia="es-ES"/>
        </w:rPr>
        <w:t>Informe</w:t>
      </w:r>
      <w:r w:rsidRPr="005E1103">
        <w:rPr>
          <w:rFonts w:eastAsia="MS Mincho" w:cstheme="minorHAnsi"/>
          <w:bCs/>
          <w:color w:val="000000"/>
          <w:sz w:val="28"/>
          <w:szCs w:val="28"/>
          <w:lang w:val="es-ES_tradnl" w:eastAsia="es-ES"/>
        </w:rPr>
        <w:t xml:space="preserve"> contiene un análisis exhaustivo del marco normativo internacional, europeo y español sobre la discapacidad que se completa con una especial profundización en lo referente al ámbito educativo. Pero la parte más relevante, a nuestro juicio, por poco explorada hasta la fecha, se refiere al análisis de las políticas públicas sobre discapacidad impulsadas en el ámbito universitario, ceñido a las instituciones públicas, y a la vista de las informaciones que de modo abierto se ofrecen a los futuros estudiantes en sus respectivas webs: </w:t>
      </w:r>
      <w:r w:rsidRPr="005E1103">
        <w:rPr>
          <w:rFonts w:eastAsia="MS Mincho" w:cstheme="minorHAnsi"/>
          <w:bCs/>
          <w:color w:val="000000"/>
          <w:sz w:val="28"/>
          <w:szCs w:val="28"/>
          <w:lang w:eastAsia="es-ES"/>
        </w:rPr>
        <w:t>guías, planes, programas, proyectos y protocolos fueron objeto de recopilación, sistematización y análisis, en un trabajo intenso de discusión y debate cuyas principales conclusiones se recogen en el texto.</w:t>
      </w:r>
    </w:p>
    <w:p w:rsidR="00C71AF3" w:rsidRPr="005E1103" w:rsidRDefault="00C71AF3" w:rsidP="00C71AF3">
      <w:pPr>
        <w:tabs>
          <w:tab w:val="num" w:pos="720"/>
        </w:tabs>
        <w:spacing w:line="360" w:lineRule="auto"/>
        <w:jc w:val="both"/>
        <w:rPr>
          <w:rFonts w:eastAsia="MS Mincho" w:cstheme="minorHAnsi"/>
          <w:bCs/>
          <w:color w:val="000000"/>
          <w:sz w:val="28"/>
          <w:szCs w:val="28"/>
          <w:lang w:eastAsia="es-ES"/>
        </w:rPr>
      </w:pPr>
      <w:r w:rsidRPr="005E1103">
        <w:rPr>
          <w:rFonts w:eastAsia="MS Mincho" w:cstheme="minorHAnsi"/>
          <w:bCs/>
          <w:color w:val="000000"/>
          <w:sz w:val="28"/>
          <w:szCs w:val="28"/>
          <w:lang w:eastAsia="es-ES"/>
        </w:rPr>
        <w:t>A raíz de ese prolijo estudio, hemos seleccionado los cinco programas básicos inclusivos que debería implementar toda universidad que se quiera denominar inclusiva y que pretenda alcanzar efectivamente las cotas de inclusión exigidas por la normativa vigente: Programa de información y orientación preuniversitaria, Programa de alojamiento inclusivo, Programa de transporte inclusivo, Programa de voluntariado y Programa de inserción laboral.</w:t>
      </w:r>
    </w:p>
    <w:p w:rsidR="00C71AF3" w:rsidRPr="005E1103" w:rsidRDefault="00C71AF3" w:rsidP="00C71AF3">
      <w:pPr>
        <w:tabs>
          <w:tab w:val="num" w:pos="720"/>
        </w:tabs>
        <w:spacing w:line="360" w:lineRule="auto"/>
        <w:jc w:val="center"/>
        <w:rPr>
          <w:rFonts w:eastAsia="MS Mincho" w:cstheme="minorHAnsi"/>
          <w:bCs/>
          <w:color w:val="000000"/>
          <w:sz w:val="28"/>
          <w:szCs w:val="28"/>
          <w:lang w:eastAsia="es-ES"/>
        </w:rPr>
      </w:pPr>
      <w:r w:rsidRPr="005E1103">
        <w:rPr>
          <w:rFonts w:eastAsia="MS Mincho" w:cstheme="minorHAnsi"/>
          <w:bCs/>
          <w:color w:val="000000"/>
          <w:sz w:val="28"/>
          <w:szCs w:val="28"/>
          <w:lang w:eastAsia="es-ES"/>
        </w:rPr>
        <w:t>* * *</w:t>
      </w:r>
    </w:p>
    <w:p w:rsidR="00C71AF3" w:rsidRPr="005E1103" w:rsidRDefault="00C71AF3" w:rsidP="00C71AF3">
      <w:pPr>
        <w:spacing w:line="360" w:lineRule="auto"/>
        <w:jc w:val="both"/>
        <w:rPr>
          <w:rFonts w:eastAsia="Calibri" w:cstheme="minorHAnsi"/>
          <w:sz w:val="28"/>
          <w:szCs w:val="28"/>
        </w:rPr>
      </w:pPr>
      <w:r w:rsidRPr="005E1103">
        <w:rPr>
          <w:rFonts w:eastAsia="Calibri" w:cstheme="minorHAnsi"/>
          <w:sz w:val="28"/>
          <w:szCs w:val="28"/>
        </w:rPr>
        <w:lastRenderedPageBreak/>
        <w:t xml:space="preserve">Esta comunicación pretende destacar las reflexiones conclusivas a las que se llega en el </w:t>
      </w:r>
      <w:r w:rsidRPr="005E1103">
        <w:rPr>
          <w:rFonts w:eastAsia="Calibri" w:cstheme="minorHAnsi"/>
          <w:i/>
          <w:sz w:val="28"/>
          <w:szCs w:val="28"/>
        </w:rPr>
        <w:t>Informe</w:t>
      </w:r>
      <w:r w:rsidRPr="005E1103">
        <w:rPr>
          <w:rFonts w:eastAsia="Calibri" w:cstheme="minorHAnsi"/>
          <w:sz w:val="28"/>
          <w:szCs w:val="28"/>
        </w:rPr>
        <w:t>:</w:t>
      </w:r>
    </w:p>
    <w:p w:rsidR="00C71AF3" w:rsidRPr="005E1103" w:rsidRDefault="005E1103" w:rsidP="00C71AF3">
      <w:pPr>
        <w:spacing w:line="360" w:lineRule="auto"/>
        <w:jc w:val="both"/>
        <w:rPr>
          <w:rFonts w:eastAsia="MS Mincho" w:cstheme="minorHAnsi"/>
          <w:sz w:val="28"/>
          <w:szCs w:val="28"/>
          <w:lang w:eastAsia="es-ES"/>
        </w:rPr>
      </w:pPr>
      <w:bookmarkStart w:id="28" w:name="_Toc298614487"/>
      <w:r w:rsidRPr="005E1103">
        <w:rPr>
          <w:rFonts w:eastAsia="MS Mincho" w:cstheme="minorHAnsi"/>
          <w:b/>
          <w:sz w:val="28"/>
          <w:szCs w:val="28"/>
          <w:lang w:eastAsia="es-ES"/>
        </w:rPr>
        <w:t>Primera. -</w:t>
      </w:r>
      <w:r w:rsidR="00C71AF3" w:rsidRPr="005E1103">
        <w:rPr>
          <w:rFonts w:eastAsia="MS Mincho" w:cstheme="minorHAnsi"/>
          <w:b/>
          <w:sz w:val="28"/>
          <w:szCs w:val="28"/>
          <w:lang w:eastAsia="es-ES"/>
        </w:rPr>
        <w:t xml:space="preserve"> </w:t>
      </w:r>
      <w:r w:rsidR="00C71AF3" w:rsidRPr="005E1103">
        <w:rPr>
          <w:rFonts w:eastAsia="MS Mincho" w:cstheme="minorHAnsi"/>
          <w:b/>
          <w:i/>
          <w:sz w:val="28"/>
          <w:szCs w:val="28"/>
          <w:lang w:eastAsia="es-ES"/>
        </w:rPr>
        <w:t>El derecho a la igualdad como eje transversal de las políticas inclusivas</w:t>
      </w:r>
      <w:bookmarkEnd w:id="28"/>
      <w:r w:rsidR="00C71AF3" w:rsidRPr="005E1103">
        <w:rPr>
          <w:rFonts w:eastAsia="MS Mincho" w:cstheme="minorHAnsi"/>
          <w:sz w:val="28"/>
          <w:szCs w:val="28"/>
          <w:lang w:eastAsia="es-ES"/>
        </w:rPr>
        <w:t xml:space="preserve">. </w:t>
      </w:r>
    </w:p>
    <w:p w:rsidR="00C71AF3" w:rsidRPr="005E1103" w:rsidRDefault="00C71AF3" w:rsidP="00C71AF3">
      <w:pPr>
        <w:spacing w:line="360" w:lineRule="auto"/>
        <w:jc w:val="both"/>
        <w:rPr>
          <w:rFonts w:eastAsia="MS Mincho" w:cstheme="minorHAnsi"/>
          <w:color w:val="000000"/>
          <w:sz w:val="28"/>
          <w:szCs w:val="28"/>
          <w:lang w:val="es-ES_tradnl" w:eastAsia="es-ES"/>
        </w:rPr>
      </w:pPr>
      <w:r w:rsidRPr="005E1103">
        <w:rPr>
          <w:rFonts w:eastAsia="MS Mincho" w:cstheme="minorHAnsi"/>
          <w:color w:val="000000"/>
          <w:sz w:val="28"/>
          <w:szCs w:val="28"/>
          <w:lang w:val="es-ES_tradnl" w:eastAsia="es-ES"/>
        </w:rPr>
        <w:t xml:space="preserve">Del análisis realizado en el </w:t>
      </w:r>
      <w:r w:rsidRPr="005E1103">
        <w:rPr>
          <w:rFonts w:eastAsia="MS Mincho" w:cstheme="minorHAnsi"/>
          <w:i/>
          <w:color w:val="000000"/>
          <w:sz w:val="28"/>
          <w:szCs w:val="28"/>
          <w:lang w:val="es-ES_tradnl" w:eastAsia="es-ES"/>
        </w:rPr>
        <w:t>Informe</w:t>
      </w:r>
      <w:r w:rsidRPr="005E1103">
        <w:rPr>
          <w:rFonts w:eastAsia="MS Mincho" w:cstheme="minorHAnsi"/>
          <w:color w:val="000000"/>
          <w:sz w:val="28"/>
          <w:szCs w:val="28"/>
          <w:lang w:val="es-ES_tradnl" w:eastAsia="es-ES"/>
        </w:rPr>
        <w:t xml:space="preserve"> se desprende sin lugar a dudas una idea central: el derecho a la igualdad es un derecho fundamental, </w:t>
      </w:r>
      <w:r w:rsidRPr="005E1103">
        <w:rPr>
          <w:rFonts w:eastAsia="MS Mincho" w:cstheme="minorHAnsi"/>
          <w:sz w:val="28"/>
          <w:szCs w:val="28"/>
          <w:lang w:val="es-ES_tradnl" w:eastAsia="es-ES"/>
        </w:rPr>
        <w:t>que ocupa en los ordenamientos jurídicos modernos un lugar primordial.</w:t>
      </w:r>
    </w:p>
    <w:p w:rsidR="00C71AF3" w:rsidRPr="005E1103" w:rsidRDefault="00C71AF3" w:rsidP="00C71AF3">
      <w:pPr>
        <w:spacing w:line="360" w:lineRule="auto"/>
        <w:jc w:val="both"/>
        <w:rPr>
          <w:rFonts w:eastAsia="MS Mincho" w:cstheme="minorHAnsi"/>
          <w:color w:val="000000"/>
          <w:sz w:val="28"/>
          <w:szCs w:val="28"/>
          <w:lang w:val="es-ES_tradnl" w:eastAsia="es-ES"/>
        </w:rPr>
      </w:pPr>
      <w:r w:rsidRPr="005E1103">
        <w:rPr>
          <w:rFonts w:eastAsia="MS Mincho" w:cstheme="minorHAnsi"/>
          <w:color w:val="000000"/>
          <w:sz w:val="28"/>
          <w:szCs w:val="28"/>
          <w:lang w:val="es-ES_tradnl" w:eastAsia="es-ES"/>
        </w:rPr>
        <w:t xml:space="preserve">Si tomamos la </w:t>
      </w:r>
      <w:r w:rsidRPr="005E1103">
        <w:rPr>
          <w:rFonts w:eastAsia="MS Mincho" w:cstheme="minorHAnsi"/>
          <w:i/>
          <w:color w:val="000000"/>
          <w:sz w:val="28"/>
          <w:szCs w:val="28"/>
          <w:lang w:val="es-ES_tradnl" w:eastAsia="es-ES"/>
        </w:rPr>
        <w:t>Carta</w:t>
      </w:r>
      <w:r w:rsidRPr="005E1103">
        <w:rPr>
          <w:rFonts w:eastAsia="MS Mincho" w:cstheme="minorHAnsi"/>
          <w:color w:val="000000"/>
          <w:sz w:val="28"/>
          <w:szCs w:val="28"/>
          <w:lang w:val="es-ES_tradnl" w:eastAsia="es-ES"/>
        </w:rPr>
        <w:t xml:space="preserve"> como referencia, el derecho a la igualdad es transversal a todos los demás derechos recogidos en ella: el derecho a recibir orientación preuniversitaria, a una Universidad accesible, a ser asistidos por un profesor tutor, a recibir apoyo permanente, a ser atendidos de acuerdo con sus discapacidades, a permanecer en la Universidad el tiempo necesario, a la efectiva inclusión en la vida universitaria, a realizarse profesionalmente en aquello para lo que se han formado y a recibir aprendizaje a lo largo de toda la vida tienen, sin excepción, como fundamento y fin la consecución de la igualdad.</w:t>
      </w:r>
    </w:p>
    <w:p w:rsidR="00C71AF3" w:rsidRPr="005E1103" w:rsidRDefault="00C71AF3" w:rsidP="00C71AF3">
      <w:pPr>
        <w:tabs>
          <w:tab w:val="num" w:pos="720"/>
        </w:tabs>
        <w:spacing w:line="360" w:lineRule="auto"/>
        <w:jc w:val="both"/>
        <w:rPr>
          <w:rFonts w:eastAsia="MS Mincho" w:cstheme="minorHAnsi"/>
          <w:bCs/>
          <w:color w:val="000000"/>
          <w:sz w:val="28"/>
          <w:szCs w:val="28"/>
          <w:lang w:eastAsia="es-ES"/>
        </w:rPr>
      </w:pPr>
      <w:r w:rsidRPr="005E1103">
        <w:rPr>
          <w:rFonts w:eastAsia="MS Mincho" w:cstheme="minorHAnsi"/>
          <w:color w:val="000000"/>
          <w:sz w:val="28"/>
          <w:szCs w:val="28"/>
          <w:lang w:val="es-ES_tradnl" w:eastAsia="es-ES"/>
        </w:rPr>
        <w:t>Esta perspectiva permite elevar a la categoría de derecho fundamental de la persona con discapacidad lo que, desde la perspectiva del art. 49 de la Constitución española, constituiría un principio rector de la política social y económica. Tal afirmación significa que la igualdad es exigible ante los Tribunales de Justicia por los estudiantes con discapacidad ante una inacción de los poderes públicos, ya se produzca ante una discriminación, o como inactividad en la realización de una prestación debida.</w:t>
      </w:r>
    </w:p>
    <w:p w:rsidR="00C71AF3" w:rsidRPr="005E1103" w:rsidRDefault="00C71AF3" w:rsidP="00C71AF3">
      <w:pPr>
        <w:spacing w:line="360" w:lineRule="auto"/>
        <w:jc w:val="both"/>
        <w:rPr>
          <w:rFonts w:eastAsia="MS Mincho" w:cstheme="minorHAnsi"/>
          <w:color w:val="000000"/>
          <w:sz w:val="28"/>
          <w:szCs w:val="28"/>
          <w:lang w:val="es-ES_tradnl" w:eastAsia="es-ES"/>
        </w:rPr>
      </w:pPr>
      <w:r w:rsidRPr="005E1103">
        <w:rPr>
          <w:rFonts w:eastAsia="MS Mincho" w:cstheme="minorHAnsi"/>
          <w:color w:val="000000"/>
          <w:sz w:val="28"/>
          <w:szCs w:val="28"/>
          <w:lang w:val="es-ES_tradnl" w:eastAsia="es-ES"/>
        </w:rPr>
        <w:t xml:space="preserve">En clave educativa y con referencia a las Universidades, la consecución de la igualdad de oportunidades requiere que por parte de éstas, se adopten los siguientes tipos de medidas: </w:t>
      </w:r>
    </w:p>
    <w:p w:rsidR="00C71AF3" w:rsidRPr="005E1103" w:rsidRDefault="00C71AF3" w:rsidP="00C71AF3">
      <w:pPr>
        <w:spacing w:line="360" w:lineRule="auto"/>
        <w:jc w:val="both"/>
        <w:rPr>
          <w:rFonts w:eastAsia="MS Mincho" w:cstheme="minorHAnsi"/>
          <w:color w:val="000000"/>
          <w:sz w:val="28"/>
          <w:szCs w:val="28"/>
          <w:lang w:val="es-ES_tradnl" w:eastAsia="es-ES"/>
        </w:rPr>
      </w:pPr>
      <w:r w:rsidRPr="005E1103">
        <w:rPr>
          <w:rFonts w:eastAsia="MS Mincho" w:cstheme="minorHAnsi"/>
          <w:color w:val="000000"/>
          <w:sz w:val="28"/>
          <w:szCs w:val="28"/>
          <w:lang w:val="es-ES_tradnl" w:eastAsia="es-ES"/>
        </w:rPr>
        <w:t xml:space="preserve">a) Medidas contra la discriminación, es decir, las orientadas a prevenir o corregir que el estudiante con discapacidad sea tratado menos favorablemente que los demás </w:t>
      </w:r>
      <w:r w:rsidRPr="005E1103">
        <w:rPr>
          <w:rFonts w:eastAsia="MS Mincho" w:cstheme="minorHAnsi"/>
          <w:color w:val="000000"/>
          <w:sz w:val="28"/>
          <w:szCs w:val="28"/>
          <w:lang w:val="es-ES_tradnl" w:eastAsia="es-ES"/>
        </w:rPr>
        <w:lastRenderedPageBreak/>
        <w:t>estudiantes en situaciones análogas o comparables. Para ello hay que proceder a una revisión de toda la normativa universitaria, revisar los planes de estudios de las titulaciones</w:t>
      </w:r>
      <w:r w:rsidRPr="005E1103">
        <w:rPr>
          <w:rStyle w:val="Refdenotaalpie"/>
          <w:rFonts w:eastAsia="MS Mincho" w:cstheme="minorHAnsi"/>
          <w:color w:val="000000"/>
          <w:sz w:val="28"/>
          <w:szCs w:val="28"/>
          <w:lang w:val="es-ES_tradnl" w:eastAsia="es-ES"/>
        </w:rPr>
        <w:footnoteReference w:id="8"/>
      </w:r>
      <w:r w:rsidRPr="005E1103">
        <w:rPr>
          <w:rFonts w:eastAsia="Calibri" w:cstheme="minorHAnsi"/>
          <w:sz w:val="28"/>
          <w:szCs w:val="28"/>
        </w:rPr>
        <w:t xml:space="preserve">, y </w:t>
      </w:r>
      <w:r w:rsidRPr="005E1103">
        <w:rPr>
          <w:rFonts w:eastAsia="MS Mincho" w:cstheme="minorHAnsi"/>
          <w:color w:val="000000"/>
          <w:sz w:val="28"/>
          <w:szCs w:val="28"/>
          <w:lang w:val="es-ES_tradnl" w:eastAsia="es-ES"/>
        </w:rPr>
        <w:t>evaluar el grado de accesibilidad de las Universidades.</w:t>
      </w:r>
    </w:p>
    <w:p w:rsidR="00C71AF3" w:rsidRPr="005E1103" w:rsidRDefault="00C71AF3" w:rsidP="00C71AF3">
      <w:pPr>
        <w:spacing w:line="360" w:lineRule="auto"/>
        <w:jc w:val="both"/>
        <w:rPr>
          <w:rFonts w:eastAsia="MS Mincho" w:cstheme="minorHAnsi"/>
          <w:sz w:val="28"/>
          <w:szCs w:val="28"/>
          <w:lang w:val="es-ES_tradnl" w:eastAsia="es-ES"/>
        </w:rPr>
      </w:pPr>
      <w:r w:rsidRPr="005E1103">
        <w:rPr>
          <w:rFonts w:eastAsia="MS Mincho" w:cstheme="minorHAnsi"/>
          <w:color w:val="000000"/>
          <w:sz w:val="28"/>
          <w:szCs w:val="28"/>
          <w:lang w:val="es-ES_tradnl" w:eastAsia="es-ES"/>
        </w:rPr>
        <w:t xml:space="preserve">b) Medidas de acción positiva, esto es, </w:t>
      </w:r>
      <w:r w:rsidRPr="005E1103">
        <w:rPr>
          <w:rFonts w:eastAsia="MS Mincho" w:cstheme="minorHAnsi"/>
          <w:sz w:val="28"/>
          <w:szCs w:val="28"/>
          <w:lang w:eastAsia="es-ES"/>
        </w:rPr>
        <w:t xml:space="preserve">aquellas de carácter específico consistentes en lograr la igualdad de hecho de los estudiantes con discapacidad y su participación plena en la vida universitaria: </w:t>
      </w:r>
      <w:r w:rsidRPr="005E1103">
        <w:rPr>
          <w:rFonts w:eastAsia="MS Mincho" w:cstheme="minorHAnsi"/>
          <w:color w:val="000000"/>
          <w:sz w:val="28"/>
          <w:szCs w:val="28"/>
          <w:lang w:val="es-ES_tradnl" w:eastAsia="es-ES"/>
        </w:rPr>
        <w:t>respecto a su acceso a la Universidad, es necesario adaptar las pruebas de acceso a la universidad, reservar un porcentaje de plazas universitarias a los estudiantes con discapacidad en todos los niveles de educación universitaria, implantar programas de ayudas, becas o subvenciones, entre otras; para favorecer su movilidad, deben ofertarse servicios de alojamiento y transporte adaptados, reservar plazas en los programas de movilidad nacionales e internacionales, etc.; el tipo y grado de discapacidad debe ser considerado como factor determinante para regular su permanencia en la Universidad, para lo que es imprescindible adaptar la normativa de permanencia así como establecer un régimen de horarios académicos flexible; deben contemplarse los ajustes razonables adaptaciones necesarias y adecuadas a las necesidades específicas de cada estudiante (adaptaciones de espacios, tecnológicas, curriculares, metodológicas y evaluativas); debe ofrecerse a los estudiantes un apoyo permanente a través de un Servicio de orientación, una adecuada atención por parte del personal laboral de la comunidad universitaria, o la figura del profesor-tutor durante toda la vida académica; debe f</w:t>
      </w:r>
      <w:r w:rsidRPr="005E1103">
        <w:rPr>
          <w:rFonts w:eastAsia="MS Mincho" w:cstheme="minorHAnsi"/>
          <w:sz w:val="28"/>
          <w:szCs w:val="28"/>
          <w:lang w:val="es-ES_tradnl" w:eastAsia="es-ES"/>
        </w:rPr>
        <w:t>avorecerse su inserción laboral, a través de servicios de orientación laboral, bolsas de empleo, promoción de acciones de formación sobre habilidades para la búsqueda de empleo o impulsar la realización de prácticas laborales extracurriculares; por último, debe garantizarse su derecho al aprendizaje durante toda la vida, incorporándolos a los programas, cursos y actividades realizadas por los demás egresados.</w:t>
      </w:r>
    </w:p>
    <w:p w:rsidR="00FC5683" w:rsidRDefault="00FC5683">
      <w:pPr>
        <w:rPr>
          <w:rFonts w:eastAsia="MS Mincho" w:cstheme="minorHAnsi"/>
          <w:b/>
          <w:sz w:val="28"/>
          <w:szCs w:val="28"/>
          <w:lang w:val="es-ES_tradnl" w:eastAsia="es-ES"/>
        </w:rPr>
      </w:pPr>
      <w:r>
        <w:rPr>
          <w:rFonts w:eastAsia="MS Mincho" w:cstheme="minorHAnsi"/>
          <w:b/>
          <w:sz w:val="28"/>
          <w:szCs w:val="28"/>
          <w:lang w:val="es-ES_tradnl" w:eastAsia="es-ES"/>
        </w:rPr>
        <w:lastRenderedPageBreak/>
        <w:br w:type="page"/>
      </w:r>
    </w:p>
    <w:p w:rsidR="00C71AF3" w:rsidRPr="005E1103" w:rsidRDefault="00FC5683" w:rsidP="00C71AF3">
      <w:pPr>
        <w:spacing w:line="360" w:lineRule="auto"/>
        <w:jc w:val="both"/>
        <w:rPr>
          <w:rFonts w:eastAsia="MS Mincho" w:cstheme="minorHAnsi"/>
          <w:b/>
          <w:sz w:val="28"/>
          <w:szCs w:val="28"/>
          <w:lang w:val="es-ES_tradnl" w:eastAsia="es-ES"/>
        </w:rPr>
      </w:pPr>
      <w:r w:rsidRPr="005E1103">
        <w:rPr>
          <w:rFonts w:eastAsia="MS Mincho" w:cstheme="minorHAnsi"/>
          <w:b/>
          <w:sz w:val="28"/>
          <w:szCs w:val="28"/>
          <w:lang w:val="es-ES_tradnl" w:eastAsia="es-ES"/>
        </w:rPr>
        <w:lastRenderedPageBreak/>
        <w:t>Segunda. -</w:t>
      </w:r>
      <w:r w:rsidR="00C71AF3" w:rsidRPr="005E1103">
        <w:rPr>
          <w:rFonts w:eastAsia="MS Mincho" w:cstheme="minorHAnsi"/>
          <w:b/>
          <w:sz w:val="28"/>
          <w:szCs w:val="28"/>
          <w:lang w:val="es-ES_tradnl" w:eastAsia="es-ES"/>
        </w:rPr>
        <w:t xml:space="preserve"> </w:t>
      </w:r>
      <w:r w:rsidR="00C71AF3" w:rsidRPr="005E1103">
        <w:rPr>
          <w:rFonts w:eastAsia="MS Mincho" w:cstheme="minorHAnsi"/>
          <w:b/>
          <w:i/>
          <w:sz w:val="28"/>
          <w:szCs w:val="28"/>
          <w:lang w:val="es-ES_tradnl" w:eastAsia="es-ES"/>
        </w:rPr>
        <w:t>El paradigma del diseño para todos en el ámbito educativo universitario</w:t>
      </w:r>
      <w:r w:rsidR="00C71AF3" w:rsidRPr="005E1103">
        <w:rPr>
          <w:rFonts w:eastAsia="MS Mincho" w:cstheme="minorHAnsi"/>
          <w:b/>
          <w:sz w:val="28"/>
          <w:szCs w:val="28"/>
          <w:lang w:val="es-ES_tradnl" w:eastAsia="es-ES"/>
        </w:rPr>
        <w:t xml:space="preserve">. </w:t>
      </w:r>
    </w:p>
    <w:p w:rsidR="00C71AF3" w:rsidRPr="005E1103" w:rsidRDefault="00C71AF3" w:rsidP="00C71AF3">
      <w:pPr>
        <w:spacing w:line="360" w:lineRule="auto"/>
        <w:jc w:val="both"/>
        <w:rPr>
          <w:rFonts w:eastAsia="MS Mincho" w:cstheme="minorHAnsi"/>
          <w:sz w:val="28"/>
          <w:szCs w:val="28"/>
          <w:lang w:val="es-ES_tradnl" w:eastAsia="es-ES"/>
        </w:rPr>
      </w:pPr>
      <w:r w:rsidRPr="005E1103">
        <w:rPr>
          <w:rFonts w:eastAsia="MS Mincho" w:cstheme="minorHAnsi"/>
          <w:sz w:val="28"/>
          <w:szCs w:val="28"/>
          <w:lang w:val="es-ES_tradnl" w:eastAsia="es-ES"/>
        </w:rPr>
        <w:t>La consagración del derecho a la igualdad de oportunidades de las personas con discapacidad se resume en el principio denominado de “normalización”; para alcanzarlo, el camino a recorrer pasa por el “diseño para todas las personas”.</w:t>
      </w:r>
    </w:p>
    <w:p w:rsidR="00C71AF3" w:rsidRPr="005E1103" w:rsidRDefault="00C71AF3" w:rsidP="00C71AF3">
      <w:pPr>
        <w:spacing w:line="360" w:lineRule="auto"/>
        <w:jc w:val="both"/>
        <w:rPr>
          <w:rFonts w:eastAsia="MS Mincho" w:cstheme="minorHAnsi"/>
          <w:sz w:val="28"/>
          <w:szCs w:val="28"/>
          <w:lang w:val="es-ES_tradnl" w:eastAsia="es-ES"/>
        </w:rPr>
      </w:pPr>
      <w:r w:rsidRPr="005E1103">
        <w:rPr>
          <w:rFonts w:eastAsia="MS Mincho" w:cstheme="minorHAnsi"/>
          <w:sz w:val="28"/>
          <w:szCs w:val="28"/>
          <w:lang w:val="es-ES_tradnl" w:eastAsia="es-ES"/>
        </w:rPr>
        <w:t>En referencia al ámbito educativo, la suma de la normalización y el “diseño para todos” es la “educación inclusiva”, que exige aunar esfuerzos para conseguir un servicio educativo que puedan disfrutar todos en condiciones de igualdad, y que dicho disfrute se realice sin necesidad de adaptaciones ni de diseños especializados. Es necesario que los responsables en el ámbito universitario sean capaces de diseñar los planes y programas inclusivos bajo la premisa de que puedan ser utilizados por todas las personas.</w:t>
      </w:r>
    </w:p>
    <w:p w:rsidR="00C71AF3" w:rsidRPr="005E1103" w:rsidRDefault="00C71AF3" w:rsidP="00C71AF3">
      <w:pPr>
        <w:spacing w:line="360" w:lineRule="auto"/>
        <w:jc w:val="both"/>
        <w:rPr>
          <w:rFonts w:eastAsia="MS Mincho" w:cstheme="minorHAnsi"/>
          <w:sz w:val="28"/>
          <w:szCs w:val="28"/>
          <w:lang w:val="es-ES_tradnl" w:eastAsia="es-ES"/>
        </w:rPr>
      </w:pPr>
      <w:r w:rsidRPr="005E1103">
        <w:rPr>
          <w:rFonts w:eastAsia="MS Mincho" w:cstheme="minorHAnsi"/>
          <w:sz w:val="28"/>
          <w:szCs w:val="28"/>
          <w:lang w:val="es-ES_tradnl" w:eastAsia="es-ES"/>
        </w:rPr>
        <w:t xml:space="preserve">La idea no es incompatible con la realización de “ajustes razonables”, esto es, modificaciones y adaptaciones adecuadas requeridas en casos particulares </w:t>
      </w:r>
      <w:r w:rsidR="00420F8D" w:rsidRPr="005E1103">
        <w:rPr>
          <w:rFonts w:eastAsia="MS Mincho" w:cstheme="minorHAnsi"/>
          <w:sz w:val="28"/>
          <w:szCs w:val="28"/>
          <w:lang w:val="es-ES_tradnl" w:eastAsia="es-ES"/>
        </w:rPr>
        <w:t>para garantizar</w:t>
      </w:r>
      <w:r w:rsidRPr="005E1103">
        <w:rPr>
          <w:rFonts w:eastAsia="MS Mincho" w:cstheme="minorHAnsi"/>
          <w:sz w:val="28"/>
          <w:szCs w:val="28"/>
          <w:lang w:val="es-ES_tradnl" w:eastAsia="es-ES"/>
        </w:rPr>
        <w:t xml:space="preserve"> a las personas con necesidades diversas el goce o ejercicio, en igualdad de condiciones con las demás, del derecho a la educación.</w:t>
      </w:r>
    </w:p>
    <w:p w:rsidR="00C71AF3" w:rsidRPr="005E1103" w:rsidRDefault="00C71AF3" w:rsidP="00C71AF3">
      <w:pPr>
        <w:spacing w:line="360" w:lineRule="auto"/>
        <w:jc w:val="both"/>
        <w:rPr>
          <w:rFonts w:eastAsia="MS Mincho" w:cstheme="minorHAnsi"/>
          <w:sz w:val="28"/>
          <w:szCs w:val="28"/>
          <w:lang w:val="es-ES_tradnl" w:eastAsia="es-ES"/>
        </w:rPr>
      </w:pPr>
      <w:r w:rsidRPr="005E1103">
        <w:rPr>
          <w:rFonts w:eastAsia="MS Mincho" w:cstheme="minorHAnsi"/>
          <w:sz w:val="28"/>
          <w:szCs w:val="28"/>
          <w:lang w:val="es-ES_tradnl" w:eastAsia="es-ES"/>
        </w:rPr>
        <w:t xml:space="preserve">El diseño de un programa de transporte adaptado puede ejemplificar lo que se pretende decir: Si una sociedad comprometida con la consecución de la igualdad quisiera crear un programa de transporte inclusivo que favorezca el acceso al campus a los estudiantes con discapacidad, debería marcarse como objetivo disponer de un servicio público de transporte para todos. Los transportes públicos que llegan al campus deberían estar debidamente adaptados para poder transportar a todo tipo de personas, con sus diferencias y sus singularidades, además de garantizar que el servicio estuviese al alcance de todos, esto es, que funcione con un número de paradas y líneas suficientes desde cualquier barrio de la localidad.  La existencia de este servicio público para todos debe ser el objetivo, sin perjuicio de disponer de un servicio especial de transporte adaptado para situaciones específicas que no alcance a cubrir el servicio de transporte ordinario. He aquí un ajuste razonable que, sin contradecir la filosofía del diseño para todos, </w:t>
      </w:r>
      <w:r w:rsidRPr="005E1103">
        <w:rPr>
          <w:rFonts w:eastAsia="MS Mincho" w:cstheme="minorHAnsi"/>
          <w:sz w:val="28"/>
          <w:szCs w:val="28"/>
          <w:lang w:val="es-ES_tradnl" w:eastAsia="es-ES"/>
        </w:rPr>
        <w:lastRenderedPageBreak/>
        <w:t>permite garantizar la igualdad de oportunidades. Obviamente, el establecimiento de un servicio público de transporte para todos escapa de la responsabilidad de la Universidad y corresponde a las Administraciones del territorio en que la Universidad se encuentra. Para ello, es imprescindible promover la cultura de la colaboración, a través de convenios u otros instrumentos que permitan impulsar acciones orientadas a mejorar déficits comunes y a obtener beneficios compartidos.</w:t>
      </w:r>
    </w:p>
    <w:p w:rsidR="00C71AF3" w:rsidRPr="005E1103" w:rsidRDefault="00FC5683" w:rsidP="00C71AF3">
      <w:pPr>
        <w:spacing w:line="360" w:lineRule="auto"/>
        <w:jc w:val="both"/>
        <w:rPr>
          <w:rFonts w:eastAsia="MS Mincho" w:cstheme="minorHAnsi"/>
          <w:b/>
          <w:sz w:val="28"/>
          <w:szCs w:val="28"/>
          <w:lang w:val="es-ES_tradnl" w:eastAsia="es-ES"/>
        </w:rPr>
      </w:pPr>
      <w:r w:rsidRPr="005E1103">
        <w:rPr>
          <w:rFonts w:eastAsia="MS Mincho" w:cstheme="minorHAnsi"/>
          <w:b/>
          <w:sz w:val="28"/>
          <w:szCs w:val="28"/>
          <w:lang w:val="es-ES_tradnl" w:eastAsia="es-ES"/>
        </w:rPr>
        <w:t>Tercera. -</w:t>
      </w:r>
      <w:r w:rsidR="00C71AF3" w:rsidRPr="005E1103">
        <w:rPr>
          <w:rFonts w:eastAsia="MS Mincho" w:cstheme="minorHAnsi"/>
          <w:b/>
          <w:sz w:val="28"/>
          <w:szCs w:val="28"/>
          <w:lang w:val="es-ES_tradnl" w:eastAsia="es-ES"/>
        </w:rPr>
        <w:t xml:space="preserve"> </w:t>
      </w:r>
      <w:r w:rsidR="00C71AF3" w:rsidRPr="005E1103">
        <w:rPr>
          <w:rFonts w:eastAsia="MS Mincho" w:cstheme="minorHAnsi"/>
          <w:b/>
          <w:i/>
          <w:sz w:val="28"/>
          <w:szCs w:val="28"/>
          <w:lang w:val="es-ES_tradnl" w:eastAsia="es-ES"/>
        </w:rPr>
        <w:t>La información y la orientación preuniversitaria</w:t>
      </w:r>
      <w:r w:rsidR="00C71AF3" w:rsidRPr="005E1103">
        <w:rPr>
          <w:rFonts w:eastAsia="MS Mincho" w:cstheme="minorHAnsi"/>
          <w:b/>
          <w:sz w:val="28"/>
          <w:szCs w:val="28"/>
          <w:lang w:val="es-ES_tradnl" w:eastAsia="es-ES"/>
        </w:rPr>
        <w:t xml:space="preserve">. </w:t>
      </w:r>
    </w:p>
    <w:p w:rsidR="00C71AF3" w:rsidRPr="005E1103" w:rsidRDefault="00C71AF3" w:rsidP="00C71AF3">
      <w:pPr>
        <w:spacing w:line="360" w:lineRule="auto"/>
        <w:jc w:val="both"/>
        <w:rPr>
          <w:rFonts w:eastAsia="MS Mincho" w:cstheme="minorHAnsi"/>
          <w:sz w:val="28"/>
          <w:szCs w:val="28"/>
          <w:lang w:val="es-ES_tradnl" w:eastAsia="es-ES"/>
        </w:rPr>
      </w:pPr>
      <w:r w:rsidRPr="005E1103">
        <w:rPr>
          <w:rFonts w:eastAsia="MS Mincho" w:cstheme="minorHAnsi"/>
          <w:sz w:val="28"/>
          <w:szCs w:val="28"/>
          <w:lang w:val="es-ES_tradnl" w:eastAsia="es-ES"/>
        </w:rPr>
        <w:t>Para el estudiante con discapacidad y su familia, la decisión de continuar los estudios una vez terminada la etapa de educación obligatoria es particularmente difícil y depende de múltiples factores. Entre ellos, cobra especial importancia la información de que dispongan sobre las universidades y, en particular, sobre los apoyos y los medios que ofrecen a los estudiantes con discapacidad. La falta de información es considerada como una de las principales desmotivaciones, y la información escasa genera inseguridad en los estudiantes y sus familias.</w:t>
      </w:r>
    </w:p>
    <w:p w:rsidR="00C71AF3" w:rsidRPr="005E1103" w:rsidRDefault="00C71AF3" w:rsidP="00C71AF3">
      <w:pPr>
        <w:spacing w:line="360" w:lineRule="auto"/>
        <w:jc w:val="both"/>
        <w:rPr>
          <w:rFonts w:eastAsia="MS Mincho" w:cstheme="minorHAnsi"/>
          <w:sz w:val="28"/>
          <w:szCs w:val="28"/>
          <w:lang w:val="es-ES_tradnl" w:eastAsia="es-ES"/>
        </w:rPr>
      </w:pPr>
      <w:r w:rsidRPr="005E1103">
        <w:rPr>
          <w:rFonts w:eastAsia="MS Mincho" w:cstheme="minorHAnsi"/>
          <w:sz w:val="28"/>
          <w:szCs w:val="28"/>
          <w:lang w:val="es-ES_tradnl" w:eastAsia="es-ES"/>
        </w:rPr>
        <w:t>Junto a la información, resulta imprescindible una adecuada orientación, ofreciendo al futuro estudiante universitario un asesoramiento riguroso sobre los posibles estudios y universidades y lo referente a competencias de los títulos, habilidades requeridas y posibles salidas profesionales.</w:t>
      </w:r>
    </w:p>
    <w:p w:rsidR="00C71AF3" w:rsidRPr="005E1103" w:rsidRDefault="00C71AF3" w:rsidP="00C71AF3">
      <w:pPr>
        <w:spacing w:line="360" w:lineRule="auto"/>
        <w:jc w:val="both"/>
        <w:rPr>
          <w:rFonts w:eastAsia="MS Mincho" w:cstheme="minorHAnsi"/>
          <w:sz w:val="28"/>
          <w:szCs w:val="28"/>
          <w:lang w:val="es-ES_tradnl" w:eastAsia="es-ES"/>
        </w:rPr>
      </w:pPr>
      <w:r w:rsidRPr="005E1103">
        <w:rPr>
          <w:rFonts w:eastAsia="MS Mincho" w:cstheme="minorHAnsi"/>
          <w:sz w:val="28"/>
          <w:szCs w:val="28"/>
          <w:lang w:val="es-ES_tradnl" w:eastAsia="es-ES"/>
        </w:rPr>
        <w:t>El análisis de las políticas de información y orientación preuniversitaria arroja un resultado más bien pobre y pone en cuestión seriamente el cumplimiento del derecho básico de todos los alumnos a recibir orientación educativa y profesional recogido en las leyes orgánicas de educación.</w:t>
      </w:r>
    </w:p>
    <w:p w:rsidR="00C71AF3" w:rsidRPr="005E1103" w:rsidRDefault="00C71AF3" w:rsidP="00C71AF3">
      <w:pPr>
        <w:spacing w:line="360" w:lineRule="auto"/>
        <w:jc w:val="both"/>
        <w:rPr>
          <w:rFonts w:eastAsia="MS Mincho" w:cstheme="minorHAnsi"/>
          <w:sz w:val="28"/>
          <w:szCs w:val="28"/>
          <w:lang w:val="es-ES_tradnl" w:eastAsia="es-ES"/>
        </w:rPr>
      </w:pPr>
      <w:r w:rsidRPr="005E1103">
        <w:rPr>
          <w:rFonts w:eastAsia="MS Mincho" w:cstheme="minorHAnsi"/>
          <w:sz w:val="28"/>
          <w:szCs w:val="28"/>
          <w:lang w:val="es-ES_tradnl" w:eastAsia="es-ES"/>
        </w:rPr>
        <w:t xml:space="preserve">La carencia informativa y orientadora ha cobrado, además, especial significación tras la aprobación del Plan de acción de la estrategia española sobre discapacidad 2014-2020, en el que se considera a la educación como uno de sus cinco planes de actuación, y </w:t>
      </w:r>
      <w:r w:rsidRPr="005E1103">
        <w:rPr>
          <w:rFonts w:eastAsia="MS Mincho" w:cstheme="minorHAnsi"/>
          <w:sz w:val="28"/>
          <w:szCs w:val="28"/>
          <w:lang w:val="es-ES_tradnl" w:eastAsia="es-ES"/>
        </w:rPr>
        <w:lastRenderedPageBreak/>
        <w:t>dentro de este plan se define como objetivo estratégico el “reducir la tasa de abandono escolar y aumentar el número de personas con discapacidad con educación superior”; destacando, en el tema que nos ocupa, la actuación número 45: “promover el refuerzo de la orientación psicopedagógica y la orientación profesional, fundamentalmente en el tránsito de una etapa educativa a otra”.</w:t>
      </w:r>
    </w:p>
    <w:p w:rsidR="00C71AF3" w:rsidRPr="005E1103" w:rsidRDefault="00C71AF3" w:rsidP="00C71AF3">
      <w:pPr>
        <w:spacing w:line="360" w:lineRule="auto"/>
        <w:jc w:val="both"/>
        <w:rPr>
          <w:rFonts w:eastAsia="MS Mincho" w:cstheme="minorHAnsi"/>
          <w:sz w:val="28"/>
          <w:szCs w:val="28"/>
          <w:lang w:val="es-ES_tradnl" w:eastAsia="es-ES"/>
        </w:rPr>
      </w:pPr>
      <w:r w:rsidRPr="005E1103">
        <w:rPr>
          <w:rFonts w:eastAsia="MS Mincho" w:cstheme="minorHAnsi"/>
          <w:sz w:val="28"/>
          <w:szCs w:val="28"/>
          <w:lang w:val="es-ES_tradnl" w:eastAsia="es-ES"/>
        </w:rPr>
        <w:t xml:space="preserve">La mejora de la información y la orientación preuniversitaria exige que las Universidades o, en su caso, las Administraciones y entes implicados, tomen medidas. La primera de todas debería ser la puesta a disposición de los estudiantes con discapacidad, sus familias y la comunidad docente, información accesible, completa y actualizada. Durante el transcurso de la elaboración del </w:t>
      </w:r>
      <w:r w:rsidRPr="005E1103">
        <w:rPr>
          <w:rFonts w:eastAsia="MS Mincho" w:cstheme="minorHAnsi"/>
          <w:i/>
          <w:sz w:val="28"/>
          <w:szCs w:val="28"/>
          <w:lang w:val="es-ES_tradnl" w:eastAsia="es-ES"/>
        </w:rPr>
        <w:t>Informe</w:t>
      </w:r>
      <w:r w:rsidRPr="005E1103">
        <w:rPr>
          <w:rFonts w:eastAsia="MS Mincho" w:cstheme="minorHAnsi"/>
          <w:sz w:val="28"/>
          <w:szCs w:val="28"/>
          <w:lang w:val="es-ES_tradnl" w:eastAsia="es-ES"/>
        </w:rPr>
        <w:t xml:space="preserve"> detectamos la inexistencia de un portal de información accesible, completa y oficial, que reúna datos de las diferentes universidades, que permita hacer búsquedas por conceptos y palabras clave y que facilite la comparación entre universidades con el ánimo de favorecer la toma de decisión sobre qué, cómo y dónde cursar los estudios universitarios. Se propone que el órgano con competencias educativas de cada Comunidad Autónoma desarrolle una Plataforma oficial de Información sobre Universidades y Discapacidad susceptible de ser alojada en el sitio web de la Consejería con competencias en materia educativa y/o de las universidades, para que pueda ofrecer a los estudiantes con discapacidad información completa accesible, actualizada y oficial.</w:t>
      </w:r>
      <w:r w:rsidRPr="005E1103">
        <w:rPr>
          <w:rFonts w:eastAsia="MS Mincho" w:cstheme="minorHAnsi"/>
          <w:color w:val="FF0000"/>
          <w:sz w:val="28"/>
          <w:szCs w:val="28"/>
          <w:lang w:val="es-ES_tradnl" w:eastAsia="es-ES"/>
        </w:rPr>
        <w:t xml:space="preserve"> </w:t>
      </w:r>
      <w:r w:rsidRPr="005E1103">
        <w:rPr>
          <w:rFonts w:eastAsia="MS Mincho" w:cstheme="minorHAnsi"/>
          <w:sz w:val="28"/>
          <w:szCs w:val="28"/>
          <w:lang w:val="es-ES_tradnl" w:eastAsia="es-ES"/>
        </w:rPr>
        <w:t xml:space="preserve">Esta demanda la vino a suplir, a nuestro juicio, desde hace aproximadamente un año, la Fundación ONCE a través de su web </w:t>
      </w:r>
      <w:hyperlink r:id="rId29" w:history="1">
        <w:r w:rsidRPr="005E1103">
          <w:rPr>
            <w:rStyle w:val="Hipervnculo"/>
            <w:rFonts w:eastAsia="MS Mincho" w:cstheme="minorHAnsi"/>
            <w:sz w:val="28"/>
            <w:szCs w:val="28"/>
            <w:lang w:val="es-ES_tradnl" w:eastAsia="es-ES"/>
          </w:rPr>
          <w:t>http://www.guiauniversitaria.fundaciononce.es/</w:t>
        </w:r>
      </w:hyperlink>
      <w:r w:rsidRPr="005E1103">
        <w:rPr>
          <w:rFonts w:eastAsia="MS Mincho" w:cstheme="minorHAnsi"/>
          <w:sz w:val="28"/>
          <w:szCs w:val="28"/>
          <w:lang w:val="es-ES_tradnl" w:eastAsia="es-ES"/>
        </w:rPr>
        <w:t>.</w:t>
      </w:r>
    </w:p>
    <w:p w:rsidR="00C71AF3" w:rsidRPr="005E1103" w:rsidRDefault="00C71AF3" w:rsidP="00C71AF3">
      <w:pPr>
        <w:spacing w:line="360" w:lineRule="auto"/>
        <w:jc w:val="both"/>
        <w:rPr>
          <w:rFonts w:eastAsia="MS Mincho" w:cstheme="minorHAnsi"/>
          <w:sz w:val="28"/>
          <w:szCs w:val="28"/>
          <w:lang w:val="es-ES_tradnl" w:eastAsia="es-ES"/>
        </w:rPr>
      </w:pPr>
      <w:r w:rsidRPr="005E1103">
        <w:rPr>
          <w:rFonts w:eastAsia="MS Mincho" w:cstheme="minorHAnsi"/>
          <w:sz w:val="28"/>
          <w:szCs w:val="28"/>
          <w:lang w:val="es-ES_tradnl" w:eastAsia="es-ES"/>
        </w:rPr>
        <w:t xml:space="preserve">Además, las universidades deben ofrecer a los estudiantes información detallada que complete la que con carácter general ofrezca la Administración educativa. Es necesario que los estudiantes con discapacidad conozcan antes de tomar una decisión sobre su futuro en qué entorno van a desarrollar su vida académica, con especial referencia a las normas de la propia universidad, con especial referencia a la permanencia, la información </w:t>
      </w:r>
      <w:r w:rsidRPr="005E1103">
        <w:rPr>
          <w:rFonts w:eastAsia="MS Mincho" w:cstheme="minorHAnsi"/>
          <w:sz w:val="28"/>
          <w:szCs w:val="28"/>
          <w:lang w:val="es-ES_tradnl" w:eastAsia="es-ES"/>
        </w:rPr>
        <w:lastRenderedPageBreak/>
        <w:t>sobre el asesoramiento para las personas con discapacidad, la experiencia previa con alumnos con discapacidad en cada centro y titulación, la accesibilidad, en relación al alojamiento y transporte adaptados, los planes o programas específicos de apoyo a la discapacidad, las adaptaciones en las aulas, en la metodología y en la evaluación de los conocimientos en cada centro y titulación, las acciones de acogida y actividades dirigidas a la inclusión de las personas con discapacidad en la vida universitaria, los estudios de pos-graduación y las salidas profesionales, etc.</w:t>
      </w:r>
    </w:p>
    <w:p w:rsidR="00C71AF3" w:rsidRPr="005E1103" w:rsidRDefault="00C71AF3" w:rsidP="00C71AF3">
      <w:pPr>
        <w:spacing w:line="360" w:lineRule="auto"/>
        <w:jc w:val="both"/>
        <w:rPr>
          <w:rFonts w:eastAsia="MS Mincho" w:cstheme="minorHAnsi"/>
          <w:sz w:val="28"/>
          <w:szCs w:val="28"/>
          <w:lang w:val="es-ES_tradnl" w:eastAsia="es-ES"/>
        </w:rPr>
      </w:pPr>
      <w:r w:rsidRPr="005E1103">
        <w:rPr>
          <w:rFonts w:eastAsia="MS Mincho" w:cstheme="minorHAnsi"/>
          <w:sz w:val="28"/>
          <w:szCs w:val="28"/>
          <w:lang w:val="es-ES_tradnl" w:eastAsia="es-ES"/>
        </w:rPr>
        <w:t xml:space="preserve">Tal y como ya se está haciendo en algunas universidades, es importante provocar el contacto de los estudiantes de educación preuniversitaria, en general, y de los que tienen alguna discapacidad especialmente, con los Campus universitarios. Las fórmulas pueden ser diversas: campamentos extraescolares, cursos de verano o en períodos vacacionales, o incluso experiencias de inmersión en la Universidad durante el curso académico, que ofrezca a un grupo de estudiantes preuniversitarios la oportunidad de vivir durante unos días en un ambiente universitario, conociendo los títulos, el campus, los recursos disponibles y el servicio de atención a la diversidad de la Universidad. Un buen ejemplo de lo que acabamos de mencionar lo implementó el Ministerio de Educación, Cultura y Deporte, la Fundación ONCE y la Fundación Repsol desarrollando desde el año 2014 el programa “Campus Inclusivos. Campus sin límites”, implicando a varias universidades en cada curso. </w:t>
      </w:r>
    </w:p>
    <w:p w:rsidR="00C71AF3" w:rsidRPr="005E1103" w:rsidRDefault="00C71AF3" w:rsidP="00C71AF3">
      <w:pPr>
        <w:spacing w:line="360" w:lineRule="auto"/>
        <w:jc w:val="both"/>
        <w:rPr>
          <w:rFonts w:eastAsia="MS Mincho" w:cstheme="minorHAnsi"/>
          <w:sz w:val="28"/>
          <w:szCs w:val="28"/>
          <w:lang w:val="es-ES_tradnl" w:eastAsia="es-ES"/>
        </w:rPr>
      </w:pPr>
      <w:r w:rsidRPr="005E1103">
        <w:rPr>
          <w:rFonts w:eastAsia="MS Mincho" w:cstheme="minorHAnsi"/>
          <w:sz w:val="28"/>
          <w:szCs w:val="28"/>
          <w:lang w:val="es-ES_tradnl" w:eastAsia="es-ES"/>
        </w:rPr>
        <w:t xml:space="preserve">Por último, la normativa vigente sobre </w:t>
      </w:r>
      <w:r w:rsidR="00FC5683" w:rsidRPr="005E1103">
        <w:rPr>
          <w:rFonts w:eastAsia="MS Mincho" w:cstheme="minorHAnsi"/>
          <w:sz w:val="28"/>
          <w:szCs w:val="28"/>
          <w:lang w:val="es-ES_tradnl" w:eastAsia="es-ES"/>
        </w:rPr>
        <w:t>discapacidad insiste</w:t>
      </w:r>
      <w:r w:rsidRPr="005E1103">
        <w:rPr>
          <w:rFonts w:eastAsia="MS Mincho" w:cstheme="minorHAnsi"/>
          <w:sz w:val="28"/>
          <w:szCs w:val="28"/>
          <w:lang w:val="es-ES_tradnl" w:eastAsia="es-ES"/>
        </w:rPr>
        <w:t xml:space="preserve"> en el principio de “diálogo civil”, en virtud del cual las organizaciones representativas de personas con discapacidad y de sus familias participan, en la elaboración, ejecución, seguimiento y evaluación de las políticas oficiales que se desarrollan en la esfera de las personas con discapacidad. Desde las Consejerías de Educación y/o desde las universidades debería impulsarse la celebración de convenios de colaboración con dichas organizaciones, a fin de favorecer una información y orientación preuniversitaria.</w:t>
      </w:r>
    </w:p>
    <w:p w:rsidR="00420F8D" w:rsidRDefault="00420F8D">
      <w:pPr>
        <w:rPr>
          <w:rFonts w:eastAsia="MS Mincho" w:cstheme="minorHAnsi"/>
          <w:b/>
          <w:sz w:val="28"/>
          <w:szCs w:val="28"/>
          <w:lang w:val="es-ES_tradnl" w:eastAsia="es-ES"/>
        </w:rPr>
      </w:pPr>
      <w:r>
        <w:rPr>
          <w:rFonts w:eastAsia="MS Mincho" w:cstheme="minorHAnsi"/>
          <w:b/>
          <w:sz w:val="28"/>
          <w:szCs w:val="28"/>
          <w:lang w:val="es-ES_tradnl" w:eastAsia="es-ES"/>
        </w:rPr>
        <w:lastRenderedPageBreak/>
        <w:br w:type="page"/>
      </w:r>
    </w:p>
    <w:p w:rsidR="00C71AF3" w:rsidRPr="005E1103" w:rsidRDefault="00FC5683" w:rsidP="00C71AF3">
      <w:pPr>
        <w:spacing w:line="360" w:lineRule="auto"/>
        <w:jc w:val="both"/>
        <w:rPr>
          <w:rFonts w:eastAsia="MS Mincho" w:cstheme="minorHAnsi"/>
          <w:b/>
          <w:sz w:val="28"/>
          <w:szCs w:val="28"/>
          <w:lang w:val="es-ES_tradnl" w:eastAsia="es-ES"/>
        </w:rPr>
      </w:pPr>
      <w:r w:rsidRPr="005E1103">
        <w:rPr>
          <w:rFonts w:eastAsia="MS Mincho" w:cstheme="minorHAnsi"/>
          <w:b/>
          <w:sz w:val="28"/>
          <w:szCs w:val="28"/>
          <w:lang w:val="es-ES_tradnl" w:eastAsia="es-ES"/>
        </w:rPr>
        <w:lastRenderedPageBreak/>
        <w:t>Cuarta. -</w:t>
      </w:r>
      <w:r w:rsidR="00C71AF3" w:rsidRPr="005E1103">
        <w:rPr>
          <w:rFonts w:eastAsia="MS Mincho" w:cstheme="minorHAnsi"/>
          <w:b/>
          <w:sz w:val="28"/>
          <w:szCs w:val="28"/>
          <w:lang w:val="es-ES_tradnl" w:eastAsia="es-ES"/>
        </w:rPr>
        <w:t xml:space="preserve"> </w:t>
      </w:r>
      <w:r w:rsidR="00C71AF3" w:rsidRPr="005E1103">
        <w:rPr>
          <w:rFonts w:eastAsia="MS Mincho" w:cstheme="minorHAnsi"/>
          <w:b/>
          <w:i/>
          <w:sz w:val="28"/>
          <w:szCs w:val="28"/>
          <w:lang w:val="es-ES_tradnl" w:eastAsia="es-ES"/>
        </w:rPr>
        <w:t>Del deber de apoyo a la discapacidad al derecho a ser incluido en la universidad.</w:t>
      </w:r>
      <w:r w:rsidR="00C71AF3" w:rsidRPr="005E1103">
        <w:rPr>
          <w:rFonts w:eastAsia="MS Mincho" w:cstheme="minorHAnsi"/>
          <w:b/>
          <w:sz w:val="28"/>
          <w:szCs w:val="28"/>
          <w:lang w:val="es-ES_tradnl" w:eastAsia="es-ES"/>
        </w:rPr>
        <w:t xml:space="preserve"> </w:t>
      </w:r>
    </w:p>
    <w:p w:rsidR="00C71AF3" w:rsidRPr="005E1103" w:rsidRDefault="00C71AF3" w:rsidP="00C71AF3">
      <w:pPr>
        <w:spacing w:line="360" w:lineRule="auto"/>
        <w:jc w:val="both"/>
        <w:rPr>
          <w:rFonts w:eastAsia="MS Mincho" w:cstheme="minorHAnsi"/>
          <w:sz w:val="28"/>
          <w:szCs w:val="28"/>
          <w:lang w:val="es-ES_tradnl" w:eastAsia="es-ES"/>
        </w:rPr>
      </w:pPr>
      <w:r w:rsidRPr="005E1103">
        <w:rPr>
          <w:rFonts w:eastAsia="MS Mincho" w:cstheme="minorHAnsi"/>
          <w:sz w:val="28"/>
          <w:szCs w:val="28"/>
          <w:lang w:val="es-ES_tradnl" w:eastAsia="es-ES"/>
        </w:rPr>
        <w:t xml:space="preserve">La Convención de las Naciones Unidas sobre los derechos de las personas con discapacidad contiene un expresivo art.19 titulado “Derecho a vivir de forma independiente y a ser incluido en la comunidad”. En relación a la educación, la Convención expresa, en su art. 24, que “los Estados Partes asegurarán un sistema de educación inclusivo a todos los </w:t>
      </w:r>
      <w:r w:rsidR="00FC5683" w:rsidRPr="005E1103">
        <w:rPr>
          <w:rFonts w:eastAsia="MS Mincho" w:cstheme="minorHAnsi"/>
          <w:sz w:val="28"/>
          <w:szCs w:val="28"/>
          <w:lang w:val="es-ES_tradnl" w:eastAsia="es-ES"/>
        </w:rPr>
        <w:t>niveles,</w:t>
      </w:r>
      <w:r w:rsidRPr="005E1103">
        <w:rPr>
          <w:rFonts w:eastAsia="MS Mincho" w:cstheme="minorHAnsi"/>
          <w:sz w:val="28"/>
          <w:szCs w:val="28"/>
          <w:lang w:val="es-ES_tradnl" w:eastAsia="es-ES"/>
        </w:rPr>
        <w:t xml:space="preserve"> así como la enseñanza a lo largo de la vida” (apartado 1). Y, “al hacer efectivo este derecho, los Estados Partes asegurarán que se faciliten medidas de apoyo personalizadas y efectivas en entornos que fomenten al máximo el desarrollo académico y social, de conformidad con el objetivo de la plena inclusión” (apartado 2, letra e). </w:t>
      </w:r>
    </w:p>
    <w:p w:rsidR="00C71AF3" w:rsidRPr="005E1103" w:rsidRDefault="00C71AF3" w:rsidP="00C71AF3">
      <w:pPr>
        <w:spacing w:line="360" w:lineRule="auto"/>
        <w:jc w:val="both"/>
        <w:rPr>
          <w:rFonts w:eastAsia="MS Mincho" w:cstheme="minorHAnsi"/>
          <w:sz w:val="28"/>
          <w:szCs w:val="28"/>
          <w:lang w:val="es-ES_tradnl" w:eastAsia="es-ES"/>
        </w:rPr>
      </w:pPr>
      <w:r w:rsidRPr="005E1103">
        <w:rPr>
          <w:rFonts w:eastAsia="MS Mincho" w:cstheme="minorHAnsi"/>
          <w:sz w:val="28"/>
          <w:szCs w:val="28"/>
          <w:lang w:val="es-ES_tradnl" w:eastAsia="es-ES"/>
        </w:rPr>
        <w:t>En España existen varias leyes que regulan ese derecho a la inclusión educativa, éstas son la Ley Orgánica 6/2001, de universidades, en su Disposición adicional vigésima cuarta apartado 1, el Texto Refundido de la Ley general de los derechos de las personas con discapacidad y de su inclusión social (RD Legislativo 1/2013) contiene diversas e importantes menciones respecto a la inclusión, siendo los arts. 16 y 18 sus máximos exponentes. También merece mención el Estatuto del estudiante universitario, que contiene importantes referencias sobre esto en sus arts. 18, 35.5, 38.3, 62.5 y 64.4.</w:t>
      </w:r>
    </w:p>
    <w:p w:rsidR="00C71AF3" w:rsidRPr="005E1103" w:rsidRDefault="00C71AF3" w:rsidP="00C71AF3">
      <w:pPr>
        <w:spacing w:line="360" w:lineRule="auto"/>
        <w:jc w:val="both"/>
        <w:rPr>
          <w:rFonts w:eastAsia="MS Mincho" w:cstheme="minorHAnsi"/>
          <w:sz w:val="28"/>
          <w:szCs w:val="28"/>
          <w:lang w:val="es-ES_tradnl" w:eastAsia="es-ES"/>
        </w:rPr>
      </w:pPr>
      <w:r w:rsidRPr="005E1103">
        <w:rPr>
          <w:rFonts w:eastAsia="MS Mincho" w:cstheme="minorHAnsi"/>
          <w:sz w:val="28"/>
          <w:szCs w:val="28"/>
          <w:lang w:val="es-ES_tradnl" w:eastAsia="es-ES"/>
        </w:rPr>
        <w:t xml:space="preserve">Pocos derechos de los enunciados a lo largo de este </w:t>
      </w:r>
      <w:r w:rsidRPr="005E1103">
        <w:rPr>
          <w:rFonts w:eastAsia="MS Mincho" w:cstheme="minorHAnsi"/>
          <w:i/>
          <w:sz w:val="28"/>
          <w:szCs w:val="28"/>
          <w:lang w:val="es-ES_tradnl" w:eastAsia="es-ES"/>
        </w:rPr>
        <w:t>Informe</w:t>
      </w:r>
      <w:r w:rsidRPr="005E1103">
        <w:rPr>
          <w:rFonts w:eastAsia="MS Mincho" w:cstheme="minorHAnsi"/>
          <w:sz w:val="28"/>
          <w:szCs w:val="28"/>
          <w:lang w:val="es-ES_tradnl" w:eastAsia="es-ES"/>
        </w:rPr>
        <w:t xml:space="preserve"> han recibido un espaldarazo tan rotundo como el derecho a participar en la vida de la comunidad universitaria. El análisis de las políticas públicas puestas en marcha en las diferentes universidades refleja que se han promovido acciones orientadas a apoyar a los estudiantes con discapacidad en torno a la idea de universidad inclusiva. Sin embargo, solo se ha recorrido una parte del camino, el estrictamente académico. Los apoyos se orientan casi exclusivamente a salvar los obstáculos que hacen difícil el aprendizaje. Pero es preciso dar un paso más, para lograr que se salven otras barreras, las sociales, que fácilmente provocan exclusión. </w:t>
      </w:r>
      <w:r w:rsidRPr="005E1103">
        <w:rPr>
          <w:rFonts w:eastAsia="MS Mincho" w:cstheme="minorHAnsi"/>
          <w:sz w:val="28"/>
          <w:szCs w:val="28"/>
          <w:lang w:val="es-ES_tradnl" w:eastAsia="es-ES"/>
        </w:rPr>
        <w:lastRenderedPageBreak/>
        <w:t xml:space="preserve">En el </w:t>
      </w:r>
      <w:r w:rsidRPr="005E1103">
        <w:rPr>
          <w:rFonts w:eastAsia="MS Mincho" w:cstheme="minorHAnsi"/>
          <w:i/>
          <w:sz w:val="28"/>
          <w:szCs w:val="28"/>
          <w:lang w:val="es-ES_tradnl" w:eastAsia="es-ES"/>
        </w:rPr>
        <w:t>Informe</w:t>
      </w:r>
      <w:r w:rsidRPr="005E1103">
        <w:rPr>
          <w:rFonts w:eastAsia="MS Mincho" w:cstheme="minorHAnsi"/>
          <w:sz w:val="28"/>
          <w:szCs w:val="28"/>
          <w:lang w:val="es-ES_tradnl" w:eastAsia="es-ES"/>
        </w:rPr>
        <w:t xml:space="preserve"> se señalan algunas acciones relevantes para intentar salvar esos obstáculos, no solo académicos, como son:</w:t>
      </w:r>
    </w:p>
    <w:p w:rsidR="00C71AF3" w:rsidRPr="005E1103" w:rsidRDefault="00C71AF3" w:rsidP="00C71AF3">
      <w:pPr>
        <w:spacing w:line="360" w:lineRule="auto"/>
        <w:jc w:val="both"/>
        <w:rPr>
          <w:rFonts w:eastAsia="MS Mincho" w:cstheme="minorHAnsi"/>
          <w:sz w:val="28"/>
          <w:szCs w:val="28"/>
          <w:lang w:val="es-ES_tradnl" w:eastAsia="es-ES"/>
        </w:rPr>
      </w:pPr>
      <w:r w:rsidRPr="005E1103">
        <w:rPr>
          <w:rFonts w:eastAsia="MS Mincho" w:cstheme="minorHAnsi"/>
          <w:sz w:val="28"/>
          <w:szCs w:val="28"/>
          <w:lang w:val="es-ES_tradnl" w:eastAsia="es-ES"/>
        </w:rPr>
        <w:t>a) Programa de tutorización de los estudiantes con discapacidad: La tutorización ya aparece como una exhortación en</w:t>
      </w:r>
      <w:r w:rsidRPr="005E1103">
        <w:rPr>
          <w:rFonts w:cstheme="minorHAnsi"/>
          <w:sz w:val="28"/>
          <w:szCs w:val="28"/>
        </w:rPr>
        <w:t xml:space="preserve"> </w:t>
      </w:r>
      <w:r w:rsidRPr="005E1103">
        <w:rPr>
          <w:rFonts w:eastAsia="MS Mincho" w:cstheme="minorHAnsi"/>
          <w:sz w:val="28"/>
          <w:szCs w:val="28"/>
          <w:lang w:val="es-ES_tradnl" w:eastAsia="es-ES"/>
        </w:rPr>
        <w:t xml:space="preserve">art. 24.3 letra a de la Convención de Naciones Unidas sobre los derechos de las personas con discapacidad, en el ordenamiento jurídico español, el Estatuto del estudiante universitario, tras exigir la adaptación de las tutorías en su art. 22 </w:t>
      </w:r>
      <w:r w:rsidR="00FC5683" w:rsidRPr="005E1103">
        <w:rPr>
          <w:rFonts w:eastAsia="MS Mincho" w:cstheme="minorHAnsi"/>
          <w:sz w:val="28"/>
          <w:szCs w:val="28"/>
          <w:lang w:val="es-ES_tradnl" w:eastAsia="es-ES"/>
        </w:rPr>
        <w:t>- “</w:t>
      </w:r>
      <w:r w:rsidRPr="005E1103">
        <w:rPr>
          <w:rFonts w:eastAsia="MS Mincho" w:cstheme="minorHAnsi"/>
          <w:sz w:val="28"/>
          <w:szCs w:val="28"/>
          <w:lang w:val="es-ES_tradnl" w:eastAsia="es-ES"/>
        </w:rPr>
        <w:t>Tutorías para estudiantes con discapacidad”-  promueve, precisamente, el establecimiento de la figura del profesor tutor. La función principal del profesor–tutor será velar por el cumplimiento de los derechos del estudiante con discapacidad desde el comienzo hasta el final de sus estudios.</w:t>
      </w:r>
    </w:p>
    <w:p w:rsidR="00C71AF3" w:rsidRPr="005E1103" w:rsidRDefault="00C71AF3" w:rsidP="00C71AF3">
      <w:pPr>
        <w:spacing w:line="360" w:lineRule="auto"/>
        <w:jc w:val="both"/>
        <w:rPr>
          <w:rFonts w:eastAsia="MS Mincho" w:cstheme="minorHAnsi"/>
          <w:sz w:val="28"/>
          <w:szCs w:val="28"/>
          <w:lang w:val="es-ES_tradnl" w:eastAsia="es-ES"/>
        </w:rPr>
      </w:pPr>
      <w:r w:rsidRPr="005E1103">
        <w:rPr>
          <w:rFonts w:eastAsia="MS Mincho" w:cstheme="minorHAnsi"/>
          <w:sz w:val="28"/>
          <w:szCs w:val="28"/>
          <w:lang w:val="es-ES_tradnl" w:eastAsia="es-ES"/>
        </w:rPr>
        <w:t>b) Programa de voluntariado o</w:t>
      </w:r>
      <w:r w:rsidRPr="005E1103">
        <w:rPr>
          <w:rFonts w:cstheme="minorHAnsi"/>
          <w:sz w:val="28"/>
          <w:szCs w:val="28"/>
        </w:rPr>
        <w:t xml:space="preserve"> </w:t>
      </w:r>
      <w:r w:rsidRPr="005E1103">
        <w:rPr>
          <w:rFonts w:eastAsia="MS Mincho" w:cstheme="minorHAnsi"/>
          <w:sz w:val="28"/>
          <w:szCs w:val="28"/>
          <w:lang w:val="es-ES_tradnl" w:eastAsia="es-ES"/>
        </w:rPr>
        <w:t>Programa de alumnos colaboradores: Esta actividad debe ser adecuadamente reconocida, mediante la concesión de créditos, además de contar con una dotación de becas o de cualquier otra forma que, sin hacer perder a la actividad que realizan su carácter solidario, sirva de motivación y garantice una verdadera implicación.</w:t>
      </w:r>
    </w:p>
    <w:p w:rsidR="00C71AF3" w:rsidRPr="005E1103" w:rsidRDefault="00C71AF3" w:rsidP="00C71AF3">
      <w:pPr>
        <w:spacing w:line="360" w:lineRule="auto"/>
        <w:jc w:val="both"/>
        <w:rPr>
          <w:rFonts w:eastAsia="MS Mincho" w:cstheme="minorHAnsi"/>
          <w:sz w:val="28"/>
          <w:szCs w:val="28"/>
          <w:lang w:val="es-ES_tradnl" w:eastAsia="es-ES"/>
        </w:rPr>
      </w:pPr>
      <w:r w:rsidRPr="005E1103">
        <w:rPr>
          <w:rFonts w:eastAsia="MS Mincho" w:cstheme="minorHAnsi"/>
          <w:sz w:val="28"/>
          <w:szCs w:val="28"/>
          <w:lang w:val="es-ES_tradnl" w:eastAsia="es-ES"/>
        </w:rPr>
        <w:t>c) Programa de asistencia personal: Los asistentes personales deben acompañar a los estudiantes durante el tiempo preciso, de acuerdo con sus necesidades, que no debería limitarse a las horas de clase presencial, porque su apoyo puede resultar esencial para llevar a cabo actividades extraacadémicas.</w:t>
      </w:r>
    </w:p>
    <w:p w:rsidR="00C71AF3" w:rsidRPr="005E1103" w:rsidRDefault="00C71AF3" w:rsidP="00C71AF3">
      <w:pPr>
        <w:spacing w:line="360" w:lineRule="auto"/>
        <w:jc w:val="both"/>
        <w:rPr>
          <w:rFonts w:eastAsia="MS Mincho" w:cstheme="minorHAnsi"/>
          <w:sz w:val="28"/>
          <w:szCs w:val="28"/>
          <w:lang w:val="es-ES_tradnl" w:eastAsia="es-ES"/>
        </w:rPr>
      </w:pPr>
      <w:r w:rsidRPr="005E1103">
        <w:rPr>
          <w:rFonts w:eastAsia="MS Mincho" w:cstheme="minorHAnsi"/>
          <w:sz w:val="28"/>
          <w:szCs w:val="28"/>
          <w:lang w:val="es-ES_tradnl" w:eastAsia="es-ES"/>
        </w:rPr>
        <w:t xml:space="preserve">d) Banco de tiempo: La comunidad universitaria y otras entidades pueden unirse para realizar intercambios de servicios, conocimientos y habilidades, creando una amplia red social fundamentada en la participación solidaria. La moneda de intercambio será igual para todos: “el tiempo”. </w:t>
      </w:r>
    </w:p>
    <w:p w:rsidR="00C71AF3" w:rsidRPr="005E1103" w:rsidRDefault="00C71AF3" w:rsidP="00C71AF3">
      <w:pPr>
        <w:spacing w:line="360" w:lineRule="auto"/>
        <w:jc w:val="both"/>
        <w:rPr>
          <w:rFonts w:eastAsia="MS Mincho" w:cstheme="minorHAnsi"/>
          <w:sz w:val="28"/>
          <w:szCs w:val="28"/>
          <w:lang w:val="es-ES_tradnl" w:eastAsia="es-ES"/>
        </w:rPr>
      </w:pPr>
      <w:r w:rsidRPr="005E1103">
        <w:rPr>
          <w:rFonts w:eastAsia="MS Mincho" w:cstheme="minorHAnsi"/>
          <w:sz w:val="28"/>
          <w:szCs w:val="28"/>
          <w:lang w:val="es-ES_tradnl" w:eastAsia="es-ES"/>
        </w:rPr>
        <w:t xml:space="preserve">d) Programas de impulso de la participación de los estudiantes con discapacidad: Entre las acciones a emprender para hacer partícipes a los estudiantes con discapacidad en la </w:t>
      </w:r>
      <w:r w:rsidRPr="005E1103">
        <w:rPr>
          <w:rFonts w:eastAsia="MS Mincho" w:cstheme="minorHAnsi"/>
          <w:sz w:val="28"/>
          <w:szCs w:val="28"/>
          <w:lang w:val="es-ES_tradnl" w:eastAsia="es-ES"/>
        </w:rPr>
        <w:lastRenderedPageBreak/>
        <w:t>vida universitaria, destacamos, entre otras muchas, la promoción del asociacionismo estudiantil, el impulso de la participación en el gobierno de la Universidad de los estudiantes con discapacidad, o la promoción de programas de deporte inclusivo, entre otros.</w:t>
      </w:r>
    </w:p>
    <w:p w:rsidR="00C71AF3" w:rsidRPr="005E1103" w:rsidRDefault="00FC5683" w:rsidP="00C71AF3">
      <w:pPr>
        <w:spacing w:line="360" w:lineRule="auto"/>
        <w:jc w:val="both"/>
        <w:rPr>
          <w:rFonts w:eastAsia="MS Mincho" w:cstheme="minorHAnsi"/>
          <w:b/>
          <w:sz w:val="28"/>
          <w:szCs w:val="28"/>
          <w:lang w:val="es-ES_tradnl" w:eastAsia="es-ES"/>
        </w:rPr>
      </w:pPr>
      <w:r w:rsidRPr="005E1103">
        <w:rPr>
          <w:rFonts w:eastAsia="MS Mincho" w:cstheme="minorHAnsi"/>
          <w:b/>
          <w:sz w:val="28"/>
          <w:szCs w:val="28"/>
          <w:lang w:val="es-ES_tradnl" w:eastAsia="es-ES"/>
        </w:rPr>
        <w:t>Quinta. -</w:t>
      </w:r>
      <w:r w:rsidR="00C71AF3" w:rsidRPr="005E1103">
        <w:rPr>
          <w:rFonts w:eastAsia="MS Mincho" w:cstheme="minorHAnsi"/>
          <w:b/>
          <w:sz w:val="28"/>
          <w:szCs w:val="28"/>
          <w:lang w:val="es-ES_tradnl" w:eastAsia="es-ES"/>
        </w:rPr>
        <w:t xml:space="preserve"> </w:t>
      </w:r>
      <w:r w:rsidR="00C71AF3" w:rsidRPr="005E1103">
        <w:rPr>
          <w:rFonts w:eastAsia="MS Mincho" w:cstheme="minorHAnsi"/>
          <w:b/>
          <w:i/>
          <w:sz w:val="28"/>
          <w:szCs w:val="28"/>
          <w:lang w:val="es-ES_tradnl" w:eastAsia="es-ES"/>
        </w:rPr>
        <w:t>Formación para la inclusión</w:t>
      </w:r>
      <w:r w:rsidR="00C71AF3" w:rsidRPr="005E1103">
        <w:rPr>
          <w:rFonts w:eastAsia="MS Mincho" w:cstheme="minorHAnsi"/>
          <w:b/>
          <w:sz w:val="28"/>
          <w:szCs w:val="28"/>
          <w:lang w:val="es-ES_tradnl" w:eastAsia="es-ES"/>
        </w:rPr>
        <w:t>.</w:t>
      </w:r>
    </w:p>
    <w:p w:rsidR="00C71AF3" w:rsidRPr="005E1103" w:rsidRDefault="00C71AF3" w:rsidP="00C71AF3">
      <w:pPr>
        <w:spacing w:line="360" w:lineRule="auto"/>
        <w:jc w:val="both"/>
        <w:rPr>
          <w:rFonts w:eastAsia="MS Mincho" w:cstheme="minorHAnsi"/>
          <w:sz w:val="28"/>
          <w:szCs w:val="28"/>
          <w:lang w:val="es-ES_tradnl" w:eastAsia="es-ES"/>
        </w:rPr>
      </w:pPr>
      <w:r w:rsidRPr="005E1103">
        <w:rPr>
          <w:rFonts w:eastAsia="MS Mincho" w:cstheme="minorHAnsi"/>
          <w:sz w:val="28"/>
          <w:szCs w:val="28"/>
          <w:lang w:val="es-ES_tradnl" w:eastAsia="es-ES"/>
        </w:rPr>
        <w:t>La Convención de Naciones Unidas de los derechos de las personas con discapacidad establece en su art. 24.4 que, para hacer más efectivo el derecho a la educación, los Estados Partes “formarán a los profesionales y al personal que trabajen en todos los niveles educativos. Esa formación incluirá la toma de conciencia sobre la discapacidad y el uso de modos, medios y formatos de comunicación aumentativos y alternativos apropiados, y de técnicas y materiales educativos (…)”. El Texto Refundido de la Ley general de los derechos de las personas con discapacidad regula de manera expresa una garantía adicional para afianzar el derecho a una educación inclusiva exponiendo que “se realizarán programas de sensibilización, información y formación continua de los equipos directivos, el profesorado y los profesionales de la educación, dirigida a su especialización en la atención a las NEE del alumnado con discapacidad, de modo que puedan contar con los conocimientos y herramientas necesarias para ello” (artículo 20 letra d). En la misma línea, el Plan de acción de la estrategia española sobre discapacidad 2014-2020, elaborado por el Ministerio de Sanidad, Servicios sociales e Igualdad. En él, la educación es uno de sus cinco planes de actuación y, dentro de éste, se define como objetivo estratégico “reducir la tasa de abandono escolar y aumentar el número de personas con discapacidad con educación superior”. Destacando para lograr este objetivo la actuación 54: “Potenciar la formación del profesorado en el conocimiento de las necesidades de las personas con discapacidad”.</w:t>
      </w:r>
    </w:p>
    <w:p w:rsidR="00C71AF3" w:rsidRPr="005E1103" w:rsidRDefault="00C71AF3" w:rsidP="00C71AF3">
      <w:pPr>
        <w:spacing w:line="360" w:lineRule="auto"/>
        <w:jc w:val="both"/>
        <w:rPr>
          <w:rFonts w:eastAsia="MS Mincho" w:cstheme="minorHAnsi"/>
          <w:sz w:val="28"/>
          <w:szCs w:val="28"/>
          <w:lang w:val="es-ES_tradnl" w:eastAsia="es-ES"/>
        </w:rPr>
      </w:pPr>
      <w:r w:rsidRPr="005E1103">
        <w:rPr>
          <w:rFonts w:eastAsia="MS Mincho" w:cstheme="minorHAnsi"/>
          <w:sz w:val="28"/>
          <w:szCs w:val="28"/>
          <w:lang w:val="es-ES_tradnl" w:eastAsia="es-ES"/>
        </w:rPr>
        <w:lastRenderedPageBreak/>
        <w:t>Las consideraciones anteriores exigen la puesta en marcha de acciones formativas dirigidas a los tres ejes de la comunidad universitaria: los estudiantes, el profesorado y el personal de administración y servicios. Así, ciertas acciones a implementar serían:</w:t>
      </w:r>
    </w:p>
    <w:p w:rsidR="00C71AF3" w:rsidRPr="005E1103" w:rsidRDefault="00C71AF3" w:rsidP="00C71AF3">
      <w:pPr>
        <w:spacing w:line="360" w:lineRule="auto"/>
        <w:jc w:val="both"/>
        <w:rPr>
          <w:rFonts w:eastAsia="MS Mincho" w:cstheme="minorHAnsi"/>
          <w:sz w:val="28"/>
          <w:szCs w:val="28"/>
          <w:lang w:val="es-ES_tradnl" w:eastAsia="es-ES"/>
        </w:rPr>
      </w:pPr>
      <w:r w:rsidRPr="005E1103">
        <w:rPr>
          <w:rFonts w:eastAsia="MS Mincho" w:cstheme="minorHAnsi"/>
          <w:sz w:val="28"/>
          <w:szCs w:val="28"/>
          <w:lang w:val="es-ES_tradnl" w:eastAsia="es-ES"/>
        </w:rPr>
        <w:t xml:space="preserve">a) Programa de sensibilización en la atención a la diversidad y de formación básica en necesidades de las personas con discapacidad: Es importante que toda la comunidad universitaria esté sensibilizada con la atención a la diversidad y las políticas inclusivas y que tenga una formación básica referida a las necesidades de las personas con discapacidad (cómo dirigirse a ellas, como facilitar su vida diaria, como atender sus necesidades básicas…). Para ello, sería necesario garantizar que en todas las titulaciones se dé un tratamiento mínimo a la atención a la diversidad, de modo que esta perspectiva esté presente en sus planes de estudio. </w:t>
      </w:r>
    </w:p>
    <w:p w:rsidR="00C71AF3" w:rsidRPr="005E1103" w:rsidRDefault="00C71AF3" w:rsidP="00C71AF3">
      <w:pPr>
        <w:spacing w:line="360" w:lineRule="auto"/>
        <w:jc w:val="both"/>
        <w:rPr>
          <w:rFonts w:eastAsia="MS Mincho" w:cstheme="minorHAnsi"/>
          <w:sz w:val="28"/>
          <w:szCs w:val="28"/>
          <w:lang w:val="es-ES_tradnl" w:eastAsia="es-ES"/>
        </w:rPr>
      </w:pPr>
      <w:r w:rsidRPr="005E1103">
        <w:rPr>
          <w:rFonts w:eastAsia="MS Mincho" w:cstheme="minorHAnsi"/>
          <w:sz w:val="28"/>
          <w:szCs w:val="28"/>
          <w:lang w:val="es-ES_tradnl" w:eastAsia="es-ES"/>
        </w:rPr>
        <w:t xml:space="preserve">Traemos de nuevo a colación los programas citados de tutorización de los estudiantes con discapacidad, de voluntariado o de alumnos colaboradores, y el de asistencia personal, para hacer nuevas reflexiones: el profesor–tutor debe adquirir una formación adecuada en dos ámbitos, ser conocedor de los derechos de las personas con discapacidad, conocimiento que debería recibir por su condición de profesor (no por ser tutor), y tener formación específica suficiente sobre la discapacidad de su tutorizado, de modo que pueda asesorarle en cuestiones como las adaptaciones curriculares o metodológicas; los voluntarios deben estar formados, no solo en los fundamentos y principios del voluntariado, sino en atención a la diversidad; y, por último, las personas que presten asistencia personal al estudiante con discapacidad deben reunir ciertas condiciones como la formación en tratamiento de la diversidad y la formación académica adecuada al perfil de la persona asistida (por cuanto su apoyo no va a ser solo físico, sino que implicará atención en el aula, comprensión mínima de contenidos). El cumplimiento de las condiciones señaladas debería verificarse a través de un proceso de selección realizado por una entidad, de la universidad o no, con experiencia en la atención de las </w:t>
      </w:r>
      <w:r w:rsidRPr="005E1103">
        <w:rPr>
          <w:rFonts w:eastAsia="MS Mincho" w:cstheme="minorHAnsi"/>
          <w:sz w:val="28"/>
          <w:szCs w:val="28"/>
          <w:lang w:val="es-ES_tradnl" w:eastAsia="es-ES"/>
        </w:rPr>
        <w:lastRenderedPageBreak/>
        <w:t>personas con discapacidad. Porque uno de los problemas con que deben enfrentarse los estudiantes es la dificultad a la hora de encontrar personal adecuado para su asistencia personal.</w:t>
      </w:r>
    </w:p>
    <w:p w:rsidR="00C71AF3" w:rsidRPr="005E1103" w:rsidRDefault="00C71AF3" w:rsidP="00C71AF3">
      <w:pPr>
        <w:spacing w:line="360" w:lineRule="auto"/>
        <w:jc w:val="center"/>
        <w:rPr>
          <w:rFonts w:eastAsia="MS Mincho" w:cstheme="minorHAnsi"/>
          <w:sz w:val="28"/>
          <w:szCs w:val="28"/>
          <w:lang w:val="es-ES_tradnl" w:eastAsia="es-ES"/>
        </w:rPr>
      </w:pPr>
      <w:r w:rsidRPr="005E1103">
        <w:rPr>
          <w:rFonts w:eastAsia="MS Mincho" w:cstheme="minorHAnsi"/>
          <w:sz w:val="28"/>
          <w:szCs w:val="28"/>
          <w:lang w:val="es-ES_tradnl" w:eastAsia="es-ES"/>
        </w:rPr>
        <w:t>* * *</w:t>
      </w:r>
    </w:p>
    <w:p w:rsidR="00C71AF3" w:rsidRPr="005E1103" w:rsidRDefault="00C71AF3" w:rsidP="00C71AF3">
      <w:pPr>
        <w:spacing w:line="360" w:lineRule="auto"/>
        <w:jc w:val="both"/>
        <w:rPr>
          <w:rFonts w:eastAsia="MS Mincho" w:cstheme="minorHAnsi"/>
          <w:sz w:val="28"/>
          <w:szCs w:val="28"/>
          <w:lang w:val="es-ES_tradnl" w:eastAsia="es-ES"/>
        </w:rPr>
      </w:pPr>
      <w:r w:rsidRPr="005E1103">
        <w:rPr>
          <w:rFonts w:eastAsia="MS Mincho" w:cstheme="minorHAnsi"/>
          <w:sz w:val="28"/>
          <w:szCs w:val="28"/>
          <w:lang w:val="es-ES_tradnl" w:eastAsia="es-ES"/>
        </w:rPr>
        <w:t>El Informe se presenta por primera vez en este Foro, tal vez el de mayor relevancia e impacto en el ámbito universitario. Nuestra intención es ofrecerlo a las universidades e instituciones que velan por la inclusión de las personas –en esta ocasión estudiantes – con discapacidad, con el ánimo de que sea fuente de reflexión, innovación y mejora.</w:t>
      </w:r>
    </w:p>
    <w:p w:rsidR="00C71AF3" w:rsidRPr="005E1103" w:rsidRDefault="00C71AF3" w:rsidP="00C71AF3">
      <w:pPr>
        <w:spacing w:line="360" w:lineRule="auto"/>
        <w:jc w:val="center"/>
        <w:rPr>
          <w:rFonts w:cstheme="minorHAnsi"/>
          <w:b/>
          <w:sz w:val="28"/>
          <w:szCs w:val="28"/>
          <w:lang w:val="en-US"/>
        </w:rPr>
      </w:pPr>
      <w:r w:rsidRPr="005E1103">
        <w:rPr>
          <w:rFonts w:cstheme="minorHAnsi"/>
          <w:b/>
          <w:sz w:val="28"/>
          <w:szCs w:val="28"/>
          <w:lang w:val="en-US"/>
        </w:rPr>
        <w:t>COMUNICACIÓN 5</w:t>
      </w:r>
    </w:p>
    <w:p w:rsidR="00C71AF3" w:rsidRPr="005E1103" w:rsidRDefault="00C71AF3" w:rsidP="00C71AF3">
      <w:pPr>
        <w:pBdr>
          <w:top w:val="single" w:sz="4" w:space="1" w:color="auto"/>
          <w:left w:val="single" w:sz="4" w:space="4" w:color="auto"/>
          <w:bottom w:val="single" w:sz="4" w:space="1" w:color="auto"/>
          <w:right w:val="single" w:sz="4" w:space="4" w:color="auto"/>
        </w:pBdr>
        <w:spacing w:after="0" w:line="360" w:lineRule="auto"/>
        <w:jc w:val="both"/>
        <w:rPr>
          <w:rFonts w:cstheme="minorHAnsi"/>
          <w:b/>
          <w:sz w:val="28"/>
          <w:szCs w:val="28"/>
          <w:lang w:val="en-GB"/>
        </w:rPr>
      </w:pPr>
      <w:r w:rsidRPr="005E1103">
        <w:rPr>
          <w:rFonts w:cstheme="minorHAnsi"/>
          <w:b/>
          <w:sz w:val="28"/>
          <w:szCs w:val="28"/>
          <w:lang w:val="en-GB"/>
        </w:rPr>
        <w:t>Improving the enrolment process for students with disabilities at University of Maribor</w:t>
      </w:r>
    </w:p>
    <w:p w:rsidR="00C71AF3" w:rsidRPr="005E1103" w:rsidRDefault="00C71AF3" w:rsidP="00C71AF3">
      <w:pPr>
        <w:spacing w:line="360" w:lineRule="auto"/>
        <w:jc w:val="both"/>
        <w:rPr>
          <w:rFonts w:cstheme="minorHAnsi"/>
          <w:b/>
          <w:sz w:val="28"/>
          <w:szCs w:val="28"/>
          <w:lang w:val="en-GB"/>
        </w:rPr>
      </w:pPr>
    </w:p>
    <w:p w:rsidR="00C71AF3" w:rsidRPr="005E1103" w:rsidRDefault="00C71AF3" w:rsidP="00C71AF3">
      <w:pPr>
        <w:spacing w:after="0" w:line="360" w:lineRule="auto"/>
        <w:jc w:val="both"/>
        <w:rPr>
          <w:rFonts w:cstheme="minorHAnsi"/>
          <w:sz w:val="28"/>
          <w:szCs w:val="28"/>
          <w:lang w:val="en-GB"/>
        </w:rPr>
      </w:pPr>
      <w:r w:rsidRPr="005E1103">
        <w:rPr>
          <w:rFonts w:cstheme="minorHAnsi"/>
          <w:sz w:val="28"/>
          <w:szCs w:val="28"/>
          <w:lang w:val="en-GB"/>
        </w:rPr>
        <w:t>dr. Marta Licardo</w:t>
      </w:r>
    </w:p>
    <w:p w:rsidR="00C71AF3" w:rsidRPr="005E1103" w:rsidRDefault="00C71AF3" w:rsidP="00C71AF3">
      <w:pPr>
        <w:spacing w:after="0" w:line="360" w:lineRule="auto"/>
        <w:jc w:val="both"/>
        <w:rPr>
          <w:rFonts w:cstheme="minorHAnsi"/>
          <w:sz w:val="28"/>
          <w:szCs w:val="28"/>
          <w:lang w:val="en-GB"/>
        </w:rPr>
      </w:pPr>
      <w:r w:rsidRPr="005E1103">
        <w:rPr>
          <w:rFonts w:cstheme="minorHAnsi"/>
          <w:sz w:val="28"/>
          <w:szCs w:val="28"/>
          <w:lang w:val="en-GB"/>
        </w:rPr>
        <w:t>Faculty of Education, University of Maribor</w:t>
      </w:r>
    </w:p>
    <w:p w:rsidR="00C71AF3" w:rsidRPr="005E1103" w:rsidRDefault="00C71AF3" w:rsidP="00C71AF3">
      <w:pPr>
        <w:spacing w:after="0" w:line="360" w:lineRule="auto"/>
        <w:jc w:val="both"/>
        <w:rPr>
          <w:rFonts w:cstheme="minorHAnsi"/>
          <w:sz w:val="28"/>
          <w:szCs w:val="28"/>
          <w:lang w:val="en-GB"/>
        </w:rPr>
      </w:pPr>
    </w:p>
    <w:p w:rsidR="00C71AF3" w:rsidRPr="005E1103" w:rsidRDefault="00C71AF3" w:rsidP="00C71AF3">
      <w:pPr>
        <w:spacing w:after="0" w:line="360" w:lineRule="auto"/>
        <w:jc w:val="both"/>
        <w:rPr>
          <w:rFonts w:cstheme="minorHAnsi"/>
          <w:sz w:val="28"/>
          <w:szCs w:val="28"/>
          <w:lang w:val="en-GB"/>
        </w:rPr>
      </w:pPr>
      <w:r w:rsidRPr="005E1103">
        <w:rPr>
          <w:rFonts w:cstheme="minorHAnsi"/>
          <w:sz w:val="28"/>
          <w:szCs w:val="28"/>
          <w:lang w:val="en-GB"/>
        </w:rPr>
        <w:t>Alenka Gajšt</w:t>
      </w:r>
    </w:p>
    <w:p w:rsidR="00C71AF3" w:rsidRPr="005E1103" w:rsidRDefault="00C71AF3" w:rsidP="00C71AF3">
      <w:pPr>
        <w:spacing w:after="0" w:line="360" w:lineRule="auto"/>
        <w:jc w:val="both"/>
        <w:rPr>
          <w:rFonts w:cstheme="minorHAnsi"/>
          <w:sz w:val="28"/>
          <w:szCs w:val="28"/>
          <w:lang w:val="en-GB"/>
        </w:rPr>
      </w:pPr>
      <w:r w:rsidRPr="005E1103">
        <w:rPr>
          <w:rFonts w:cstheme="minorHAnsi"/>
          <w:sz w:val="28"/>
          <w:szCs w:val="28"/>
          <w:lang w:val="en-GB"/>
        </w:rPr>
        <w:t>Slovenian Association of Disabled Students</w:t>
      </w:r>
    </w:p>
    <w:p w:rsidR="00FC5683" w:rsidRDefault="00FC5683" w:rsidP="00C71AF3">
      <w:pPr>
        <w:spacing w:after="0" w:line="360" w:lineRule="auto"/>
        <w:jc w:val="both"/>
        <w:rPr>
          <w:rFonts w:cstheme="minorHAnsi"/>
          <w:b/>
          <w:sz w:val="28"/>
          <w:szCs w:val="28"/>
          <w:lang w:val="en-GB"/>
        </w:rPr>
      </w:pPr>
    </w:p>
    <w:p w:rsidR="00C71AF3" w:rsidRPr="005E1103" w:rsidRDefault="00C71AF3" w:rsidP="00C71AF3">
      <w:pPr>
        <w:spacing w:after="0" w:line="360" w:lineRule="auto"/>
        <w:jc w:val="both"/>
        <w:rPr>
          <w:rFonts w:cstheme="minorHAnsi"/>
          <w:b/>
          <w:sz w:val="28"/>
          <w:szCs w:val="28"/>
          <w:lang w:val="en-GB"/>
        </w:rPr>
      </w:pPr>
      <w:r w:rsidRPr="005E1103">
        <w:rPr>
          <w:rFonts w:cstheme="minorHAnsi"/>
          <w:b/>
          <w:sz w:val="28"/>
          <w:szCs w:val="28"/>
          <w:lang w:val="en-GB"/>
        </w:rPr>
        <w:t>Introduction</w:t>
      </w:r>
    </w:p>
    <w:p w:rsidR="00C71AF3" w:rsidRPr="005E1103" w:rsidRDefault="00C71AF3" w:rsidP="00C71AF3">
      <w:pPr>
        <w:spacing w:after="0" w:line="360" w:lineRule="auto"/>
        <w:jc w:val="both"/>
        <w:rPr>
          <w:rFonts w:cstheme="minorHAnsi"/>
          <w:sz w:val="28"/>
          <w:szCs w:val="28"/>
          <w:lang w:val="en-GB"/>
        </w:rPr>
      </w:pPr>
      <w:r w:rsidRPr="005E1103">
        <w:rPr>
          <w:rFonts w:cstheme="minorHAnsi"/>
          <w:sz w:val="28"/>
          <w:szCs w:val="28"/>
          <w:lang w:val="en-GB"/>
        </w:rPr>
        <w:t xml:space="preserve">Students with disabilities who enrol in university have various expectations; from excitement, feelings of joy, vision of life free of parental control, meeting new people; participation in student’s activities, learning and growing intellectually and finally becoming more independent and autonomous young adults. At the enrolment stage they are often not fully aware of the complex educational environment, which might be more stressful than many of them have expected (Compas et al., 1986: 242). Some students with disabilities, as all other students, often move away from home for the first time in </w:t>
      </w:r>
      <w:r w:rsidRPr="005E1103">
        <w:rPr>
          <w:rFonts w:cstheme="minorHAnsi"/>
          <w:sz w:val="28"/>
          <w:szCs w:val="28"/>
          <w:lang w:val="en-GB"/>
        </w:rPr>
        <w:lastRenderedPageBreak/>
        <w:t xml:space="preserve">their lives and find themselves in the environment where all the familiar resources of help are suddenly cut off. In quite a short time, students with disabilities must become empowered enough and capable to replace family, friends and resources of support in local environment with individual strengths and resourcefulness. They must perform many tasks, from managing their finances, their time, information, new social situations and academic work. Travelling and communication might be quite challenging, especially for students with physical or sensory impairments. Consequently, many students experience difficulty in adjusting to new circumstances. Many first year students report moderate to high levels of loneliness, health and emotional problems (Cutrona, 1982: 294). In addition, 30 to 40 % of first year students without disabilities drop out of universities without completing their study as a result of difficulties they experience in adjusting to the complexity of university system (Gerdes and Mallinckrodst, 1994). National Longitudinal Transition Study (NLTS) in 2011 shows that only 27 % of students with learning disabilities complete college within 6 years. Compared to their peers in the general population, completion rates at 4-year colleges were statistically lower for students with disabilities than for their peers. 66 % of students with disabilities do not complete their undergraduate studies. The NLTS (2011) also reports that 63 % of post-secondary students who were identified by their secondary schools as having a disability did not consider themselves to have a disability by the time they transitioned to post-secondary school. Only 28 % of post-secondary students with disabilities identified themselves as having a disability and informed their post-secondary school of their disability. It is obvious that disclosure of disability at post-secondary level is an additional problem. Most likely, only students who really need adjustments and supports and have a visible disability actually disclose and ask for adjustments and support. Another, more personal part of this issue is that students with disabilities have difficulties accepting their disability and barriers they experience, they might have a more negative perception of barriers related to disability and might more often suffer from emotional stress. These </w:t>
      </w:r>
      <w:r w:rsidRPr="005E1103">
        <w:rPr>
          <w:rFonts w:cstheme="minorHAnsi"/>
          <w:sz w:val="28"/>
          <w:szCs w:val="28"/>
          <w:lang w:val="en-GB"/>
        </w:rPr>
        <w:lastRenderedPageBreak/>
        <w:t>problems of accepting and facing barriers due to their disability are very important, but beyond of the scope of this paper (Lerner, 2003). Another institutional problem at post-secondary education level is providing reasonable adjustments and support in the educational process. NLTS (2011) reports only 19 % of postsecondary students with disabilities reported to receive adjustments or supports from their postsecondary institution because of disability. Iin contrast, when these students where in secondary school, 87 % received some type of adjustments or support, the most frequently received type of adjustment being additional time to compete tests.</w:t>
      </w:r>
    </w:p>
    <w:p w:rsidR="00C71AF3" w:rsidRPr="005E1103" w:rsidRDefault="00C71AF3" w:rsidP="00C71AF3">
      <w:pPr>
        <w:spacing w:after="0" w:line="360" w:lineRule="auto"/>
        <w:jc w:val="both"/>
        <w:rPr>
          <w:rFonts w:cstheme="minorHAnsi"/>
          <w:sz w:val="28"/>
          <w:szCs w:val="28"/>
          <w:lang w:val="en-GB"/>
        </w:rPr>
      </w:pPr>
      <w:r w:rsidRPr="005E1103">
        <w:rPr>
          <w:rFonts w:cstheme="minorHAnsi"/>
          <w:sz w:val="28"/>
          <w:szCs w:val="28"/>
          <w:lang w:val="en-GB"/>
        </w:rPr>
        <w:t xml:space="preserve"> </w:t>
      </w:r>
    </w:p>
    <w:p w:rsidR="00C71AF3" w:rsidRPr="005E1103" w:rsidRDefault="00C71AF3" w:rsidP="00C71AF3">
      <w:pPr>
        <w:spacing w:after="0" w:line="360" w:lineRule="auto"/>
        <w:jc w:val="both"/>
        <w:rPr>
          <w:rFonts w:eastAsia="Times New Roman" w:cstheme="minorHAnsi"/>
          <w:sz w:val="28"/>
          <w:szCs w:val="28"/>
          <w:highlight w:val="yellow"/>
          <w:lang w:val="en-GB" w:eastAsia="sl-SI"/>
        </w:rPr>
      </w:pPr>
      <w:r w:rsidRPr="005E1103">
        <w:rPr>
          <w:rFonts w:cstheme="minorHAnsi"/>
          <w:sz w:val="28"/>
          <w:szCs w:val="28"/>
          <w:lang w:val="en-GB"/>
        </w:rPr>
        <w:t>Institutional interventions to overcome these barriers at post-secondary level of education are very important.</w:t>
      </w:r>
      <w:r w:rsidRPr="005E1103">
        <w:rPr>
          <w:rFonts w:eastAsia="Times New Roman" w:cstheme="minorHAnsi"/>
          <w:sz w:val="28"/>
          <w:szCs w:val="28"/>
          <w:lang w:val="en-US" w:eastAsia="sl-SI"/>
        </w:rPr>
        <w:t xml:space="preserve"> </w:t>
      </w:r>
      <w:r w:rsidRPr="005E1103">
        <w:rPr>
          <w:rFonts w:eastAsia="Times New Roman" w:cstheme="minorHAnsi"/>
          <w:sz w:val="28"/>
          <w:szCs w:val="28"/>
          <w:lang w:val="en-GB" w:eastAsia="sl-SI"/>
        </w:rPr>
        <w:t>There are many ways how students can be supported towards graduation. It is not only the responsibility of the students; it is the responsibility of all intuitions, offices across multiple divisions of a university (Hossler, 1996). Students can move successfully through college or university only if each university department plays its role in the inclusion process. In many EU universities there are offices or support centres dedicated to support inclusion of students with disabilities. Their role is to provide academic services such as support in enrolment procedures, improving access on campus, advising students about their rights and responsibilities and coordinating the communication among university offices and faculties (Komives et al., 2003, Bera et al. 2010).</w:t>
      </w:r>
    </w:p>
    <w:p w:rsidR="00C71AF3" w:rsidRPr="005E1103" w:rsidRDefault="00C71AF3" w:rsidP="00C71AF3">
      <w:pPr>
        <w:spacing w:after="0" w:line="360" w:lineRule="auto"/>
        <w:jc w:val="both"/>
        <w:rPr>
          <w:rFonts w:cstheme="minorHAnsi"/>
          <w:sz w:val="28"/>
          <w:szCs w:val="28"/>
          <w:lang w:val="en-US"/>
        </w:rPr>
      </w:pPr>
    </w:p>
    <w:p w:rsidR="00C71AF3" w:rsidRPr="005E1103" w:rsidRDefault="00C71AF3" w:rsidP="00C71AF3">
      <w:pPr>
        <w:spacing w:after="0" w:line="360" w:lineRule="auto"/>
        <w:jc w:val="both"/>
        <w:rPr>
          <w:rFonts w:eastAsia="Times New Roman" w:cstheme="minorHAnsi"/>
          <w:sz w:val="28"/>
          <w:szCs w:val="28"/>
          <w:lang w:val="en-GB" w:eastAsia="sl-SI"/>
        </w:rPr>
      </w:pPr>
      <w:r w:rsidRPr="005E1103">
        <w:rPr>
          <w:rFonts w:cstheme="minorHAnsi"/>
          <w:sz w:val="28"/>
          <w:szCs w:val="28"/>
          <w:lang w:val="en-GB"/>
        </w:rPr>
        <w:t xml:space="preserve">The support of administrators and university teachers at post-secondary level depends on how well they are informed about special educational needs of students with disabilities and about the disability field in general. </w:t>
      </w:r>
      <w:r w:rsidRPr="005E1103">
        <w:rPr>
          <w:rFonts w:eastAsia="Times New Roman" w:cstheme="minorHAnsi"/>
          <w:sz w:val="28"/>
          <w:szCs w:val="28"/>
          <w:lang w:val="en-GB" w:eastAsia="sl-SI"/>
        </w:rPr>
        <w:t xml:space="preserve">In the study about transition process to post-secondary education (Janiga and Costenbader, 2002) coordinators of special services for students with disabilities at 74 colleges reported little satisfaction with transition services for students with disabilities. They saw students’ low self advocacy </w:t>
      </w:r>
      <w:r w:rsidRPr="005E1103">
        <w:rPr>
          <w:rFonts w:eastAsia="Times New Roman" w:cstheme="minorHAnsi"/>
          <w:sz w:val="28"/>
          <w:szCs w:val="28"/>
          <w:lang w:val="en-GB" w:eastAsia="sl-SI"/>
        </w:rPr>
        <w:lastRenderedPageBreak/>
        <w:t>skills as the greatest weakness of the current transition services. Professors, in general, have moderately favourable attitudes towards students with disabilities on campus, but their attitudes are less positive when having an actual student with a disability in their own department (Fichten, 1988). In cases when individual faculty members control whether or not students will receive reasonable adjustments, a lot still depends on the willingness of the professors (Nelson et al., 1990).  Some students with disabilities are more readily accepted than others. Faculties and other institutions of tertiary education are more accepting of students with sensory and physical disabilities and less receptive for those with learning disabilities and emotional behavioural disabilities. Concerning adjustments, it appears some adjustments are more readily provided than others. Students reported their needs are still not adequately met. 25 % of students with disabilities report that lack of services at postsecondary level had seriously impacted their ability to achieve postsecondary education. Even though approximately 60 % of students reported that faculty was willing to make adjustments to meet their needs, 30 % of student reported lack of adjustments from instructors had seriously impacted their educational process (Hill, 1996). Challenges related to the transition and enrolment process, differences in disabled student services and differences in academic requirements are some of the most important issues for students with disabilities (DO-IT, 2015). Professionals who work with post-secondary students with disabilities also report a range of challenges that negatively impact successful transition in 4-years schools. Challenges related to enrolment process are inadequate self-advocacy skills of students with disabilities, lack of mentors for students with disabilities, differences in disabled student services and equality in academic requirements and support. Discussion in focus groups with faculty staff indicated some of the greatest problems are adjusting to differences in disability documentation requirements and adjusting to differences in student services (DO-IT, 2015). There are also other problems, but we’ve focused on problems related to the transition process.</w:t>
      </w:r>
    </w:p>
    <w:p w:rsidR="00C71AF3" w:rsidRPr="005E1103" w:rsidRDefault="00C71AF3" w:rsidP="00C71AF3">
      <w:pPr>
        <w:spacing w:after="0" w:line="360" w:lineRule="auto"/>
        <w:jc w:val="both"/>
        <w:rPr>
          <w:rFonts w:eastAsia="Times New Roman" w:cstheme="minorHAnsi"/>
          <w:sz w:val="28"/>
          <w:szCs w:val="28"/>
          <w:lang w:val="en-GB" w:eastAsia="sl-SI"/>
        </w:rPr>
      </w:pPr>
    </w:p>
    <w:p w:rsidR="00C71AF3" w:rsidRPr="005E1103" w:rsidRDefault="00C71AF3" w:rsidP="00C71AF3">
      <w:pPr>
        <w:spacing w:after="0" w:line="360" w:lineRule="auto"/>
        <w:jc w:val="both"/>
        <w:rPr>
          <w:rFonts w:cstheme="minorHAnsi"/>
          <w:sz w:val="28"/>
          <w:szCs w:val="28"/>
          <w:lang w:val="en-GB"/>
        </w:rPr>
      </w:pPr>
      <w:r w:rsidRPr="005E1103">
        <w:rPr>
          <w:rFonts w:eastAsia="Times New Roman" w:cstheme="minorHAnsi"/>
          <w:sz w:val="28"/>
          <w:szCs w:val="28"/>
          <w:lang w:val="en-GB" w:eastAsia="sl-SI"/>
        </w:rPr>
        <w:t>We can conclude the application and enrolment process is very important because it is the starting point of transition to post-secondary education and therefore a starting point for identification of needs ad provision of reasonable adjustments and support for students with disabilities. The purpose of this qualitative study was to examine the application and enrolment process of students with disabilities at University of Maribor, to look into the policy documents related to students with disabilities and to develop good practice in the application and enrolment process of students with disabilities by proposing a change in the University’s regulations.</w:t>
      </w:r>
    </w:p>
    <w:p w:rsidR="00C71AF3" w:rsidRPr="005E1103" w:rsidRDefault="00C71AF3" w:rsidP="00C71AF3">
      <w:pPr>
        <w:spacing w:after="0" w:line="360" w:lineRule="auto"/>
        <w:jc w:val="both"/>
        <w:rPr>
          <w:rFonts w:eastAsia="Times New Roman" w:cstheme="minorHAnsi"/>
          <w:b/>
          <w:sz w:val="28"/>
          <w:szCs w:val="28"/>
          <w:lang w:val="en-GB" w:eastAsia="sl-SI"/>
        </w:rPr>
      </w:pPr>
    </w:p>
    <w:p w:rsidR="00C71AF3" w:rsidRPr="005E1103" w:rsidRDefault="00C71AF3" w:rsidP="00C71AF3">
      <w:pPr>
        <w:spacing w:after="0" w:line="360" w:lineRule="auto"/>
        <w:jc w:val="both"/>
        <w:rPr>
          <w:rFonts w:eastAsia="Times New Roman" w:cstheme="minorHAnsi"/>
          <w:b/>
          <w:sz w:val="28"/>
          <w:szCs w:val="28"/>
          <w:lang w:val="en-GB" w:eastAsia="sl-SI"/>
        </w:rPr>
      </w:pPr>
      <w:r w:rsidRPr="005E1103">
        <w:rPr>
          <w:rFonts w:eastAsia="Times New Roman" w:cstheme="minorHAnsi"/>
          <w:b/>
          <w:sz w:val="28"/>
          <w:szCs w:val="28"/>
          <w:lang w:val="en-GB" w:eastAsia="sl-SI"/>
        </w:rPr>
        <w:t>The application and enrolment process</w:t>
      </w:r>
    </w:p>
    <w:p w:rsidR="00C71AF3" w:rsidRPr="005E1103" w:rsidRDefault="00C71AF3" w:rsidP="00C71AF3">
      <w:pPr>
        <w:spacing w:after="0" w:line="360" w:lineRule="auto"/>
        <w:jc w:val="both"/>
        <w:rPr>
          <w:rFonts w:cstheme="minorHAnsi"/>
          <w:b/>
          <w:sz w:val="28"/>
          <w:szCs w:val="28"/>
          <w:lang w:val="en-GB" w:eastAsia="sl-SI"/>
        </w:rPr>
      </w:pPr>
    </w:p>
    <w:p w:rsidR="00C71AF3" w:rsidRPr="005E1103" w:rsidRDefault="00C71AF3" w:rsidP="00C71AF3">
      <w:pPr>
        <w:spacing w:after="0" w:line="360" w:lineRule="auto"/>
        <w:jc w:val="both"/>
        <w:rPr>
          <w:rFonts w:cstheme="minorHAnsi"/>
          <w:sz w:val="28"/>
          <w:szCs w:val="28"/>
          <w:lang w:val="en-GB" w:eastAsia="sl-SI"/>
        </w:rPr>
      </w:pPr>
      <w:r w:rsidRPr="005E1103">
        <w:rPr>
          <w:rFonts w:cstheme="minorHAnsi"/>
          <w:sz w:val="28"/>
          <w:szCs w:val="28"/>
          <w:lang w:val="en-GB" w:eastAsia="sl-SI"/>
        </w:rPr>
        <w:t xml:space="preserve">In Slovenia the </w:t>
      </w:r>
      <w:r w:rsidRPr="005E1103">
        <w:rPr>
          <w:rFonts w:cstheme="minorHAnsi"/>
          <w:sz w:val="28"/>
          <w:szCs w:val="28"/>
          <w:shd w:val="clear" w:color="auto" w:fill="FFFFFF"/>
          <w:lang w:val="en-US"/>
        </w:rPr>
        <w:t>Rules on the call for enrolment and enrolment in higher education</w:t>
      </w:r>
      <w:r w:rsidRPr="005E1103">
        <w:rPr>
          <w:rFonts w:cstheme="minorHAnsi"/>
          <w:sz w:val="28"/>
          <w:szCs w:val="28"/>
          <w:lang w:val="en-GB" w:eastAsia="sl-SI"/>
        </w:rPr>
        <w:t xml:space="preserve"> (2016) define the application and enrolment procedure which is a two step process. First, students apply to university through the national enrolment system (e-higher education), which is the same for all public universities in Slovenia. Once receiving the notification of acceptance to a chosen study course, the students enrol at the faculty of their chosen course. </w:t>
      </w:r>
      <w:r w:rsidRPr="005E1103">
        <w:rPr>
          <w:rFonts w:cstheme="minorHAnsi"/>
          <w:sz w:val="28"/>
          <w:szCs w:val="28"/>
          <w:shd w:val="clear" w:color="auto" w:fill="FFFFFF"/>
          <w:lang w:val="en-US"/>
        </w:rPr>
        <w:t>Rules on the call for enrolment and enrolment in higher education</w:t>
      </w:r>
      <w:r w:rsidRPr="005E1103">
        <w:rPr>
          <w:rFonts w:cstheme="minorHAnsi"/>
          <w:sz w:val="28"/>
          <w:szCs w:val="28"/>
          <w:lang w:val="en-GB" w:eastAsia="sl-SI"/>
        </w:rPr>
        <w:t xml:space="preserve"> (2016) define several special statuses </w:t>
      </w:r>
      <w:r w:rsidR="00FC5683" w:rsidRPr="005E1103">
        <w:rPr>
          <w:rFonts w:cstheme="minorHAnsi"/>
          <w:sz w:val="28"/>
          <w:szCs w:val="28"/>
          <w:lang w:val="en-GB" w:eastAsia="sl-SI"/>
        </w:rPr>
        <w:t>for university</w:t>
      </w:r>
      <w:r w:rsidRPr="005E1103">
        <w:rPr>
          <w:rFonts w:cstheme="minorHAnsi"/>
          <w:sz w:val="28"/>
          <w:szCs w:val="28"/>
          <w:lang w:val="en-GB" w:eastAsia="sl-SI"/>
        </w:rPr>
        <w:t xml:space="preserve"> candidates: a) candidates with disabilities or candidates with special needs, b) candidates with chronic or acute illness and c) candidates from disadvantaged social-economic backgrounds. If students with disabilities want to disclose their disability and gain the status of a candidate with disabilities or special needs, they need to attach some documents proving their disability or special needs to the e-higher education application form.  A named legal body of the University decides whether a special status will be granted for each individual candidate. Candidates receive a written notification regarding their special status. First all candidates go through a regular selection process. If candidates with a special status, including </w:t>
      </w:r>
      <w:r w:rsidRPr="005E1103">
        <w:rPr>
          <w:rFonts w:cstheme="minorHAnsi"/>
          <w:sz w:val="28"/>
          <w:szCs w:val="28"/>
          <w:lang w:val="en-GB" w:eastAsia="sl-SI"/>
        </w:rPr>
        <w:lastRenderedPageBreak/>
        <w:t xml:space="preserve">candidates with disabilities, are not accepted to any of the tree courses listed in their application form, the acceptance criteria is lowered to 85% of the points required for admission.  If then accepted, candidates with a special status, go through the enrolment process at the faculty of their chosen course. Once enrolled, they have a status of a student, no longer a candidate. This means that students with disabilities need to submit an additional application to gain the status of a student with disabilities or special needs. At this point the process might differ slightly among universities as the application forms, disabilities documentation requirements and procedures are not the same at all public universities. </w:t>
      </w:r>
    </w:p>
    <w:p w:rsidR="00C71AF3" w:rsidRPr="005E1103" w:rsidRDefault="00C71AF3" w:rsidP="00C71AF3">
      <w:pPr>
        <w:spacing w:after="0" w:line="360" w:lineRule="auto"/>
        <w:jc w:val="both"/>
        <w:rPr>
          <w:rFonts w:cstheme="minorHAnsi"/>
          <w:sz w:val="28"/>
          <w:szCs w:val="28"/>
          <w:lang w:val="en-GB" w:eastAsia="sl-SI"/>
        </w:rPr>
      </w:pPr>
    </w:p>
    <w:p w:rsidR="00C71AF3" w:rsidRPr="005E1103" w:rsidRDefault="00C71AF3" w:rsidP="00C71AF3">
      <w:pPr>
        <w:spacing w:after="0" w:line="360" w:lineRule="auto"/>
        <w:jc w:val="both"/>
        <w:rPr>
          <w:rFonts w:eastAsia="Times New Roman" w:cstheme="minorHAnsi"/>
          <w:sz w:val="28"/>
          <w:szCs w:val="28"/>
          <w:lang w:val="en-GB" w:eastAsia="sl-SI"/>
        </w:rPr>
      </w:pPr>
      <w:r w:rsidRPr="005E1103">
        <w:rPr>
          <w:rFonts w:cstheme="minorHAnsi"/>
          <w:sz w:val="28"/>
          <w:szCs w:val="28"/>
          <w:lang w:val="en-GB" w:eastAsia="sl-SI"/>
        </w:rPr>
        <w:t>At the University of Maribor, Rules on the study process for students with disabilities at the University of Maribor (2016) explain how to get status of student with disabilities once already enrolled at university. Disabled students at the University of Maribor, have to fill in an application form addressed to Commission for student affairs at the faculty where they study in order to get the status of student with disabilities. The Commission for student affairs, in collaboration with the faculty staff members, decides about the amount and extent of adjustments and support during the education process for each individual student with disabilities. However, as noted previously; i</w:t>
      </w:r>
      <w:r w:rsidRPr="005E1103">
        <w:rPr>
          <w:rFonts w:eastAsia="Times New Roman" w:cstheme="minorHAnsi"/>
          <w:sz w:val="28"/>
          <w:szCs w:val="28"/>
          <w:lang w:val="en-GB" w:eastAsia="sl-SI"/>
        </w:rPr>
        <w:t xml:space="preserve">n cases when individual faculty members control whether or not students will have adjustments, a lot depends on willingness of the professors. The applications at the faculty are granted on yearly basis, which allows faculty staff to regulate the amount and the extent of support from one year to another. </w:t>
      </w:r>
    </w:p>
    <w:p w:rsidR="00C71AF3" w:rsidRPr="005E1103" w:rsidRDefault="00C71AF3" w:rsidP="00C71AF3">
      <w:pPr>
        <w:spacing w:after="0" w:line="360" w:lineRule="auto"/>
        <w:jc w:val="both"/>
        <w:rPr>
          <w:rFonts w:eastAsia="Times New Roman" w:cstheme="minorHAnsi"/>
          <w:sz w:val="28"/>
          <w:szCs w:val="28"/>
          <w:lang w:val="en-GB" w:eastAsia="sl-SI"/>
        </w:rPr>
      </w:pPr>
    </w:p>
    <w:p w:rsidR="00C71AF3" w:rsidRPr="005E1103" w:rsidRDefault="00C71AF3" w:rsidP="00C71AF3">
      <w:pPr>
        <w:spacing w:after="0" w:line="360" w:lineRule="auto"/>
        <w:jc w:val="both"/>
        <w:rPr>
          <w:rFonts w:eastAsia="Times New Roman" w:cstheme="minorHAnsi"/>
          <w:sz w:val="28"/>
          <w:szCs w:val="28"/>
          <w:lang w:val="en-GB" w:eastAsia="sl-SI"/>
        </w:rPr>
      </w:pPr>
      <w:r w:rsidRPr="005E1103">
        <w:rPr>
          <w:rFonts w:eastAsia="Times New Roman" w:cstheme="minorHAnsi"/>
          <w:sz w:val="28"/>
          <w:szCs w:val="28"/>
          <w:lang w:val="en-GB" w:eastAsia="sl-SI"/>
        </w:rPr>
        <w:t>From the description of the application and enrolment process and the dual application process for a special status, we can conclude that process is quite complex and students with disabilities need to be very well informed to get the special status in time and to obtain appropriate support and adjustments.</w:t>
      </w:r>
    </w:p>
    <w:p w:rsidR="00C71AF3" w:rsidRPr="005E1103" w:rsidRDefault="00C71AF3" w:rsidP="00C71AF3">
      <w:pPr>
        <w:spacing w:after="0" w:line="360" w:lineRule="auto"/>
        <w:jc w:val="both"/>
        <w:rPr>
          <w:rFonts w:eastAsia="Times New Roman" w:cstheme="minorHAnsi"/>
          <w:sz w:val="28"/>
          <w:szCs w:val="28"/>
          <w:lang w:val="en-GB" w:eastAsia="sl-SI"/>
        </w:rPr>
      </w:pPr>
    </w:p>
    <w:p w:rsidR="00C71AF3" w:rsidRPr="005E1103" w:rsidRDefault="00C71AF3" w:rsidP="00C71AF3">
      <w:pPr>
        <w:spacing w:after="0" w:line="360" w:lineRule="auto"/>
        <w:jc w:val="both"/>
        <w:rPr>
          <w:rFonts w:eastAsia="Times New Roman" w:cstheme="minorHAnsi"/>
          <w:sz w:val="28"/>
          <w:szCs w:val="28"/>
          <w:lang w:val="en-GB" w:eastAsia="sl-SI"/>
        </w:rPr>
      </w:pPr>
      <w:r w:rsidRPr="005E1103">
        <w:rPr>
          <w:rFonts w:eastAsia="Times New Roman" w:cstheme="minorHAnsi"/>
          <w:b/>
          <w:sz w:val="28"/>
          <w:szCs w:val="28"/>
          <w:lang w:val="en-GB" w:eastAsia="sl-SI"/>
        </w:rPr>
        <w:t>Problems and solutions during the application and enrolment process</w:t>
      </w:r>
    </w:p>
    <w:p w:rsidR="00C71AF3" w:rsidRPr="005E1103" w:rsidRDefault="00C71AF3" w:rsidP="00C71AF3">
      <w:pPr>
        <w:spacing w:after="0" w:line="360" w:lineRule="auto"/>
        <w:jc w:val="both"/>
        <w:rPr>
          <w:rFonts w:eastAsia="Times New Roman" w:cstheme="minorHAnsi"/>
          <w:sz w:val="28"/>
          <w:szCs w:val="28"/>
          <w:lang w:val="en-GB" w:eastAsia="sl-SI"/>
        </w:rPr>
      </w:pPr>
    </w:p>
    <w:p w:rsidR="00C71AF3" w:rsidRPr="005E1103" w:rsidRDefault="00C71AF3" w:rsidP="00C71AF3">
      <w:pPr>
        <w:spacing w:after="0" w:line="360" w:lineRule="auto"/>
        <w:jc w:val="both"/>
        <w:rPr>
          <w:rFonts w:eastAsia="Times New Roman" w:cstheme="minorHAnsi"/>
          <w:sz w:val="28"/>
          <w:szCs w:val="28"/>
          <w:lang w:val="en-GB" w:eastAsia="sl-SI"/>
        </w:rPr>
      </w:pPr>
      <w:r w:rsidRPr="005E1103">
        <w:rPr>
          <w:rFonts w:eastAsia="Times New Roman" w:cstheme="minorHAnsi"/>
          <w:sz w:val="28"/>
          <w:szCs w:val="28"/>
          <w:lang w:val="en-GB" w:eastAsia="sl-SI"/>
        </w:rPr>
        <w:t xml:space="preserve">Staff at the University of Maribor, the Slovenian Association of Disabled Students and the Counselling office at the Faculty of Education has noticed that the empowerment and self-advocacy skills of students in that process is low. Students are often confused, have many questions; they do not know where to turn to for help and who they should ask about formal requirements to obtain status of a candidate and later on student with disabilities, although all information is published on the web sites of the University and its faculties. Sometimes they need help with applications, in explaining their disability and special educational needs and in describing the reasonable adjustments they would need. Faculty staff noted that some students do not want to disclose they have a disability or special educational needs, especially students with specific learning disabilities and students with mental health problems. Their difficulties and disabilities do become obvious during the educational process, the assessment process and during exams, but these students do not receive any support and adjustments in that moment, because they did not disclose they have special educational needs. Sometimes professors complain about students’ poor achievements or paper work, because they are not aware of specific learning disabilities. If students disclose themselves as students with learning disabilities to individual academic staff, but they do not formally apply for a status of a disabled student, they usually get some adjustments if the professor is willing to consider the situation. They are also advised to obtain the formal status of a student with disabilities, but some students still choose not to. So gaining a status of student with disabilities after enrolment is very important since this gives them the right to reasonable adjustments. </w:t>
      </w:r>
    </w:p>
    <w:p w:rsidR="00C71AF3" w:rsidRPr="005E1103" w:rsidRDefault="00C71AF3" w:rsidP="00C71AF3">
      <w:pPr>
        <w:spacing w:after="0" w:line="360" w:lineRule="auto"/>
        <w:jc w:val="both"/>
        <w:rPr>
          <w:rFonts w:cstheme="minorHAnsi"/>
          <w:sz w:val="28"/>
          <w:szCs w:val="28"/>
          <w:lang w:val="en-GB"/>
        </w:rPr>
      </w:pPr>
      <w:r w:rsidRPr="005E1103">
        <w:rPr>
          <w:rFonts w:eastAsia="Times New Roman" w:cstheme="minorHAnsi"/>
          <w:sz w:val="28"/>
          <w:szCs w:val="28"/>
          <w:lang w:val="en-GB" w:eastAsia="sl-SI"/>
        </w:rPr>
        <w:t xml:space="preserve">The awareness about disabilities and possible support and adjustments among professors is very heterogeneous. Some professors are very well informed, some are not. </w:t>
      </w:r>
      <w:r w:rsidRPr="005E1103">
        <w:rPr>
          <w:rFonts w:eastAsia="Times New Roman" w:cstheme="minorHAnsi"/>
          <w:sz w:val="28"/>
          <w:szCs w:val="28"/>
          <w:lang w:val="en-GB" w:eastAsia="sl-SI"/>
        </w:rPr>
        <w:lastRenderedPageBreak/>
        <w:t>We have concluded there should be continuous training and education on disability related issues for administrative</w:t>
      </w:r>
      <w:r w:rsidRPr="005E1103">
        <w:rPr>
          <w:rFonts w:cstheme="minorHAnsi"/>
          <w:sz w:val="28"/>
          <w:szCs w:val="28"/>
          <w:lang w:val="en-GB"/>
        </w:rPr>
        <w:t>, academic and other professional staff focusing inclusion of students with disabilities.</w:t>
      </w:r>
    </w:p>
    <w:p w:rsidR="00C71AF3" w:rsidRPr="005E1103" w:rsidRDefault="00C71AF3" w:rsidP="00C71AF3">
      <w:pPr>
        <w:spacing w:after="0" w:line="360" w:lineRule="auto"/>
        <w:jc w:val="both"/>
        <w:rPr>
          <w:rFonts w:eastAsia="Times New Roman" w:cstheme="minorHAnsi"/>
          <w:sz w:val="28"/>
          <w:szCs w:val="28"/>
          <w:lang w:val="en-GB" w:eastAsia="sl-SI"/>
        </w:rPr>
      </w:pPr>
    </w:p>
    <w:p w:rsidR="00C71AF3" w:rsidRPr="005E1103" w:rsidRDefault="00C71AF3" w:rsidP="00C71AF3">
      <w:pPr>
        <w:spacing w:after="0" w:line="360" w:lineRule="auto"/>
        <w:jc w:val="both"/>
        <w:rPr>
          <w:rFonts w:eastAsia="Times New Roman" w:cstheme="minorHAnsi"/>
          <w:sz w:val="28"/>
          <w:szCs w:val="28"/>
          <w:lang w:val="en-GB" w:eastAsia="sl-SI"/>
        </w:rPr>
      </w:pPr>
      <w:r w:rsidRPr="005E1103">
        <w:rPr>
          <w:rFonts w:eastAsia="Times New Roman" w:cstheme="minorHAnsi"/>
          <w:sz w:val="28"/>
          <w:szCs w:val="28"/>
          <w:lang w:val="en-GB" w:eastAsia="sl-SI"/>
        </w:rPr>
        <w:t>We have also noted the confusion regarding the use of terminology among faculty staff and students, which is a consequence of the mix of terminology used in different laws and regulations. There are several phrases, which are related to students with disabilities: a) students with special status, b) students with disabilities and c) students with special needs. To clarify this terminology, it is important to understand the difference between special status and special needs. Some students with learning disabilities reported they would rather identify themselves as students with special education needs, not as students with disabilities, as they do not perceive specific learning disabilities like dyslexia or dyscalculia as disabilities in the sense of physical or sensory disability. Staff at the Slovenian Association of Disabled Students and at the Counselling office at the Faculty of Education often needs to explain the meaning of mentioned terminology.</w:t>
      </w:r>
    </w:p>
    <w:p w:rsidR="00C71AF3" w:rsidRPr="005E1103" w:rsidRDefault="00C71AF3" w:rsidP="00C71AF3">
      <w:pPr>
        <w:spacing w:after="0" w:line="360" w:lineRule="auto"/>
        <w:jc w:val="both"/>
        <w:rPr>
          <w:rFonts w:eastAsia="Times New Roman" w:cstheme="minorHAnsi"/>
          <w:sz w:val="28"/>
          <w:szCs w:val="28"/>
          <w:lang w:val="en-US" w:eastAsia="sl-SI"/>
        </w:rPr>
      </w:pPr>
    </w:p>
    <w:p w:rsidR="00C71AF3" w:rsidRPr="005E1103" w:rsidRDefault="00C71AF3" w:rsidP="00C71AF3">
      <w:pPr>
        <w:spacing w:after="0" w:line="360" w:lineRule="auto"/>
        <w:jc w:val="both"/>
        <w:rPr>
          <w:rFonts w:cstheme="minorHAnsi"/>
          <w:sz w:val="28"/>
          <w:szCs w:val="28"/>
          <w:lang w:val="en-GB"/>
        </w:rPr>
      </w:pPr>
      <w:r w:rsidRPr="005E1103">
        <w:rPr>
          <w:rFonts w:cstheme="minorHAnsi"/>
          <w:sz w:val="28"/>
          <w:szCs w:val="28"/>
          <w:lang w:val="en-GB"/>
        </w:rPr>
        <w:t xml:space="preserve">Staff from the Counselling office for students at Faculty of Education of University of Maribor, the Slovenian Association of Disabled Students and Department for educational and student affairs at the University of Maribor have worked together to overcome some of this issues. We have analysed the enrolment process of students with disabilities and determined that there should be a distinction between students with special status and students with disabilities. We have suggested that a special application form should be introduced for the students to fill in if they wish to gain a status of a student with disabilities or student with special needs. The University Senate approved the special application form in August 2016 and the application form became a legal requirement for </w:t>
      </w:r>
      <w:r w:rsidRPr="005E1103">
        <w:rPr>
          <w:rFonts w:cstheme="minorHAnsi"/>
          <w:sz w:val="28"/>
          <w:szCs w:val="28"/>
          <w:lang w:val="en-GB"/>
        </w:rPr>
        <w:lastRenderedPageBreak/>
        <w:t>all faculties of the University of Maribor (17,000 students, 17 faculties and 187 study programmes).</w:t>
      </w:r>
    </w:p>
    <w:p w:rsidR="00C71AF3" w:rsidRPr="005E1103" w:rsidRDefault="00C71AF3" w:rsidP="00C71AF3">
      <w:pPr>
        <w:spacing w:after="0" w:line="360" w:lineRule="auto"/>
        <w:jc w:val="both"/>
        <w:rPr>
          <w:rFonts w:cstheme="minorHAnsi"/>
          <w:sz w:val="28"/>
          <w:szCs w:val="28"/>
          <w:lang w:val="en-GB" w:eastAsia="sl-SI"/>
        </w:rPr>
      </w:pPr>
    </w:p>
    <w:p w:rsidR="00C71AF3" w:rsidRPr="005E1103" w:rsidRDefault="00C71AF3" w:rsidP="00C71AF3">
      <w:pPr>
        <w:spacing w:after="0" w:line="360" w:lineRule="auto"/>
        <w:jc w:val="both"/>
        <w:rPr>
          <w:rFonts w:cstheme="minorHAnsi"/>
          <w:sz w:val="28"/>
          <w:szCs w:val="28"/>
          <w:lang w:val="en-GB" w:eastAsia="sl-SI"/>
        </w:rPr>
      </w:pPr>
      <w:r w:rsidRPr="005E1103">
        <w:rPr>
          <w:rFonts w:cstheme="minorHAnsi"/>
          <w:sz w:val="28"/>
          <w:szCs w:val="28"/>
          <w:lang w:val="en-GB" w:eastAsia="sl-SI"/>
        </w:rPr>
        <w:t>The change in the Rules on the study process for students with disabilities at University of Maribor (2016) now defines proposed groups of students with disabilities or students with special needs, which are: students with visual impairments, students with hearing impairments, students with speech impairments, students with physical impairments, students with chronic diseases, students with specific learning disabilities, students with autistic spectrum disorders, students with emotional and behavioural disorders and others. The category “others” is mentioned for all diagnosis which a student might have, but are not part of others categories. These categories are similar to categories for children with special needs in legislation for elementary and secondary education in Slovenia (Placement of Children with Special Needs Act, 2011). Another change in the Rules on the study process for students with disabilities at the University of Maribor (2016) was also the change of terminology. Previously students with disabilities are now students with disabilities or students with special needs. By this change we combined the use of terminology in educational legislation for children with disabilities and use of terminology in legislation for adults with disabilities (</w:t>
      </w:r>
      <w:r w:rsidRPr="005E1103">
        <w:rPr>
          <w:rFonts w:cstheme="minorHAnsi"/>
          <w:sz w:val="28"/>
          <w:szCs w:val="28"/>
          <w:lang w:val="en-GB"/>
        </w:rPr>
        <w:t>Equalisation of Opportunities for Persons with Disabilities Act, 2014).</w:t>
      </w:r>
      <w:r w:rsidRPr="005E1103">
        <w:rPr>
          <w:rFonts w:cstheme="minorHAnsi"/>
          <w:sz w:val="28"/>
          <w:szCs w:val="28"/>
          <w:lang w:val="en-GB" w:eastAsia="sl-SI"/>
        </w:rPr>
        <w:t xml:space="preserve"> And we are hoping that the use of both disabilities and special needs will encourage students to disclose and ask for this special status. </w:t>
      </w:r>
    </w:p>
    <w:p w:rsidR="00C71AF3" w:rsidRPr="005E1103" w:rsidRDefault="00C71AF3" w:rsidP="00C71AF3">
      <w:pPr>
        <w:spacing w:after="0" w:line="360" w:lineRule="auto"/>
        <w:jc w:val="both"/>
        <w:rPr>
          <w:rFonts w:cstheme="minorHAnsi"/>
          <w:sz w:val="28"/>
          <w:szCs w:val="28"/>
          <w:lang w:val="en-GB" w:eastAsia="sl-SI"/>
        </w:rPr>
      </w:pPr>
    </w:p>
    <w:p w:rsidR="00C71AF3" w:rsidRPr="005E1103" w:rsidRDefault="00C71AF3" w:rsidP="00C71AF3">
      <w:pPr>
        <w:spacing w:after="0" w:line="360" w:lineRule="auto"/>
        <w:jc w:val="both"/>
        <w:rPr>
          <w:rFonts w:cstheme="minorHAnsi"/>
          <w:sz w:val="28"/>
          <w:szCs w:val="28"/>
          <w:lang w:val="en-GB"/>
        </w:rPr>
      </w:pPr>
      <w:r w:rsidRPr="005E1103">
        <w:rPr>
          <w:rFonts w:cstheme="minorHAnsi"/>
          <w:sz w:val="28"/>
          <w:szCs w:val="28"/>
          <w:lang w:val="en-GB" w:eastAsia="sl-SI"/>
        </w:rPr>
        <w:t>As already mentioned we have prepared an application form for obtaining the status of student with disabilities/special needs. It contains</w:t>
      </w:r>
      <w:r w:rsidRPr="005E1103">
        <w:rPr>
          <w:rFonts w:cstheme="minorHAnsi"/>
          <w:sz w:val="28"/>
          <w:szCs w:val="28"/>
          <w:lang w:val="en-GB"/>
        </w:rPr>
        <w:t xml:space="preserve"> basic and key information about special education needs of the student and student’s proposals of adjustments in the study process, adjustments for exams and other assessment procedures and adjustments in the library. By listing the possible adjustments and leaving an open category other, we </w:t>
      </w:r>
      <w:r w:rsidRPr="005E1103">
        <w:rPr>
          <w:rFonts w:cstheme="minorHAnsi"/>
          <w:sz w:val="28"/>
          <w:szCs w:val="28"/>
          <w:lang w:val="en-GB"/>
        </w:rPr>
        <w:lastRenderedPageBreak/>
        <w:t xml:space="preserve">wanted to empower students to ask for what they need and improve their self-advocacy skills. </w:t>
      </w:r>
    </w:p>
    <w:p w:rsidR="00C71AF3" w:rsidRPr="005E1103" w:rsidRDefault="00C71AF3" w:rsidP="00C71AF3">
      <w:pPr>
        <w:spacing w:after="0" w:line="360" w:lineRule="auto"/>
        <w:jc w:val="both"/>
        <w:rPr>
          <w:rFonts w:cstheme="minorHAnsi"/>
          <w:sz w:val="28"/>
          <w:szCs w:val="28"/>
          <w:lang w:val="en-GB" w:eastAsia="sl-SI"/>
        </w:rPr>
      </w:pPr>
    </w:p>
    <w:p w:rsidR="00C71AF3" w:rsidRPr="005E1103" w:rsidRDefault="00C71AF3" w:rsidP="00C71AF3">
      <w:pPr>
        <w:spacing w:after="0" w:line="360" w:lineRule="auto"/>
        <w:jc w:val="both"/>
        <w:rPr>
          <w:rFonts w:cstheme="minorHAnsi"/>
          <w:sz w:val="28"/>
          <w:szCs w:val="28"/>
          <w:lang w:val="en-GB"/>
        </w:rPr>
      </w:pPr>
      <w:r w:rsidRPr="005E1103">
        <w:rPr>
          <w:rFonts w:cstheme="minorHAnsi"/>
          <w:sz w:val="28"/>
          <w:szCs w:val="28"/>
          <w:lang w:val="en-GB"/>
        </w:rPr>
        <w:t xml:space="preserve">The first part of this application form therefore contains basic information about the student e.g. name, faculty, year of study, study programme and contact information. In the second part, the student ticks which disability related documents he or she is enclosing to the application form to prove the type and severity of his or her disabilities. The third part of the application form contains open ended description of students’ disabilities or special needs, where the student describes the disability and how it may affect the study process. </w:t>
      </w:r>
      <w:r w:rsidR="00FC5683" w:rsidRPr="005E1103">
        <w:rPr>
          <w:rFonts w:cstheme="minorHAnsi"/>
          <w:sz w:val="28"/>
          <w:szCs w:val="28"/>
          <w:lang w:val="en-GB"/>
        </w:rPr>
        <w:t>Finally,</w:t>
      </w:r>
      <w:r w:rsidRPr="005E1103">
        <w:rPr>
          <w:rFonts w:cstheme="minorHAnsi"/>
          <w:sz w:val="28"/>
          <w:szCs w:val="28"/>
          <w:lang w:val="en-GB"/>
        </w:rPr>
        <w:t xml:space="preserve"> there is list of proposed adjustments; eight for lectures and other educational processes, sixteen for assessment and five for the use of the library. It is also important to point out that the student can propose any other adjustments which are not on the list. Students can also add whether they need these adjustments permanently or just occasionally. </w:t>
      </w:r>
    </w:p>
    <w:p w:rsidR="00C71AF3" w:rsidRPr="005E1103" w:rsidRDefault="00C71AF3" w:rsidP="00C71AF3">
      <w:pPr>
        <w:spacing w:after="0" w:line="360" w:lineRule="auto"/>
        <w:jc w:val="both"/>
        <w:rPr>
          <w:rFonts w:cstheme="minorHAnsi"/>
          <w:sz w:val="28"/>
          <w:szCs w:val="28"/>
          <w:lang w:val="en-GB"/>
        </w:rPr>
      </w:pPr>
    </w:p>
    <w:p w:rsidR="00C71AF3" w:rsidRPr="005E1103" w:rsidRDefault="00C71AF3" w:rsidP="00C71AF3">
      <w:pPr>
        <w:spacing w:after="0" w:line="360" w:lineRule="auto"/>
        <w:jc w:val="both"/>
        <w:rPr>
          <w:rFonts w:cstheme="minorHAnsi"/>
          <w:sz w:val="28"/>
          <w:szCs w:val="28"/>
          <w:lang w:val="en-GB"/>
        </w:rPr>
      </w:pPr>
      <w:r w:rsidRPr="005E1103">
        <w:rPr>
          <w:rFonts w:cstheme="minorHAnsi"/>
          <w:sz w:val="28"/>
          <w:szCs w:val="28"/>
          <w:lang w:val="en-GB"/>
        </w:rPr>
        <w:t>All these changes were made in collaboration among the Counselling office for students at Faculty of Education of the University of Maribor, the Slovenian Association of Disabled Students and the Department for educational and student affairs at the University of Maribor This is also a good example how various stakeholders can achieve changes that impact enrolment and education of disabled students at post-secondary level.</w:t>
      </w:r>
    </w:p>
    <w:p w:rsidR="00C71AF3" w:rsidRPr="005E1103" w:rsidRDefault="00C71AF3" w:rsidP="00C71AF3">
      <w:pPr>
        <w:spacing w:after="0" w:line="360" w:lineRule="auto"/>
        <w:jc w:val="both"/>
        <w:rPr>
          <w:rFonts w:cstheme="minorHAnsi"/>
          <w:b/>
          <w:sz w:val="28"/>
          <w:szCs w:val="28"/>
          <w:lang w:val="en-GB"/>
        </w:rPr>
      </w:pPr>
      <w:r w:rsidRPr="005E1103">
        <w:rPr>
          <w:rFonts w:cstheme="minorHAnsi"/>
          <w:b/>
          <w:sz w:val="28"/>
          <w:szCs w:val="28"/>
          <w:lang w:val="en-GB"/>
        </w:rPr>
        <w:t>Conclusion</w:t>
      </w:r>
    </w:p>
    <w:p w:rsidR="00C71AF3" w:rsidRPr="005E1103" w:rsidRDefault="00C71AF3" w:rsidP="00C71AF3">
      <w:pPr>
        <w:spacing w:after="0" w:line="360" w:lineRule="auto"/>
        <w:jc w:val="both"/>
        <w:rPr>
          <w:rFonts w:cstheme="minorHAnsi"/>
          <w:sz w:val="28"/>
          <w:szCs w:val="28"/>
          <w:lang w:val="en-GB"/>
        </w:rPr>
      </w:pPr>
      <w:r w:rsidRPr="005E1103">
        <w:rPr>
          <w:rFonts w:cstheme="minorHAnsi"/>
          <w:sz w:val="28"/>
          <w:szCs w:val="28"/>
          <w:lang w:val="en-GB"/>
        </w:rPr>
        <w:t xml:space="preserve">The application and enrolment process at universities often seems very complicated and demands from students to be autonomous, self-determined and competent. If various stakeholders care for the quality of enrolment and all other process related to study at post-secondary education, as it is the case at University of Maribor, we might hope that students with disabilities shall adjust to post-secondary environment easier, cope with </w:t>
      </w:r>
      <w:r w:rsidRPr="005E1103">
        <w:rPr>
          <w:rFonts w:cstheme="minorHAnsi"/>
          <w:sz w:val="28"/>
          <w:szCs w:val="28"/>
          <w:lang w:val="en-GB"/>
        </w:rPr>
        <w:lastRenderedPageBreak/>
        <w:t xml:space="preserve">lower stress levels, get the necessary adjustments and support and develop self-advocacy skills. By such small contributions as is this application form we also indirectly educate professional staff about students with disabilities as they are more obliged to respect implemented regulations and support every student in achieving the desired education. </w:t>
      </w:r>
    </w:p>
    <w:p w:rsidR="00C71AF3" w:rsidRPr="005E1103" w:rsidRDefault="00C71AF3" w:rsidP="00C71AF3">
      <w:pPr>
        <w:spacing w:after="0" w:line="360" w:lineRule="auto"/>
        <w:jc w:val="both"/>
        <w:rPr>
          <w:rFonts w:cstheme="minorHAnsi"/>
          <w:b/>
          <w:sz w:val="28"/>
          <w:szCs w:val="28"/>
        </w:rPr>
      </w:pPr>
      <w:r w:rsidRPr="005E1103">
        <w:rPr>
          <w:rFonts w:cstheme="minorHAnsi"/>
          <w:b/>
          <w:sz w:val="28"/>
          <w:szCs w:val="28"/>
        </w:rPr>
        <w:t>References</w:t>
      </w:r>
    </w:p>
    <w:p w:rsidR="00C71AF3" w:rsidRPr="005E1103" w:rsidRDefault="00C71AF3" w:rsidP="00C71AF3">
      <w:pPr>
        <w:spacing w:after="0" w:line="360" w:lineRule="auto"/>
        <w:ind w:left="567" w:hanging="425"/>
        <w:jc w:val="both"/>
        <w:rPr>
          <w:rFonts w:eastAsiaTheme="minorEastAsia" w:cstheme="minorHAnsi"/>
          <w:sz w:val="28"/>
          <w:szCs w:val="28"/>
          <w:lang w:val="en-GB" w:bidi="en-US"/>
        </w:rPr>
      </w:pPr>
      <w:r w:rsidRPr="005E1103">
        <w:rPr>
          <w:rFonts w:eastAsiaTheme="minorEastAsia" w:cstheme="minorHAnsi"/>
          <w:sz w:val="28"/>
          <w:szCs w:val="28"/>
          <w:lang w:eastAsia="sl-SI" w:bidi="en-US"/>
        </w:rPr>
        <w:t xml:space="preserve">Bera, A., Kraljić, S. &amp; Mauko, N. (2010). Prijazen študij za študente invalide: priporočila za prilagoditev študijskega </w:t>
      </w:r>
      <w:r w:rsidR="00FC5683" w:rsidRPr="005E1103">
        <w:rPr>
          <w:rFonts w:eastAsiaTheme="minorEastAsia" w:cstheme="minorHAnsi"/>
          <w:sz w:val="28"/>
          <w:szCs w:val="28"/>
          <w:lang w:eastAsia="sl-SI" w:bidi="en-US"/>
        </w:rPr>
        <w:t>procesa (</w:t>
      </w:r>
      <w:r w:rsidRPr="005E1103">
        <w:rPr>
          <w:rFonts w:eastAsiaTheme="minorEastAsia" w:cstheme="minorHAnsi"/>
          <w:sz w:val="28"/>
          <w:szCs w:val="28"/>
          <w:lang w:eastAsia="sl-SI" w:bidi="en-US"/>
        </w:rPr>
        <w:t xml:space="preserve">en. </w:t>
      </w:r>
      <w:r w:rsidRPr="005E1103">
        <w:rPr>
          <w:rFonts w:eastAsiaTheme="minorEastAsia" w:cstheme="minorHAnsi"/>
          <w:sz w:val="28"/>
          <w:szCs w:val="28"/>
          <w:lang w:val="en-GB" w:eastAsia="sl-SI" w:bidi="en-US"/>
        </w:rPr>
        <w:t>Friendly study for students with disabilities). Ljubljana: Društvo študentov invalidov Slovenije.</w:t>
      </w:r>
      <w:r w:rsidRPr="005E1103">
        <w:rPr>
          <w:rFonts w:eastAsiaTheme="minorEastAsia" w:cstheme="minorHAnsi"/>
          <w:sz w:val="28"/>
          <w:szCs w:val="28"/>
          <w:lang w:val="en-GB" w:bidi="en-US"/>
        </w:rPr>
        <w:t xml:space="preserve"> </w:t>
      </w:r>
    </w:p>
    <w:p w:rsidR="00C71AF3" w:rsidRPr="005E1103" w:rsidRDefault="00C71AF3" w:rsidP="00C71AF3">
      <w:pPr>
        <w:spacing w:after="0" w:line="360" w:lineRule="auto"/>
        <w:ind w:left="567" w:hanging="425"/>
        <w:jc w:val="both"/>
        <w:rPr>
          <w:rFonts w:eastAsiaTheme="minorEastAsia" w:cstheme="minorHAnsi"/>
          <w:sz w:val="28"/>
          <w:szCs w:val="28"/>
          <w:lang w:val="en-GB" w:bidi="en-US"/>
        </w:rPr>
      </w:pPr>
      <w:r w:rsidRPr="005E1103">
        <w:rPr>
          <w:rFonts w:eastAsiaTheme="minorEastAsia" w:cstheme="minorHAnsi"/>
          <w:sz w:val="28"/>
          <w:szCs w:val="28"/>
          <w:lang w:val="en-GB" w:bidi="en-US"/>
        </w:rPr>
        <w:t>Compas, B. E., Wagner, B. M., Slavin, L. A. &amp; Vannatta, K. (1986). A</w:t>
      </w:r>
      <w:r w:rsidRPr="005E1103">
        <w:rPr>
          <w:rFonts w:eastAsiaTheme="minorEastAsia" w:cstheme="minorHAnsi"/>
          <w:sz w:val="28"/>
          <w:szCs w:val="28"/>
          <w:lang w:val="en-GB" w:bidi="en-US"/>
        </w:rPr>
        <w:br w:type="textWrapping" w:clear="all"/>
        <w:t xml:space="preserve">prospective study of life events, social support and psychological symptomatology during the transition from the high school to college. </w:t>
      </w:r>
      <w:r w:rsidRPr="005E1103">
        <w:rPr>
          <w:rFonts w:eastAsiaTheme="minorEastAsia" w:cstheme="minorHAnsi"/>
          <w:i/>
          <w:sz w:val="28"/>
          <w:szCs w:val="28"/>
          <w:lang w:val="en-GB" w:bidi="en-US"/>
        </w:rPr>
        <w:t xml:space="preserve">American Journal of Community Psychology, 14, </w:t>
      </w:r>
      <w:r w:rsidRPr="005E1103">
        <w:rPr>
          <w:rFonts w:eastAsiaTheme="minorEastAsia" w:cstheme="minorHAnsi"/>
          <w:sz w:val="28"/>
          <w:szCs w:val="28"/>
          <w:lang w:val="en-GB" w:bidi="en-US"/>
        </w:rPr>
        <w:t>241-257.</w:t>
      </w:r>
    </w:p>
    <w:p w:rsidR="00C71AF3" w:rsidRPr="005E1103" w:rsidRDefault="00C71AF3" w:rsidP="00C71AF3">
      <w:pPr>
        <w:spacing w:after="0" w:line="360" w:lineRule="auto"/>
        <w:ind w:left="567" w:hanging="425"/>
        <w:jc w:val="both"/>
        <w:rPr>
          <w:rFonts w:eastAsiaTheme="minorEastAsia" w:cstheme="minorHAnsi"/>
          <w:sz w:val="28"/>
          <w:szCs w:val="28"/>
          <w:lang w:val="en-GB" w:bidi="en-US"/>
        </w:rPr>
      </w:pPr>
      <w:r w:rsidRPr="005E1103">
        <w:rPr>
          <w:rFonts w:eastAsiaTheme="minorEastAsia" w:cstheme="minorHAnsi"/>
          <w:sz w:val="28"/>
          <w:szCs w:val="28"/>
          <w:lang w:val="en-GB" w:bidi="en-US"/>
        </w:rPr>
        <w:t xml:space="preserve">Cutrona, C. E. (1982). Transition to college: Loneliness and process of social adjustment. In L. A. Peplau and D. Perlman (Eds.), </w:t>
      </w:r>
      <w:r w:rsidRPr="005E1103">
        <w:rPr>
          <w:rFonts w:eastAsiaTheme="minorEastAsia" w:cstheme="minorHAnsi"/>
          <w:i/>
          <w:sz w:val="28"/>
          <w:szCs w:val="28"/>
          <w:lang w:val="en-GB" w:bidi="en-US"/>
        </w:rPr>
        <w:t xml:space="preserve">Loneliness: A source book of current theory, research and therapy </w:t>
      </w:r>
      <w:r w:rsidRPr="005E1103">
        <w:rPr>
          <w:rFonts w:eastAsiaTheme="minorEastAsia" w:cstheme="minorHAnsi"/>
          <w:sz w:val="28"/>
          <w:szCs w:val="28"/>
          <w:lang w:val="en-GB" w:bidi="en-US"/>
        </w:rPr>
        <w:t>(pp. 291-309). New York: John Wiley.</w:t>
      </w:r>
    </w:p>
    <w:p w:rsidR="00C71AF3" w:rsidRPr="005E1103" w:rsidRDefault="00C71AF3" w:rsidP="00C71AF3">
      <w:pPr>
        <w:spacing w:after="0" w:line="360" w:lineRule="auto"/>
        <w:ind w:left="567" w:hanging="425"/>
        <w:jc w:val="both"/>
        <w:rPr>
          <w:rFonts w:eastAsiaTheme="minorEastAsia" w:cstheme="minorHAnsi"/>
          <w:sz w:val="28"/>
          <w:szCs w:val="28"/>
          <w:lang w:val="en-GB" w:bidi="en-US"/>
        </w:rPr>
      </w:pPr>
      <w:r w:rsidRPr="005E1103">
        <w:rPr>
          <w:rFonts w:eastAsiaTheme="minorEastAsia" w:cstheme="minorHAnsi"/>
          <w:sz w:val="28"/>
          <w:szCs w:val="28"/>
          <w:lang w:val="en-GB" w:bidi="en-US"/>
        </w:rPr>
        <w:t xml:space="preserve">DO-IT, (2015). </w:t>
      </w:r>
      <w:r w:rsidRPr="005E1103">
        <w:rPr>
          <w:rFonts w:eastAsiaTheme="minorEastAsia" w:cstheme="minorHAnsi"/>
          <w:bCs/>
          <w:sz w:val="28"/>
          <w:szCs w:val="28"/>
          <w:lang w:val="en-GB" w:bidi="en-US"/>
        </w:rPr>
        <w:t>DO-IT:</w:t>
      </w:r>
      <w:r w:rsidRPr="005E1103">
        <w:rPr>
          <w:rFonts w:eastAsiaTheme="minorEastAsia" w:cstheme="minorHAnsi"/>
          <w:b/>
          <w:sz w:val="28"/>
          <w:szCs w:val="28"/>
          <w:lang w:val="en-GB" w:bidi="en-US"/>
        </w:rPr>
        <w:t xml:space="preserve"> </w:t>
      </w:r>
      <w:r w:rsidRPr="005E1103">
        <w:rPr>
          <w:rFonts w:eastAsiaTheme="minorEastAsia" w:cstheme="minorHAnsi"/>
          <w:sz w:val="28"/>
          <w:szCs w:val="28"/>
          <w:lang w:val="en-GB" w:bidi="en-US"/>
        </w:rPr>
        <w:t xml:space="preserve">Promoting inclusion and success for people with disabilities retrieved 25. 9. 2016 from: </w:t>
      </w:r>
      <w:hyperlink r:id="rId30" w:history="1">
        <w:r w:rsidRPr="005E1103">
          <w:rPr>
            <w:rFonts w:eastAsiaTheme="minorEastAsia" w:cstheme="minorHAnsi"/>
            <w:color w:val="0563C1" w:themeColor="hyperlink"/>
            <w:sz w:val="28"/>
            <w:szCs w:val="28"/>
            <w:u w:val="single"/>
            <w:lang w:val="en-GB" w:bidi="en-US"/>
          </w:rPr>
          <w:t>http://www.washington.edu/doit/</w:t>
        </w:r>
      </w:hyperlink>
    </w:p>
    <w:p w:rsidR="00C71AF3" w:rsidRPr="005E1103" w:rsidRDefault="00C71AF3" w:rsidP="00C71AF3">
      <w:pPr>
        <w:spacing w:after="0" w:line="360" w:lineRule="auto"/>
        <w:ind w:left="567" w:hanging="425"/>
        <w:jc w:val="both"/>
        <w:rPr>
          <w:rFonts w:eastAsiaTheme="minorEastAsia" w:cstheme="minorHAnsi"/>
          <w:sz w:val="28"/>
          <w:szCs w:val="28"/>
          <w:lang w:val="en-GB" w:bidi="en-US"/>
        </w:rPr>
      </w:pPr>
      <w:r w:rsidRPr="005E1103">
        <w:rPr>
          <w:rFonts w:eastAsiaTheme="minorEastAsia" w:cstheme="minorHAnsi"/>
          <w:sz w:val="28"/>
          <w:szCs w:val="28"/>
          <w:lang w:val="en-GB" w:bidi="en-US"/>
        </w:rPr>
        <w:t>Equalisation of Opportunities for Persons with Disabilities Act, 2014. Official Gazette RS 94/10 and 50/14.</w:t>
      </w:r>
    </w:p>
    <w:p w:rsidR="00C71AF3" w:rsidRPr="005E1103" w:rsidRDefault="00C71AF3" w:rsidP="00C71AF3">
      <w:pPr>
        <w:spacing w:after="0" w:line="360" w:lineRule="auto"/>
        <w:ind w:left="567" w:hanging="425"/>
        <w:jc w:val="both"/>
        <w:rPr>
          <w:rFonts w:eastAsiaTheme="minorEastAsia" w:cstheme="minorHAnsi"/>
          <w:sz w:val="28"/>
          <w:szCs w:val="28"/>
          <w:lang w:val="en-GB" w:bidi="en-US"/>
        </w:rPr>
      </w:pPr>
      <w:r w:rsidRPr="005E1103">
        <w:rPr>
          <w:rFonts w:eastAsiaTheme="minorEastAsia" w:cstheme="minorHAnsi"/>
          <w:sz w:val="28"/>
          <w:szCs w:val="28"/>
          <w:lang w:val="en-GB" w:bidi="en-US"/>
        </w:rPr>
        <w:t>Gerdes, H. &amp; Mallinckrodt, B. (1994). Emotional, social and academic adjustment of college students: a longitudinal study of retention</w:t>
      </w:r>
      <w:r w:rsidRPr="005E1103">
        <w:rPr>
          <w:rFonts w:eastAsiaTheme="minorEastAsia" w:cstheme="minorHAnsi"/>
          <w:i/>
          <w:sz w:val="28"/>
          <w:szCs w:val="28"/>
          <w:lang w:val="en-GB" w:bidi="en-US"/>
        </w:rPr>
        <w:t>. Journal of Counselling and Development, 72</w:t>
      </w:r>
      <w:r w:rsidRPr="005E1103">
        <w:rPr>
          <w:rFonts w:eastAsiaTheme="minorEastAsia" w:cstheme="minorHAnsi"/>
          <w:sz w:val="28"/>
          <w:szCs w:val="28"/>
          <w:lang w:val="en-GB" w:bidi="en-US"/>
        </w:rPr>
        <w:t>, 281-288.</w:t>
      </w:r>
    </w:p>
    <w:p w:rsidR="00C71AF3" w:rsidRPr="005E1103" w:rsidRDefault="00C71AF3" w:rsidP="00C71AF3">
      <w:pPr>
        <w:spacing w:after="0" w:line="360" w:lineRule="auto"/>
        <w:ind w:left="567" w:hanging="425"/>
        <w:jc w:val="both"/>
        <w:rPr>
          <w:rFonts w:eastAsiaTheme="minorEastAsia" w:cstheme="minorHAnsi"/>
          <w:sz w:val="28"/>
          <w:szCs w:val="28"/>
          <w:lang w:val="en-GB" w:bidi="en-US"/>
        </w:rPr>
      </w:pPr>
      <w:r w:rsidRPr="005E1103">
        <w:rPr>
          <w:rFonts w:eastAsiaTheme="minorEastAsia" w:cstheme="minorHAnsi"/>
          <w:sz w:val="28"/>
          <w:szCs w:val="28"/>
          <w:lang w:val="en-GB" w:bidi="en-US"/>
        </w:rPr>
        <w:t xml:space="preserve">Fichten, C. S., Amsel, R., Bourdon, C. V. &amp; Creti, L. (1988). Interaction between college students with a physical disability and their professors. </w:t>
      </w:r>
      <w:r w:rsidRPr="005E1103">
        <w:rPr>
          <w:rFonts w:eastAsiaTheme="minorEastAsia" w:cstheme="minorHAnsi"/>
          <w:i/>
          <w:sz w:val="28"/>
          <w:szCs w:val="28"/>
          <w:lang w:val="en-GB" w:bidi="en-US"/>
        </w:rPr>
        <w:t>Journal of Applied Rehabilitation Counselling, 19</w:t>
      </w:r>
      <w:r w:rsidRPr="005E1103">
        <w:rPr>
          <w:rFonts w:eastAsiaTheme="minorEastAsia" w:cstheme="minorHAnsi"/>
          <w:sz w:val="28"/>
          <w:szCs w:val="28"/>
          <w:lang w:val="en-GB" w:bidi="en-US"/>
        </w:rPr>
        <w:t xml:space="preserve"> (1), 13-20.</w:t>
      </w:r>
    </w:p>
    <w:p w:rsidR="00C71AF3" w:rsidRPr="005E1103" w:rsidRDefault="00C71AF3" w:rsidP="00C71AF3">
      <w:pPr>
        <w:spacing w:after="0" w:line="360" w:lineRule="auto"/>
        <w:ind w:left="567" w:hanging="425"/>
        <w:jc w:val="both"/>
        <w:rPr>
          <w:rFonts w:eastAsiaTheme="minorEastAsia" w:cstheme="minorHAnsi"/>
          <w:sz w:val="28"/>
          <w:szCs w:val="28"/>
          <w:lang w:val="en-GB" w:bidi="en-US"/>
        </w:rPr>
      </w:pPr>
      <w:r w:rsidRPr="005E1103">
        <w:rPr>
          <w:rFonts w:eastAsiaTheme="minorEastAsia" w:cstheme="minorHAnsi"/>
          <w:sz w:val="28"/>
          <w:szCs w:val="28"/>
          <w:lang w:val="en-GB" w:bidi="en-US"/>
        </w:rPr>
        <w:lastRenderedPageBreak/>
        <w:t xml:space="preserve">Hill, J. F. (1996). Speaking out: Perceptions of students with disabilities regarding adequacy of services and willingness of faculty to make accomodations. </w:t>
      </w:r>
      <w:r w:rsidRPr="005E1103">
        <w:rPr>
          <w:rFonts w:eastAsiaTheme="minorEastAsia" w:cstheme="minorHAnsi"/>
          <w:i/>
          <w:sz w:val="28"/>
          <w:szCs w:val="28"/>
          <w:lang w:val="en-GB" w:bidi="en-US"/>
        </w:rPr>
        <w:t>Journal on Postsecondary Education and Disability, 12</w:t>
      </w:r>
      <w:r w:rsidRPr="005E1103">
        <w:rPr>
          <w:rFonts w:eastAsiaTheme="minorEastAsia" w:cstheme="minorHAnsi"/>
          <w:sz w:val="28"/>
          <w:szCs w:val="28"/>
          <w:lang w:val="en-GB" w:bidi="en-US"/>
        </w:rPr>
        <w:t>, 35-51.</w:t>
      </w:r>
    </w:p>
    <w:p w:rsidR="00C71AF3" w:rsidRPr="005E1103" w:rsidRDefault="00C71AF3" w:rsidP="00C71AF3">
      <w:pPr>
        <w:spacing w:after="0" w:line="360" w:lineRule="auto"/>
        <w:ind w:left="567" w:hanging="425"/>
        <w:jc w:val="both"/>
        <w:rPr>
          <w:rFonts w:eastAsiaTheme="minorEastAsia" w:cstheme="minorHAnsi"/>
          <w:sz w:val="28"/>
          <w:szCs w:val="28"/>
          <w:lang w:val="en-GB" w:bidi="en-US"/>
        </w:rPr>
      </w:pPr>
      <w:r w:rsidRPr="005E1103">
        <w:rPr>
          <w:rFonts w:eastAsiaTheme="minorEastAsia" w:cstheme="minorHAnsi"/>
          <w:sz w:val="28"/>
          <w:szCs w:val="28"/>
          <w:lang w:val="en-GB" w:bidi="en-US"/>
        </w:rPr>
        <w:t xml:space="preserve">Hossler, D. (1996). From admissions to enrollment management. In A. Rentz (Ed.), </w:t>
      </w:r>
      <w:r w:rsidRPr="005E1103">
        <w:rPr>
          <w:rFonts w:eastAsiaTheme="minorEastAsia" w:cstheme="minorHAnsi"/>
          <w:i/>
          <w:sz w:val="28"/>
          <w:szCs w:val="28"/>
          <w:lang w:val="en-GB" w:bidi="en-US"/>
        </w:rPr>
        <w:t>Student affairs practice in higher education</w:t>
      </w:r>
      <w:r w:rsidRPr="005E1103">
        <w:rPr>
          <w:rFonts w:eastAsiaTheme="minorEastAsia" w:cstheme="minorHAnsi"/>
          <w:sz w:val="28"/>
          <w:szCs w:val="28"/>
          <w:lang w:val="en-GB" w:bidi="en-US"/>
        </w:rPr>
        <w:t xml:space="preserve"> (pp. 56-85). Springfield, Charles C. Thomas.</w:t>
      </w:r>
    </w:p>
    <w:p w:rsidR="00C71AF3" w:rsidRPr="005E1103" w:rsidRDefault="00C71AF3" w:rsidP="00C71AF3">
      <w:pPr>
        <w:spacing w:after="0" w:line="360" w:lineRule="auto"/>
        <w:ind w:left="567" w:hanging="425"/>
        <w:jc w:val="both"/>
        <w:rPr>
          <w:rFonts w:eastAsiaTheme="minorEastAsia" w:cstheme="minorHAnsi"/>
          <w:sz w:val="28"/>
          <w:szCs w:val="28"/>
          <w:lang w:val="en-GB" w:bidi="en-US"/>
        </w:rPr>
      </w:pPr>
      <w:r w:rsidRPr="005E1103">
        <w:rPr>
          <w:rFonts w:eastAsiaTheme="minorEastAsia" w:cstheme="minorHAnsi"/>
          <w:sz w:val="28"/>
          <w:szCs w:val="28"/>
          <w:lang w:val="en-GB" w:bidi="en-US"/>
        </w:rPr>
        <w:t xml:space="preserve">Janiga, S. V. &amp; Costenbader, V. (2002). The transition from High School to Postsecondary Education for students with learning disabilities: A survey of College service coordinators. </w:t>
      </w:r>
      <w:r w:rsidRPr="005E1103">
        <w:rPr>
          <w:rFonts w:eastAsiaTheme="minorEastAsia" w:cstheme="minorHAnsi"/>
          <w:i/>
          <w:sz w:val="28"/>
          <w:szCs w:val="28"/>
          <w:lang w:val="en-GB" w:bidi="en-US"/>
        </w:rPr>
        <w:t>Journal of Learning Disabilities, 35</w:t>
      </w:r>
      <w:r w:rsidRPr="005E1103">
        <w:rPr>
          <w:rFonts w:eastAsiaTheme="minorEastAsia" w:cstheme="minorHAnsi"/>
          <w:sz w:val="28"/>
          <w:szCs w:val="28"/>
          <w:lang w:val="en-GB" w:bidi="en-US"/>
        </w:rPr>
        <w:t xml:space="preserve"> (5), 463-470.</w:t>
      </w:r>
    </w:p>
    <w:p w:rsidR="00C71AF3" w:rsidRPr="005E1103" w:rsidRDefault="00C71AF3" w:rsidP="00C71AF3">
      <w:pPr>
        <w:spacing w:after="0" w:line="360" w:lineRule="auto"/>
        <w:ind w:left="567" w:hanging="425"/>
        <w:jc w:val="both"/>
        <w:rPr>
          <w:rFonts w:eastAsiaTheme="minorEastAsia" w:cstheme="minorHAnsi"/>
          <w:sz w:val="28"/>
          <w:szCs w:val="28"/>
          <w:lang w:val="en-GB" w:bidi="en-US"/>
        </w:rPr>
      </w:pPr>
      <w:r w:rsidRPr="005E1103">
        <w:rPr>
          <w:rFonts w:eastAsiaTheme="minorEastAsia" w:cstheme="minorHAnsi"/>
          <w:noProof/>
          <w:sz w:val="28"/>
          <w:szCs w:val="28"/>
          <w:lang w:val="en-GB" w:eastAsia="sl-SI"/>
        </w:rPr>
        <w:t xml:space="preserve">Komives, S. R. &amp; Woodward, D. B. (2003). </w:t>
      </w:r>
      <w:r w:rsidRPr="005E1103">
        <w:rPr>
          <w:rFonts w:eastAsiaTheme="minorEastAsia" w:cstheme="minorHAnsi"/>
          <w:i/>
          <w:noProof/>
          <w:sz w:val="28"/>
          <w:szCs w:val="28"/>
          <w:lang w:val="en-GB" w:eastAsia="sl-SI"/>
        </w:rPr>
        <w:t>Student services: A handbook for the profession.</w:t>
      </w:r>
      <w:r w:rsidRPr="005E1103">
        <w:rPr>
          <w:rFonts w:eastAsiaTheme="minorEastAsia" w:cstheme="minorHAnsi"/>
          <w:noProof/>
          <w:sz w:val="28"/>
          <w:szCs w:val="28"/>
          <w:lang w:val="en-GB" w:eastAsia="sl-SI"/>
        </w:rPr>
        <w:t xml:space="preserve"> San Francisco: Jossey-Bass.</w:t>
      </w:r>
    </w:p>
    <w:p w:rsidR="00C71AF3" w:rsidRPr="005E1103" w:rsidRDefault="00C71AF3" w:rsidP="00C71AF3">
      <w:pPr>
        <w:spacing w:after="0" w:line="360" w:lineRule="auto"/>
        <w:ind w:left="567" w:hanging="425"/>
        <w:jc w:val="both"/>
        <w:rPr>
          <w:rFonts w:eastAsiaTheme="minorEastAsia" w:cstheme="minorHAnsi"/>
          <w:sz w:val="28"/>
          <w:szCs w:val="28"/>
          <w:lang w:val="en-GB" w:bidi="en-US"/>
        </w:rPr>
      </w:pPr>
      <w:r w:rsidRPr="005E1103">
        <w:rPr>
          <w:rFonts w:cstheme="minorHAnsi"/>
          <w:sz w:val="28"/>
          <w:szCs w:val="28"/>
          <w:lang w:val="en-GB"/>
        </w:rPr>
        <w:t xml:space="preserve">Lerner, J. (2003). </w:t>
      </w:r>
      <w:r w:rsidRPr="005E1103">
        <w:rPr>
          <w:rFonts w:cstheme="minorHAnsi"/>
          <w:i/>
          <w:sz w:val="28"/>
          <w:szCs w:val="28"/>
          <w:lang w:val="en-GB"/>
        </w:rPr>
        <w:t>Learning disabilities. theories, diagnosis and teaching strategies</w:t>
      </w:r>
      <w:r w:rsidRPr="005E1103">
        <w:rPr>
          <w:rFonts w:cstheme="minorHAnsi"/>
          <w:sz w:val="28"/>
          <w:szCs w:val="28"/>
          <w:lang w:val="en-GB"/>
        </w:rPr>
        <w:t>. Boston, MA: Houghton Mifflin Company.</w:t>
      </w:r>
    </w:p>
    <w:p w:rsidR="00C71AF3" w:rsidRPr="005E1103" w:rsidRDefault="00C71AF3" w:rsidP="00C71AF3">
      <w:pPr>
        <w:spacing w:after="0" w:line="360" w:lineRule="auto"/>
        <w:ind w:left="567" w:hanging="425"/>
        <w:jc w:val="both"/>
        <w:rPr>
          <w:rFonts w:eastAsiaTheme="minorEastAsia" w:cstheme="minorHAnsi"/>
          <w:sz w:val="28"/>
          <w:szCs w:val="28"/>
          <w:lang w:val="en-GB" w:bidi="en-US"/>
        </w:rPr>
      </w:pPr>
      <w:r w:rsidRPr="005E1103">
        <w:rPr>
          <w:rFonts w:eastAsiaTheme="minorEastAsia" w:cstheme="minorHAnsi"/>
          <w:noProof/>
          <w:sz w:val="28"/>
          <w:szCs w:val="28"/>
          <w:lang w:val="en-GB" w:eastAsia="sl-SI"/>
        </w:rPr>
        <w:t xml:space="preserve">Nelson, J. R., Dodd, J.M. &amp; Smith, D. J. (1990). Faculty willingness to accommodate students with learning disabilities: A comparison among academic divisions. </w:t>
      </w:r>
      <w:r w:rsidRPr="005E1103">
        <w:rPr>
          <w:rFonts w:eastAsiaTheme="minorEastAsia" w:cstheme="minorHAnsi"/>
          <w:i/>
          <w:noProof/>
          <w:sz w:val="28"/>
          <w:szCs w:val="28"/>
          <w:lang w:val="en-GB" w:eastAsia="sl-SI"/>
        </w:rPr>
        <w:t>Journal of Learning Disabilities, 23,</w:t>
      </w:r>
      <w:r w:rsidRPr="005E1103">
        <w:rPr>
          <w:rFonts w:eastAsiaTheme="minorEastAsia" w:cstheme="minorHAnsi"/>
          <w:noProof/>
          <w:sz w:val="28"/>
          <w:szCs w:val="28"/>
          <w:lang w:val="en-GB" w:eastAsia="sl-SI"/>
        </w:rPr>
        <w:t xml:space="preserve"> 185-189.</w:t>
      </w:r>
    </w:p>
    <w:p w:rsidR="00C71AF3" w:rsidRPr="005E1103" w:rsidRDefault="00C71AF3" w:rsidP="00C71AF3">
      <w:pPr>
        <w:spacing w:after="0" w:line="360" w:lineRule="auto"/>
        <w:ind w:left="567" w:hanging="425"/>
        <w:jc w:val="both"/>
        <w:rPr>
          <w:rFonts w:eastAsiaTheme="minorEastAsia" w:cstheme="minorHAnsi"/>
          <w:sz w:val="28"/>
          <w:szCs w:val="28"/>
          <w:lang w:val="en-GB" w:bidi="en-US"/>
        </w:rPr>
      </w:pPr>
      <w:r w:rsidRPr="005E1103">
        <w:rPr>
          <w:rFonts w:eastAsiaTheme="minorEastAsia" w:cstheme="minorHAnsi"/>
          <w:sz w:val="28"/>
          <w:szCs w:val="28"/>
          <w:lang w:val="en-GB" w:bidi="en-US"/>
        </w:rPr>
        <w:t xml:space="preserve">NLTS (2011). The Post-High School Outcomes of Young Adults </w:t>
      </w:r>
      <w:r w:rsidR="00FC5683" w:rsidRPr="005E1103">
        <w:rPr>
          <w:rFonts w:eastAsiaTheme="minorEastAsia" w:cstheme="minorHAnsi"/>
          <w:sz w:val="28"/>
          <w:szCs w:val="28"/>
          <w:lang w:val="en-GB" w:bidi="en-US"/>
        </w:rPr>
        <w:t>with</w:t>
      </w:r>
      <w:r w:rsidRPr="005E1103">
        <w:rPr>
          <w:rFonts w:eastAsiaTheme="minorEastAsia" w:cstheme="minorHAnsi"/>
          <w:sz w:val="28"/>
          <w:szCs w:val="28"/>
          <w:lang w:val="en-GB" w:bidi="en-US"/>
        </w:rPr>
        <w:t xml:space="preserve"> Disabilities up to 8 Years After High School. A report from National Longitudinal Transition Study-2. Washington: National Center for Special Education Research.</w:t>
      </w:r>
    </w:p>
    <w:p w:rsidR="00C71AF3" w:rsidRPr="005E1103" w:rsidRDefault="00C71AF3" w:rsidP="00C71AF3">
      <w:pPr>
        <w:spacing w:line="360" w:lineRule="auto"/>
        <w:jc w:val="both"/>
        <w:rPr>
          <w:rFonts w:eastAsiaTheme="minorEastAsia" w:cstheme="minorHAnsi"/>
          <w:sz w:val="28"/>
          <w:szCs w:val="28"/>
          <w:lang w:bidi="en-US"/>
        </w:rPr>
      </w:pPr>
      <w:r w:rsidRPr="005E1103">
        <w:rPr>
          <w:rFonts w:eastAsiaTheme="minorEastAsia" w:cstheme="minorHAnsi"/>
          <w:sz w:val="28"/>
          <w:szCs w:val="28"/>
          <w:lang w:val="en-GB" w:eastAsia="sl-SI" w:bidi="en-US"/>
        </w:rPr>
        <w:t xml:space="preserve">Placement of Children with Special Needs Act, 2011. </w:t>
      </w:r>
      <w:r w:rsidRPr="005E1103">
        <w:rPr>
          <w:rFonts w:eastAsiaTheme="minorEastAsia" w:cstheme="minorHAnsi"/>
          <w:sz w:val="28"/>
          <w:szCs w:val="28"/>
          <w:lang w:bidi="en-US"/>
        </w:rPr>
        <w:t>Official Gazette RS 58/2011.</w:t>
      </w:r>
    </w:p>
    <w:p w:rsidR="00FC5683" w:rsidRDefault="00FC5683">
      <w:pPr>
        <w:rPr>
          <w:rFonts w:cstheme="minorHAnsi"/>
          <w:b/>
          <w:sz w:val="28"/>
          <w:szCs w:val="28"/>
        </w:rPr>
      </w:pPr>
      <w:r>
        <w:rPr>
          <w:rFonts w:cstheme="minorHAnsi"/>
          <w:b/>
          <w:sz w:val="28"/>
          <w:szCs w:val="28"/>
        </w:rPr>
        <w:br w:type="page"/>
      </w:r>
    </w:p>
    <w:p w:rsidR="00C71AF3" w:rsidRPr="005E1103" w:rsidRDefault="00C71AF3" w:rsidP="00C71AF3">
      <w:pPr>
        <w:spacing w:line="360" w:lineRule="auto"/>
        <w:jc w:val="center"/>
        <w:rPr>
          <w:rFonts w:cstheme="minorHAnsi"/>
          <w:b/>
          <w:sz w:val="28"/>
          <w:szCs w:val="28"/>
        </w:rPr>
      </w:pPr>
      <w:r w:rsidRPr="005E1103">
        <w:rPr>
          <w:rFonts w:cstheme="minorHAnsi"/>
          <w:b/>
          <w:sz w:val="28"/>
          <w:szCs w:val="28"/>
        </w:rPr>
        <w:lastRenderedPageBreak/>
        <w:t>COMUNICACIÓN 6</w:t>
      </w:r>
    </w:p>
    <w:p w:rsidR="00C71AF3" w:rsidRPr="00420F8D" w:rsidRDefault="00C71AF3" w:rsidP="00AA6682">
      <w:pPr>
        <w:pBdr>
          <w:top w:val="single" w:sz="4" w:space="1" w:color="auto"/>
          <w:left w:val="single" w:sz="4" w:space="4" w:color="auto"/>
          <w:bottom w:val="single" w:sz="4" w:space="1" w:color="auto"/>
          <w:right w:val="single" w:sz="4" w:space="4" w:color="auto"/>
        </w:pBdr>
        <w:spacing w:after="120" w:line="240" w:lineRule="auto"/>
        <w:ind w:firstLine="709"/>
        <w:jc w:val="center"/>
        <w:rPr>
          <w:rFonts w:cstheme="minorHAnsi"/>
          <w:b/>
          <w:sz w:val="28"/>
          <w:szCs w:val="28"/>
        </w:rPr>
      </w:pPr>
      <w:r w:rsidRPr="00420F8D">
        <w:rPr>
          <w:rFonts w:cstheme="minorHAnsi"/>
          <w:b/>
          <w:bCs/>
          <w:sz w:val="28"/>
          <w:szCs w:val="28"/>
        </w:rPr>
        <w:t>Creando redes, estableciendo sinergias: buenas prácticas en la educación inclusiva</w:t>
      </w:r>
    </w:p>
    <w:p w:rsidR="00C71AF3" w:rsidRPr="005E1103" w:rsidRDefault="00C71AF3" w:rsidP="00C71AF3">
      <w:pPr>
        <w:spacing w:line="360" w:lineRule="auto"/>
        <w:jc w:val="center"/>
        <w:rPr>
          <w:rFonts w:cstheme="minorHAnsi"/>
          <w:b/>
          <w:sz w:val="28"/>
          <w:szCs w:val="28"/>
        </w:rPr>
      </w:pPr>
    </w:p>
    <w:p w:rsidR="00C71AF3" w:rsidRPr="005E1103" w:rsidRDefault="00C71AF3" w:rsidP="00C71AF3">
      <w:pPr>
        <w:spacing w:line="360" w:lineRule="auto"/>
        <w:ind w:firstLine="709"/>
        <w:jc w:val="right"/>
        <w:rPr>
          <w:rFonts w:cstheme="minorHAnsi"/>
          <w:i/>
          <w:sz w:val="28"/>
          <w:szCs w:val="28"/>
        </w:rPr>
      </w:pPr>
      <w:r w:rsidRPr="005E1103">
        <w:rPr>
          <w:rFonts w:cstheme="minorHAnsi"/>
          <w:sz w:val="28"/>
          <w:szCs w:val="28"/>
        </w:rPr>
        <w:t>Patricia Soler Javaloy; Joaquina Murcia Rodríguez; Esther Gallego Baeza</w:t>
      </w:r>
    </w:p>
    <w:p w:rsidR="00C71AF3" w:rsidRPr="005E1103" w:rsidRDefault="00C71AF3" w:rsidP="00C71AF3">
      <w:pPr>
        <w:spacing w:line="360" w:lineRule="auto"/>
        <w:ind w:firstLine="709"/>
        <w:jc w:val="right"/>
        <w:rPr>
          <w:rFonts w:cstheme="minorHAnsi"/>
          <w:sz w:val="28"/>
          <w:szCs w:val="28"/>
        </w:rPr>
      </w:pPr>
      <w:r w:rsidRPr="005E1103">
        <w:rPr>
          <w:rFonts w:cstheme="minorHAnsi"/>
          <w:i/>
          <w:sz w:val="28"/>
          <w:szCs w:val="28"/>
        </w:rPr>
        <w:t xml:space="preserve">                       Técnicos Universidad de Alicante</w:t>
      </w:r>
    </w:p>
    <w:p w:rsidR="00C71AF3" w:rsidRPr="005E1103" w:rsidRDefault="00C71AF3" w:rsidP="00C71AF3">
      <w:pPr>
        <w:spacing w:line="360" w:lineRule="auto"/>
        <w:ind w:firstLine="709"/>
        <w:jc w:val="both"/>
        <w:rPr>
          <w:rFonts w:cstheme="minorHAnsi"/>
          <w:sz w:val="28"/>
          <w:szCs w:val="28"/>
        </w:rPr>
      </w:pPr>
      <w:r w:rsidRPr="00AA6682">
        <w:rPr>
          <w:rFonts w:cstheme="minorHAnsi"/>
          <w:b/>
          <w:sz w:val="28"/>
          <w:szCs w:val="28"/>
        </w:rPr>
        <w:t>SINOPSIS</w:t>
      </w:r>
      <w:r w:rsidRPr="005E1103">
        <w:rPr>
          <w:rFonts w:cstheme="minorHAnsi"/>
          <w:sz w:val="28"/>
          <w:szCs w:val="28"/>
        </w:rPr>
        <w:t xml:space="preserve">: </w:t>
      </w:r>
    </w:p>
    <w:p w:rsidR="00C71AF3" w:rsidRPr="005E1103" w:rsidRDefault="00C71AF3" w:rsidP="00C71AF3">
      <w:pPr>
        <w:spacing w:line="360" w:lineRule="auto"/>
        <w:ind w:firstLine="709"/>
        <w:jc w:val="both"/>
        <w:rPr>
          <w:rFonts w:cstheme="minorHAnsi"/>
          <w:i/>
          <w:iCs/>
          <w:sz w:val="28"/>
          <w:szCs w:val="28"/>
        </w:rPr>
      </w:pPr>
      <w:r w:rsidRPr="005E1103">
        <w:rPr>
          <w:rFonts w:cstheme="minorHAnsi"/>
          <w:sz w:val="28"/>
          <w:szCs w:val="28"/>
        </w:rPr>
        <w:t>La perspectiva del modelo social en al análisis de la discapacidad, requiere la implicación de los servicios de apoyo no sólo a nivel individual sino también en generar cambios en los entornos inmediatos que pueden actuar como obstáculos restrictivos a la hora de la inclusión del universitario con discapacidad. En este sentido, nuestro trabajo pretende: el desarrollo de medidas para incrementar la cooperación entre universidad y las redes sociales de ámbito comunitario tanto del ámbito universitario como extra-académico pero que al final redundan en el bienestar y la calidad de vida de nuestros estudiantes.</w:t>
      </w:r>
    </w:p>
    <w:p w:rsidR="00C71AF3" w:rsidRPr="005E1103" w:rsidRDefault="00C71AF3" w:rsidP="00C71AF3">
      <w:pPr>
        <w:spacing w:line="360" w:lineRule="auto"/>
        <w:ind w:firstLine="709"/>
        <w:jc w:val="both"/>
        <w:rPr>
          <w:rFonts w:cstheme="minorHAnsi"/>
          <w:i/>
          <w:iCs/>
          <w:sz w:val="28"/>
          <w:szCs w:val="28"/>
        </w:rPr>
      </w:pPr>
      <w:r w:rsidRPr="005E1103">
        <w:rPr>
          <w:rFonts w:cstheme="minorHAnsi"/>
          <w:i/>
          <w:iCs/>
          <w:sz w:val="28"/>
          <w:szCs w:val="28"/>
        </w:rPr>
        <w:t xml:space="preserve">Palabras clave: Redes; Educación inclusiva; Servicios de apoyo universitarios </w:t>
      </w:r>
    </w:p>
    <w:p w:rsidR="00C71AF3" w:rsidRPr="005E1103" w:rsidRDefault="00C71AF3" w:rsidP="00C71AF3">
      <w:pPr>
        <w:spacing w:line="360" w:lineRule="auto"/>
        <w:ind w:firstLine="709"/>
        <w:jc w:val="both"/>
        <w:rPr>
          <w:rFonts w:cstheme="minorHAnsi"/>
          <w:sz w:val="28"/>
          <w:szCs w:val="28"/>
          <w:lang w:val="en-US"/>
        </w:rPr>
      </w:pPr>
      <w:r w:rsidRPr="00AA6682">
        <w:rPr>
          <w:rFonts w:cstheme="minorHAnsi"/>
          <w:b/>
          <w:sz w:val="28"/>
          <w:szCs w:val="28"/>
          <w:lang w:val="en-US"/>
        </w:rPr>
        <w:t>ABSTRACT</w:t>
      </w:r>
      <w:r w:rsidRPr="005E1103">
        <w:rPr>
          <w:rFonts w:cstheme="minorHAnsi"/>
          <w:sz w:val="28"/>
          <w:szCs w:val="28"/>
          <w:lang w:val="en-US"/>
        </w:rPr>
        <w:t>:</w:t>
      </w:r>
    </w:p>
    <w:p w:rsidR="00C71AF3" w:rsidRPr="005E1103" w:rsidRDefault="00C71AF3" w:rsidP="00C71AF3">
      <w:pPr>
        <w:spacing w:line="360" w:lineRule="auto"/>
        <w:ind w:firstLine="709"/>
        <w:jc w:val="both"/>
        <w:rPr>
          <w:rFonts w:cstheme="minorHAnsi"/>
          <w:i/>
          <w:iCs/>
          <w:sz w:val="28"/>
          <w:szCs w:val="28"/>
          <w:lang w:val="en-US"/>
        </w:rPr>
      </w:pPr>
      <w:r w:rsidRPr="005E1103">
        <w:rPr>
          <w:rFonts w:cstheme="minorHAnsi"/>
          <w:sz w:val="28"/>
          <w:szCs w:val="28"/>
          <w:lang w:val="en-US"/>
        </w:rPr>
        <w:t>The perspective of the social model in the analysis of disability, requires the involvement of support services not only individually but also in generating changes in the immediate environment that can act as restrictive obstacles to the full integration of the university with disability. In this sense, our work aims: the development of measures to increase cooperation between universities and social networks at Community level both from academia and extra-academic but ultimately redound on the welfare and quality of life of our students.</w:t>
      </w:r>
    </w:p>
    <w:p w:rsidR="00C71AF3" w:rsidRPr="005E1103" w:rsidRDefault="00C71AF3" w:rsidP="00C71AF3">
      <w:pPr>
        <w:spacing w:line="360" w:lineRule="auto"/>
        <w:ind w:firstLine="709"/>
        <w:jc w:val="both"/>
        <w:rPr>
          <w:rFonts w:cstheme="minorHAnsi"/>
          <w:i/>
          <w:iCs/>
          <w:sz w:val="28"/>
          <w:szCs w:val="28"/>
          <w:lang w:val="en-US"/>
        </w:rPr>
      </w:pPr>
      <w:r w:rsidRPr="005E1103">
        <w:rPr>
          <w:rFonts w:cstheme="minorHAnsi"/>
          <w:i/>
          <w:iCs/>
          <w:sz w:val="28"/>
          <w:szCs w:val="28"/>
          <w:lang w:val="en-US"/>
        </w:rPr>
        <w:t>Keywords: Networks; Inclusive education; University support services</w:t>
      </w:r>
    </w:p>
    <w:p w:rsidR="00C71AF3" w:rsidRPr="005E1103" w:rsidRDefault="00C71AF3" w:rsidP="00C71AF3">
      <w:pPr>
        <w:spacing w:line="360" w:lineRule="auto"/>
        <w:ind w:firstLine="709"/>
        <w:jc w:val="both"/>
        <w:rPr>
          <w:rFonts w:cstheme="minorHAnsi"/>
          <w:b/>
          <w:sz w:val="28"/>
          <w:szCs w:val="28"/>
        </w:rPr>
      </w:pPr>
      <w:r w:rsidRPr="005E1103">
        <w:rPr>
          <w:rFonts w:cstheme="minorHAnsi"/>
          <w:b/>
          <w:sz w:val="28"/>
          <w:szCs w:val="28"/>
        </w:rPr>
        <w:lastRenderedPageBreak/>
        <w:t>Introducción: generando redes para el cambio</w:t>
      </w:r>
    </w:p>
    <w:p w:rsidR="00C71AF3" w:rsidRPr="005E1103" w:rsidRDefault="00C71AF3" w:rsidP="00C71AF3">
      <w:pPr>
        <w:spacing w:line="360" w:lineRule="auto"/>
        <w:ind w:firstLine="709"/>
        <w:jc w:val="both"/>
        <w:rPr>
          <w:rFonts w:cstheme="minorHAnsi"/>
          <w:sz w:val="28"/>
          <w:szCs w:val="28"/>
        </w:rPr>
      </w:pPr>
      <w:r w:rsidRPr="005E1103">
        <w:rPr>
          <w:rFonts w:cstheme="minorHAnsi"/>
          <w:sz w:val="28"/>
          <w:szCs w:val="28"/>
        </w:rPr>
        <w:t xml:space="preserve">Las </w:t>
      </w:r>
      <w:r w:rsidR="00AA6682" w:rsidRPr="005E1103">
        <w:rPr>
          <w:rFonts w:cstheme="minorHAnsi"/>
          <w:sz w:val="28"/>
          <w:szCs w:val="28"/>
        </w:rPr>
        <w:t>redes profesionales son modalidades de trabajo que vienen desarrollándose con fuerza en el ámbito de la inclusión educativa</w:t>
      </w:r>
      <w:r w:rsidRPr="005E1103">
        <w:rPr>
          <w:rFonts w:cstheme="minorHAnsi"/>
          <w:sz w:val="28"/>
          <w:szCs w:val="28"/>
        </w:rPr>
        <w:t xml:space="preserve"> </w:t>
      </w:r>
      <w:r w:rsidR="00AA6682" w:rsidRPr="005E1103">
        <w:rPr>
          <w:rFonts w:cstheme="minorHAnsi"/>
          <w:sz w:val="28"/>
          <w:szCs w:val="28"/>
        </w:rPr>
        <w:t>que comparten los principios y propósitos de la inclusión</w:t>
      </w:r>
      <w:r w:rsidRPr="005E1103">
        <w:rPr>
          <w:rFonts w:cstheme="minorHAnsi"/>
          <w:sz w:val="28"/>
          <w:szCs w:val="28"/>
        </w:rPr>
        <w:t xml:space="preserve">.  Estos propósitos se refieren a la mejora del sistema educativo impulsada por los valores democráticos y la igualdad de oportunidades en el acceso a una educación de calidad.  </w:t>
      </w:r>
    </w:p>
    <w:p w:rsidR="00C71AF3" w:rsidRPr="005E1103" w:rsidRDefault="00C71AF3" w:rsidP="00C71AF3">
      <w:pPr>
        <w:spacing w:line="360" w:lineRule="auto"/>
        <w:ind w:firstLine="709"/>
        <w:jc w:val="both"/>
        <w:rPr>
          <w:rFonts w:cstheme="minorHAnsi"/>
          <w:sz w:val="28"/>
          <w:szCs w:val="28"/>
        </w:rPr>
      </w:pPr>
      <w:r w:rsidRPr="005E1103">
        <w:rPr>
          <w:rFonts w:cstheme="minorHAnsi"/>
          <w:sz w:val="28"/>
          <w:szCs w:val="28"/>
        </w:rPr>
        <w:t xml:space="preserve">Algunas de las ventajas que tiene esta forma de trabajo es que permite combatir el aislamiento del profesional y que puede estimular la </w:t>
      </w:r>
      <w:r w:rsidR="00AA6682" w:rsidRPr="005E1103">
        <w:rPr>
          <w:rFonts w:cstheme="minorHAnsi"/>
          <w:sz w:val="28"/>
          <w:szCs w:val="28"/>
        </w:rPr>
        <w:t>articulación del</w:t>
      </w:r>
      <w:r w:rsidRPr="005E1103">
        <w:rPr>
          <w:rFonts w:cstheme="minorHAnsi"/>
          <w:sz w:val="28"/>
          <w:szCs w:val="28"/>
        </w:rPr>
        <w:t xml:space="preserve">   conocimiento   tácito y fomentar el intercambio de experiencias y la importación y exportación de modelos de buenas prácticas en la inclusión educativa.</w:t>
      </w:r>
    </w:p>
    <w:p w:rsidR="00C71AF3" w:rsidRPr="005E1103" w:rsidRDefault="00C71AF3" w:rsidP="00C71AF3">
      <w:pPr>
        <w:spacing w:line="360" w:lineRule="auto"/>
        <w:ind w:firstLine="709"/>
        <w:jc w:val="both"/>
        <w:rPr>
          <w:rFonts w:cstheme="minorHAnsi"/>
          <w:sz w:val="28"/>
          <w:szCs w:val="28"/>
        </w:rPr>
      </w:pPr>
      <w:r w:rsidRPr="005E1103">
        <w:rPr>
          <w:rFonts w:cstheme="minorHAnsi"/>
          <w:sz w:val="28"/>
          <w:szCs w:val="28"/>
        </w:rPr>
        <w:t>La inclusión en el ámbito educativo es un proceso de mejora para responder cada vez con más equidad a la diversidad del alumnado y una cuestión de valores fundamentada en el fomento de una ciudadanía con participación plena.</w:t>
      </w:r>
    </w:p>
    <w:p w:rsidR="00C71AF3" w:rsidRPr="005E1103" w:rsidRDefault="00C71AF3" w:rsidP="00C71AF3">
      <w:pPr>
        <w:spacing w:line="360" w:lineRule="auto"/>
        <w:ind w:firstLine="709"/>
        <w:jc w:val="both"/>
        <w:rPr>
          <w:rFonts w:cstheme="minorHAnsi"/>
          <w:sz w:val="28"/>
          <w:szCs w:val="28"/>
        </w:rPr>
      </w:pPr>
      <w:r w:rsidRPr="005E1103">
        <w:rPr>
          <w:rFonts w:cstheme="minorHAnsi"/>
          <w:sz w:val="28"/>
          <w:szCs w:val="28"/>
        </w:rPr>
        <w:t>La Universidad de Alicante a través de su servicio de apoyo, el Centro de Apoyo al Estudiante (en adelante, CAE), es una entidad integradora de las respuestas que la Universidad de Alicante puede ofrecer, desde su ámbito de actuación, a las necesidades especiales de sus estudiantes, desde un punto de vista interdisciplinar y en coordinación con recursos intra o extra universitarios. Al mismo tiempo que esta pretensión amplia e integradora, busca personalizar al máximo sus servicios con el fin de que los estudiantes alcancen mayores cotas de bienestar en el afrontamiento de sus estudios y puedan conseguir un mayor grado de inclusión en la vida universitaria (Bueno, A., Martínez, D., Ordoñez, T., y Soler P., 2001).</w:t>
      </w:r>
    </w:p>
    <w:p w:rsidR="00AA6682" w:rsidRDefault="00AA6682">
      <w:pPr>
        <w:rPr>
          <w:rFonts w:cstheme="minorHAnsi"/>
          <w:sz w:val="28"/>
          <w:szCs w:val="28"/>
        </w:rPr>
      </w:pPr>
      <w:r>
        <w:rPr>
          <w:rFonts w:cstheme="minorHAnsi"/>
          <w:sz w:val="28"/>
          <w:szCs w:val="28"/>
        </w:rPr>
        <w:br w:type="page"/>
      </w:r>
    </w:p>
    <w:p w:rsidR="00C71AF3" w:rsidRPr="005E1103" w:rsidRDefault="00C71AF3" w:rsidP="00C71AF3">
      <w:pPr>
        <w:spacing w:line="360" w:lineRule="auto"/>
        <w:ind w:firstLine="709"/>
        <w:jc w:val="both"/>
        <w:rPr>
          <w:rFonts w:cstheme="minorHAnsi"/>
          <w:sz w:val="28"/>
          <w:szCs w:val="28"/>
        </w:rPr>
      </w:pPr>
      <w:r w:rsidRPr="005E1103">
        <w:rPr>
          <w:rFonts w:cstheme="minorHAnsi"/>
          <w:sz w:val="28"/>
          <w:szCs w:val="28"/>
        </w:rPr>
        <w:lastRenderedPageBreak/>
        <w:t>Entre sus objetivos como servicio de apoyo universitario contempla:</w:t>
      </w:r>
    </w:p>
    <w:p w:rsidR="00C71AF3" w:rsidRPr="005E1103" w:rsidRDefault="00C71AF3" w:rsidP="00C71AF3">
      <w:pPr>
        <w:spacing w:line="360" w:lineRule="auto"/>
        <w:ind w:firstLine="709"/>
        <w:jc w:val="both"/>
        <w:rPr>
          <w:rFonts w:cstheme="minorHAnsi"/>
          <w:sz w:val="28"/>
          <w:szCs w:val="28"/>
        </w:rPr>
      </w:pPr>
      <w:r w:rsidRPr="005E1103">
        <w:rPr>
          <w:rFonts w:cstheme="minorHAnsi"/>
          <w:sz w:val="28"/>
          <w:szCs w:val="28"/>
        </w:rPr>
        <w:t>1.</w:t>
      </w:r>
      <w:r w:rsidRPr="005E1103">
        <w:rPr>
          <w:rFonts w:cstheme="minorHAnsi"/>
          <w:sz w:val="28"/>
          <w:szCs w:val="28"/>
        </w:rPr>
        <w:tab/>
        <w:t>Atender las necesidades específicas de los alumnos que inciden en sus estudios, ya sea de tipo personal, familiar o por circunstancias económicas o sociales.</w:t>
      </w:r>
    </w:p>
    <w:p w:rsidR="00C71AF3" w:rsidRPr="005E1103" w:rsidRDefault="00C71AF3" w:rsidP="00C71AF3">
      <w:pPr>
        <w:spacing w:line="360" w:lineRule="auto"/>
        <w:ind w:firstLine="709"/>
        <w:jc w:val="both"/>
        <w:rPr>
          <w:rFonts w:cstheme="minorHAnsi"/>
          <w:sz w:val="28"/>
          <w:szCs w:val="28"/>
        </w:rPr>
      </w:pPr>
      <w:r w:rsidRPr="005E1103">
        <w:rPr>
          <w:rFonts w:cstheme="minorHAnsi"/>
          <w:sz w:val="28"/>
          <w:szCs w:val="28"/>
        </w:rPr>
        <w:t>2.</w:t>
      </w:r>
      <w:r w:rsidRPr="005E1103">
        <w:rPr>
          <w:rFonts w:cstheme="minorHAnsi"/>
          <w:sz w:val="28"/>
          <w:szCs w:val="28"/>
        </w:rPr>
        <w:tab/>
        <w:t>Sensibilizar a la comunidad universitaria respecto al tema de la diversidad con criterios de normalización e igualdad de oportunidades para todos los alumnos.</w:t>
      </w:r>
    </w:p>
    <w:p w:rsidR="00C71AF3" w:rsidRPr="005E1103" w:rsidRDefault="00C71AF3" w:rsidP="00C71AF3">
      <w:pPr>
        <w:spacing w:line="360" w:lineRule="auto"/>
        <w:ind w:firstLine="709"/>
        <w:jc w:val="both"/>
        <w:rPr>
          <w:rFonts w:cstheme="minorHAnsi"/>
          <w:sz w:val="28"/>
          <w:szCs w:val="28"/>
        </w:rPr>
      </w:pPr>
      <w:r w:rsidRPr="005E1103">
        <w:rPr>
          <w:rFonts w:cstheme="minorHAnsi"/>
          <w:sz w:val="28"/>
          <w:szCs w:val="28"/>
        </w:rPr>
        <w:t>3.</w:t>
      </w:r>
      <w:r w:rsidRPr="005E1103">
        <w:rPr>
          <w:rFonts w:cstheme="minorHAnsi"/>
          <w:sz w:val="28"/>
          <w:szCs w:val="28"/>
        </w:rPr>
        <w:tab/>
        <w:t xml:space="preserve">Ofrecer a los estudiantes el asesoramiento técnico en recursos económicos y sociales intra o extra universitarios. </w:t>
      </w:r>
    </w:p>
    <w:p w:rsidR="00C71AF3" w:rsidRPr="005E1103" w:rsidRDefault="00C71AF3" w:rsidP="00C71AF3">
      <w:pPr>
        <w:spacing w:line="360" w:lineRule="auto"/>
        <w:ind w:firstLine="709"/>
        <w:jc w:val="both"/>
        <w:rPr>
          <w:rFonts w:cstheme="minorHAnsi"/>
          <w:sz w:val="28"/>
          <w:szCs w:val="28"/>
        </w:rPr>
      </w:pPr>
      <w:r w:rsidRPr="005E1103">
        <w:rPr>
          <w:rFonts w:cstheme="minorHAnsi"/>
          <w:sz w:val="28"/>
          <w:szCs w:val="28"/>
        </w:rPr>
        <w:t>4.</w:t>
      </w:r>
      <w:r w:rsidRPr="005E1103">
        <w:rPr>
          <w:rFonts w:cstheme="minorHAnsi"/>
          <w:sz w:val="28"/>
          <w:szCs w:val="28"/>
        </w:rPr>
        <w:tab/>
        <w:t>Servir de centro de conexión con entidades, que trabajan por la mejora de la calidad de vida, de la población en general y de forma específica con determinados colectivos, tanto en el ámbito universitario como comunitario.</w:t>
      </w:r>
    </w:p>
    <w:p w:rsidR="00C71AF3" w:rsidRPr="005E1103" w:rsidRDefault="00C71AF3" w:rsidP="00C71AF3">
      <w:pPr>
        <w:spacing w:line="360" w:lineRule="auto"/>
        <w:ind w:firstLine="709"/>
        <w:jc w:val="both"/>
        <w:rPr>
          <w:rFonts w:cstheme="minorHAnsi"/>
          <w:sz w:val="28"/>
          <w:szCs w:val="28"/>
        </w:rPr>
      </w:pPr>
      <w:r w:rsidRPr="005E1103">
        <w:rPr>
          <w:rFonts w:cstheme="minorHAnsi"/>
          <w:sz w:val="28"/>
          <w:szCs w:val="28"/>
        </w:rPr>
        <w:t>5.</w:t>
      </w:r>
      <w:r w:rsidRPr="005E1103">
        <w:rPr>
          <w:rFonts w:cstheme="minorHAnsi"/>
          <w:sz w:val="28"/>
          <w:szCs w:val="28"/>
        </w:rPr>
        <w:tab/>
        <w:t>Favorecer las actitudes de solidaridad de la población universitaria, implicando a la persona con necesidades especiales y a sus compañeros/as en la solución de sus dificultades.</w:t>
      </w:r>
    </w:p>
    <w:p w:rsidR="00C71AF3" w:rsidRPr="005E1103" w:rsidRDefault="00C71AF3" w:rsidP="00C71AF3">
      <w:pPr>
        <w:spacing w:line="360" w:lineRule="auto"/>
        <w:ind w:firstLine="709"/>
        <w:jc w:val="both"/>
        <w:rPr>
          <w:rFonts w:cstheme="minorHAnsi"/>
          <w:sz w:val="28"/>
          <w:szCs w:val="28"/>
        </w:rPr>
      </w:pPr>
      <w:r w:rsidRPr="005E1103">
        <w:rPr>
          <w:rFonts w:cstheme="minorHAnsi"/>
          <w:sz w:val="28"/>
          <w:szCs w:val="28"/>
        </w:rPr>
        <w:t>6.</w:t>
      </w:r>
      <w:r w:rsidRPr="005E1103">
        <w:rPr>
          <w:rFonts w:cstheme="minorHAnsi"/>
          <w:sz w:val="28"/>
          <w:szCs w:val="28"/>
        </w:rPr>
        <w:tab/>
        <w:t>Apoyar la investigación de temas relacionados con la mejora de la calidad de vida de las personas con discapacidad.</w:t>
      </w:r>
    </w:p>
    <w:p w:rsidR="00C71AF3" w:rsidRPr="005E1103" w:rsidRDefault="00C71AF3" w:rsidP="00C71AF3">
      <w:pPr>
        <w:spacing w:line="360" w:lineRule="auto"/>
        <w:ind w:firstLine="709"/>
        <w:jc w:val="both"/>
        <w:rPr>
          <w:rFonts w:cstheme="minorHAnsi"/>
          <w:sz w:val="28"/>
          <w:szCs w:val="28"/>
        </w:rPr>
      </w:pPr>
      <w:r w:rsidRPr="005E1103">
        <w:rPr>
          <w:rFonts w:cstheme="minorHAnsi"/>
          <w:sz w:val="28"/>
          <w:szCs w:val="28"/>
        </w:rPr>
        <w:t>El CAE para cumplir sus objetivos de la inclusión educativa de todos los estudiantes, ha fomentado la creación y participación en varias redes profesionales con el objetivo de mejorar su actuación y desarrollar estrategias cooperativas dentro y fuera del ámbito universitario.</w:t>
      </w:r>
    </w:p>
    <w:p w:rsidR="00C71AF3" w:rsidRPr="005E1103" w:rsidRDefault="00C71AF3" w:rsidP="00C71AF3">
      <w:pPr>
        <w:spacing w:line="360" w:lineRule="auto"/>
        <w:ind w:firstLine="709"/>
        <w:jc w:val="both"/>
        <w:rPr>
          <w:rFonts w:cstheme="minorHAnsi"/>
          <w:b/>
          <w:sz w:val="28"/>
          <w:szCs w:val="28"/>
        </w:rPr>
      </w:pPr>
      <w:r w:rsidRPr="005E1103">
        <w:rPr>
          <w:rFonts w:cstheme="minorHAnsi"/>
          <w:b/>
          <w:sz w:val="28"/>
          <w:szCs w:val="28"/>
        </w:rPr>
        <w:t>De lo individual a lo colectivo</w:t>
      </w:r>
    </w:p>
    <w:p w:rsidR="00C71AF3" w:rsidRPr="005E1103" w:rsidRDefault="00C71AF3" w:rsidP="00C71AF3">
      <w:pPr>
        <w:spacing w:line="360" w:lineRule="auto"/>
        <w:ind w:firstLine="709"/>
        <w:jc w:val="both"/>
        <w:rPr>
          <w:rFonts w:cstheme="minorHAnsi"/>
          <w:sz w:val="28"/>
          <w:szCs w:val="28"/>
        </w:rPr>
      </w:pPr>
      <w:r w:rsidRPr="005E1103">
        <w:rPr>
          <w:rFonts w:cstheme="minorHAnsi"/>
          <w:sz w:val="28"/>
          <w:szCs w:val="28"/>
        </w:rPr>
        <w:t xml:space="preserve">Durante muchos años, exactamente desde la II Guerra Mundial, se consideró la discapacidad como una limitación personal causada por un problema de salud que requería un tratamiento individual para conseguir una mejor adaptación al entorno.  En la actualidad, es incuestionable que la intervención requiere cambios en el ambiente </w:t>
      </w:r>
      <w:r w:rsidRPr="005E1103">
        <w:rPr>
          <w:rFonts w:cstheme="minorHAnsi"/>
          <w:sz w:val="28"/>
          <w:szCs w:val="28"/>
        </w:rPr>
        <w:lastRenderedPageBreak/>
        <w:t xml:space="preserve">social inmediato y en las actitudes sociales ante la discapacidad. Por este motivo, la intervención de los servicios de apoyo debe trascender la individualidad, fomentando el apoyo social del alumnado con discapacidad e implicando a los distintos agentes sociales que confluyen en los cambios sociales cuyo objetivo sea lograr una sociedad que atienda las necesidades de todos. </w:t>
      </w:r>
    </w:p>
    <w:p w:rsidR="00C71AF3" w:rsidRPr="005E1103" w:rsidRDefault="00C71AF3" w:rsidP="00C71AF3">
      <w:pPr>
        <w:spacing w:line="360" w:lineRule="auto"/>
        <w:ind w:firstLine="709"/>
        <w:jc w:val="both"/>
        <w:rPr>
          <w:rFonts w:cstheme="minorHAnsi"/>
          <w:sz w:val="28"/>
          <w:szCs w:val="28"/>
        </w:rPr>
      </w:pPr>
      <w:r w:rsidRPr="005E1103">
        <w:rPr>
          <w:rFonts w:cstheme="minorHAnsi"/>
          <w:sz w:val="28"/>
          <w:szCs w:val="28"/>
        </w:rPr>
        <w:t>La perspectiva del modelo social de intervención, requiere que los servicios de apoyo universitarios sean promotores de cambios no sólo a nivel individual sino también en los entornos inmediatos que pueden actuar como obstáculos restrictivos a la hora de la inclusión del universitario con discapacidad en la comunidad y como medida de futuro. Para este cometido, es fundamental el trabajo en red, que es más que coordinación, es compartir información, aprender de la experiencia del otro, trabajar juntos, y permite a sus miembros evitar el excesivo gasto en recursos que supone la duplicidad del trabajo cuando se comparten los objetivos, facilitando a las acciones e iniciativas de los miembros un efecto multiplicador (Borgatti, S., y Foster, 2003). De esta manera, el trabajo en red en los servicios de apoyo universitarios estaría fundamentado en las siguientes premisas:</w:t>
      </w:r>
    </w:p>
    <w:p w:rsidR="00C71AF3" w:rsidRPr="005E1103" w:rsidRDefault="00C71AF3" w:rsidP="00C71AF3">
      <w:pPr>
        <w:spacing w:line="360" w:lineRule="auto"/>
        <w:ind w:firstLine="709"/>
        <w:jc w:val="both"/>
        <w:rPr>
          <w:rFonts w:cstheme="minorHAnsi"/>
          <w:sz w:val="28"/>
          <w:szCs w:val="28"/>
        </w:rPr>
      </w:pPr>
      <w:r w:rsidRPr="005E1103">
        <w:rPr>
          <w:rFonts w:cstheme="minorHAnsi"/>
          <w:sz w:val="28"/>
          <w:szCs w:val="28"/>
        </w:rPr>
        <w:t>1. El todo es más que la suma de las partes.</w:t>
      </w:r>
    </w:p>
    <w:p w:rsidR="00C71AF3" w:rsidRPr="005E1103" w:rsidRDefault="00C71AF3" w:rsidP="00C71AF3">
      <w:pPr>
        <w:spacing w:line="360" w:lineRule="auto"/>
        <w:ind w:firstLine="709"/>
        <w:jc w:val="both"/>
        <w:rPr>
          <w:rFonts w:cstheme="minorHAnsi"/>
          <w:sz w:val="28"/>
          <w:szCs w:val="28"/>
        </w:rPr>
      </w:pPr>
      <w:r w:rsidRPr="005E1103">
        <w:rPr>
          <w:rFonts w:cstheme="minorHAnsi"/>
          <w:sz w:val="28"/>
          <w:szCs w:val="28"/>
        </w:rPr>
        <w:t>Al trabajar en red se generan sinergias, es decir se integran elementos que dan como resultado algo mayor que su simple adición. Se aprovechan y maximizan las cualidades de cada uno de los elementos de la red. Sus fortalezas se replican en los otros miembros y sus debilidades se disminuyen gracias a las fortalezas del resto.</w:t>
      </w:r>
    </w:p>
    <w:p w:rsidR="00C71AF3" w:rsidRPr="005E1103" w:rsidRDefault="00C71AF3" w:rsidP="00C71AF3">
      <w:pPr>
        <w:spacing w:line="360" w:lineRule="auto"/>
        <w:ind w:firstLine="709"/>
        <w:jc w:val="both"/>
        <w:rPr>
          <w:rFonts w:cstheme="minorHAnsi"/>
          <w:sz w:val="28"/>
          <w:szCs w:val="28"/>
        </w:rPr>
      </w:pPr>
      <w:r w:rsidRPr="005E1103">
        <w:rPr>
          <w:rFonts w:cstheme="minorHAnsi"/>
          <w:sz w:val="28"/>
          <w:szCs w:val="28"/>
        </w:rPr>
        <w:t>2. Al trabajar en red se suma la legitimidad.</w:t>
      </w:r>
    </w:p>
    <w:p w:rsidR="00C71AF3" w:rsidRPr="005E1103" w:rsidRDefault="00C71AF3" w:rsidP="00C71AF3">
      <w:pPr>
        <w:spacing w:line="360" w:lineRule="auto"/>
        <w:ind w:firstLine="709"/>
        <w:jc w:val="both"/>
        <w:rPr>
          <w:rFonts w:cstheme="minorHAnsi"/>
          <w:sz w:val="28"/>
          <w:szCs w:val="28"/>
        </w:rPr>
      </w:pPr>
      <w:r w:rsidRPr="005E1103">
        <w:rPr>
          <w:rFonts w:cstheme="minorHAnsi"/>
          <w:sz w:val="28"/>
          <w:szCs w:val="28"/>
        </w:rPr>
        <w:t>No se trata de iniciativas aisladas, al trabajar en red cada miembro se transforma en un eslabón indispensable de una cadena (Navarro, 2002).</w:t>
      </w:r>
    </w:p>
    <w:p w:rsidR="002E3AAA" w:rsidRDefault="002E3AAA">
      <w:pPr>
        <w:rPr>
          <w:rFonts w:cstheme="minorHAnsi"/>
          <w:sz w:val="28"/>
          <w:szCs w:val="28"/>
        </w:rPr>
      </w:pPr>
      <w:r>
        <w:rPr>
          <w:rFonts w:cstheme="minorHAnsi"/>
          <w:sz w:val="28"/>
          <w:szCs w:val="28"/>
        </w:rPr>
        <w:br w:type="page"/>
      </w:r>
    </w:p>
    <w:p w:rsidR="00C71AF3" w:rsidRPr="005E1103" w:rsidRDefault="00C71AF3" w:rsidP="00C71AF3">
      <w:pPr>
        <w:spacing w:line="360" w:lineRule="auto"/>
        <w:ind w:firstLine="709"/>
        <w:jc w:val="both"/>
        <w:rPr>
          <w:rFonts w:cstheme="minorHAnsi"/>
          <w:sz w:val="28"/>
          <w:szCs w:val="28"/>
        </w:rPr>
      </w:pPr>
      <w:r w:rsidRPr="005E1103">
        <w:rPr>
          <w:rFonts w:cstheme="minorHAnsi"/>
          <w:sz w:val="28"/>
          <w:szCs w:val="28"/>
        </w:rPr>
        <w:lastRenderedPageBreak/>
        <w:t>3. El tamaño sí importa.</w:t>
      </w:r>
    </w:p>
    <w:p w:rsidR="00C71AF3" w:rsidRPr="005E1103" w:rsidRDefault="00C71AF3" w:rsidP="00C71AF3">
      <w:pPr>
        <w:spacing w:line="360" w:lineRule="auto"/>
        <w:ind w:firstLine="709"/>
        <w:jc w:val="both"/>
        <w:rPr>
          <w:rFonts w:cstheme="minorHAnsi"/>
          <w:sz w:val="28"/>
          <w:szCs w:val="28"/>
        </w:rPr>
      </w:pPr>
      <w:r w:rsidRPr="005E1103">
        <w:rPr>
          <w:rFonts w:cstheme="minorHAnsi"/>
          <w:sz w:val="28"/>
          <w:szCs w:val="28"/>
        </w:rPr>
        <w:t>Mientras más grande sea la red, más fácil será negociar y mejorar las condiciones en relación a los diferentes temas, entre otros los recursos de que se disponen.</w:t>
      </w:r>
    </w:p>
    <w:p w:rsidR="00C71AF3" w:rsidRPr="005E1103" w:rsidRDefault="00C71AF3" w:rsidP="00C71AF3">
      <w:pPr>
        <w:spacing w:line="360" w:lineRule="auto"/>
        <w:ind w:firstLine="709"/>
        <w:jc w:val="both"/>
        <w:rPr>
          <w:rFonts w:cstheme="minorHAnsi"/>
          <w:sz w:val="28"/>
          <w:szCs w:val="28"/>
        </w:rPr>
      </w:pPr>
      <w:r w:rsidRPr="005E1103">
        <w:rPr>
          <w:rFonts w:cstheme="minorHAnsi"/>
          <w:sz w:val="28"/>
          <w:szCs w:val="28"/>
        </w:rPr>
        <w:t>4. Juntemos tus preguntas y mis respuestas (o viceversa, la cooperación necesaria).</w:t>
      </w:r>
    </w:p>
    <w:p w:rsidR="00C71AF3" w:rsidRPr="005E1103" w:rsidRDefault="00C71AF3" w:rsidP="00C71AF3">
      <w:pPr>
        <w:spacing w:line="360" w:lineRule="auto"/>
        <w:ind w:firstLine="709"/>
        <w:jc w:val="both"/>
        <w:rPr>
          <w:rFonts w:cstheme="minorHAnsi"/>
          <w:sz w:val="28"/>
          <w:szCs w:val="28"/>
        </w:rPr>
      </w:pPr>
      <w:r w:rsidRPr="005E1103">
        <w:rPr>
          <w:rFonts w:cstheme="minorHAnsi"/>
          <w:sz w:val="28"/>
          <w:szCs w:val="28"/>
        </w:rPr>
        <w:t>Las necesidades son muchas, pero muchas veces también son las mismas. Lo que para unos hoy es una necesidad, para otros puede significar una solución ya encontrada. Por tanto, el hecho de intercambiar experiencias y difundir las buenas prácticas es fundamental.</w:t>
      </w:r>
    </w:p>
    <w:p w:rsidR="00C71AF3" w:rsidRPr="005E1103" w:rsidRDefault="00C71AF3" w:rsidP="00C71AF3">
      <w:pPr>
        <w:spacing w:line="360" w:lineRule="auto"/>
        <w:ind w:firstLine="709"/>
        <w:jc w:val="both"/>
        <w:rPr>
          <w:rFonts w:cstheme="minorHAnsi"/>
          <w:sz w:val="28"/>
          <w:szCs w:val="28"/>
        </w:rPr>
      </w:pPr>
      <w:r w:rsidRPr="005E1103">
        <w:rPr>
          <w:rFonts w:cstheme="minorHAnsi"/>
          <w:sz w:val="28"/>
          <w:szCs w:val="28"/>
        </w:rPr>
        <w:t>5. Dos mentes piensan mejor que una, y cien mejor que dos (la poderosa creatividad).</w:t>
      </w:r>
    </w:p>
    <w:p w:rsidR="00C71AF3" w:rsidRPr="005E1103" w:rsidRDefault="00C71AF3" w:rsidP="00C71AF3">
      <w:pPr>
        <w:spacing w:line="360" w:lineRule="auto"/>
        <w:ind w:firstLine="709"/>
        <w:jc w:val="both"/>
        <w:rPr>
          <w:rFonts w:cstheme="minorHAnsi"/>
          <w:sz w:val="28"/>
          <w:szCs w:val="28"/>
        </w:rPr>
      </w:pPr>
      <w:r w:rsidRPr="005E1103">
        <w:rPr>
          <w:rFonts w:cstheme="minorHAnsi"/>
          <w:sz w:val="28"/>
          <w:szCs w:val="28"/>
        </w:rPr>
        <w:t xml:space="preserve">Las mejores soluciones son aquellas que salen de un proceso de creación colectiva, porque consideran mayor cantidad de puntos de vista, hacen uso de una mayor cantidad de experiencias, </w:t>
      </w:r>
      <w:r w:rsidR="002E3AAA" w:rsidRPr="005E1103">
        <w:rPr>
          <w:rFonts w:cstheme="minorHAnsi"/>
          <w:sz w:val="28"/>
          <w:szCs w:val="28"/>
        </w:rPr>
        <w:t>y,</w:t>
      </w:r>
      <w:r w:rsidRPr="005E1103">
        <w:rPr>
          <w:rFonts w:cstheme="minorHAnsi"/>
          <w:sz w:val="28"/>
          <w:szCs w:val="28"/>
        </w:rPr>
        <w:t xml:space="preserve"> sobre todo, porque las soluciones colectivas se basan en acuerdos y consensos, y por lo tanto, son más funcionales. </w:t>
      </w:r>
    </w:p>
    <w:p w:rsidR="00C71AF3" w:rsidRPr="005E1103" w:rsidRDefault="00C71AF3" w:rsidP="00C71AF3">
      <w:pPr>
        <w:spacing w:line="360" w:lineRule="auto"/>
        <w:ind w:firstLine="709"/>
        <w:jc w:val="both"/>
        <w:rPr>
          <w:rFonts w:cstheme="minorHAnsi"/>
          <w:sz w:val="28"/>
          <w:szCs w:val="28"/>
        </w:rPr>
      </w:pPr>
      <w:r w:rsidRPr="005E1103">
        <w:rPr>
          <w:rFonts w:cstheme="minorHAnsi"/>
          <w:sz w:val="28"/>
          <w:szCs w:val="28"/>
        </w:rPr>
        <w:t>6. A mayor información mayor incremento de las oportunidades.</w:t>
      </w:r>
    </w:p>
    <w:p w:rsidR="00C71AF3" w:rsidRPr="005E1103" w:rsidRDefault="00C71AF3" w:rsidP="00C71AF3">
      <w:pPr>
        <w:spacing w:line="360" w:lineRule="auto"/>
        <w:ind w:firstLine="709"/>
        <w:jc w:val="both"/>
        <w:rPr>
          <w:rFonts w:cstheme="minorHAnsi"/>
          <w:sz w:val="28"/>
          <w:szCs w:val="28"/>
        </w:rPr>
      </w:pPr>
      <w:r w:rsidRPr="005E1103">
        <w:rPr>
          <w:rFonts w:cstheme="minorHAnsi"/>
          <w:sz w:val="28"/>
          <w:szCs w:val="28"/>
        </w:rPr>
        <w:t>A mayor número de personas u organizaciones trabajando juntas, mayor y mejor</w:t>
      </w:r>
    </w:p>
    <w:p w:rsidR="00C71AF3" w:rsidRPr="005E1103" w:rsidRDefault="00C71AF3" w:rsidP="00C71AF3">
      <w:pPr>
        <w:spacing w:line="360" w:lineRule="auto"/>
        <w:jc w:val="both"/>
        <w:rPr>
          <w:rFonts w:cstheme="minorHAnsi"/>
          <w:sz w:val="28"/>
          <w:szCs w:val="28"/>
        </w:rPr>
      </w:pPr>
      <w:r w:rsidRPr="005E1103">
        <w:rPr>
          <w:rFonts w:cstheme="minorHAnsi"/>
          <w:sz w:val="28"/>
          <w:szCs w:val="28"/>
        </w:rPr>
        <w:t xml:space="preserve">información es posible conseguir, </w:t>
      </w:r>
      <w:r w:rsidR="002E3AAA" w:rsidRPr="005E1103">
        <w:rPr>
          <w:rFonts w:cstheme="minorHAnsi"/>
          <w:sz w:val="28"/>
          <w:szCs w:val="28"/>
        </w:rPr>
        <w:t>y,</w:t>
      </w:r>
      <w:r w:rsidRPr="005E1103">
        <w:rPr>
          <w:rFonts w:cstheme="minorHAnsi"/>
          <w:sz w:val="28"/>
          <w:szCs w:val="28"/>
        </w:rPr>
        <w:t xml:space="preserve"> por lo tanto, se puede acceder a mayores y mejores oportunidades.</w:t>
      </w:r>
    </w:p>
    <w:p w:rsidR="00C71AF3" w:rsidRPr="005E1103" w:rsidRDefault="00C71AF3" w:rsidP="00C71AF3">
      <w:pPr>
        <w:spacing w:line="360" w:lineRule="auto"/>
        <w:ind w:firstLine="709"/>
        <w:jc w:val="both"/>
        <w:rPr>
          <w:rFonts w:cstheme="minorHAnsi"/>
          <w:sz w:val="28"/>
          <w:szCs w:val="28"/>
        </w:rPr>
      </w:pPr>
      <w:r w:rsidRPr="005E1103">
        <w:rPr>
          <w:rFonts w:cstheme="minorHAnsi"/>
          <w:sz w:val="28"/>
          <w:szCs w:val="28"/>
        </w:rPr>
        <w:t>7. La riqueza está en la diferencia (el valor de la diversidad)</w:t>
      </w:r>
    </w:p>
    <w:p w:rsidR="00C71AF3" w:rsidRPr="005E1103" w:rsidRDefault="00C71AF3" w:rsidP="00C71AF3">
      <w:pPr>
        <w:spacing w:line="360" w:lineRule="auto"/>
        <w:ind w:firstLine="709"/>
        <w:jc w:val="both"/>
        <w:rPr>
          <w:rFonts w:cstheme="minorHAnsi"/>
          <w:sz w:val="28"/>
          <w:szCs w:val="28"/>
        </w:rPr>
      </w:pPr>
      <w:r w:rsidRPr="005E1103">
        <w:rPr>
          <w:rFonts w:cstheme="minorHAnsi"/>
          <w:sz w:val="28"/>
          <w:szCs w:val="28"/>
        </w:rPr>
        <w:t xml:space="preserve">En una red no todos son iguales, ni tienen los mismos objetivos ni misiones. Una red es un grupo de agentes diversos. Al trabajar en red, las organizaciones pueden vincularse unas con otras y complementar su labor. Esa diversidad es una plataforma para crecer y para enriquecer nuestros proyectos. </w:t>
      </w:r>
    </w:p>
    <w:p w:rsidR="002E3AAA" w:rsidRDefault="002E3AAA">
      <w:pPr>
        <w:rPr>
          <w:rFonts w:cstheme="minorHAnsi"/>
          <w:sz w:val="28"/>
          <w:szCs w:val="28"/>
        </w:rPr>
      </w:pPr>
      <w:r>
        <w:rPr>
          <w:rFonts w:cstheme="minorHAnsi"/>
          <w:sz w:val="28"/>
          <w:szCs w:val="28"/>
        </w:rPr>
        <w:br w:type="page"/>
      </w:r>
    </w:p>
    <w:p w:rsidR="00C71AF3" w:rsidRPr="005E1103" w:rsidRDefault="00C71AF3" w:rsidP="00C71AF3">
      <w:pPr>
        <w:spacing w:line="360" w:lineRule="auto"/>
        <w:ind w:firstLine="709"/>
        <w:jc w:val="both"/>
        <w:rPr>
          <w:rFonts w:cstheme="minorHAnsi"/>
          <w:sz w:val="28"/>
          <w:szCs w:val="28"/>
        </w:rPr>
      </w:pPr>
      <w:r w:rsidRPr="005E1103">
        <w:rPr>
          <w:rFonts w:cstheme="minorHAnsi"/>
          <w:sz w:val="28"/>
          <w:szCs w:val="28"/>
        </w:rPr>
        <w:lastRenderedPageBreak/>
        <w:t>8. Existen las herramientas para hacerlo.</w:t>
      </w:r>
    </w:p>
    <w:p w:rsidR="00C71AF3" w:rsidRPr="005E1103" w:rsidRDefault="00C71AF3" w:rsidP="00C71AF3">
      <w:pPr>
        <w:spacing w:line="360" w:lineRule="auto"/>
        <w:ind w:firstLine="709"/>
        <w:jc w:val="both"/>
        <w:rPr>
          <w:rFonts w:cstheme="minorHAnsi"/>
          <w:sz w:val="28"/>
          <w:szCs w:val="28"/>
        </w:rPr>
      </w:pPr>
      <w:r w:rsidRPr="005E1103">
        <w:rPr>
          <w:rFonts w:cstheme="minorHAnsi"/>
          <w:sz w:val="28"/>
          <w:szCs w:val="28"/>
        </w:rPr>
        <w:t>Hace no mucho tiempo, trabajar en red requería un esfuerzo y unos recursos importantes. Las comunicaciones eran costosas, la posibilidad de construir conocimientos colectivos y administrar recursos comunes eran escasas. En la actualidad, las nuevas tecnologías y las plataformas digitales permiten trabajar en red a distancia y poder hacerlo de manera fácil y eficiente.</w:t>
      </w:r>
    </w:p>
    <w:p w:rsidR="00C71AF3" w:rsidRPr="005E1103" w:rsidRDefault="00C71AF3" w:rsidP="00C71AF3">
      <w:pPr>
        <w:spacing w:line="360" w:lineRule="auto"/>
        <w:ind w:firstLine="709"/>
        <w:jc w:val="both"/>
        <w:rPr>
          <w:rFonts w:cstheme="minorHAnsi"/>
          <w:sz w:val="28"/>
          <w:szCs w:val="28"/>
        </w:rPr>
      </w:pPr>
      <w:r w:rsidRPr="005E1103">
        <w:rPr>
          <w:rFonts w:cstheme="minorHAnsi"/>
          <w:sz w:val="28"/>
          <w:szCs w:val="28"/>
        </w:rPr>
        <w:t>9. Las redes se entretejen a través de los contactos, de las personas.</w:t>
      </w:r>
    </w:p>
    <w:p w:rsidR="00C71AF3" w:rsidRPr="005E1103" w:rsidRDefault="00C71AF3" w:rsidP="00C71AF3">
      <w:pPr>
        <w:spacing w:line="360" w:lineRule="auto"/>
        <w:ind w:firstLine="709"/>
        <w:jc w:val="both"/>
        <w:rPr>
          <w:rFonts w:cstheme="minorHAnsi"/>
          <w:b/>
          <w:sz w:val="28"/>
          <w:szCs w:val="28"/>
        </w:rPr>
      </w:pPr>
      <w:r w:rsidRPr="005E1103">
        <w:rPr>
          <w:rFonts w:cstheme="minorHAnsi"/>
          <w:sz w:val="28"/>
          <w:szCs w:val="28"/>
        </w:rPr>
        <w:t>No hay que olvidar que las organizaciones son las personas que las forman y que ese es el valor de su riqueza y a nivel profesional, la cooperación entre los diferentes técnicos (Sluzki, 1996).</w:t>
      </w:r>
    </w:p>
    <w:p w:rsidR="00C71AF3" w:rsidRPr="005E1103" w:rsidRDefault="00C71AF3" w:rsidP="00C71AF3">
      <w:pPr>
        <w:spacing w:line="360" w:lineRule="auto"/>
        <w:ind w:firstLine="709"/>
        <w:jc w:val="both"/>
        <w:rPr>
          <w:rFonts w:cstheme="minorHAnsi"/>
          <w:b/>
          <w:sz w:val="28"/>
          <w:szCs w:val="28"/>
        </w:rPr>
      </w:pPr>
      <w:r w:rsidRPr="005E1103">
        <w:rPr>
          <w:rFonts w:cstheme="minorHAnsi"/>
          <w:b/>
          <w:sz w:val="28"/>
          <w:szCs w:val="28"/>
        </w:rPr>
        <w:t>Metodología: del conocimiento a la intervención</w:t>
      </w:r>
    </w:p>
    <w:p w:rsidR="00C71AF3" w:rsidRPr="005E1103" w:rsidRDefault="00C71AF3" w:rsidP="00C71AF3">
      <w:pPr>
        <w:spacing w:line="360" w:lineRule="auto"/>
        <w:ind w:firstLine="709"/>
        <w:jc w:val="both"/>
        <w:rPr>
          <w:rFonts w:cstheme="minorHAnsi"/>
          <w:sz w:val="28"/>
          <w:szCs w:val="28"/>
        </w:rPr>
      </w:pPr>
      <w:r w:rsidRPr="005E1103">
        <w:rPr>
          <w:rFonts w:cstheme="minorHAnsi"/>
          <w:sz w:val="28"/>
          <w:szCs w:val="28"/>
        </w:rPr>
        <w:t xml:space="preserve">La metodología de trabajo está basada en el método de la investigación acción participativa (IAP) que pretende promover la participación de los miembros de comunidades en la búsqueda de soluciones a sus propios problemas y ayudar a incrementar el grado de empoderamiento. El conocimiento de la realidad se fundamenta en el papel activo de las personas con discapacidad que analizan de forma sistemática las condiciones actuales de su situación como una estrategia participativa de identificación de necesidades al mismo tiempo, desarrollando una conciencia crítica. </w:t>
      </w:r>
    </w:p>
    <w:p w:rsidR="00C71AF3" w:rsidRPr="005E1103" w:rsidRDefault="00C71AF3" w:rsidP="00C71AF3">
      <w:pPr>
        <w:spacing w:line="360" w:lineRule="auto"/>
        <w:ind w:firstLine="709"/>
        <w:jc w:val="both"/>
        <w:rPr>
          <w:rFonts w:cstheme="minorHAnsi"/>
          <w:sz w:val="28"/>
          <w:szCs w:val="28"/>
        </w:rPr>
      </w:pPr>
      <w:r w:rsidRPr="005E1103">
        <w:rPr>
          <w:rFonts w:cstheme="minorHAnsi"/>
          <w:sz w:val="28"/>
          <w:szCs w:val="28"/>
        </w:rPr>
        <w:t>El técnico es el agente facilitador que apoya el proceso ayudando a generar la red, a obtener recursos necesarios y facilita el proceso organizativo de sus miembros en el marco del proceso secuencial “</w:t>
      </w:r>
      <w:r w:rsidRPr="005E1103">
        <w:rPr>
          <w:rFonts w:cstheme="minorHAnsi"/>
          <w:i/>
          <w:sz w:val="28"/>
          <w:szCs w:val="28"/>
        </w:rPr>
        <w:t>conocer-actuar-transformar</w:t>
      </w:r>
      <w:r w:rsidRPr="005E1103">
        <w:rPr>
          <w:rFonts w:cstheme="minorHAnsi"/>
          <w:sz w:val="28"/>
          <w:szCs w:val="28"/>
        </w:rPr>
        <w:t>”. Al mismo tiempo, se ha de aprovechar la implicación en redes ya existentes pero que amplían el campo de conocimiento y que se convierten en agentes de intervención para transformar la realidad hacia la meta de garantizar una igualdad de oportunidades para todas las personas al margen de su condición personal o de sus limitaciones funcionales.</w:t>
      </w:r>
    </w:p>
    <w:p w:rsidR="00C71AF3" w:rsidRPr="005E1103" w:rsidRDefault="00C71AF3" w:rsidP="00C71AF3">
      <w:pPr>
        <w:spacing w:line="360" w:lineRule="auto"/>
        <w:ind w:firstLine="709"/>
        <w:jc w:val="both"/>
        <w:rPr>
          <w:rFonts w:cstheme="minorHAnsi"/>
          <w:b/>
          <w:sz w:val="28"/>
          <w:szCs w:val="28"/>
        </w:rPr>
      </w:pPr>
      <w:r w:rsidRPr="005E1103">
        <w:rPr>
          <w:rFonts w:cstheme="minorHAnsi"/>
          <w:b/>
          <w:sz w:val="28"/>
          <w:szCs w:val="28"/>
        </w:rPr>
        <w:lastRenderedPageBreak/>
        <w:t>Creación de redes profesionales</w:t>
      </w:r>
    </w:p>
    <w:p w:rsidR="00C71AF3" w:rsidRPr="005E1103" w:rsidRDefault="00C71AF3" w:rsidP="00C71AF3">
      <w:pPr>
        <w:spacing w:line="360" w:lineRule="auto"/>
        <w:ind w:firstLine="709"/>
        <w:jc w:val="both"/>
        <w:rPr>
          <w:rFonts w:cstheme="minorHAnsi"/>
          <w:sz w:val="28"/>
          <w:szCs w:val="28"/>
        </w:rPr>
      </w:pPr>
      <w:r w:rsidRPr="005E1103">
        <w:rPr>
          <w:rFonts w:cstheme="minorHAnsi"/>
          <w:sz w:val="28"/>
          <w:szCs w:val="28"/>
        </w:rPr>
        <w:t>En la Universidad de Alicante a través de su servicio de apoyo universitario, se crearon dos redes de trabajo profesional. ¿Por qué se generaron esas redes? Se partió del conocimiento previo y se detectó la necesidad de compartir experiencias y el enriquecer el trabajo individual con la elaboración de estrategias que mejoraran la calidad del trabajo que llevamos a cabo en las universidades y se propusieran nuevos retos colectivos de cara al futuro.</w:t>
      </w:r>
    </w:p>
    <w:p w:rsidR="00C71AF3" w:rsidRPr="005E1103" w:rsidRDefault="00C71AF3" w:rsidP="00C71AF3">
      <w:pPr>
        <w:spacing w:line="360" w:lineRule="auto"/>
        <w:ind w:firstLine="709"/>
        <w:jc w:val="both"/>
        <w:rPr>
          <w:rFonts w:cstheme="minorHAnsi"/>
          <w:sz w:val="28"/>
          <w:szCs w:val="28"/>
        </w:rPr>
      </w:pPr>
      <w:r w:rsidRPr="005E1103">
        <w:rPr>
          <w:rFonts w:cstheme="minorHAnsi"/>
          <w:sz w:val="28"/>
          <w:szCs w:val="28"/>
        </w:rPr>
        <w:t xml:space="preserve">La primera red que se elaboró fue en el curso 2005/06 conocida como el Observatorio de la Discapacidad de la Universidad de Alicante, actual Observatorio para la Igualdad de Oportunidades con la colaboración de las entidades asociativas de personas con discapacidad de la provincia de Alicante. Su origen parte del año 2003 que con motivo del Año Europeo de las Personas con Discapacidad, se desarrollan unas jornadas con participación de estas asociaciones en la sede de la universidad que se encuentra en la ciudad de Alicante abierta a la cultura local. En las conclusiones de estas jornadas, las propias asociaciones demandan a la universidad un apoyo específico y la creación de una plataforma visible de trabajo en red para abordar temáticas conjuntas que también afectan a sus estudiantes universitarios con discapacidad como son la accesibilidad en todos sus aspectos, el ámbito educativo en todas sus facetas, la inclusión laboral y el emprendimiento, al mismo tiempo recabándose la opinión de la población y elaborando proyectos comunes a corto, medio o largo plazo. </w:t>
      </w:r>
    </w:p>
    <w:p w:rsidR="00C71AF3" w:rsidRPr="005E1103" w:rsidRDefault="00C71AF3" w:rsidP="00C71AF3">
      <w:pPr>
        <w:spacing w:line="360" w:lineRule="auto"/>
        <w:ind w:firstLine="709"/>
        <w:jc w:val="both"/>
        <w:rPr>
          <w:rFonts w:cstheme="minorHAnsi"/>
          <w:sz w:val="28"/>
          <w:szCs w:val="28"/>
        </w:rPr>
      </w:pPr>
      <w:r w:rsidRPr="005E1103">
        <w:rPr>
          <w:rFonts w:cstheme="minorHAnsi"/>
          <w:sz w:val="28"/>
          <w:szCs w:val="28"/>
        </w:rPr>
        <w:t xml:space="preserve">Durante el curso 2006/07, se crea la red de técnicos de los servicios de apoyo universitarios bajo la denominación de Workshop de Buenas Prácticas de Servicios de Apoyo a la Discapacidad, que pretende crear un espacio de dialogo que propicie las buenas prácticas que se desarrollan en los servicios de apoyo universitarios, ahondando en el espíritu inicial de proximidad entre profesionales, de formación continua, reflexión y debate que sólo puede producirse a través de un </w:t>
      </w:r>
      <w:r w:rsidRPr="005E1103">
        <w:rPr>
          <w:rFonts w:cstheme="minorHAnsi"/>
          <w:i/>
          <w:iCs/>
          <w:sz w:val="28"/>
          <w:szCs w:val="28"/>
        </w:rPr>
        <w:t xml:space="preserve">feedback </w:t>
      </w:r>
      <w:r w:rsidRPr="005E1103">
        <w:rPr>
          <w:rFonts w:cstheme="minorHAnsi"/>
          <w:sz w:val="28"/>
          <w:szCs w:val="28"/>
        </w:rPr>
        <w:t xml:space="preserve">real complementado con la </w:t>
      </w:r>
      <w:r w:rsidRPr="005E1103">
        <w:rPr>
          <w:rFonts w:cstheme="minorHAnsi"/>
          <w:sz w:val="28"/>
          <w:szCs w:val="28"/>
        </w:rPr>
        <w:lastRenderedPageBreak/>
        <w:t>creación de una plataforma digital. El tercer Workshop da cabida por unanimidad y a iniciativa de la RUNAE, a la creación de la Red SAPDU de Servicios de Apoyo a Personas con Discapacidad en la Universidad. Estos encuentros tienen a su vez como antecedentes las reuniones celebradas bajo el amparo del Real patronato sobre Discapacidad, que entre sus primeros objetivos pretendió aunar esfuerzos para que la universidad presencial se hiciese accesible para todas las personas.</w:t>
      </w:r>
    </w:p>
    <w:p w:rsidR="00C71AF3" w:rsidRPr="005E1103" w:rsidRDefault="00C71AF3" w:rsidP="00C71AF3">
      <w:pPr>
        <w:spacing w:line="360" w:lineRule="auto"/>
        <w:ind w:firstLine="709"/>
        <w:jc w:val="both"/>
        <w:rPr>
          <w:rFonts w:cstheme="minorHAnsi"/>
          <w:b/>
          <w:sz w:val="28"/>
          <w:szCs w:val="28"/>
        </w:rPr>
      </w:pPr>
      <w:r w:rsidRPr="005E1103">
        <w:rPr>
          <w:rFonts w:cstheme="minorHAnsi"/>
          <w:b/>
          <w:sz w:val="28"/>
          <w:szCs w:val="28"/>
        </w:rPr>
        <w:t>Participación en redes de trabajo</w:t>
      </w:r>
    </w:p>
    <w:p w:rsidR="00C71AF3" w:rsidRPr="005E1103" w:rsidRDefault="00C71AF3" w:rsidP="00C71AF3">
      <w:pPr>
        <w:spacing w:line="360" w:lineRule="auto"/>
        <w:ind w:firstLine="709"/>
        <w:jc w:val="both"/>
        <w:rPr>
          <w:rFonts w:cstheme="minorHAnsi"/>
          <w:sz w:val="28"/>
          <w:szCs w:val="28"/>
        </w:rPr>
      </w:pPr>
      <w:r w:rsidRPr="005E1103">
        <w:rPr>
          <w:rFonts w:cstheme="minorHAnsi"/>
          <w:sz w:val="28"/>
          <w:szCs w:val="28"/>
        </w:rPr>
        <w:t>La Universidad de Alicante, a través de su servicio de apoyo al estudiante,  también participa en otras redes profesionales. Arriba hemos mencionado la Red SAPDU de Servicios de Apoyo a Personas con Discapacidad en la Universidad. Esta red se encuentra en el marco de las actividades que lleva a cabo el Área de Atención a la Discapacidad de la RUNAE y se encuentra constituida por 57 universidades españolas. Entre sus objetivos se encuentra fomentar la colaboración de los distintos servicios de apoyo universitarios, proponer actuaciones transversales en materia de discapacidad que puedan ser asumidas por las distintas universidades, fomentar la colaboración del tejido social en el ámbito de la discapacidad y promover, intercambiar y difundir buenas prácticas, entre otros. Esta red se reúne de forma plenaria una vez al año desde 2009.</w:t>
      </w:r>
    </w:p>
    <w:p w:rsidR="00C71AF3" w:rsidRPr="005E1103" w:rsidRDefault="00C71AF3" w:rsidP="00C71AF3">
      <w:pPr>
        <w:spacing w:line="360" w:lineRule="auto"/>
        <w:ind w:firstLine="709"/>
        <w:jc w:val="both"/>
        <w:rPr>
          <w:rFonts w:cstheme="minorHAnsi"/>
          <w:sz w:val="28"/>
          <w:szCs w:val="28"/>
        </w:rPr>
      </w:pPr>
      <w:r w:rsidRPr="005E1103">
        <w:rPr>
          <w:rFonts w:cstheme="minorHAnsi"/>
          <w:sz w:val="28"/>
          <w:szCs w:val="28"/>
        </w:rPr>
        <w:t>El CAE también se encuentra presente en la Red UNIDISVALIA de técnicos de los servicios de apoyo universitarios de la Comunidad Valenciana con el propósito de aunar esfuerzos y establecer criterios comunes de cara a las líneas de actuación de los servicios. Entre los temas que se trabajan se encuentran principalmente las adaptaciones curriculares, las normativas, las tasas académicas, los recursos con los que cuenta la universidad, el contacto con el tejido asociativo y las pruebas de acceso a la universidad.</w:t>
      </w:r>
    </w:p>
    <w:p w:rsidR="00C71AF3" w:rsidRPr="005E1103" w:rsidRDefault="00C71AF3" w:rsidP="00C71AF3">
      <w:pPr>
        <w:spacing w:line="360" w:lineRule="auto"/>
        <w:ind w:firstLine="709"/>
        <w:jc w:val="both"/>
        <w:rPr>
          <w:rFonts w:cstheme="minorHAnsi"/>
          <w:sz w:val="28"/>
          <w:szCs w:val="28"/>
        </w:rPr>
      </w:pPr>
      <w:r w:rsidRPr="005E1103">
        <w:rPr>
          <w:rFonts w:cstheme="minorHAnsi"/>
          <w:sz w:val="28"/>
          <w:szCs w:val="28"/>
        </w:rPr>
        <w:t xml:space="preserve">En el ámbito provincial de asociaciones con servicios de inclusión laboral, el CAE participa de la red SIL, en el </w:t>
      </w:r>
      <w:r w:rsidR="002E3AAA" w:rsidRPr="005E1103">
        <w:rPr>
          <w:rFonts w:cstheme="minorHAnsi"/>
          <w:sz w:val="28"/>
          <w:szCs w:val="28"/>
        </w:rPr>
        <w:t>que,</w:t>
      </w:r>
      <w:r w:rsidRPr="005E1103">
        <w:rPr>
          <w:rFonts w:cstheme="minorHAnsi"/>
          <w:sz w:val="28"/>
          <w:szCs w:val="28"/>
        </w:rPr>
        <w:t xml:space="preserve"> a través de su Observatorio, colabora con estas entidades para analizar el mercado laboral y proponer estrategias de cara a la </w:t>
      </w:r>
      <w:r w:rsidRPr="005E1103">
        <w:rPr>
          <w:rFonts w:cstheme="minorHAnsi"/>
          <w:sz w:val="28"/>
          <w:szCs w:val="28"/>
        </w:rPr>
        <w:lastRenderedPageBreak/>
        <w:t xml:space="preserve">intermediación con las empresas para facilitar la incorporación de personas con discapacidad altamente cualificadas en los distintos sectores empresariales. Estas entidades reciben ofertas laborales que pocas veces se adecuan con la demanda cualificada de profesionales con discapacidad con estudios superiores, muchas </w:t>
      </w:r>
      <w:r w:rsidR="002E3AAA" w:rsidRPr="005E1103">
        <w:rPr>
          <w:rFonts w:cstheme="minorHAnsi"/>
          <w:sz w:val="28"/>
          <w:szCs w:val="28"/>
        </w:rPr>
        <w:t>veces por</w:t>
      </w:r>
      <w:r w:rsidRPr="005E1103">
        <w:rPr>
          <w:rFonts w:cstheme="minorHAnsi"/>
          <w:sz w:val="28"/>
          <w:szCs w:val="28"/>
        </w:rPr>
        <w:t xml:space="preserve"> desconocimiento de las propias empresas sobre esta demanda. Al mismo tiempo, los universitarios se benefician de la amplia experiencia de los técnicos de intermediación laboral de estas entidades para informarles de los detalles de cara a conocer las ventajas fiscales de las empresas por la contratación, las medidas de apoyo a los emprendedores y el poder inscribirse en bolsas de trabajo específicas para personas con discapacidad.</w:t>
      </w:r>
    </w:p>
    <w:p w:rsidR="00C71AF3" w:rsidRPr="005E1103" w:rsidRDefault="00C71AF3" w:rsidP="00C71AF3">
      <w:pPr>
        <w:spacing w:line="360" w:lineRule="auto"/>
        <w:ind w:firstLine="709"/>
        <w:jc w:val="both"/>
        <w:rPr>
          <w:rFonts w:cstheme="minorHAnsi"/>
          <w:sz w:val="28"/>
          <w:szCs w:val="28"/>
        </w:rPr>
      </w:pPr>
      <w:r w:rsidRPr="005E1103">
        <w:rPr>
          <w:rFonts w:cstheme="minorHAnsi"/>
          <w:sz w:val="28"/>
          <w:szCs w:val="28"/>
        </w:rPr>
        <w:t>A nivel europeo, el CAE participa en la Red FEDORA Forum Europeo de Orientación Educativa que se fundó en 1988 para generar una red de orientadores en las universidades de Europa. Para ello colabora con la Asociación Europea de Universidades y con la UNESCO para promover que todas las instituciones implicadas en el Espacio Europeo de Educación Superior den la debida importancia a las actividades de los servicios de orientación y la necesidad de aportar recursos a tal fin.</w:t>
      </w:r>
    </w:p>
    <w:p w:rsidR="00C71AF3" w:rsidRPr="005E1103" w:rsidRDefault="00C71AF3" w:rsidP="00C71AF3">
      <w:pPr>
        <w:spacing w:line="360" w:lineRule="auto"/>
        <w:ind w:firstLine="709"/>
        <w:jc w:val="both"/>
        <w:rPr>
          <w:rFonts w:cstheme="minorHAnsi"/>
          <w:sz w:val="28"/>
          <w:szCs w:val="28"/>
        </w:rPr>
      </w:pPr>
      <w:r w:rsidRPr="005E1103">
        <w:rPr>
          <w:rFonts w:cstheme="minorHAnsi"/>
          <w:sz w:val="28"/>
          <w:szCs w:val="28"/>
        </w:rPr>
        <w:t xml:space="preserve">El CAE colabora estrechamente con proyectos de carácter internacional a través de la International Project Management Office de la Universidad de Alicante. Actualmente se encuentra en la Red MUSE </w:t>
      </w:r>
      <w:r w:rsidRPr="005E1103">
        <w:rPr>
          <w:rFonts w:cstheme="minorHAnsi"/>
          <w:i/>
          <w:sz w:val="28"/>
          <w:szCs w:val="28"/>
        </w:rPr>
        <w:t xml:space="preserve">“Disability and modernity: Ensuring quality education for disabled students” </w:t>
      </w:r>
      <w:r w:rsidRPr="005E1103">
        <w:rPr>
          <w:rFonts w:cstheme="minorHAnsi"/>
          <w:sz w:val="28"/>
          <w:szCs w:val="28"/>
        </w:rPr>
        <w:t>con América Latina para garantizar las condiciones de aprendizaje y desarrollar oportunidades de empleo para estudiantes con discapacidad a través de prácticas de inclusión y la creación de redes. Actualmente el CAE a través de esta red colabora en la creación de Centros de Apoyo a Estudiantes con Discapacidad en otras universidades elaborando estrategias a largo plazo para el acceso y la permanencia de los estudiantes con discapacidad y orientando en la creación de una red regional para incrementar las relaciones inter-institucionales e intercambio de buenas prácticas.</w:t>
      </w:r>
    </w:p>
    <w:p w:rsidR="00C71AF3" w:rsidRPr="005E1103" w:rsidRDefault="00C71AF3" w:rsidP="00C71AF3">
      <w:pPr>
        <w:spacing w:line="360" w:lineRule="auto"/>
        <w:ind w:firstLine="709"/>
        <w:jc w:val="both"/>
        <w:rPr>
          <w:rFonts w:cstheme="minorHAnsi"/>
          <w:sz w:val="28"/>
          <w:szCs w:val="28"/>
        </w:rPr>
      </w:pPr>
      <w:r w:rsidRPr="005E1103">
        <w:rPr>
          <w:rFonts w:cstheme="minorHAnsi"/>
          <w:sz w:val="28"/>
          <w:szCs w:val="28"/>
        </w:rPr>
        <w:lastRenderedPageBreak/>
        <w:t>La participación en este tipo de redes como servicio de apoyo fomenta los siguientes objetivos:</w:t>
      </w:r>
    </w:p>
    <w:p w:rsidR="00C71AF3" w:rsidRPr="005E1103" w:rsidRDefault="00C71AF3" w:rsidP="00C71AF3">
      <w:pPr>
        <w:spacing w:line="360" w:lineRule="auto"/>
        <w:ind w:firstLine="709"/>
        <w:jc w:val="both"/>
        <w:rPr>
          <w:rFonts w:cstheme="minorHAnsi"/>
          <w:sz w:val="28"/>
          <w:szCs w:val="28"/>
        </w:rPr>
      </w:pPr>
      <w:r w:rsidRPr="005E1103">
        <w:rPr>
          <w:rFonts w:cstheme="minorHAnsi"/>
          <w:sz w:val="28"/>
          <w:szCs w:val="28"/>
        </w:rPr>
        <w:t xml:space="preserve">1. Aumento de la cooperación interinstitucional y el intercambio de buenas prácticas mediante el análisis y la transferencia de </w:t>
      </w:r>
      <w:r w:rsidRPr="005E1103">
        <w:rPr>
          <w:rFonts w:cstheme="minorHAnsi"/>
          <w:i/>
          <w:sz w:val="28"/>
          <w:szCs w:val="28"/>
        </w:rPr>
        <w:t>know-how.</w:t>
      </w:r>
    </w:p>
    <w:p w:rsidR="00C71AF3" w:rsidRPr="005E1103" w:rsidRDefault="00C71AF3" w:rsidP="00C71AF3">
      <w:pPr>
        <w:spacing w:line="360" w:lineRule="auto"/>
        <w:ind w:firstLine="709"/>
        <w:jc w:val="both"/>
        <w:rPr>
          <w:rFonts w:cstheme="minorHAnsi"/>
          <w:sz w:val="28"/>
          <w:szCs w:val="28"/>
        </w:rPr>
      </w:pPr>
      <w:r w:rsidRPr="005E1103">
        <w:rPr>
          <w:rFonts w:cstheme="minorHAnsi"/>
          <w:sz w:val="28"/>
          <w:szCs w:val="28"/>
        </w:rPr>
        <w:t>2. Mejora de las capacidades en la aplicación de prácticas de educación inclusiva.</w:t>
      </w:r>
    </w:p>
    <w:p w:rsidR="00C71AF3" w:rsidRPr="005E1103" w:rsidRDefault="00C71AF3" w:rsidP="00C71AF3">
      <w:pPr>
        <w:spacing w:line="360" w:lineRule="auto"/>
        <w:ind w:firstLine="709"/>
        <w:jc w:val="both"/>
        <w:rPr>
          <w:rFonts w:cstheme="minorHAnsi"/>
          <w:sz w:val="28"/>
          <w:szCs w:val="28"/>
        </w:rPr>
      </w:pPr>
      <w:r w:rsidRPr="005E1103">
        <w:rPr>
          <w:rFonts w:cstheme="minorHAnsi"/>
          <w:sz w:val="28"/>
          <w:szCs w:val="28"/>
        </w:rPr>
        <w:t>3. La creación de estructuras de apoyo institucional y la tecnología de apoyo para permitir el acceso a la educación superior y fomentar la consolidación de una cultura de la inclusión educativa dentro de las universidades.</w:t>
      </w:r>
    </w:p>
    <w:p w:rsidR="00C71AF3" w:rsidRPr="005E1103" w:rsidRDefault="00C71AF3" w:rsidP="00C71AF3">
      <w:pPr>
        <w:spacing w:line="360" w:lineRule="auto"/>
        <w:ind w:firstLine="709"/>
        <w:jc w:val="both"/>
        <w:rPr>
          <w:rFonts w:cstheme="minorHAnsi"/>
          <w:sz w:val="28"/>
          <w:szCs w:val="28"/>
        </w:rPr>
      </w:pPr>
      <w:r w:rsidRPr="005E1103">
        <w:rPr>
          <w:rFonts w:cstheme="minorHAnsi"/>
          <w:sz w:val="28"/>
          <w:szCs w:val="28"/>
        </w:rPr>
        <w:t>4. Desarrollo de una red para la inclusión de los estudiantes de movilidad en la educación superior.</w:t>
      </w:r>
    </w:p>
    <w:p w:rsidR="00C71AF3" w:rsidRPr="005E1103" w:rsidRDefault="00C71AF3" w:rsidP="00C71AF3">
      <w:pPr>
        <w:spacing w:line="360" w:lineRule="auto"/>
        <w:ind w:firstLine="709"/>
        <w:jc w:val="both"/>
        <w:rPr>
          <w:rFonts w:cstheme="minorHAnsi"/>
          <w:sz w:val="28"/>
          <w:szCs w:val="28"/>
        </w:rPr>
      </w:pPr>
      <w:r w:rsidRPr="005E1103">
        <w:rPr>
          <w:rFonts w:cstheme="minorHAnsi"/>
          <w:sz w:val="28"/>
          <w:szCs w:val="28"/>
        </w:rPr>
        <w:t>5. Aumentar la cooperación de las relaciones exteriores para mejorar el acceso y el empleo de los estudiantes con discapacidad.</w:t>
      </w:r>
    </w:p>
    <w:p w:rsidR="00C71AF3" w:rsidRPr="005E1103" w:rsidRDefault="00C71AF3" w:rsidP="00C71AF3">
      <w:pPr>
        <w:spacing w:line="360" w:lineRule="auto"/>
        <w:ind w:firstLine="709"/>
        <w:jc w:val="both"/>
        <w:rPr>
          <w:rFonts w:cstheme="minorHAnsi"/>
          <w:sz w:val="28"/>
          <w:szCs w:val="28"/>
        </w:rPr>
      </w:pPr>
      <w:r w:rsidRPr="005E1103">
        <w:rPr>
          <w:rFonts w:cstheme="minorHAnsi"/>
          <w:sz w:val="28"/>
          <w:szCs w:val="28"/>
        </w:rPr>
        <w:t>6. Incrementar la conciencia pública y la comprensión sobre la educación inclusiva en el marco de las universidades.</w:t>
      </w:r>
    </w:p>
    <w:p w:rsidR="00C71AF3" w:rsidRPr="005E1103" w:rsidRDefault="00C71AF3" w:rsidP="00C71AF3">
      <w:pPr>
        <w:spacing w:line="360" w:lineRule="auto"/>
        <w:ind w:firstLine="709"/>
        <w:jc w:val="both"/>
        <w:rPr>
          <w:rFonts w:cstheme="minorHAnsi"/>
          <w:sz w:val="28"/>
          <w:szCs w:val="28"/>
        </w:rPr>
      </w:pPr>
    </w:p>
    <w:p w:rsidR="00C71AF3" w:rsidRPr="005E1103" w:rsidRDefault="00C71AF3" w:rsidP="00C71AF3">
      <w:pPr>
        <w:spacing w:line="360" w:lineRule="auto"/>
        <w:ind w:firstLine="709"/>
        <w:jc w:val="both"/>
        <w:rPr>
          <w:rFonts w:cstheme="minorHAnsi"/>
          <w:sz w:val="28"/>
          <w:szCs w:val="28"/>
        </w:rPr>
      </w:pPr>
      <w:r w:rsidRPr="005E1103">
        <w:rPr>
          <w:rFonts w:cstheme="minorHAnsi"/>
          <w:sz w:val="28"/>
          <w:szCs w:val="28"/>
        </w:rPr>
        <w:t>Para finalizar, debemos añadir que la creación y la participación en las redes que hemos citado también requiere de un continuo proceso de evaluación y de formación continua por parte de los profesionales. Todo ello va a redundar en beneficio de las personas con discapacidad y del alumnado en general porque el hecho de apoyar a la diversidad en nuestras sociedades nos enriquece a todos.</w:t>
      </w:r>
    </w:p>
    <w:p w:rsidR="00F73A2C" w:rsidRDefault="00F73A2C">
      <w:pPr>
        <w:rPr>
          <w:rFonts w:cstheme="minorHAnsi"/>
          <w:b/>
          <w:sz w:val="28"/>
          <w:szCs w:val="28"/>
        </w:rPr>
      </w:pPr>
      <w:r>
        <w:rPr>
          <w:rFonts w:cstheme="minorHAnsi"/>
          <w:b/>
          <w:sz w:val="28"/>
          <w:szCs w:val="28"/>
        </w:rPr>
        <w:br w:type="page"/>
      </w:r>
    </w:p>
    <w:p w:rsidR="00C71AF3" w:rsidRPr="00BF6455" w:rsidRDefault="00C71AF3" w:rsidP="00C71AF3">
      <w:pPr>
        <w:spacing w:line="360" w:lineRule="auto"/>
        <w:ind w:firstLine="709"/>
        <w:jc w:val="both"/>
        <w:rPr>
          <w:rFonts w:cstheme="minorHAnsi"/>
          <w:sz w:val="28"/>
          <w:szCs w:val="28"/>
          <w:lang w:val="en-US"/>
        </w:rPr>
      </w:pPr>
      <w:r w:rsidRPr="00BF6455">
        <w:rPr>
          <w:rFonts w:cstheme="minorHAnsi"/>
          <w:b/>
          <w:sz w:val="28"/>
          <w:szCs w:val="28"/>
          <w:lang w:val="en-US"/>
        </w:rPr>
        <w:lastRenderedPageBreak/>
        <w:t>BIBLIOGRAFÍA</w:t>
      </w:r>
      <w:r w:rsidRPr="00BF6455">
        <w:rPr>
          <w:rFonts w:cstheme="minorHAnsi"/>
          <w:sz w:val="28"/>
          <w:szCs w:val="28"/>
          <w:lang w:val="en-US"/>
        </w:rPr>
        <w:t>:</w:t>
      </w:r>
    </w:p>
    <w:p w:rsidR="00C71AF3" w:rsidRPr="005E1103" w:rsidRDefault="00C71AF3" w:rsidP="00C71AF3">
      <w:pPr>
        <w:spacing w:line="360" w:lineRule="auto"/>
        <w:ind w:firstLine="709"/>
        <w:jc w:val="both"/>
        <w:rPr>
          <w:rFonts w:cstheme="minorHAnsi"/>
          <w:sz w:val="28"/>
          <w:szCs w:val="28"/>
          <w:lang w:val="en-US"/>
        </w:rPr>
      </w:pPr>
      <w:r w:rsidRPr="00BF6455">
        <w:rPr>
          <w:rFonts w:cstheme="minorHAnsi"/>
          <w:sz w:val="28"/>
          <w:szCs w:val="28"/>
          <w:lang w:val="en-US"/>
        </w:rPr>
        <w:t xml:space="preserve">Borgatti, S., y Foster, </w:t>
      </w:r>
      <w:r w:rsidR="00F73A2C" w:rsidRPr="00BF6455">
        <w:rPr>
          <w:rFonts w:cstheme="minorHAnsi"/>
          <w:sz w:val="28"/>
          <w:szCs w:val="28"/>
          <w:lang w:val="en-US"/>
        </w:rPr>
        <w:t>P,</w:t>
      </w:r>
      <w:r w:rsidRPr="00BF6455">
        <w:rPr>
          <w:rFonts w:cstheme="minorHAnsi"/>
          <w:sz w:val="28"/>
          <w:szCs w:val="28"/>
          <w:lang w:val="en-US"/>
        </w:rPr>
        <w:t xml:space="preserve"> </w:t>
      </w:r>
      <w:r w:rsidRPr="005E1103">
        <w:rPr>
          <w:rFonts w:cstheme="minorHAnsi"/>
          <w:sz w:val="28"/>
          <w:szCs w:val="28"/>
          <w:lang w:val="en-US"/>
        </w:rPr>
        <w:t xml:space="preserve">“The network paradigm in organizational research: A review and typology”. </w:t>
      </w:r>
      <w:r w:rsidRPr="005E1103">
        <w:rPr>
          <w:rFonts w:cstheme="minorHAnsi"/>
          <w:i/>
          <w:iCs/>
          <w:sz w:val="28"/>
          <w:szCs w:val="28"/>
          <w:lang w:val="en-US"/>
        </w:rPr>
        <w:t>Journal of Management</w:t>
      </w:r>
      <w:r w:rsidRPr="005E1103">
        <w:rPr>
          <w:rFonts w:cstheme="minorHAnsi"/>
          <w:sz w:val="28"/>
          <w:szCs w:val="28"/>
          <w:lang w:val="en-US"/>
        </w:rPr>
        <w:t xml:space="preserve">, </w:t>
      </w:r>
      <w:r w:rsidR="00F73A2C" w:rsidRPr="005E1103">
        <w:rPr>
          <w:rFonts w:cstheme="minorHAnsi"/>
          <w:sz w:val="28"/>
          <w:szCs w:val="28"/>
          <w:lang w:val="en-US"/>
        </w:rPr>
        <w:t>n. º</w:t>
      </w:r>
      <w:r w:rsidRPr="005E1103">
        <w:rPr>
          <w:rFonts w:cstheme="minorHAnsi"/>
          <w:sz w:val="28"/>
          <w:szCs w:val="28"/>
          <w:lang w:val="en-US"/>
        </w:rPr>
        <w:t xml:space="preserve"> 29, (2003), págs. 991-1013.</w:t>
      </w:r>
    </w:p>
    <w:p w:rsidR="00C71AF3" w:rsidRPr="005E1103" w:rsidRDefault="00C71AF3" w:rsidP="00C71AF3">
      <w:pPr>
        <w:spacing w:line="360" w:lineRule="auto"/>
        <w:ind w:firstLine="709"/>
        <w:jc w:val="both"/>
        <w:rPr>
          <w:rFonts w:cstheme="minorHAnsi"/>
          <w:sz w:val="28"/>
          <w:szCs w:val="28"/>
        </w:rPr>
      </w:pPr>
      <w:r w:rsidRPr="005E1103">
        <w:rPr>
          <w:rFonts w:cstheme="minorHAnsi"/>
          <w:sz w:val="28"/>
          <w:szCs w:val="28"/>
          <w:lang w:val="en-US"/>
        </w:rPr>
        <w:t>Bueno, A., Martínez, D.</w:t>
      </w:r>
      <w:r w:rsidR="00F73A2C" w:rsidRPr="005E1103">
        <w:rPr>
          <w:rFonts w:cstheme="minorHAnsi"/>
          <w:sz w:val="28"/>
          <w:szCs w:val="28"/>
          <w:lang w:val="en-US"/>
        </w:rPr>
        <w:t>, Ordoñez</w:t>
      </w:r>
      <w:r w:rsidRPr="005E1103">
        <w:rPr>
          <w:rFonts w:cstheme="minorHAnsi"/>
          <w:sz w:val="28"/>
          <w:szCs w:val="28"/>
          <w:lang w:val="en-US"/>
        </w:rPr>
        <w:t xml:space="preserve">, T., y Soler P., en “The services of the Center of Support to the Student of the Universidad de Alicante: Analysis of the necessities and evaluation of the programs of intervention”, en VV.AA.,  </w:t>
      </w:r>
      <w:r w:rsidRPr="005E1103">
        <w:rPr>
          <w:rFonts w:cstheme="minorHAnsi"/>
          <w:i/>
          <w:iCs/>
          <w:sz w:val="28"/>
          <w:szCs w:val="28"/>
          <w:lang w:val="en-US"/>
        </w:rPr>
        <w:t>Proceedings of the Third Conference of the International Society for Quality of Life Studies</w:t>
      </w:r>
      <w:r w:rsidRPr="005E1103">
        <w:rPr>
          <w:rFonts w:cstheme="minorHAnsi"/>
          <w:sz w:val="28"/>
          <w:szCs w:val="28"/>
          <w:lang w:val="en-US"/>
        </w:rPr>
        <w:t xml:space="preserve">, Girona, Universitat de Girona, 2001, págs. </w:t>
      </w:r>
      <w:r w:rsidRPr="005E1103">
        <w:rPr>
          <w:rFonts w:cstheme="minorHAnsi"/>
          <w:sz w:val="28"/>
          <w:szCs w:val="28"/>
        </w:rPr>
        <w:t>671-678.</w:t>
      </w:r>
    </w:p>
    <w:p w:rsidR="00C71AF3" w:rsidRPr="005E1103" w:rsidRDefault="00C71AF3" w:rsidP="00C71AF3">
      <w:pPr>
        <w:spacing w:line="360" w:lineRule="auto"/>
        <w:ind w:firstLine="709"/>
        <w:jc w:val="both"/>
        <w:rPr>
          <w:rFonts w:cstheme="minorHAnsi"/>
          <w:sz w:val="28"/>
          <w:szCs w:val="28"/>
        </w:rPr>
      </w:pPr>
    </w:p>
    <w:p w:rsidR="00C71AF3" w:rsidRPr="005E1103" w:rsidRDefault="00C71AF3" w:rsidP="00C71AF3">
      <w:pPr>
        <w:spacing w:line="360" w:lineRule="auto"/>
        <w:ind w:firstLine="709"/>
        <w:jc w:val="both"/>
        <w:rPr>
          <w:rFonts w:cstheme="minorHAnsi"/>
          <w:sz w:val="28"/>
          <w:szCs w:val="28"/>
        </w:rPr>
      </w:pPr>
      <w:r w:rsidRPr="005E1103">
        <w:rPr>
          <w:rFonts w:cstheme="minorHAnsi"/>
          <w:sz w:val="28"/>
          <w:szCs w:val="28"/>
        </w:rPr>
        <w:t xml:space="preserve">Marchioni, M. (1999): </w:t>
      </w:r>
      <w:r w:rsidRPr="005E1103">
        <w:rPr>
          <w:rFonts w:cstheme="minorHAnsi"/>
          <w:i/>
          <w:iCs/>
          <w:sz w:val="28"/>
          <w:szCs w:val="28"/>
        </w:rPr>
        <w:t>Comunidad, participación y desarrollo. Teoría y metodología de la intervención comunitaria</w:t>
      </w:r>
      <w:r w:rsidRPr="005E1103">
        <w:rPr>
          <w:rFonts w:cstheme="minorHAnsi"/>
          <w:sz w:val="28"/>
          <w:szCs w:val="28"/>
        </w:rPr>
        <w:t>, Madrid, Editorial Popular.</w:t>
      </w:r>
    </w:p>
    <w:p w:rsidR="00C71AF3" w:rsidRPr="005E1103" w:rsidRDefault="00C71AF3" w:rsidP="00C71AF3">
      <w:pPr>
        <w:spacing w:line="360" w:lineRule="auto"/>
        <w:ind w:firstLine="709"/>
        <w:jc w:val="both"/>
        <w:rPr>
          <w:rFonts w:cstheme="minorHAnsi"/>
          <w:sz w:val="28"/>
          <w:szCs w:val="28"/>
        </w:rPr>
      </w:pPr>
    </w:p>
    <w:p w:rsidR="00C71AF3" w:rsidRPr="005E1103" w:rsidRDefault="00C71AF3" w:rsidP="00C71AF3">
      <w:pPr>
        <w:spacing w:line="360" w:lineRule="auto"/>
        <w:ind w:firstLine="709"/>
        <w:jc w:val="both"/>
        <w:rPr>
          <w:rFonts w:cstheme="minorHAnsi"/>
          <w:sz w:val="28"/>
          <w:szCs w:val="28"/>
        </w:rPr>
      </w:pPr>
      <w:r w:rsidRPr="005E1103">
        <w:rPr>
          <w:rFonts w:cstheme="minorHAnsi"/>
          <w:sz w:val="28"/>
          <w:szCs w:val="28"/>
        </w:rPr>
        <w:t xml:space="preserve">Navarro, S. (2002): </w:t>
      </w:r>
      <w:r w:rsidRPr="005E1103">
        <w:rPr>
          <w:rFonts w:cstheme="minorHAnsi"/>
          <w:i/>
          <w:iCs/>
          <w:sz w:val="28"/>
          <w:szCs w:val="28"/>
        </w:rPr>
        <w:t>Redes sociales y construcción comunitaria. Creando contextos para una acción social ecológica</w:t>
      </w:r>
      <w:r w:rsidRPr="005E1103">
        <w:rPr>
          <w:rFonts w:cstheme="minorHAnsi"/>
          <w:sz w:val="28"/>
          <w:szCs w:val="28"/>
        </w:rPr>
        <w:t>, Madrid, Editorial CCS.</w:t>
      </w:r>
    </w:p>
    <w:p w:rsidR="00C71AF3" w:rsidRPr="005E1103" w:rsidRDefault="00C71AF3" w:rsidP="00C71AF3">
      <w:pPr>
        <w:spacing w:line="360" w:lineRule="auto"/>
        <w:ind w:firstLine="709"/>
        <w:jc w:val="both"/>
        <w:rPr>
          <w:rFonts w:cstheme="minorHAnsi"/>
          <w:sz w:val="28"/>
          <w:szCs w:val="28"/>
        </w:rPr>
      </w:pPr>
    </w:p>
    <w:p w:rsidR="00C71AF3" w:rsidRPr="005E1103" w:rsidRDefault="00C71AF3" w:rsidP="00C71AF3">
      <w:pPr>
        <w:spacing w:line="360" w:lineRule="auto"/>
        <w:ind w:firstLine="709"/>
        <w:jc w:val="both"/>
        <w:rPr>
          <w:rFonts w:cstheme="minorHAnsi"/>
          <w:sz w:val="28"/>
          <w:szCs w:val="28"/>
        </w:rPr>
      </w:pPr>
      <w:r w:rsidRPr="005E1103">
        <w:rPr>
          <w:rFonts w:cstheme="minorHAnsi"/>
          <w:sz w:val="28"/>
          <w:szCs w:val="28"/>
        </w:rPr>
        <w:t xml:space="preserve">Sluzki, C.E. (1996): </w:t>
      </w:r>
      <w:r w:rsidRPr="005E1103">
        <w:rPr>
          <w:rFonts w:cstheme="minorHAnsi"/>
          <w:i/>
          <w:iCs/>
          <w:sz w:val="28"/>
          <w:szCs w:val="28"/>
        </w:rPr>
        <w:t>La red social: frontera de la práctica sistémica</w:t>
      </w:r>
      <w:r w:rsidRPr="005E1103">
        <w:rPr>
          <w:rFonts w:cstheme="minorHAnsi"/>
          <w:sz w:val="28"/>
          <w:szCs w:val="28"/>
        </w:rPr>
        <w:t>, Barcelona, Gedisa.</w:t>
      </w:r>
    </w:p>
    <w:p w:rsidR="00C71AF3" w:rsidRPr="005E1103" w:rsidRDefault="00C71AF3" w:rsidP="00C71AF3">
      <w:pPr>
        <w:spacing w:line="360" w:lineRule="auto"/>
        <w:ind w:firstLine="709"/>
        <w:jc w:val="both"/>
        <w:rPr>
          <w:rFonts w:cstheme="minorHAnsi"/>
          <w:sz w:val="28"/>
          <w:szCs w:val="28"/>
        </w:rPr>
      </w:pPr>
    </w:p>
    <w:p w:rsidR="00C71AF3" w:rsidRPr="005E1103" w:rsidRDefault="00C71AF3" w:rsidP="00C71AF3">
      <w:pPr>
        <w:spacing w:line="360" w:lineRule="auto"/>
        <w:ind w:firstLine="709"/>
        <w:jc w:val="both"/>
        <w:rPr>
          <w:rFonts w:cstheme="minorHAnsi"/>
          <w:sz w:val="28"/>
          <w:szCs w:val="28"/>
        </w:rPr>
      </w:pPr>
      <w:r w:rsidRPr="005E1103">
        <w:rPr>
          <w:rFonts w:cstheme="minorHAnsi"/>
          <w:sz w:val="28"/>
          <w:szCs w:val="28"/>
        </w:rPr>
        <w:t xml:space="preserve">Soler Javaloy, Patricia y Murcia Rodríguez, Joaquina, “Universidad y Discapacidad: El papel del Trabajador Social en los Servicios de Apoyo. Experiencia práctica en la Universidad de Alicante”, </w:t>
      </w:r>
      <w:r w:rsidRPr="005E1103">
        <w:rPr>
          <w:rFonts w:cstheme="minorHAnsi"/>
          <w:i/>
          <w:iCs/>
          <w:sz w:val="28"/>
          <w:szCs w:val="28"/>
        </w:rPr>
        <w:t>RTS: Revista de Treball Social,</w:t>
      </w:r>
      <w:r w:rsidRPr="005E1103">
        <w:rPr>
          <w:rFonts w:cstheme="minorHAnsi"/>
          <w:sz w:val="28"/>
          <w:szCs w:val="28"/>
        </w:rPr>
        <w:t xml:space="preserve"> nº. 185 (2008), págs. 98-108.</w:t>
      </w:r>
    </w:p>
    <w:p w:rsidR="00C71AF3" w:rsidRPr="005E1103" w:rsidRDefault="00C71AF3" w:rsidP="00C71AF3">
      <w:pPr>
        <w:spacing w:line="360" w:lineRule="auto"/>
        <w:jc w:val="both"/>
        <w:rPr>
          <w:rFonts w:eastAsia="MS Mincho" w:cstheme="minorHAnsi"/>
          <w:sz w:val="28"/>
          <w:szCs w:val="28"/>
          <w:lang w:val="es-ES_tradnl" w:eastAsia="es-ES"/>
        </w:rPr>
      </w:pPr>
    </w:p>
    <w:p w:rsidR="00F73A2C" w:rsidRDefault="00F73A2C">
      <w:pPr>
        <w:rPr>
          <w:rFonts w:cstheme="minorHAnsi"/>
          <w:b/>
          <w:sz w:val="28"/>
          <w:szCs w:val="28"/>
        </w:rPr>
      </w:pPr>
      <w:r>
        <w:rPr>
          <w:rFonts w:cstheme="minorHAnsi"/>
          <w:b/>
          <w:sz w:val="28"/>
          <w:szCs w:val="28"/>
        </w:rPr>
        <w:br w:type="page"/>
      </w:r>
    </w:p>
    <w:p w:rsidR="00C71AF3" w:rsidRPr="005E1103" w:rsidRDefault="00C71AF3" w:rsidP="00C71AF3">
      <w:pPr>
        <w:spacing w:line="360" w:lineRule="auto"/>
        <w:jc w:val="center"/>
        <w:rPr>
          <w:rFonts w:cstheme="minorHAnsi"/>
          <w:b/>
          <w:sz w:val="28"/>
          <w:szCs w:val="28"/>
        </w:rPr>
      </w:pPr>
      <w:r w:rsidRPr="005E1103">
        <w:rPr>
          <w:rFonts w:cstheme="minorHAnsi"/>
          <w:b/>
          <w:sz w:val="28"/>
          <w:szCs w:val="28"/>
        </w:rPr>
        <w:lastRenderedPageBreak/>
        <w:t>COMUNICACIÓN 7</w:t>
      </w:r>
    </w:p>
    <w:p w:rsidR="00C71AF3" w:rsidRPr="005E1103" w:rsidRDefault="00C71AF3" w:rsidP="00125D27">
      <w:pPr>
        <w:pBdr>
          <w:top w:val="single" w:sz="4" w:space="1" w:color="auto"/>
          <w:left w:val="single" w:sz="4" w:space="4" w:color="auto"/>
          <w:bottom w:val="single" w:sz="4" w:space="1" w:color="auto"/>
          <w:right w:val="single" w:sz="4" w:space="4" w:color="auto"/>
        </w:pBdr>
        <w:tabs>
          <w:tab w:val="left" w:pos="3300"/>
        </w:tabs>
        <w:spacing w:line="240" w:lineRule="auto"/>
        <w:jc w:val="center"/>
        <w:rPr>
          <w:rFonts w:cstheme="minorHAnsi"/>
          <w:b/>
          <w:sz w:val="28"/>
          <w:szCs w:val="28"/>
        </w:rPr>
      </w:pPr>
      <w:r w:rsidRPr="005E1103">
        <w:rPr>
          <w:rFonts w:cstheme="minorHAnsi"/>
          <w:b/>
          <w:sz w:val="28"/>
          <w:szCs w:val="28"/>
        </w:rPr>
        <w:t>LA FORMACIÓN DEL PROFESORADO UNIVERSITARIO COMO CAMINO HACIA LA INCLUSIÓN SOCIAL Y EDUCATIVA EN LA UNIVERSIDAD</w:t>
      </w:r>
    </w:p>
    <w:p w:rsidR="00C71AF3" w:rsidRPr="005E1103" w:rsidRDefault="00C71AF3" w:rsidP="00C71AF3">
      <w:pPr>
        <w:spacing w:line="360" w:lineRule="auto"/>
        <w:ind w:firstLine="397"/>
        <w:jc w:val="right"/>
        <w:rPr>
          <w:rFonts w:cstheme="minorHAnsi"/>
          <w:sz w:val="28"/>
          <w:szCs w:val="28"/>
        </w:rPr>
      </w:pPr>
      <w:r w:rsidRPr="005E1103">
        <w:rPr>
          <w:rFonts w:cstheme="minorHAnsi"/>
          <w:sz w:val="28"/>
          <w:szCs w:val="28"/>
        </w:rPr>
        <w:t>Almudena Cotán Fernández (Universidad Isabel I)</w:t>
      </w:r>
    </w:p>
    <w:p w:rsidR="00C71AF3" w:rsidRPr="005E1103" w:rsidRDefault="00C71AF3" w:rsidP="00C71AF3">
      <w:pPr>
        <w:spacing w:line="360" w:lineRule="auto"/>
        <w:ind w:firstLine="397"/>
        <w:jc w:val="right"/>
        <w:rPr>
          <w:rFonts w:cstheme="minorHAnsi"/>
          <w:noProof/>
          <w:sz w:val="28"/>
          <w:szCs w:val="28"/>
        </w:rPr>
      </w:pPr>
      <w:r w:rsidRPr="005E1103">
        <w:rPr>
          <w:rFonts w:cstheme="minorHAnsi"/>
          <w:noProof/>
          <w:sz w:val="28"/>
          <w:szCs w:val="28"/>
        </w:rPr>
        <w:t>Beatriz Morgado Camacho (Universidad de Sevilla)</w:t>
      </w:r>
    </w:p>
    <w:p w:rsidR="00C71AF3" w:rsidRPr="005E1103" w:rsidRDefault="00C71AF3" w:rsidP="00C71AF3">
      <w:pPr>
        <w:spacing w:line="360" w:lineRule="auto"/>
        <w:ind w:firstLine="397"/>
        <w:jc w:val="right"/>
        <w:rPr>
          <w:rFonts w:cstheme="minorHAnsi"/>
          <w:noProof/>
          <w:sz w:val="28"/>
          <w:szCs w:val="28"/>
        </w:rPr>
      </w:pPr>
      <w:r w:rsidRPr="005E1103">
        <w:rPr>
          <w:rFonts w:cstheme="minorHAnsi"/>
          <w:noProof/>
          <w:sz w:val="28"/>
          <w:szCs w:val="28"/>
        </w:rPr>
        <w:t>Victor M. Molina Romo (Universidad de Sevilla)</w:t>
      </w:r>
    </w:p>
    <w:p w:rsidR="00C71AF3" w:rsidRPr="005E1103" w:rsidRDefault="00C71AF3" w:rsidP="00C71AF3">
      <w:pPr>
        <w:spacing w:line="360" w:lineRule="auto"/>
        <w:ind w:firstLine="397"/>
        <w:jc w:val="right"/>
        <w:rPr>
          <w:rFonts w:cstheme="minorHAnsi"/>
          <w:noProof/>
          <w:sz w:val="28"/>
          <w:szCs w:val="28"/>
        </w:rPr>
      </w:pPr>
      <w:r w:rsidRPr="005E1103">
        <w:rPr>
          <w:rFonts w:cstheme="minorHAnsi"/>
          <w:noProof/>
          <w:sz w:val="28"/>
          <w:szCs w:val="28"/>
        </w:rPr>
        <w:t>Noelia Melero Álvarez (Universidad de Sevilla)</w:t>
      </w:r>
    </w:p>
    <w:p w:rsidR="00C71AF3" w:rsidRPr="005E1103" w:rsidRDefault="00C71AF3" w:rsidP="00C71AF3">
      <w:pPr>
        <w:spacing w:line="360" w:lineRule="auto"/>
        <w:ind w:firstLine="397"/>
        <w:jc w:val="right"/>
        <w:rPr>
          <w:rFonts w:cstheme="minorHAnsi"/>
          <w:sz w:val="28"/>
          <w:szCs w:val="28"/>
        </w:rPr>
      </w:pPr>
      <w:r w:rsidRPr="005E1103">
        <w:rPr>
          <w:rFonts w:cstheme="minorHAnsi"/>
          <w:noProof/>
          <w:sz w:val="28"/>
          <w:szCs w:val="28"/>
        </w:rPr>
        <w:t>Encarna Álvarez Doblas (Universidad de Sevilla)</w:t>
      </w:r>
    </w:p>
    <w:p w:rsidR="00C71AF3" w:rsidRPr="005E1103" w:rsidRDefault="00C71AF3" w:rsidP="00C71AF3">
      <w:pPr>
        <w:spacing w:line="360" w:lineRule="auto"/>
        <w:ind w:firstLine="397"/>
        <w:jc w:val="both"/>
        <w:rPr>
          <w:rFonts w:cstheme="minorHAnsi"/>
          <w:b/>
          <w:sz w:val="28"/>
          <w:szCs w:val="28"/>
        </w:rPr>
      </w:pPr>
      <w:r w:rsidRPr="005E1103">
        <w:rPr>
          <w:rFonts w:cstheme="minorHAnsi"/>
          <w:b/>
          <w:sz w:val="28"/>
          <w:szCs w:val="28"/>
        </w:rPr>
        <w:t>Resumen</w:t>
      </w:r>
    </w:p>
    <w:p w:rsidR="00C71AF3" w:rsidRPr="005E1103" w:rsidRDefault="00C71AF3" w:rsidP="00C71AF3">
      <w:pPr>
        <w:spacing w:line="360" w:lineRule="auto"/>
        <w:ind w:firstLine="397"/>
        <w:jc w:val="both"/>
        <w:rPr>
          <w:rFonts w:cstheme="minorHAnsi"/>
          <w:noProof/>
          <w:sz w:val="28"/>
          <w:szCs w:val="28"/>
        </w:rPr>
      </w:pPr>
      <w:r w:rsidRPr="005E1103">
        <w:rPr>
          <w:rFonts w:cstheme="minorHAnsi"/>
          <w:color w:val="333333"/>
          <w:sz w:val="28"/>
          <w:szCs w:val="28"/>
        </w:rPr>
        <w:t xml:space="preserve">En esta comunicación se presentan los resultados de un proyecto de investigación financiado por el </w:t>
      </w:r>
      <w:r w:rsidRPr="005E1103">
        <w:rPr>
          <w:rFonts w:cstheme="minorHAnsi"/>
          <w:noProof/>
          <w:sz w:val="28"/>
          <w:szCs w:val="28"/>
        </w:rPr>
        <w:t xml:space="preserve">Ministerio de Economía y Competitividad «Caminando hacia la inclusión social y educativa en la Universidad: diseño, desarrollo y evaluación de un programa de formación para el profesorado» (EDU2013-46203-R) que, con una duración de tres años </w:t>
      </w:r>
      <w:r w:rsidRPr="005E1103">
        <w:rPr>
          <w:rFonts w:cstheme="minorHAnsi"/>
          <w:color w:val="333333"/>
          <w:sz w:val="28"/>
          <w:szCs w:val="28"/>
        </w:rPr>
        <w:t xml:space="preserve">(2013-2016), tiene el propósito </w:t>
      </w:r>
      <w:r w:rsidRPr="005E1103">
        <w:rPr>
          <w:rFonts w:cstheme="minorHAnsi"/>
          <w:noProof/>
          <w:sz w:val="28"/>
          <w:szCs w:val="28"/>
        </w:rPr>
        <w:t>de diseñar, desarrollar y evaluar un programa de formación dirigido al profesorado universitario con la intención de mejorar la respuesta didáctica y social que se da en las aulas al alumnado con discapacidad. La intención fundamental del programa, basado en una modalidad blended-learning, es sensibilizar, informar y formar al profesorado desde los presupuestos del modelo de educación inclusiva. La evaluación del programa en su totalidad (diseño, desarrollo y resultados) se ha abordado a través de un enfoque cualitativo, mediante el método de estudio de casos. En esta comunicación</w:t>
      </w:r>
      <w:r w:rsidRPr="005E1103">
        <w:rPr>
          <w:rFonts w:cstheme="minorHAnsi"/>
          <w:sz w:val="28"/>
          <w:szCs w:val="28"/>
        </w:rPr>
        <w:t xml:space="preserve"> se exponen los resultados obtenidos en la evaluación del diseño del programa, el cual tuvo lugar mediante un juicio de expertos previo a su implementación. </w:t>
      </w:r>
      <w:r w:rsidRPr="005E1103">
        <w:rPr>
          <w:rFonts w:cstheme="minorHAnsi"/>
          <w:noProof/>
          <w:sz w:val="28"/>
          <w:szCs w:val="28"/>
        </w:rPr>
        <w:t xml:space="preserve">Entre los principales resultados de esta evaluación podemos destacar algunas propuestas de mejora ofrecidas por los expertos: </w:t>
      </w:r>
      <w:r w:rsidRPr="005E1103">
        <w:rPr>
          <w:rFonts w:cstheme="minorHAnsi"/>
          <w:noProof/>
          <w:color w:val="000000"/>
          <w:sz w:val="28"/>
          <w:szCs w:val="28"/>
        </w:rPr>
        <w:t xml:space="preserve">ampliar del número de casos prácticos o evitar la sobreinformación, entre otros. </w:t>
      </w:r>
      <w:r w:rsidRPr="005E1103">
        <w:rPr>
          <w:rFonts w:cstheme="minorHAnsi"/>
          <w:sz w:val="28"/>
          <w:szCs w:val="28"/>
        </w:rPr>
        <w:t>.</w:t>
      </w:r>
    </w:p>
    <w:p w:rsidR="00C71AF3" w:rsidRPr="005E1103" w:rsidRDefault="00C71AF3" w:rsidP="00C71AF3">
      <w:pPr>
        <w:spacing w:line="360" w:lineRule="auto"/>
        <w:ind w:firstLine="397"/>
        <w:jc w:val="both"/>
        <w:rPr>
          <w:rFonts w:cstheme="minorHAnsi"/>
          <w:sz w:val="28"/>
          <w:szCs w:val="28"/>
        </w:rPr>
      </w:pPr>
      <w:r w:rsidRPr="005E1103">
        <w:rPr>
          <w:rFonts w:cstheme="minorHAnsi"/>
          <w:b/>
          <w:sz w:val="28"/>
          <w:szCs w:val="28"/>
        </w:rPr>
        <w:lastRenderedPageBreak/>
        <w:t>Palabras Claves</w:t>
      </w:r>
      <w:r w:rsidRPr="005E1103">
        <w:rPr>
          <w:rFonts w:cstheme="minorHAnsi"/>
          <w:sz w:val="28"/>
          <w:szCs w:val="28"/>
        </w:rPr>
        <w:t>: Educación Superior, Discapacidad, Profesorado universitario, Formación de profesorado, Evaluación de Programas.</w:t>
      </w:r>
    </w:p>
    <w:p w:rsidR="00C71AF3" w:rsidRPr="005E1103" w:rsidRDefault="00C71AF3" w:rsidP="00C71AF3">
      <w:pPr>
        <w:spacing w:line="360" w:lineRule="auto"/>
        <w:ind w:firstLine="397"/>
        <w:jc w:val="both"/>
        <w:rPr>
          <w:rFonts w:cstheme="minorHAnsi"/>
          <w:b/>
          <w:sz w:val="28"/>
          <w:szCs w:val="28"/>
        </w:rPr>
      </w:pPr>
      <w:r w:rsidRPr="005E1103">
        <w:rPr>
          <w:rFonts w:cstheme="minorHAnsi"/>
          <w:b/>
          <w:sz w:val="28"/>
          <w:szCs w:val="28"/>
        </w:rPr>
        <w:t>Introducción</w:t>
      </w:r>
    </w:p>
    <w:p w:rsidR="00C71AF3" w:rsidRPr="005E1103" w:rsidRDefault="00C71AF3" w:rsidP="00C71AF3">
      <w:pPr>
        <w:pStyle w:val="Textoindependiente"/>
        <w:spacing w:after="0" w:line="360" w:lineRule="auto"/>
        <w:ind w:firstLine="397"/>
        <w:jc w:val="both"/>
        <w:rPr>
          <w:rFonts w:asciiTheme="minorHAnsi" w:hAnsiTheme="minorHAnsi" w:cstheme="minorHAnsi"/>
          <w:sz w:val="28"/>
          <w:szCs w:val="28"/>
        </w:rPr>
      </w:pPr>
      <w:r w:rsidRPr="005E1103">
        <w:rPr>
          <w:rFonts w:asciiTheme="minorHAnsi" w:hAnsiTheme="minorHAnsi" w:cstheme="minorHAnsi"/>
          <w:sz w:val="28"/>
          <w:szCs w:val="28"/>
        </w:rPr>
        <w:t xml:space="preserve">Históricamente, las universidades españolas no han contemplado las necesidades sociales y académicas de las personas con discapacidad. Entre algunos de los motivos en los que se puede apoyar esta idea, se encuentra un contexto universitario excluyente, la ausencia de políticas e iniciativas legislativas que regulasen la demanda de formación de esta población, carencia de diseños de programas universitarios adaptados a las necesidades de los estudiantes, carencia de formación del profesorado a este respecto, o la necesidad de adaptación de metodologías docentes así como la conveniencia de recursos adaptados, entre otros (Cerrillo, Izquziza &amp; Egido, 2013; Moriña, Cortés &amp; Melero, 2014). </w:t>
      </w:r>
    </w:p>
    <w:p w:rsidR="00C71AF3" w:rsidRPr="005E1103" w:rsidRDefault="00C71AF3" w:rsidP="00C71AF3">
      <w:pPr>
        <w:pStyle w:val="Textoindependiente"/>
        <w:spacing w:after="0" w:line="360" w:lineRule="auto"/>
        <w:ind w:firstLine="397"/>
        <w:jc w:val="both"/>
        <w:rPr>
          <w:rFonts w:asciiTheme="minorHAnsi" w:hAnsiTheme="minorHAnsi" w:cstheme="minorHAnsi"/>
          <w:sz w:val="28"/>
          <w:szCs w:val="28"/>
        </w:rPr>
      </w:pPr>
      <w:r w:rsidRPr="005E1103">
        <w:rPr>
          <w:rFonts w:asciiTheme="minorHAnsi" w:hAnsiTheme="minorHAnsi" w:cstheme="minorHAnsi"/>
          <w:sz w:val="28"/>
          <w:szCs w:val="28"/>
        </w:rPr>
        <w:t xml:space="preserve">En este sentido, la educación universitaria basada en un modelo inclusivo lleva implícito un desarrollo global que supone cambios en la totalidad del sistema educativo: cultura, políticas y prácticas inclusivas (Alegre &amp; Villar, 2009; Echeita, 2013; Escudero &amp; Martínez, 2011). Por ello, para poder indicar que la formación que proporciona la universidad es de calidad, debemos fijarnos, entre otros elementos, en cómo ésta da respuesta a las necesidades del </w:t>
      </w:r>
      <w:r w:rsidR="00125D27" w:rsidRPr="005E1103">
        <w:rPr>
          <w:rFonts w:asciiTheme="minorHAnsi" w:hAnsiTheme="minorHAnsi" w:cstheme="minorHAnsi"/>
          <w:sz w:val="28"/>
          <w:szCs w:val="28"/>
        </w:rPr>
        <w:t>alumnado,</w:t>
      </w:r>
      <w:r w:rsidRPr="005E1103">
        <w:rPr>
          <w:rFonts w:asciiTheme="minorHAnsi" w:hAnsiTheme="minorHAnsi" w:cstheme="minorHAnsi"/>
          <w:sz w:val="28"/>
          <w:szCs w:val="28"/>
        </w:rPr>
        <w:t xml:space="preserve"> así como a las necesidades de formación del profesorado. </w:t>
      </w:r>
    </w:p>
    <w:p w:rsidR="00C71AF3" w:rsidRPr="005E1103" w:rsidRDefault="00C71AF3" w:rsidP="00C71AF3">
      <w:pPr>
        <w:pStyle w:val="Textoindependiente"/>
        <w:spacing w:after="0" w:line="360" w:lineRule="auto"/>
        <w:ind w:firstLine="397"/>
        <w:jc w:val="both"/>
        <w:rPr>
          <w:rFonts w:asciiTheme="minorHAnsi" w:hAnsiTheme="minorHAnsi" w:cstheme="minorHAnsi"/>
          <w:color w:val="0D0D0D" w:themeColor="text1" w:themeTint="F2"/>
          <w:sz w:val="28"/>
          <w:szCs w:val="28"/>
        </w:rPr>
      </w:pPr>
      <w:r w:rsidRPr="005E1103">
        <w:rPr>
          <w:rFonts w:asciiTheme="minorHAnsi" w:hAnsiTheme="minorHAnsi" w:cstheme="minorHAnsi"/>
          <w:sz w:val="28"/>
          <w:szCs w:val="28"/>
        </w:rPr>
        <w:t xml:space="preserve">No obstante, podemos afirmar que aún queda un largo camino por recorrer en materia de atención a la discapacidad en las instituciones de ES, puesto que todavía perduran barreras significativas de acceso, permanencia y promoción del alumnado con discapacidad (Pliner &amp; Johnson, 2004). Buena muestra de ello, podemos encontrarlo en un número significativo de investigaciones, donde reconocen y reflejan una serie de obstáculos (actitudinales, de acceso al currículo, formación, sensibilización, etc.) que dificultan las trayectorias formativas de este colectivo. Entre estos estudios cabe citar </w:t>
      </w:r>
      <w:r w:rsidRPr="005E1103">
        <w:rPr>
          <w:rFonts w:asciiTheme="minorHAnsi" w:hAnsiTheme="minorHAnsi" w:cstheme="minorHAnsi"/>
          <w:sz w:val="28"/>
          <w:szCs w:val="28"/>
        </w:rPr>
        <w:lastRenderedPageBreak/>
        <w:t xml:space="preserve">trabajos como los de Borland y James (1999), </w:t>
      </w:r>
      <w:r w:rsidRPr="005E1103">
        <w:rPr>
          <w:rFonts w:asciiTheme="minorHAnsi" w:hAnsiTheme="minorHAnsi" w:cstheme="minorHAnsi"/>
          <w:color w:val="0D0D0D" w:themeColor="text1" w:themeTint="F2"/>
          <w:sz w:val="28"/>
          <w:szCs w:val="28"/>
        </w:rPr>
        <w:t xml:space="preserve">Goode (2007), Hadjikakou y Hartas (2008), Hanafin, Shevlin, Kenny y McNeela, (2007), Healey, </w:t>
      </w:r>
      <w:r w:rsidRPr="005E1103">
        <w:rPr>
          <w:rFonts w:asciiTheme="minorHAnsi" w:hAnsiTheme="minorHAnsi" w:cstheme="minorHAnsi"/>
          <w:color w:val="000000"/>
          <w:sz w:val="28"/>
          <w:szCs w:val="28"/>
          <w:shd w:val="clear" w:color="auto" w:fill="FFFFFF"/>
        </w:rPr>
        <w:t>Fuller, Bradley y Hall</w:t>
      </w:r>
      <w:r w:rsidRPr="005E1103">
        <w:rPr>
          <w:rFonts w:asciiTheme="minorHAnsi" w:hAnsiTheme="minorHAnsi" w:cstheme="minorHAnsi"/>
          <w:color w:val="0D0D0D" w:themeColor="text1" w:themeTint="F2"/>
          <w:sz w:val="28"/>
          <w:szCs w:val="28"/>
        </w:rPr>
        <w:t>, (2006), Holloway (2001), Jacklin. Robinson, O’Meara y Harris, (2007), Martin (2010), Moriña et al., (2013)</w:t>
      </w:r>
      <w:r w:rsidRPr="005E1103">
        <w:rPr>
          <w:rFonts w:asciiTheme="minorHAnsi" w:hAnsiTheme="minorHAnsi" w:cstheme="minorHAnsi"/>
          <w:sz w:val="28"/>
          <w:szCs w:val="28"/>
        </w:rPr>
        <w:t xml:space="preserve"> o </w:t>
      </w:r>
      <w:r w:rsidRPr="005E1103">
        <w:rPr>
          <w:rFonts w:asciiTheme="minorHAnsi" w:hAnsiTheme="minorHAnsi" w:cstheme="minorHAnsi"/>
          <w:color w:val="0D0D0D" w:themeColor="text1" w:themeTint="F2"/>
          <w:sz w:val="28"/>
          <w:szCs w:val="28"/>
        </w:rPr>
        <w:t xml:space="preserve">Vickerman y Blundell (2010). Entre las barreras que se identifican en estas investigaciones destacan algunas relacionados con el profesorado: reflejan actitudes negativas o con necesidades de formación para realizar las adaptaciones necesarias, con metodologías inaccesibles y con falta de recursos para apoyar los procesos de aprendizaje (Castellana y Sala, 2005; Doughty y Allan, 2008; Fraiz, Alén y Domínguez 2008; Fuller, Healey, Bradley y Hall,, 2004; Fuller, Healey, Bradley y Hall, 2005; Goode, 2007; Healey, </w:t>
      </w:r>
      <w:r w:rsidRPr="005E1103">
        <w:rPr>
          <w:rFonts w:asciiTheme="minorHAnsi" w:hAnsiTheme="minorHAnsi" w:cstheme="minorHAnsi"/>
          <w:color w:val="000000"/>
          <w:sz w:val="28"/>
          <w:szCs w:val="28"/>
          <w:shd w:val="clear" w:color="auto" w:fill="FFFFFF"/>
        </w:rPr>
        <w:t xml:space="preserve">Fuller, Bradley y Hall, </w:t>
      </w:r>
      <w:r w:rsidRPr="005E1103">
        <w:rPr>
          <w:rFonts w:asciiTheme="minorHAnsi" w:hAnsiTheme="minorHAnsi" w:cstheme="minorHAnsi"/>
          <w:color w:val="0D0D0D" w:themeColor="text1" w:themeTint="F2"/>
          <w:sz w:val="28"/>
          <w:szCs w:val="28"/>
        </w:rPr>
        <w:t>2006; Jacklin et al., 2007; Moriña, López, Melero, Cortés y Molina, 2013).</w:t>
      </w:r>
    </w:p>
    <w:p w:rsidR="00C71AF3" w:rsidRPr="005E1103" w:rsidRDefault="00C71AF3" w:rsidP="00C71AF3">
      <w:pPr>
        <w:spacing w:line="360" w:lineRule="auto"/>
        <w:ind w:firstLine="397"/>
        <w:jc w:val="both"/>
        <w:rPr>
          <w:rFonts w:cstheme="minorHAnsi"/>
          <w:color w:val="0D0D0D" w:themeColor="text1" w:themeTint="F2"/>
          <w:sz w:val="28"/>
          <w:szCs w:val="28"/>
        </w:rPr>
      </w:pPr>
      <w:r w:rsidRPr="005E1103">
        <w:rPr>
          <w:rFonts w:cstheme="minorHAnsi"/>
          <w:color w:val="0D0D0D" w:themeColor="text1" w:themeTint="F2"/>
          <w:sz w:val="28"/>
          <w:szCs w:val="28"/>
        </w:rPr>
        <w:t xml:space="preserve">Sin embargo, a pesar de las diferencias metodológicas, enfoques, resultados, etc., desde estos trabajos se siguen mostrando evidencias del proceso segregador y “discapacitador” (Moriña, 2014) que puede llegar a estar presente en la Universidad para los estudiantes con discapacidad. </w:t>
      </w:r>
    </w:p>
    <w:p w:rsidR="00C71AF3" w:rsidRPr="005E1103" w:rsidRDefault="00C71AF3" w:rsidP="00C71AF3">
      <w:pPr>
        <w:spacing w:line="360" w:lineRule="auto"/>
        <w:ind w:firstLine="397"/>
        <w:jc w:val="both"/>
        <w:rPr>
          <w:rFonts w:cstheme="minorHAnsi"/>
          <w:sz w:val="28"/>
          <w:szCs w:val="28"/>
        </w:rPr>
      </w:pPr>
      <w:r w:rsidRPr="005E1103">
        <w:rPr>
          <w:rFonts w:cstheme="minorHAnsi"/>
          <w:color w:val="0D0D0D" w:themeColor="text1" w:themeTint="F2"/>
          <w:sz w:val="28"/>
          <w:szCs w:val="28"/>
        </w:rPr>
        <w:t xml:space="preserve">Vinculado a esta idea, surge el programa de formación que se presenta en esta comunicación, </w:t>
      </w:r>
      <w:r w:rsidRPr="005E1103">
        <w:rPr>
          <w:rFonts w:cstheme="minorHAnsi"/>
          <w:i/>
          <w:color w:val="0D0D0D" w:themeColor="text1" w:themeTint="F2"/>
          <w:sz w:val="28"/>
          <w:szCs w:val="28"/>
        </w:rPr>
        <w:t>“Caminando hacia la inclusión social y educativa en la universidad”</w:t>
      </w:r>
      <w:r w:rsidRPr="005E1103">
        <w:rPr>
          <w:rFonts w:cstheme="minorHAnsi"/>
          <w:color w:val="0D0D0D" w:themeColor="text1" w:themeTint="F2"/>
          <w:sz w:val="28"/>
          <w:szCs w:val="28"/>
        </w:rPr>
        <w:t xml:space="preserve">. Con este proyecto se pretende formar al profesorado </w:t>
      </w:r>
      <w:r w:rsidRPr="005E1103">
        <w:rPr>
          <w:rFonts w:cstheme="minorHAnsi"/>
          <w:sz w:val="28"/>
          <w:szCs w:val="28"/>
        </w:rPr>
        <w:t xml:space="preserve">para responder de forma inclusiva a las demandas y necesidades del alumnado con discapacidad. </w:t>
      </w:r>
    </w:p>
    <w:p w:rsidR="00C71AF3" w:rsidRPr="005E1103" w:rsidRDefault="00C71AF3" w:rsidP="00C71AF3">
      <w:pPr>
        <w:spacing w:line="360" w:lineRule="auto"/>
        <w:ind w:firstLine="397"/>
        <w:jc w:val="both"/>
        <w:rPr>
          <w:rFonts w:cstheme="minorHAnsi"/>
          <w:color w:val="0D0D0D" w:themeColor="text1" w:themeTint="F2"/>
          <w:sz w:val="28"/>
          <w:szCs w:val="28"/>
        </w:rPr>
      </w:pPr>
      <w:r w:rsidRPr="005E1103">
        <w:rPr>
          <w:rFonts w:cstheme="minorHAnsi"/>
          <w:sz w:val="28"/>
          <w:szCs w:val="28"/>
        </w:rPr>
        <w:t>Los orígenes de esta formación se encuentran estrechamente vinculados a un proyecto de investigación “Barreras y ayudas que los estudiantes con discapacidad identifican en la universidad” (ref. EDU2010-16264). En este estudio, se analizaba la perspectiva del alumnado con discapacidad sobre los obstáculos y facilitadores encontrados en sus trayectorias universitarias. Entre algunos de los resultados cabe resaltar los referidos al profesorado y a los proyectos docentes, identificándose barreras relacionadas con la actitud de éste hacia la discapacidad y la necesidad de información y formación en temas referidos a la misma.</w:t>
      </w:r>
    </w:p>
    <w:p w:rsidR="00C71AF3" w:rsidRPr="005E1103" w:rsidRDefault="00C71AF3" w:rsidP="00C71AF3">
      <w:pPr>
        <w:spacing w:line="360" w:lineRule="auto"/>
        <w:ind w:firstLine="397"/>
        <w:jc w:val="both"/>
        <w:rPr>
          <w:rFonts w:cstheme="minorHAnsi"/>
          <w:sz w:val="28"/>
          <w:szCs w:val="28"/>
        </w:rPr>
      </w:pPr>
      <w:r w:rsidRPr="005E1103">
        <w:rPr>
          <w:rFonts w:cstheme="minorHAnsi"/>
          <w:sz w:val="28"/>
          <w:szCs w:val="28"/>
        </w:rPr>
        <w:lastRenderedPageBreak/>
        <w:t xml:space="preserve">Concretamente, en esta comunicación presentamos los resultados obtenidos de la evaluación del diseño desarrollada por juicio de expertos y con la intención de identificar áreas de mejora que permitan el perfeccionamiento del curso previamente a su implementación. </w:t>
      </w:r>
    </w:p>
    <w:p w:rsidR="00C71AF3" w:rsidRPr="005E1103" w:rsidRDefault="00C71AF3" w:rsidP="00C71AF3">
      <w:pPr>
        <w:spacing w:line="360" w:lineRule="auto"/>
        <w:ind w:firstLine="397"/>
        <w:jc w:val="both"/>
        <w:rPr>
          <w:rFonts w:cstheme="minorHAnsi"/>
          <w:b/>
          <w:sz w:val="28"/>
          <w:szCs w:val="28"/>
        </w:rPr>
      </w:pPr>
      <w:r w:rsidRPr="005E1103">
        <w:rPr>
          <w:rFonts w:cstheme="minorHAnsi"/>
          <w:b/>
          <w:sz w:val="28"/>
          <w:szCs w:val="28"/>
        </w:rPr>
        <w:t>Presentación del Programa de formación</w:t>
      </w:r>
    </w:p>
    <w:p w:rsidR="00C71AF3" w:rsidRPr="005E1103" w:rsidRDefault="00C71AF3" w:rsidP="00C71AF3">
      <w:pPr>
        <w:spacing w:line="360" w:lineRule="auto"/>
        <w:ind w:firstLine="397"/>
        <w:jc w:val="both"/>
        <w:rPr>
          <w:rFonts w:cstheme="minorHAnsi"/>
          <w:sz w:val="28"/>
          <w:szCs w:val="28"/>
        </w:rPr>
      </w:pPr>
      <w:r w:rsidRPr="005E1103">
        <w:rPr>
          <w:rFonts w:cstheme="minorHAnsi"/>
          <w:color w:val="0D0D0D" w:themeColor="text1" w:themeTint="F2"/>
          <w:sz w:val="28"/>
          <w:szCs w:val="28"/>
        </w:rPr>
        <w:t>En el proyecto</w:t>
      </w:r>
      <w:r w:rsidRPr="005E1103">
        <w:rPr>
          <w:rFonts w:cstheme="minorHAnsi"/>
          <w:sz w:val="28"/>
          <w:szCs w:val="28"/>
        </w:rPr>
        <w:t xml:space="preserve"> “Caminando hacia la inclusión social y educativa en la universidad: diseño, desarrollo y evaluación de un programa de formación para el profesorado” (ref. EDU2013-46303-R) se plantean tres objetivos principales:</w:t>
      </w:r>
    </w:p>
    <w:p w:rsidR="00C71AF3" w:rsidRPr="005E1103" w:rsidRDefault="00C71AF3" w:rsidP="00C71AF3">
      <w:pPr>
        <w:numPr>
          <w:ilvl w:val="0"/>
          <w:numId w:val="7"/>
        </w:numPr>
        <w:spacing w:after="0" w:line="360" w:lineRule="auto"/>
        <w:ind w:left="0" w:firstLine="397"/>
        <w:jc w:val="both"/>
        <w:rPr>
          <w:rFonts w:cstheme="minorHAnsi"/>
          <w:noProof/>
          <w:sz w:val="28"/>
          <w:szCs w:val="28"/>
        </w:rPr>
      </w:pPr>
      <w:r w:rsidRPr="005E1103">
        <w:rPr>
          <w:rFonts w:cstheme="minorHAnsi"/>
          <w:noProof/>
          <w:sz w:val="28"/>
          <w:szCs w:val="28"/>
        </w:rPr>
        <w:t>Diseñar un programa de formación en blended-learning para que, a partir de los planteamientos de la educación inclusiva, el profesorado universitario sepa responder adecuadamente a las necesidades del alumnado con discapacidad.</w:t>
      </w:r>
    </w:p>
    <w:p w:rsidR="00C71AF3" w:rsidRPr="005E1103" w:rsidRDefault="00C71AF3" w:rsidP="00C71AF3">
      <w:pPr>
        <w:numPr>
          <w:ilvl w:val="0"/>
          <w:numId w:val="7"/>
        </w:numPr>
        <w:spacing w:after="0" w:line="360" w:lineRule="auto"/>
        <w:ind w:left="0" w:firstLine="397"/>
        <w:jc w:val="both"/>
        <w:rPr>
          <w:rFonts w:cstheme="minorHAnsi"/>
          <w:noProof/>
          <w:sz w:val="28"/>
          <w:szCs w:val="28"/>
        </w:rPr>
      </w:pPr>
      <w:r w:rsidRPr="005E1103">
        <w:rPr>
          <w:rFonts w:cstheme="minorHAnsi"/>
          <w:noProof/>
          <w:sz w:val="28"/>
          <w:szCs w:val="28"/>
        </w:rPr>
        <w:t>Desarrollar un programa de formación en blended-learning con profesorado universitario para mejorar la inclusión del alumnado con discapacidad.</w:t>
      </w:r>
    </w:p>
    <w:p w:rsidR="00C71AF3" w:rsidRPr="005E1103" w:rsidRDefault="00C71AF3" w:rsidP="00C71AF3">
      <w:pPr>
        <w:numPr>
          <w:ilvl w:val="0"/>
          <w:numId w:val="7"/>
        </w:numPr>
        <w:spacing w:after="0" w:line="360" w:lineRule="auto"/>
        <w:ind w:left="0" w:firstLine="397"/>
        <w:jc w:val="both"/>
        <w:rPr>
          <w:rFonts w:cstheme="minorHAnsi"/>
          <w:noProof/>
          <w:sz w:val="28"/>
          <w:szCs w:val="28"/>
        </w:rPr>
      </w:pPr>
      <w:r w:rsidRPr="005E1103">
        <w:rPr>
          <w:rFonts w:cstheme="minorHAnsi"/>
          <w:noProof/>
          <w:sz w:val="28"/>
          <w:szCs w:val="28"/>
        </w:rPr>
        <w:t>Evaluar el diseño, desarrollo y resultados de un programa de formación en blended-learning dirigido a profesorado universitario para mejorar la inclusión y la experiencia universitaria de las personas con discapacidad.</w:t>
      </w:r>
    </w:p>
    <w:p w:rsidR="00C71AF3" w:rsidRPr="005E1103" w:rsidRDefault="00C71AF3" w:rsidP="00C71AF3">
      <w:pPr>
        <w:spacing w:line="360" w:lineRule="auto"/>
        <w:ind w:firstLine="397"/>
        <w:jc w:val="both"/>
        <w:rPr>
          <w:rFonts w:cstheme="minorHAnsi"/>
          <w:color w:val="0D0D0D" w:themeColor="text1" w:themeTint="F2"/>
          <w:sz w:val="28"/>
          <w:szCs w:val="28"/>
        </w:rPr>
      </w:pPr>
      <w:r w:rsidRPr="005E1103">
        <w:rPr>
          <w:rFonts w:cstheme="minorHAnsi"/>
          <w:color w:val="0D0D0D" w:themeColor="text1" w:themeTint="F2"/>
          <w:sz w:val="28"/>
          <w:szCs w:val="28"/>
        </w:rPr>
        <w:t>Concretamente, el programa de formación responde a 11 objetivos:</w:t>
      </w:r>
    </w:p>
    <w:p w:rsidR="00C71AF3" w:rsidRPr="005E1103" w:rsidRDefault="00C71AF3" w:rsidP="00C71AF3">
      <w:pPr>
        <w:numPr>
          <w:ilvl w:val="0"/>
          <w:numId w:val="8"/>
        </w:numPr>
        <w:spacing w:after="0" w:line="360" w:lineRule="auto"/>
        <w:ind w:left="0" w:firstLine="397"/>
        <w:jc w:val="both"/>
        <w:rPr>
          <w:rFonts w:cstheme="minorHAnsi"/>
          <w:sz w:val="28"/>
          <w:szCs w:val="28"/>
        </w:rPr>
      </w:pPr>
      <w:r w:rsidRPr="005E1103">
        <w:rPr>
          <w:rFonts w:cstheme="minorHAnsi"/>
          <w:sz w:val="28"/>
          <w:szCs w:val="28"/>
        </w:rPr>
        <w:t>Conocer qué es la discapacidad, el modelo social de discapacidad y el modelo de educación inclusiva.</w:t>
      </w:r>
    </w:p>
    <w:p w:rsidR="00C71AF3" w:rsidRPr="005E1103" w:rsidRDefault="00C71AF3" w:rsidP="00C71AF3">
      <w:pPr>
        <w:numPr>
          <w:ilvl w:val="0"/>
          <w:numId w:val="8"/>
        </w:numPr>
        <w:spacing w:after="0" w:line="360" w:lineRule="auto"/>
        <w:ind w:left="0" w:firstLine="397"/>
        <w:jc w:val="both"/>
        <w:rPr>
          <w:rFonts w:cstheme="minorHAnsi"/>
          <w:sz w:val="28"/>
          <w:szCs w:val="28"/>
        </w:rPr>
      </w:pPr>
      <w:r w:rsidRPr="005E1103">
        <w:rPr>
          <w:rFonts w:cstheme="minorHAnsi"/>
          <w:sz w:val="28"/>
          <w:szCs w:val="28"/>
        </w:rPr>
        <w:t>Conocer la perspectiva del alumnado con discapacidad respecto a las barreras y ayudas identificadas en la universidad.</w:t>
      </w:r>
    </w:p>
    <w:p w:rsidR="00C71AF3" w:rsidRPr="005E1103" w:rsidRDefault="00C71AF3" w:rsidP="00C71AF3">
      <w:pPr>
        <w:numPr>
          <w:ilvl w:val="0"/>
          <w:numId w:val="8"/>
        </w:numPr>
        <w:spacing w:after="0" w:line="360" w:lineRule="auto"/>
        <w:ind w:left="0" w:firstLine="397"/>
        <w:jc w:val="both"/>
        <w:rPr>
          <w:rFonts w:cstheme="minorHAnsi"/>
          <w:sz w:val="28"/>
          <w:szCs w:val="28"/>
        </w:rPr>
      </w:pPr>
      <w:r w:rsidRPr="005E1103">
        <w:rPr>
          <w:rFonts w:cstheme="minorHAnsi"/>
          <w:sz w:val="28"/>
          <w:szCs w:val="28"/>
        </w:rPr>
        <w:t>Conocer la normativa Estatal, Autonómica y de la Universidad de Sevilla en materia de discapacidad y Universidad.</w:t>
      </w:r>
    </w:p>
    <w:p w:rsidR="00C71AF3" w:rsidRPr="005E1103" w:rsidRDefault="00C71AF3" w:rsidP="00C71AF3">
      <w:pPr>
        <w:numPr>
          <w:ilvl w:val="0"/>
          <w:numId w:val="8"/>
        </w:numPr>
        <w:spacing w:after="0" w:line="360" w:lineRule="auto"/>
        <w:ind w:left="0" w:firstLine="397"/>
        <w:jc w:val="both"/>
        <w:rPr>
          <w:rFonts w:cstheme="minorHAnsi"/>
          <w:sz w:val="28"/>
          <w:szCs w:val="28"/>
        </w:rPr>
      </w:pPr>
      <w:r w:rsidRPr="005E1103">
        <w:rPr>
          <w:rFonts w:cstheme="minorHAnsi"/>
          <w:sz w:val="28"/>
          <w:szCs w:val="28"/>
        </w:rPr>
        <w:t>Identificar los recursos que ofrece el Servicio de Asistencia a la Comunidad Universitaria (SACU) y la Unidad de Atención a Estudiantes con Discapacidad.</w:t>
      </w:r>
    </w:p>
    <w:p w:rsidR="00C71AF3" w:rsidRPr="005E1103" w:rsidRDefault="00C71AF3" w:rsidP="00C71AF3">
      <w:pPr>
        <w:numPr>
          <w:ilvl w:val="0"/>
          <w:numId w:val="8"/>
        </w:numPr>
        <w:spacing w:after="0" w:line="360" w:lineRule="auto"/>
        <w:ind w:left="0" w:firstLine="397"/>
        <w:jc w:val="both"/>
        <w:rPr>
          <w:rFonts w:cstheme="minorHAnsi"/>
          <w:sz w:val="28"/>
          <w:szCs w:val="28"/>
        </w:rPr>
      </w:pPr>
      <w:r w:rsidRPr="005E1103">
        <w:rPr>
          <w:rFonts w:cstheme="minorHAnsi"/>
          <w:sz w:val="28"/>
          <w:szCs w:val="28"/>
        </w:rPr>
        <w:t>Conocer los distintos tipos de discapacidades que pueden encontrarse en las aulas.</w:t>
      </w:r>
    </w:p>
    <w:p w:rsidR="00C71AF3" w:rsidRPr="005E1103" w:rsidRDefault="00C71AF3" w:rsidP="00C71AF3">
      <w:pPr>
        <w:numPr>
          <w:ilvl w:val="0"/>
          <w:numId w:val="8"/>
        </w:numPr>
        <w:spacing w:after="0" w:line="360" w:lineRule="auto"/>
        <w:ind w:left="0" w:firstLine="397"/>
        <w:jc w:val="both"/>
        <w:rPr>
          <w:rFonts w:cstheme="minorHAnsi"/>
          <w:sz w:val="28"/>
          <w:szCs w:val="28"/>
        </w:rPr>
      </w:pPr>
      <w:r w:rsidRPr="005E1103">
        <w:rPr>
          <w:rFonts w:cstheme="minorHAnsi"/>
          <w:sz w:val="28"/>
          <w:szCs w:val="28"/>
        </w:rPr>
        <w:lastRenderedPageBreak/>
        <w:t>Conocer y saber dar respuesta a las distintas necesidades del alumnado con discapacidad.</w:t>
      </w:r>
    </w:p>
    <w:p w:rsidR="00C71AF3" w:rsidRPr="005E1103" w:rsidRDefault="00C71AF3" w:rsidP="00C71AF3">
      <w:pPr>
        <w:numPr>
          <w:ilvl w:val="0"/>
          <w:numId w:val="8"/>
        </w:numPr>
        <w:spacing w:after="0" w:line="360" w:lineRule="auto"/>
        <w:ind w:left="0" w:firstLine="397"/>
        <w:jc w:val="both"/>
        <w:rPr>
          <w:rFonts w:cstheme="minorHAnsi"/>
          <w:sz w:val="28"/>
          <w:szCs w:val="28"/>
        </w:rPr>
      </w:pPr>
      <w:r w:rsidRPr="005E1103">
        <w:rPr>
          <w:rFonts w:cstheme="minorHAnsi"/>
          <w:sz w:val="28"/>
          <w:szCs w:val="28"/>
        </w:rPr>
        <w:t xml:space="preserve">Conocer </w:t>
      </w:r>
      <w:r w:rsidR="00125D27" w:rsidRPr="005E1103">
        <w:rPr>
          <w:rFonts w:cstheme="minorHAnsi"/>
          <w:sz w:val="28"/>
          <w:szCs w:val="28"/>
        </w:rPr>
        <w:t>los distintos tipos</w:t>
      </w:r>
      <w:r w:rsidRPr="005E1103">
        <w:rPr>
          <w:rFonts w:cstheme="minorHAnsi"/>
          <w:sz w:val="28"/>
          <w:szCs w:val="28"/>
        </w:rPr>
        <w:t xml:space="preserve"> de adaptaciones curriculares que se pueden realizar en las aulas universitarias y abordarlas a través de casos prácticos.</w:t>
      </w:r>
    </w:p>
    <w:p w:rsidR="00C71AF3" w:rsidRPr="005E1103" w:rsidRDefault="00C71AF3" w:rsidP="00C71AF3">
      <w:pPr>
        <w:numPr>
          <w:ilvl w:val="0"/>
          <w:numId w:val="8"/>
        </w:numPr>
        <w:spacing w:after="0" w:line="360" w:lineRule="auto"/>
        <w:ind w:left="0" w:firstLine="397"/>
        <w:jc w:val="both"/>
        <w:rPr>
          <w:rFonts w:cstheme="minorHAnsi"/>
          <w:sz w:val="28"/>
          <w:szCs w:val="28"/>
        </w:rPr>
      </w:pPr>
      <w:r w:rsidRPr="005E1103">
        <w:rPr>
          <w:rFonts w:cstheme="minorHAnsi"/>
          <w:sz w:val="28"/>
          <w:szCs w:val="28"/>
        </w:rPr>
        <w:t>Aprender cómo desarrollar en diseño universal de aprendizaje en la práctica.</w:t>
      </w:r>
    </w:p>
    <w:p w:rsidR="00C71AF3" w:rsidRPr="005E1103" w:rsidRDefault="00C71AF3" w:rsidP="00C71AF3">
      <w:pPr>
        <w:numPr>
          <w:ilvl w:val="0"/>
          <w:numId w:val="8"/>
        </w:numPr>
        <w:spacing w:after="0" w:line="360" w:lineRule="auto"/>
        <w:ind w:left="0" w:firstLine="397"/>
        <w:jc w:val="both"/>
        <w:rPr>
          <w:rFonts w:cstheme="minorHAnsi"/>
          <w:sz w:val="28"/>
          <w:szCs w:val="28"/>
        </w:rPr>
      </w:pPr>
      <w:r w:rsidRPr="005E1103">
        <w:rPr>
          <w:rFonts w:cstheme="minorHAnsi"/>
          <w:sz w:val="28"/>
          <w:szCs w:val="28"/>
        </w:rPr>
        <w:t>Revisar y adaptar los proyectos docentes a las necesidades del alumnado con discapacidad.</w:t>
      </w:r>
    </w:p>
    <w:p w:rsidR="00C71AF3" w:rsidRPr="005E1103" w:rsidRDefault="00C71AF3" w:rsidP="00C71AF3">
      <w:pPr>
        <w:numPr>
          <w:ilvl w:val="0"/>
          <w:numId w:val="8"/>
        </w:numPr>
        <w:spacing w:after="0" w:line="360" w:lineRule="auto"/>
        <w:ind w:left="0" w:firstLine="397"/>
        <w:jc w:val="both"/>
        <w:rPr>
          <w:rFonts w:cstheme="minorHAnsi"/>
          <w:sz w:val="28"/>
          <w:szCs w:val="28"/>
        </w:rPr>
      </w:pPr>
      <w:r w:rsidRPr="005E1103">
        <w:rPr>
          <w:rFonts w:cstheme="minorHAnsi"/>
          <w:sz w:val="28"/>
          <w:szCs w:val="28"/>
        </w:rPr>
        <w:t>Sensibilizar al profesorado para responder a las necesidades del alumnado con discapacidad.</w:t>
      </w:r>
    </w:p>
    <w:p w:rsidR="00C71AF3" w:rsidRPr="005E1103" w:rsidRDefault="00C71AF3" w:rsidP="00C71AF3">
      <w:pPr>
        <w:numPr>
          <w:ilvl w:val="0"/>
          <w:numId w:val="8"/>
        </w:numPr>
        <w:spacing w:after="0" w:line="360" w:lineRule="auto"/>
        <w:ind w:left="0" w:firstLine="397"/>
        <w:jc w:val="both"/>
        <w:rPr>
          <w:rFonts w:cstheme="minorHAnsi"/>
          <w:b/>
          <w:sz w:val="28"/>
          <w:szCs w:val="28"/>
        </w:rPr>
      </w:pPr>
      <w:r w:rsidRPr="005E1103">
        <w:rPr>
          <w:rFonts w:cstheme="minorHAnsi"/>
          <w:sz w:val="28"/>
          <w:szCs w:val="28"/>
        </w:rPr>
        <w:t>Evaluar el diseño y puesta en práctica del programa de formación.</w:t>
      </w:r>
    </w:p>
    <w:p w:rsidR="00C71AF3" w:rsidRPr="005E1103" w:rsidRDefault="00C71AF3" w:rsidP="00C71AF3">
      <w:pPr>
        <w:spacing w:line="360" w:lineRule="auto"/>
        <w:ind w:firstLine="397"/>
        <w:jc w:val="both"/>
        <w:rPr>
          <w:rFonts w:cstheme="minorHAnsi"/>
          <w:sz w:val="28"/>
          <w:szCs w:val="28"/>
        </w:rPr>
      </w:pPr>
      <w:r w:rsidRPr="005E1103">
        <w:rPr>
          <w:rFonts w:cstheme="minorHAnsi"/>
          <w:sz w:val="28"/>
          <w:szCs w:val="28"/>
        </w:rPr>
        <w:t xml:space="preserve">En cuanto a la estructura del programa, éste se compone </w:t>
      </w:r>
      <w:r w:rsidR="00125D27" w:rsidRPr="005E1103">
        <w:rPr>
          <w:rFonts w:cstheme="minorHAnsi"/>
          <w:sz w:val="28"/>
          <w:szCs w:val="28"/>
        </w:rPr>
        <w:t>de ocho</w:t>
      </w:r>
      <w:r w:rsidRPr="005E1103">
        <w:rPr>
          <w:rFonts w:cstheme="minorHAnsi"/>
          <w:sz w:val="28"/>
          <w:szCs w:val="28"/>
        </w:rPr>
        <w:t xml:space="preserve"> módulos de contenidos con una duración que oscila entre tres y ocho horas cada uno:</w:t>
      </w:r>
    </w:p>
    <w:p w:rsidR="00C71AF3" w:rsidRPr="005E1103" w:rsidRDefault="00C71AF3" w:rsidP="00C71AF3">
      <w:pPr>
        <w:pStyle w:val="Prrafodelista"/>
        <w:numPr>
          <w:ilvl w:val="0"/>
          <w:numId w:val="9"/>
        </w:numPr>
        <w:spacing w:before="0" w:line="360" w:lineRule="auto"/>
        <w:ind w:left="426" w:firstLine="397"/>
        <w:jc w:val="both"/>
        <w:rPr>
          <w:rFonts w:asciiTheme="minorHAnsi" w:hAnsiTheme="minorHAnsi" w:cstheme="minorHAnsi"/>
          <w:sz w:val="28"/>
          <w:szCs w:val="28"/>
        </w:rPr>
      </w:pPr>
      <w:r w:rsidRPr="005E1103">
        <w:rPr>
          <w:rFonts w:asciiTheme="minorHAnsi" w:hAnsiTheme="minorHAnsi" w:cstheme="minorHAnsi"/>
          <w:sz w:val="28"/>
          <w:szCs w:val="28"/>
        </w:rPr>
        <w:t xml:space="preserve">Módulo 1: La discapacidad ¿qué es, </w:t>
      </w:r>
      <w:r w:rsidR="00125D27" w:rsidRPr="005E1103">
        <w:rPr>
          <w:rFonts w:asciiTheme="minorHAnsi" w:hAnsiTheme="minorHAnsi" w:cstheme="minorHAnsi"/>
          <w:sz w:val="28"/>
          <w:szCs w:val="28"/>
        </w:rPr>
        <w:t>¿cómo explicarla y cómo abordarla en las aulas?</w:t>
      </w:r>
      <w:r w:rsidRPr="005E1103">
        <w:rPr>
          <w:rFonts w:asciiTheme="minorHAnsi" w:hAnsiTheme="minorHAnsi" w:cstheme="minorHAnsi"/>
          <w:sz w:val="28"/>
          <w:szCs w:val="28"/>
        </w:rPr>
        <w:t xml:space="preserve"> </w:t>
      </w:r>
    </w:p>
    <w:p w:rsidR="00C71AF3" w:rsidRPr="005E1103" w:rsidRDefault="00C71AF3" w:rsidP="00C71AF3">
      <w:pPr>
        <w:pStyle w:val="Prrafodelista"/>
        <w:numPr>
          <w:ilvl w:val="0"/>
          <w:numId w:val="9"/>
        </w:numPr>
        <w:spacing w:before="0" w:line="360" w:lineRule="auto"/>
        <w:ind w:left="426" w:firstLine="397"/>
        <w:jc w:val="both"/>
        <w:rPr>
          <w:rFonts w:asciiTheme="minorHAnsi" w:hAnsiTheme="minorHAnsi" w:cstheme="minorHAnsi"/>
          <w:sz w:val="28"/>
          <w:szCs w:val="28"/>
        </w:rPr>
      </w:pPr>
      <w:r w:rsidRPr="005E1103">
        <w:rPr>
          <w:rFonts w:asciiTheme="minorHAnsi" w:hAnsiTheme="minorHAnsi" w:cstheme="minorHAnsi"/>
          <w:sz w:val="28"/>
          <w:szCs w:val="28"/>
        </w:rPr>
        <w:t>M</w:t>
      </w:r>
      <w:r w:rsidRPr="005E1103">
        <w:rPr>
          <w:rFonts w:asciiTheme="minorHAnsi" w:hAnsiTheme="minorHAnsi" w:cstheme="minorHAnsi"/>
          <w:vanish/>
          <w:sz w:val="28"/>
          <w:szCs w:val="28"/>
        </w:rPr>
        <w:t xml:space="preserve">dulo y, </w:t>
      </w:r>
      <w:r w:rsidRPr="005E1103">
        <w:rPr>
          <w:rFonts w:cs="Calibri"/>
          <w:vanish/>
          <w:sz w:val="28"/>
          <w:szCs w:val="28"/>
        </w:rPr>
        <w:t>﷽﷽</w:t>
      </w:r>
      <w:r w:rsidRPr="005E1103">
        <w:rPr>
          <w:rFonts w:asciiTheme="minorHAnsi" w:hAnsiTheme="minorHAnsi" w:cstheme="minorHAnsi"/>
          <w:vanish/>
          <w:sz w:val="28"/>
          <w:szCs w:val="28"/>
        </w:rPr>
        <w:t>as en el mar en el contenido, referencias bibliogra a distancia, dudas, prso 2015/2016).o en llo, podemos en</w:t>
      </w:r>
      <w:r w:rsidRPr="005E1103">
        <w:rPr>
          <w:rFonts w:asciiTheme="minorHAnsi" w:hAnsiTheme="minorHAnsi" w:cstheme="minorHAnsi"/>
          <w:vanish/>
          <w:sz w:val="28"/>
          <w:szCs w:val="28"/>
        </w:rPr>
        <w:pgNum/>
      </w:r>
      <w:r w:rsidRPr="005E1103">
        <w:rPr>
          <w:rFonts w:asciiTheme="minorHAnsi" w:hAnsiTheme="minorHAnsi" w:cstheme="minorHAnsi"/>
          <w:vanish/>
          <w:sz w:val="28"/>
          <w:szCs w:val="28"/>
        </w:rPr>
        <w:pgNum/>
      </w:r>
      <w:r w:rsidRPr="005E1103">
        <w:rPr>
          <w:rFonts w:asciiTheme="minorHAnsi" w:hAnsiTheme="minorHAnsi" w:cstheme="minorHAnsi"/>
          <w:vanish/>
          <w:sz w:val="28"/>
          <w:szCs w:val="28"/>
        </w:rPr>
        <w:pgNum/>
      </w:r>
      <w:r w:rsidRPr="005E1103">
        <w:rPr>
          <w:rFonts w:asciiTheme="minorHAnsi" w:hAnsiTheme="minorHAnsi" w:cstheme="minorHAnsi"/>
          <w:vanish/>
          <w:sz w:val="28"/>
          <w:szCs w:val="28"/>
        </w:rPr>
        <w:pgNum/>
      </w:r>
      <w:r w:rsidRPr="005E1103">
        <w:rPr>
          <w:rFonts w:asciiTheme="minorHAnsi" w:hAnsiTheme="minorHAnsi" w:cstheme="minorHAnsi"/>
          <w:vanish/>
          <w:sz w:val="28"/>
          <w:szCs w:val="28"/>
        </w:rPr>
        <w:pgNum/>
      </w:r>
      <w:r w:rsidRPr="005E1103">
        <w:rPr>
          <w:rFonts w:asciiTheme="minorHAnsi" w:hAnsiTheme="minorHAnsi" w:cstheme="minorHAnsi"/>
          <w:vanish/>
          <w:sz w:val="28"/>
          <w:szCs w:val="28"/>
        </w:rPr>
        <w:pgNum/>
      </w:r>
      <w:r w:rsidRPr="005E1103">
        <w:rPr>
          <w:rFonts w:asciiTheme="minorHAnsi" w:hAnsiTheme="minorHAnsi" w:cstheme="minorHAnsi"/>
          <w:vanish/>
          <w:sz w:val="28"/>
          <w:szCs w:val="28"/>
        </w:rPr>
        <w:pgNum/>
      </w:r>
      <w:r w:rsidRPr="005E1103">
        <w:rPr>
          <w:rFonts w:asciiTheme="minorHAnsi" w:hAnsiTheme="minorHAnsi" w:cstheme="minorHAnsi"/>
          <w:vanish/>
          <w:sz w:val="28"/>
          <w:szCs w:val="28"/>
        </w:rPr>
        <w:pgNum/>
      </w:r>
      <w:r w:rsidRPr="005E1103">
        <w:rPr>
          <w:rFonts w:asciiTheme="minorHAnsi" w:hAnsiTheme="minorHAnsi" w:cstheme="minorHAnsi"/>
          <w:vanish/>
          <w:sz w:val="28"/>
          <w:szCs w:val="28"/>
        </w:rPr>
        <w:pgNum/>
      </w:r>
      <w:r w:rsidRPr="005E1103">
        <w:rPr>
          <w:rFonts w:asciiTheme="minorHAnsi" w:hAnsiTheme="minorHAnsi" w:cstheme="minorHAnsi"/>
          <w:vanish/>
          <w:sz w:val="28"/>
          <w:szCs w:val="28"/>
        </w:rPr>
        <w:pgNum/>
      </w:r>
      <w:r w:rsidRPr="005E1103">
        <w:rPr>
          <w:rFonts w:asciiTheme="minorHAnsi" w:hAnsiTheme="minorHAnsi" w:cstheme="minorHAnsi"/>
          <w:sz w:val="28"/>
          <w:szCs w:val="28"/>
        </w:rPr>
        <w:t xml:space="preserve">ódulo 2: Barreras y ayudas en la universidad identificadas por estudiantes con discapacidad </w:t>
      </w:r>
    </w:p>
    <w:p w:rsidR="00C71AF3" w:rsidRPr="005E1103" w:rsidRDefault="00C71AF3" w:rsidP="00C71AF3">
      <w:pPr>
        <w:pStyle w:val="Prrafodelista"/>
        <w:numPr>
          <w:ilvl w:val="0"/>
          <w:numId w:val="9"/>
        </w:numPr>
        <w:spacing w:before="0" w:line="360" w:lineRule="auto"/>
        <w:ind w:left="426" w:firstLine="397"/>
        <w:jc w:val="both"/>
        <w:rPr>
          <w:rFonts w:asciiTheme="minorHAnsi" w:hAnsiTheme="minorHAnsi" w:cstheme="minorHAnsi"/>
          <w:sz w:val="28"/>
          <w:szCs w:val="28"/>
        </w:rPr>
      </w:pPr>
      <w:r w:rsidRPr="005E1103">
        <w:rPr>
          <w:rFonts w:asciiTheme="minorHAnsi" w:hAnsiTheme="minorHAnsi" w:cstheme="minorHAnsi"/>
          <w:sz w:val="28"/>
          <w:szCs w:val="28"/>
        </w:rPr>
        <w:t xml:space="preserve">Módulo 3: Normativa universitaria en materia de discapacidad y servicios de atención al alumnado con discapacidad en la Universidad de Sevilla </w:t>
      </w:r>
    </w:p>
    <w:p w:rsidR="00C71AF3" w:rsidRPr="005E1103" w:rsidRDefault="00C71AF3" w:rsidP="00C71AF3">
      <w:pPr>
        <w:pStyle w:val="Prrafodelista"/>
        <w:numPr>
          <w:ilvl w:val="0"/>
          <w:numId w:val="9"/>
        </w:numPr>
        <w:spacing w:before="0" w:line="360" w:lineRule="auto"/>
        <w:ind w:left="426" w:firstLine="397"/>
        <w:jc w:val="both"/>
        <w:rPr>
          <w:rFonts w:asciiTheme="minorHAnsi" w:hAnsiTheme="minorHAnsi" w:cstheme="minorHAnsi"/>
          <w:sz w:val="28"/>
          <w:szCs w:val="28"/>
        </w:rPr>
      </w:pPr>
      <w:r w:rsidRPr="005E1103">
        <w:rPr>
          <w:rFonts w:asciiTheme="minorHAnsi" w:hAnsiTheme="minorHAnsi" w:cstheme="minorHAnsi"/>
          <w:sz w:val="28"/>
          <w:szCs w:val="28"/>
        </w:rPr>
        <w:t xml:space="preserve">Módulo 4: La discapacidad visual: qué es, necesidades y adaptaciones curriculares </w:t>
      </w:r>
    </w:p>
    <w:p w:rsidR="00C71AF3" w:rsidRPr="005E1103" w:rsidRDefault="00C71AF3" w:rsidP="00C71AF3">
      <w:pPr>
        <w:pStyle w:val="Prrafodelista"/>
        <w:numPr>
          <w:ilvl w:val="0"/>
          <w:numId w:val="9"/>
        </w:numPr>
        <w:spacing w:before="0" w:line="360" w:lineRule="auto"/>
        <w:ind w:left="426" w:firstLine="397"/>
        <w:jc w:val="both"/>
        <w:rPr>
          <w:rFonts w:asciiTheme="minorHAnsi" w:hAnsiTheme="minorHAnsi" w:cstheme="minorHAnsi"/>
          <w:sz w:val="28"/>
          <w:szCs w:val="28"/>
        </w:rPr>
      </w:pPr>
      <w:r w:rsidRPr="005E1103">
        <w:rPr>
          <w:rFonts w:asciiTheme="minorHAnsi" w:hAnsiTheme="minorHAnsi" w:cstheme="minorHAnsi"/>
          <w:sz w:val="28"/>
          <w:szCs w:val="28"/>
        </w:rPr>
        <w:t>M</w:t>
      </w:r>
      <w:r w:rsidRPr="005E1103">
        <w:rPr>
          <w:rFonts w:asciiTheme="minorHAnsi" w:hAnsiTheme="minorHAnsi" w:cstheme="minorHAnsi"/>
          <w:vanish/>
          <w:sz w:val="28"/>
          <w:szCs w:val="28"/>
        </w:rPr>
        <w:t xml:space="preserve">dulo y, </w:t>
      </w:r>
      <w:r w:rsidRPr="005E1103">
        <w:rPr>
          <w:rFonts w:cs="Calibri"/>
          <w:vanish/>
          <w:sz w:val="28"/>
          <w:szCs w:val="28"/>
        </w:rPr>
        <w:t>﷽﷽</w:t>
      </w:r>
      <w:r w:rsidRPr="005E1103">
        <w:rPr>
          <w:rFonts w:asciiTheme="minorHAnsi" w:hAnsiTheme="minorHAnsi" w:cstheme="minorHAnsi"/>
          <w:vanish/>
          <w:sz w:val="28"/>
          <w:szCs w:val="28"/>
        </w:rPr>
        <w:t>as en el mar en el contenido, referencias bibliogra a distancia, dudas, prso 2015/2016).o en llo, podemos en</w:t>
      </w:r>
      <w:r w:rsidRPr="005E1103">
        <w:rPr>
          <w:rFonts w:asciiTheme="minorHAnsi" w:hAnsiTheme="minorHAnsi" w:cstheme="minorHAnsi"/>
          <w:vanish/>
          <w:sz w:val="28"/>
          <w:szCs w:val="28"/>
        </w:rPr>
        <w:pgNum/>
      </w:r>
      <w:r w:rsidRPr="005E1103">
        <w:rPr>
          <w:rFonts w:asciiTheme="minorHAnsi" w:hAnsiTheme="minorHAnsi" w:cstheme="minorHAnsi"/>
          <w:vanish/>
          <w:sz w:val="28"/>
          <w:szCs w:val="28"/>
        </w:rPr>
        <w:pgNum/>
      </w:r>
      <w:r w:rsidRPr="005E1103">
        <w:rPr>
          <w:rFonts w:asciiTheme="minorHAnsi" w:hAnsiTheme="minorHAnsi" w:cstheme="minorHAnsi"/>
          <w:vanish/>
          <w:sz w:val="28"/>
          <w:szCs w:val="28"/>
        </w:rPr>
        <w:pgNum/>
      </w:r>
      <w:r w:rsidRPr="005E1103">
        <w:rPr>
          <w:rFonts w:asciiTheme="minorHAnsi" w:hAnsiTheme="minorHAnsi" w:cstheme="minorHAnsi"/>
          <w:vanish/>
          <w:sz w:val="28"/>
          <w:szCs w:val="28"/>
        </w:rPr>
        <w:pgNum/>
      </w:r>
      <w:r w:rsidRPr="005E1103">
        <w:rPr>
          <w:rFonts w:asciiTheme="minorHAnsi" w:hAnsiTheme="minorHAnsi" w:cstheme="minorHAnsi"/>
          <w:vanish/>
          <w:sz w:val="28"/>
          <w:szCs w:val="28"/>
        </w:rPr>
        <w:pgNum/>
      </w:r>
      <w:r w:rsidRPr="005E1103">
        <w:rPr>
          <w:rFonts w:asciiTheme="minorHAnsi" w:hAnsiTheme="minorHAnsi" w:cstheme="minorHAnsi"/>
          <w:vanish/>
          <w:sz w:val="28"/>
          <w:szCs w:val="28"/>
        </w:rPr>
        <w:pgNum/>
      </w:r>
      <w:r w:rsidRPr="005E1103">
        <w:rPr>
          <w:rFonts w:asciiTheme="minorHAnsi" w:hAnsiTheme="minorHAnsi" w:cstheme="minorHAnsi"/>
          <w:vanish/>
          <w:sz w:val="28"/>
          <w:szCs w:val="28"/>
        </w:rPr>
        <w:pgNum/>
      </w:r>
      <w:r w:rsidRPr="005E1103">
        <w:rPr>
          <w:rFonts w:asciiTheme="minorHAnsi" w:hAnsiTheme="minorHAnsi" w:cstheme="minorHAnsi"/>
          <w:vanish/>
          <w:sz w:val="28"/>
          <w:szCs w:val="28"/>
        </w:rPr>
        <w:pgNum/>
      </w:r>
      <w:r w:rsidRPr="005E1103">
        <w:rPr>
          <w:rFonts w:asciiTheme="minorHAnsi" w:hAnsiTheme="minorHAnsi" w:cstheme="minorHAnsi"/>
          <w:vanish/>
          <w:sz w:val="28"/>
          <w:szCs w:val="28"/>
        </w:rPr>
        <w:pgNum/>
      </w:r>
      <w:r w:rsidRPr="005E1103">
        <w:rPr>
          <w:rFonts w:asciiTheme="minorHAnsi" w:hAnsiTheme="minorHAnsi" w:cstheme="minorHAnsi"/>
          <w:vanish/>
          <w:sz w:val="28"/>
          <w:szCs w:val="28"/>
        </w:rPr>
        <w:pgNum/>
      </w:r>
      <w:r w:rsidRPr="005E1103">
        <w:rPr>
          <w:rFonts w:asciiTheme="minorHAnsi" w:hAnsiTheme="minorHAnsi" w:cstheme="minorHAnsi"/>
          <w:sz w:val="28"/>
          <w:szCs w:val="28"/>
        </w:rPr>
        <w:t>ódulo 5: La discapacidad auditiva: qué es, necesidades y adaptaciones curriculares</w:t>
      </w:r>
    </w:p>
    <w:p w:rsidR="00C71AF3" w:rsidRPr="005E1103" w:rsidRDefault="00C71AF3" w:rsidP="00C71AF3">
      <w:pPr>
        <w:pStyle w:val="Prrafodelista"/>
        <w:numPr>
          <w:ilvl w:val="0"/>
          <w:numId w:val="9"/>
        </w:numPr>
        <w:spacing w:before="0" w:line="360" w:lineRule="auto"/>
        <w:ind w:left="426" w:firstLine="397"/>
        <w:jc w:val="both"/>
        <w:rPr>
          <w:rFonts w:asciiTheme="minorHAnsi" w:hAnsiTheme="minorHAnsi" w:cstheme="minorHAnsi"/>
          <w:sz w:val="28"/>
          <w:szCs w:val="28"/>
        </w:rPr>
      </w:pPr>
      <w:r w:rsidRPr="005E1103">
        <w:rPr>
          <w:rFonts w:asciiTheme="minorHAnsi" w:hAnsiTheme="minorHAnsi" w:cstheme="minorHAnsi"/>
          <w:sz w:val="28"/>
          <w:szCs w:val="28"/>
        </w:rPr>
        <w:t>Módulo 6: La discapacidad mental: qué es, necesidades y adaptaciones curriculares</w:t>
      </w:r>
    </w:p>
    <w:p w:rsidR="00C71AF3" w:rsidRPr="005E1103" w:rsidRDefault="00C71AF3" w:rsidP="00C71AF3">
      <w:pPr>
        <w:pStyle w:val="Prrafodelista"/>
        <w:numPr>
          <w:ilvl w:val="0"/>
          <w:numId w:val="9"/>
        </w:numPr>
        <w:spacing w:before="0" w:line="360" w:lineRule="auto"/>
        <w:ind w:left="426" w:firstLine="397"/>
        <w:jc w:val="both"/>
        <w:rPr>
          <w:rFonts w:asciiTheme="minorHAnsi" w:hAnsiTheme="minorHAnsi" w:cstheme="minorHAnsi"/>
          <w:sz w:val="28"/>
          <w:szCs w:val="28"/>
        </w:rPr>
      </w:pPr>
      <w:r w:rsidRPr="005E1103">
        <w:rPr>
          <w:rFonts w:asciiTheme="minorHAnsi" w:hAnsiTheme="minorHAnsi" w:cstheme="minorHAnsi"/>
          <w:sz w:val="28"/>
          <w:szCs w:val="28"/>
        </w:rPr>
        <w:t>Módulo 7: La discapacidad física y la discapacidad orgánica: qué es, necesidades y adaptaciones curriculares</w:t>
      </w:r>
    </w:p>
    <w:p w:rsidR="00C71AF3" w:rsidRPr="005E1103" w:rsidRDefault="00C71AF3" w:rsidP="00C71AF3">
      <w:pPr>
        <w:pStyle w:val="Prrafodelista"/>
        <w:numPr>
          <w:ilvl w:val="0"/>
          <w:numId w:val="9"/>
        </w:numPr>
        <w:spacing w:before="0" w:line="360" w:lineRule="auto"/>
        <w:ind w:left="426" w:firstLine="397"/>
        <w:jc w:val="both"/>
        <w:rPr>
          <w:rFonts w:asciiTheme="minorHAnsi" w:hAnsiTheme="minorHAnsi" w:cstheme="minorHAnsi"/>
          <w:sz w:val="28"/>
          <w:szCs w:val="28"/>
        </w:rPr>
      </w:pPr>
      <w:r w:rsidRPr="005E1103">
        <w:rPr>
          <w:rFonts w:asciiTheme="minorHAnsi" w:hAnsiTheme="minorHAnsi" w:cstheme="minorHAnsi"/>
          <w:sz w:val="28"/>
          <w:szCs w:val="28"/>
        </w:rPr>
        <w:lastRenderedPageBreak/>
        <w:t>Módulo 8: Diseño Universal de Aprendizaje. Buenas prácticas de inclusión</w:t>
      </w:r>
    </w:p>
    <w:p w:rsidR="00C71AF3" w:rsidRPr="005E1103" w:rsidRDefault="00C71AF3" w:rsidP="00C71AF3">
      <w:pPr>
        <w:spacing w:line="360" w:lineRule="auto"/>
        <w:ind w:firstLine="397"/>
        <w:jc w:val="both"/>
        <w:rPr>
          <w:rFonts w:cstheme="minorHAnsi"/>
          <w:sz w:val="28"/>
          <w:szCs w:val="28"/>
        </w:rPr>
      </w:pPr>
      <w:r w:rsidRPr="005E1103">
        <w:rPr>
          <w:rFonts w:cstheme="minorHAnsi"/>
          <w:sz w:val="28"/>
          <w:szCs w:val="28"/>
        </w:rPr>
        <w:t>Cada módulo está organizado en torno a diez apartados: objetivos, esquema del módulo, actividad inicial, contenidos, actividades de evaluación, resumen y esquema final de los contenidos, evaluación, referencias bibliográficas para profundizar en el contenido, referencias bibliográficas en las que se ha basado el módulo y glosario.</w:t>
      </w:r>
    </w:p>
    <w:p w:rsidR="00C71AF3" w:rsidRPr="005E1103" w:rsidRDefault="00C71AF3" w:rsidP="00C71AF3">
      <w:pPr>
        <w:spacing w:line="360" w:lineRule="auto"/>
        <w:ind w:firstLine="397"/>
        <w:jc w:val="both"/>
        <w:rPr>
          <w:rFonts w:cstheme="minorHAnsi"/>
          <w:sz w:val="28"/>
          <w:szCs w:val="28"/>
        </w:rPr>
      </w:pPr>
      <w:r w:rsidRPr="005E1103">
        <w:rPr>
          <w:rFonts w:cstheme="minorHAnsi"/>
          <w:sz w:val="28"/>
          <w:szCs w:val="28"/>
        </w:rPr>
        <w:t>Este programa se desarrolla a través de una modalidad de formación llamada blended-learning. Se contempla, por tanto, una parte de formación presencial (12 horas) y otra online (42 horas), organizadas a lo largo de cinco meses con un total de 54 horas de duración.</w:t>
      </w:r>
    </w:p>
    <w:p w:rsidR="00C71AF3" w:rsidRPr="005E1103" w:rsidRDefault="00C71AF3" w:rsidP="00C71AF3">
      <w:pPr>
        <w:spacing w:line="360" w:lineRule="auto"/>
        <w:ind w:firstLine="397"/>
        <w:jc w:val="both"/>
        <w:rPr>
          <w:rFonts w:cstheme="minorHAnsi"/>
          <w:sz w:val="28"/>
          <w:szCs w:val="28"/>
        </w:rPr>
      </w:pPr>
      <w:r w:rsidRPr="005E1103">
        <w:rPr>
          <w:rFonts w:cstheme="minorHAnsi"/>
          <w:sz w:val="28"/>
          <w:szCs w:val="28"/>
        </w:rPr>
        <w:t xml:space="preserve">Las horas presenciales están distribuidas en tres sesiones de cuatro horas (al principio, mitad y final del desarrollo), donde se presentan casos reales con testimonios de estudiantes con discapacidad, se resuelven dudas de la formación </w:t>
      </w:r>
      <w:r w:rsidR="00125D27" w:rsidRPr="005E1103">
        <w:rPr>
          <w:rFonts w:cstheme="minorHAnsi"/>
          <w:sz w:val="28"/>
          <w:szCs w:val="28"/>
        </w:rPr>
        <w:t>online, así</w:t>
      </w:r>
      <w:r w:rsidRPr="005E1103">
        <w:rPr>
          <w:rFonts w:cstheme="minorHAnsi"/>
          <w:sz w:val="28"/>
          <w:szCs w:val="28"/>
        </w:rPr>
        <w:t xml:space="preserve"> como se lleva a cabo la evaluación de la puesta en práctica del curso de formación.</w:t>
      </w:r>
    </w:p>
    <w:p w:rsidR="00C71AF3" w:rsidRPr="005E1103" w:rsidRDefault="00C71AF3" w:rsidP="00C71AF3">
      <w:pPr>
        <w:widowControl w:val="0"/>
        <w:autoSpaceDE w:val="0"/>
        <w:autoSpaceDN w:val="0"/>
        <w:adjustRightInd w:val="0"/>
        <w:spacing w:line="360" w:lineRule="auto"/>
        <w:ind w:firstLine="397"/>
        <w:jc w:val="both"/>
        <w:rPr>
          <w:rFonts w:cstheme="minorHAnsi"/>
          <w:b/>
          <w:sz w:val="28"/>
          <w:szCs w:val="28"/>
        </w:rPr>
      </w:pPr>
      <w:r w:rsidRPr="005E1103">
        <w:rPr>
          <w:rFonts w:cstheme="minorHAnsi"/>
          <w:b/>
          <w:sz w:val="28"/>
          <w:szCs w:val="28"/>
        </w:rPr>
        <w:t>Metodología</w:t>
      </w:r>
    </w:p>
    <w:p w:rsidR="00C71AF3" w:rsidRPr="005E1103" w:rsidRDefault="00C71AF3" w:rsidP="00C71AF3">
      <w:pPr>
        <w:spacing w:line="360" w:lineRule="auto"/>
        <w:ind w:firstLine="397"/>
        <w:jc w:val="both"/>
        <w:rPr>
          <w:rFonts w:cstheme="minorHAnsi"/>
          <w:noProof/>
          <w:sz w:val="28"/>
          <w:szCs w:val="28"/>
        </w:rPr>
      </w:pPr>
      <w:r w:rsidRPr="005E1103">
        <w:rPr>
          <w:rFonts w:cstheme="minorHAnsi"/>
          <w:noProof/>
          <w:sz w:val="28"/>
          <w:szCs w:val="28"/>
        </w:rPr>
        <w:t>La metodología de investigación empleada en esta investigación es de carácter cualitativo, concretamente a través del estudio de caso, se ha llevado a cabo la evaluación del diseño, desarrollo e impacto del programa de formación. La elección de esta metodología viene derivada por su carácter reflexivo ya que, a través de narraciones y testimonios reales podemos ilustrar, reforzar y clarificar aspectos teóricos (Pujadas, 2002).</w:t>
      </w:r>
    </w:p>
    <w:p w:rsidR="00C71AF3" w:rsidRPr="005E1103" w:rsidRDefault="00C71AF3" w:rsidP="00C71AF3">
      <w:pPr>
        <w:spacing w:line="360" w:lineRule="auto"/>
        <w:ind w:firstLine="397"/>
        <w:jc w:val="both"/>
        <w:rPr>
          <w:rFonts w:cstheme="minorHAnsi"/>
          <w:noProof/>
          <w:sz w:val="28"/>
          <w:szCs w:val="28"/>
        </w:rPr>
      </w:pPr>
      <w:r w:rsidRPr="005E1103">
        <w:rPr>
          <w:rFonts w:cstheme="minorHAnsi"/>
          <w:noProof/>
          <w:sz w:val="28"/>
          <w:szCs w:val="28"/>
        </w:rPr>
        <w:t xml:space="preserve">Para la evaluación del diseño del programa y correspondiendo con el tercer objetivo general, se ha hecho uso del método de juicio, mediante el cual diferentes evaluadores han cumplimentado un cuestionario abierto de evaluación.  </w:t>
      </w:r>
    </w:p>
    <w:p w:rsidR="00C71AF3" w:rsidRPr="005E1103" w:rsidRDefault="00C71AF3" w:rsidP="00C71AF3">
      <w:pPr>
        <w:spacing w:line="360" w:lineRule="auto"/>
        <w:ind w:firstLine="397"/>
        <w:jc w:val="both"/>
        <w:rPr>
          <w:rFonts w:cstheme="minorHAnsi"/>
          <w:noProof/>
          <w:sz w:val="28"/>
          <w:szCs w:val="28"/>
        </w:rPr>
      </w:pPr>
      <w:r w:rsidRPr="005E1103">
        <w:rPr>
          <w:rFonts w:cstheme="minorHAnsi"/>
          <w:noProof/>
          <w:sz w:val="28"/>
          <w:szCs w:val="28"/>
        </w:rPr>
        <w:t xml:space="preserve">La muestra está configurada por 11 expertos de diferentes universidades españolas. El perfil de los evaluadores se ha centrado en dos: expertos de reconocido prestigio en la </w:t>
      </w:r>
      <w:r w:rsidRPr="005E1103">
        <w:rPr>
          <w:rFonts w:cstheme="minorHAnsi"/>
          <w:noProof/>
          <w:sz w:val="28"/>
          <w:szCs w:val="28"/>
        </w:rPr>
        <w:lastRenderedPageBreak/>
        <w:t xml:space="preserve">materia (un total de siete docentes) y estudiantes con discapacidad (cuatro alumnos). Los participantes pertenecen a diversas áreas de conocimiento, encontrándose el grueso de los mismos en las titulaciones de psicología y ciencias de la educación de distintas universidades españolas. Cada módulo formativo fue enviado a dos expertos de la materia para su evaluación y posterior implementación. </w:t>
      </w:r>
    </w:p>
    <w:p w:rsidR="00C71AF3" w:rsidRDefault="00C71AF3" w:rsidP="00C71AF3">
      <w:pPr>
        <w:widowControl w:val="0"/>
        <w:autoSpaceDE w:val="0"/>
        <w:autoSpaceDN w:val="0"/>
        <w:adjustRightInd w:val="0"/>
        <w:spacing w:line="360" w:lineRule="auto"/>
        <w:ind w:firstLine="397"/>
        <w:jc w:val="both"/>
        <w:rPr>
          <w:rFonts w:cstheme="minorHAnsi"/>
          <w:sz w:val="28"/>
          <w:szCs w:val="28"/>
        </w:rPr>
      </w:pPr>
      <w:r w:rsidRPr="005E1103">
        <w:rPr>
          <w:rFonts w:cstheme="minorHAnsi"/>
          <w:sz w:val="28"/>
          <w:szCs w:val="28"/>
        </w:rPr>
        <w:t>Concretamente, la evaluación se ha centrado en seis criterios: claridad, adecuación, relevancia, secuenciación, aplicabilidad y suficiencia.</w:t>
      </w:r>
    </w:p>
    <w:p w:rsidR="00125D27" w:rsidRPr="005E1103" w:rsidRDefault="00125D27" w:rsidP="00C71AF3">
      <w:pPr>
        <w:widowControl w:val="0"/>
        <w:autoSpaceDE w:val="0"/>
        <w:autoSpaceDN w:val="0"/>
        <w:adjustRightInd w:val="0"/>
        <w:spacing w:line="360" w:lineRule="auto"/>
        <w:ind w:firstLine="397"/>
        <w:jc w:val="both"/>
        <w:rPr>
          <w:rFonts w:cstheme="minorHAnsi"/>
          <w:sz w:val="28"/>
          <w:szCs w:val="28"/>
        </w:rPr>
      </w:pPr>
    </w:p>
    <w:tbl>
      <w:tblPr>
        <w:tblStyle w:val="Listaclara-nfasis5"/>
        <w:tblW w:w="0" w:type="auto"/>
        <w:tblLook w:val="04A0" w:firstRow="1" w:lastRow="0" w:firstColumn="1" w:lastColumn="0" w:noHBand="0" w:noVBand="1"/>
      </w:tblPr>
      <w:tblGrid>
        <w:gridCol w:w="1897"/>
        <w:gridCol w:w="6823"/>
      </w:tblGrid>
      <w:tr w:rsidR="00C71AF3" w:rsidRPr="005E1103" w:rsidTr="00C71AF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20" w:type="dxa"/>
            <w:gridSpan w:val="2"/>
          </w:tcPr>
          <w:p w:rsidR="00C71AF3" w:rsidRPr="005E1103" w:rsidRDefault="00C71AF3" w:rsidP="00C71AF3">
            <w:pPr>
              <w:ind w:firstLine="0"/>
              <w:jc w:val="center"/>
              <w:rPr>
                <w:rFonts w:cstheme="minorHAnsi"/>
                <w:b w:val="0"/>
                <w:sz w:val="28"/>
                <w:szCs w:val="28"/>
              </w:rPr>
            </w:pPr>
            <w:r w:rsidRPr="005E1103">
              <w:rPr>
                <w:rFonts w:cstheme="minorHAnsi"/>
                <w:b w:val="0"/>
                <w:sz w:val="28"/>
                <w:szCs w:val="28"/>
              </w:rPr>
              <w:t>DEFINICIÓN DE LOS CRITERIOS</w:t>
            </w:r>
          </w:p>
        </w:tc>
      </w:tr>
      <w:tr w:rsidR="00C71AF3" w:rsidRPr="005E1103" w:rsidTr="00C71A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7" w:type="dxa"/>
          </w:tcPr>
          <w:p w:rsidR="00C71AF3" w:rsidRPr="005E1103" w:rsidRDefault="00C71AF3" w:rsidP="00C71AF3">
            <w:pPr>
              <w:ind w:firstLine="0"/>
              <w:jc w:val="center"/>
              <w:rPr>
                <w:rFonts w:cstheme="minorHAnsi"/>
                <w:sz w:val="28"/>
                <w:szCs w:val="28"/>
              </w:rPr>
            </w:pPr>
            <w:r w:rsidRPr="005E1103">
              <w:rPr>
                <w:rFonts w:cstheme="minorHAnsi"/>
                <w:sz w:val="28"/>
                <w:szCs w:val="28"/>
              </w:rPr>
              <w:t>Criterio</w:t>
            </w:r>
          </w:p>
        </w:tc>
        <w:tc>
          <w:tcPr>
            <w:tcW w:w="6823" w:type="dxa"/>
          </w:tcPr>
          <w:p w:rsidR="00C71AF3" w:rsidRPr="005E1103" w:rsidRDefault="00C71AF3" w:rsidP="00C71AF3">
            <w:pPr>
              <w:ind w:firstLine="0"/>
              <w:jc w:val="center"/>
              <w:cnfStyle w:val="000000100000" w:firstRow="0" w:lastRow="0" w:firstColumn="0" w:lastColumn="0" w:oddVBand="0" w:evenVBand="0" w:oddHBand="1" w:evenHBand="0" w:firstRowFirstColumn="0" w:firstRowLastColumn="0" w:lastRowFirstColumn="0" w:lastRowLastColumn="0"/>
              <w:rPr>
                <w:rFonts w:cstheme="minorHAnsi"/>
                <w:b/>
                <w:sz w:val="28"/>
                <w:szCs w:val="28"/>
              </w:rPr>
            </w:pPr>
            <w:r w:rsidRPr="005E1103">
              <w:rPr>
                <w:rFonts w:cstheme="minorHAnsi"/>
                <w:b/>
                <w:sz w:val="28"/>
                <w:szCs w:val="28"/>
              </w:rPr>
              <w:t>Definición</w:t>
            </w:r>
          </w:p>
        </w:tc>
      </w:tr>
      <w:tr w:rsidR="00C71AF3" w:rsidRPr="005E1103" w:rsidTr="00C71AF3">
        <w:tc>
          <w:tcPr>
            <w:cnfStyle w:val="001000000000" w:firstRow="0" w:lastRow="0" w:firstColumn="1" w:lastColumn="0" w:oddVBand="0" w:evenVBand="0" w:oddHBand="0" w:evenHBand="0" w:firstRowFirstColumn="0" w:firstRowLastColumn="0" w:lastRowFirstColumn="0" w:lastRowLastColumn="0"/>
            <w:tcW w:w="1897" w:type="dxa"/>
          </w:tcPr>
          <w:p w:rsidR="00C71AF3" w:rsidRPr="005E1103" w:rsidRDefault="00C71AF3" w:rsidP="00C71AF3">
            <w:pPr>
              <w:spacing w:after="200" w:line="360" w:lineRule="auto"/>
              <w:ind w:firstLine="0"/>
              <w:rPr>
                <w:rFonts w:cstheme="minorHAnsi"/>
                <w:sz w:val="28"/>
                <w:szCs w:val="28"/>
              </w:rPr>
            </w:pPr>
            <w:r w:rsidRPr="005E1103">
              <w:rPr>
                <w:rFonts w:cstheme="minorHAnsi"/>
                <w:sz w:val="28"/>
                <w:szCs w:val="28"/>
              </w:rPr>
              <w:t>Claridad</w:t>
            </w:r>
          </w:p>
        </w:tc>
        <w:tc>
          <w:tcPr>
            <w:tcW w:w="6823" w:type="dxa"/>
          </w:tcPr>
          <w:p w:rsidR="00C71AF3" w:rsidRPr="005E1103" w:rsidRDefault="00C71AF3" w:rsidP="00C71AF3">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 w:val="28"/>
                <w:szCs w:val="28"/>
              </w:rPr>
            </w:pPr>
            <w:r w:rsidRPr="005E1103">
              <w:rPr>
                <w:rFonts w:cstheme="minorHAnsi"/>
                <w:sz w:val="28"/>
                <w:szCs w:val="28"/>
              </w:rPr>
              <w:t>Todos los apartados del módulo presentan una lectura sencilla y las ideas que pretenden transmitir son precisas y se presentan con una redacción adecuada a los destinatarios de la formación.</w:t>
            </w:r>
          </w:p>
        </w:tc>
      </w:tr>
      <w:tr w:rsidR="00C71AF3" w:rsidRPr="005E1103" w:rsidTr="00C71A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7" w:type="dxa"/>
          </w:tcPr>
          <w:p w:rsidR="00C71AF3" w:rsidRPr="005E1103" w:rsidRDefault="00C71AF3" w:rsidP="00C71AF3">
            <w:pPr>
              <w:spacing w:after="200" w:line="360" w:lineRule="auto"/>
              <w:ind w:firstLine="0"/>
              <w:rPr>
                <w:rFonts w:cstheme="minorHAnsi"/>
                <w:sz w:val="28"/>
                <w:szCs w:val="28"/>
              </w:rPr>
            </w:pPr>
            <w:r w:rsidRPr="005E1103">
              <w:rPr>
                <w:rFonts w:cstheme="minorHAnsi"/>
                <w:sz w:val="28"/>
                <w:szCs w:val="28"/>
              </w:rPr>
              <w:t>Adecuación</w:t>
            </w:r>
          </w:p>
        </w:tc>
        <w:tc>
          <w:tcPr>
            <w:tcW w:w="6823" w:type="dxa"/>
          </w:tcPr>
          <w:p w:rsidR="00C71AF3" w:rsidRPr="005E1103" w:rsidRDefault="00C71AF3" w:rsidP="00C71AF3">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 w:val="28"/>
                <w:szCs w:val="28"/>
              </w:rPr>
            </w:pPr>
            <w:r w:rsidRPr="005E1103">
              <w:rPr>
                <w:rFonts w:cstheme="minorHAnsi"/>
                <w:sz w:val="28"/>
                <w:szCs w:val="28"/>
              </w:rPr>
              <w:t>Todas las partes del módulo están diseñadas de manera idónea para permitir alcanzar los objetivos de aprendizaje establecidos.</w:t>
            </w:r>
          </w:p>
        </w:tc>
      </w:tr>
      <w:tr w:rsidR="00C71AF3" w:rsidRPr="005E1103" w:rsidTr="00C71AF3">
        <w:tc>
          <w:tcPr>
            <w:cnfStyle w:val="001000000000" w:firstRow="0" w:lastRow="0" w:firstColumn="1" w:lastColumn="0" w:oddVBand="0" w:evenVBand="0" w:oddHBand="0" w:evenHBand="0" w:firstRowFirstColumn="0" w:firstRowLastColumn="0" w:lastRowFirstColumn="0" w:lastRowLastColumn="0"/>
            <w:tcW w:w="1897" w:type="dxa"/>
          </w:tcPr>
          <w:p w:rsidR="00C71AF3" w:rsidRPr="005E1103" w:rsidRDefault="00C71AF3" w:rsidP="00C71AF3">
            <w:pPr>
              <w:spacing w:after="200" w:line="360" w:lineRule="auto"/>
              <w:ind w:firstLine="0"/>
              <w:rPr>
                <w:rFonts w:cstheme="minorHAnsi"/>
                <w:sz w:val="28"/>
                <w:szCs w:val="28"/>
              </w:rPr>
            </w:pPr>
            <w:r w:rsidRPr="005E1103">
              <w:rPr>
                <w:rFonts w:cstheme="minorHAnsi"/>
                <w:sz w:val="28"/>
                <w:szCs w:val="28"/>
              </w:rPr>
              <w:t>Relevancia</w:t>
            </w:r>
          </w:p>
        </w:tc>
        <w:tc>
          <w:tcPr>
            <w:tcW w:w="6823" w:type="dxa"/>
          </w:tcPr>
          <w:p w:rsidR="00C71AF3" w:rsidRPr="005E1103" w:rsidRDefault="00C71AF3" w:rsidP="00C71AF3">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 w:val="28"/>
                <w:szCs w:val="28"/>
              </w:rPr>
            </w:pPr>
            <w:r w:rsidRPr="005E1103">
              <w:rPr>
                <w:rFonts w:cstheme="minorHAnsi"/>
                <w:sz w:val="28"/>
                <w:szCs w:val="28"/>
              </w:rPr>
              <w:t>Los contenidos que se presentan sobre la temática del módulo son actuales y significativos para la formación del docente.</w:t>
            </w:r>
          </w:p>
        </w:tc>
      </w:tr>
      <w:tr w:rsidR="00C71AF3" w:rsidRPr="005E1103" w:rsidTr="00C71A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7" w:type="dxa"/>
          </w:tcPr>
          <w:p w:rsidR="00C71AF3" w:rsidRPr="005E1103" w:rsidRDefault="00C71AF3" w:rsidP="00C71AF3">
            <w:pPr>
              <w:spacing w:after="200" w:line="360" w:lineRule="auto"/>
              <w:ind w:firstLine="0"/>
              <w:rPr>
                <w:rFonts w:cstheme="minorHAnsi"/>
                <w:sz w:val="28"/>
                <w:szCs w:val="28"/>
              </w:rPr>
            </w:pPr>
            <w:r w:rsidRPr="005E1103">
              <w:rPr>
                <w:rFonts w:cstheme="minorHAnsi"/>
                <w:sz w:val="28"/>
                <w:szCs w:val="28"/>
              </w:rPr>
              <w:t>Secuenciación</w:t>
            </w:r>
          </w:p>
        </w:tc>
        <w:tc>
          <w:tcPr>
            <w:tcW w:w="6823" w:type="dxa"/>
          </w:tcPr>
          <w:p w:rsidR="00C71AF3" w:rsidRPr="005E1103" w:rsidRDefault="00C71AF3" w:rsidP="00C71AF3">
            <w:pPr>
              <w:spacing w:line="276" w:lineRule="auto"/>
              <w:ind w:firstLine="0"/>
              <w:cnfStyle w:val="000000100000" w:firstRow="0" w:lastRow="0" w:firstColumn="0" w:lastColumn="0" w:oddVBand="0" w:evenVBand="0" w:oddHBand="1" w:evenHBand="0" w:firstRowFirstColumn="0" w:firstRowLastColumn="0" w:lastRowFirstColumn="0" w:lastRowLastColumn="0"/>
              <w:rPr>
                <w:rFonts w:cstheme="minorHAnsi"/>
                <w:color w:val="2F5496" w:themeColor="accent5" w:themeShade="BF"/>
                <w:sz w:val="28"/>
                <w:szCs w:val="28"/>
              </w:rPr>
            </w:pPr>
            <w:r w:rsidRPr="005E1103">
              <w:rPr>
                <w:rFonts w:cstheme="minorHAnsi"/>
                <w:sz w:val="28"/>
                <w:szCs w:val="28"/>
              </w:rPr>
              <w:t>Los apartados del módulo y el discurso están estructurados con un orden lógico, adecuado y fácil de seguir.</w:t>
            </w:r>
          </w:p>
        </w:tc>
      </w:tr>
      <w:tr w:rsidR="00C71AF3" w:rsidRPr="005E1103" w:rsidTr="00C71AF3">
        <w:tc>
          <w:tcPr>
            <w:cnfStyle w:val="001000000000" w:firstRow="0" w:lastRow="0" w:firstColumn="1" w:lastColumn="0" w:oddVBand="0" w:evenVBand="0" w:oddHBand="0" w:evenHBand="0" w:firstRowFirstColumn="0" w:firstRowLastColumn="0" w:lastRowFirstColumn="0" w:lastRowLastColumn="0"/>
            <w:tcW w:w="1897" w:type="dxa"/>
          </w:tcPr>
          <w:p w:rsidR="00C71AF3" w:rsidRPr="005E1103" w:rsidRDefault="00C71AF3" w:rsidP="00C71AF3">
            <w:pPr>
              <w:ind w:firstLine="0"/>
              <w:rPr>
                <w:rFonts w:cstheme="minorHAnsi"/>
                <w:sz w:val="28"/>
                <w:szCs w:val="28"/>
              </w:rPr>
            </w:pPr>
            <w:r w:rsidRPr="005E1103">
              <w:rPr>
                <w:rFonts w:cstheme="minorHAnsi"/>
                <w:sz w:val="28"/>
                <w:szCs w:val="28"/>
              </w:rPr>
              <w:t>Aplicabilidad</w:t>
            </w:r>
          </w:p>
        </w:tc>
        <w:tc>
          <w:tcPr>
            <w:tcW w:w="6823" w:type="dxa"/>
          </w:tcPr>
          <w:p w:rsidR="00C71AF3" w:rsidRPr="005E1103" w:rsidRDefault="00C71AF3" w:rsidP="00C71AF3">
            <w:pPr>
              <w:spacing w:line="276" w:lineRule="auto"/>
              <w:ind w:firstLine="0"/>
              <w:cnfStyle w:val="000000000000" w:firstRow="0" w:lastRow="0" w:firstColumn="0" w:lastColumn="0" w:oddVBand="0" w:evenVBand="0" w:oddHBand="0" w:evenHBand="0" w:firstRowFirstColumn="0" w:firstRowLastColumn="0" w:lastRowFirstColumn="0" w:lastRowLastColumn="0"/>
              <w:rPr>
                <w:rFonts w:cstheme="minorHAnsi"/>
                <w:sz w:val="28"/>
                <w:szCs w:val="28"/>
              </w:rPr>
            </w:pPr>
            <w:r w:rsidRPr="005E1103">
              <w:rPr>
                <w:rFonts w:cstheme="minorHAnsi"/>
                <w:sz w:val="28"/>
                <w:szCs w:val="28"/>
              </w:rPr>
              <w:t>La información que se presenta en el módulo se adapta a la realidad y puede ser transferible de forma práctica a la labor del docente.</w:t>
            </w:r>
          </w:p>
        </w:tc>
      </w:tr>
      <w:tr w:rsidR="00C71AF3" w:rsidRPr="005E1103" w:rsidTr="00C71A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7" w:type="dxa"/>
          </w:tcPr>
          <w:p w:rsidR="00C71AF3" w:rsidRPr="005E1103" w:rsidRDefault="00C71AF3" w:rsidP="00C71AF3">
            <w:pPr>
              <w:ind w:firstLine="0"/>
              <w:rPr>
                <w:rFonts w:cstheme="minorHAnsi"/>
                <w:sz w:val="28"/>
                <w:szCs w:val="28"/>
              </w:rPr>
            </w:pPr>
            <w:r w:rsidRPr="005E1103">
              <w:rPr>
                <w:rFonts w:cstheme="minorHAnsi"/>
                <w:sz w:val="28"/>
                <w:szCs w:val="28"/>
              </w:rPr>
              <w:t>Suficiencia</w:t>
            </w:r>
          </w:p>
        </w:tc>
        <w:tc>
          <w:tcPr>
            <w:tcW w:w="6823" w:type="dxa"/>
          </w:tcPr>
          <w:p w:rsidR="00C71AF3" w:rsidRPr="005E1103" w:rsidRDefault="00C71AF3" w:rsidP="00C71AF3">
            <w:pPr>
              <w:ind w:firstLine="0"/>
              <w:cnfStyle w:val="000000100000" w:firstRow="0" w:lastRow="0" w:firstColumn="0" w:lastColumn="0" w:oddVBand="0" w:evenVBand="0" w:oddHBand="1" w:evenHBand="0" w:firstRowFirstColumn="0" w:firstRowLastColumn="0" w:lastRowFirstColumn="0" w:lastRowLastColumn="0"/>
              <w:rPr>
                <w:rFonts w:cstheme="minorHAnsi"/>
                <w:sz w:val="28"/>
                <w:szCs w:val="28"/>
              </w:rPr>
            </w:pPr>
            <w:r w:rsidRPr="005E1103">
              <w:rPr>
                <w:rFonts w:cstheme="minorHAnsi"/>
                <w:sz w:val="28"/>
                <w:szCs w:val="28"/>
              </w:rPr>
              <w:t>Los contenidos de las diferentes apartados del módulo son adecuados en número/extensión y no se identifica una necesidad de información adicional.</w:t>
            </w:r>
          </w:p>
        </w:tc>
      </w:tr>
    </w:tbl>
    <w:p w:rsidR="00C71AF3" w:rsidRPr="005E1103" w:rsidRDefault="00C71AF3" w:rsidP="00C71AF3">
      <w:pPr>
        <w:widowControl w:val="0"/>
        <w:autoSpaceDE w:val="0"/>
        <w:autoSpaceDN w:val="0"/>
        <w:adjustRightInd w:val="0"/>
        <w:spacing w:line="360" w:lineRule="auto"/>
        <w:ind w:firstLine="397"/>
        <w:jc w:val="both"/>
        <w:rPr>
          <w:rFonts w:cstheme="minorHAnsi"/>
          <w:sz w:val="28"/>
          <w:szCs w:val="28"/>
        </w:rPr>
      </w:pPr>
    </w:p>
    <w:p w:rsidR="00125D27" w:rsidRDefault="00125D27">
      <w:pPr>
        <w:rPr>
          <w:rFonts w:cstheme="minorHAnsi"/>
          <w:sz w:val="28"/>
          <w:szCs w:val="28"/>
        </w:rPr>
      </w:pPr>
      <w:r>
        <w:rPr>
          <w:rFonts w:cstheme="minorHAnsi"/>
          <w:sz w:val="28"/>
          <w:szCs w:val="28"/>
        </w:rPr>
        <w:br w:type="page"/>
      </w:r>
    </w:p>
    <w:p w:rsidR="00C71AF3" w:rsidRPr="005E1103" w:rsidRDefault="00C71AF3" w:rsidP="00C71AF3">
      <w:pPr>
        <w:widowControl w:val="0"/>
        <w:autoSpaceDE w:val="0"/>
        <w:autoSpaceDN w:val="0"/>
        <w:adjustRightInd w:val="0"/>
        <w:spacing w:line="360" w:lineRule="auto"/>
        <w:ind w:firstLine="397"/>
        <w:jc w:val="both"/>
        <w:rPr>
          <w:rFonts w:cstheme="minorHAnsi"/>
          <w:sz w:val="28"/>
          <w:szCs w:val="28"/>
        </w:rPr>
      </w:pPr>
      <w:r w:rsidRPr="005E1103">
        <w:rPr>
          <w:rFonts w:cstheme="minorHAnsi"/>
          <w:sz w:val="28"/>
          <w:szCs w:val="28"/>
        </w:rPr>
        <w:lastRenderedPageBreak/>
        <w:t>Tabla 1. Definición de los criterios de evaluación.</w:t>
      </w:r>
    </w:p>
    <w:p w:rsidR="00C71AF3" w:rsidRPr="005E1103" w:rsidRDefault="00C71AF3" w:rsidP="00C71AF3">
      <w:pPr>
        <w:spacing w:line="360" w:lineRule="auto"/>
        <w:ind w:firstLine="397"/>
        <w:jc w:val="both"/>
        <w:rPr>
          <w:rFonts w:cstheme="minorHAnsi"/>
          <w:b/>
          <w:noProof/>
          <w:sz w:val="28"/>
          <w:szCs w:val="28"/>
          <w:u w:val="single"/>
        </w:rPr>
      </w:pPr>
      <w:r w:rsidRPr="005E1103">
        <w:rPr>
          <w:rFonts w:cstheme="minorHAnsi"/>
          <w:b/>
          <w:noProof/>
          <w:sz w:val="28"/>
          <w:szCs w:val="28"/>
          <w:u w:val="single"/>
        </w:rPr>
        <w:t>Resultados</w:t>
      </w:r>
    </w:p>
    <w:p w:rsidR="00C71AF3" w:rsidRPr="005E1103" w:rsidRDefault="00C71AF3" w:rsidP="00C71AF3">
      <w:pPr>
        <w:spacing w:line="360" w:lineRule="auto"/>
        <w:ind w:firstLine="397"/>
        <w:jc w:val="both"/>
        <w:rPr>
          <w:rFonts w:cstheme="minorHAnsi"/>
          <w:noProof/>
          <w:sz w:val="28"/>
          <w:szCs w:val="28"/>
        </w:rPr>
      </w:pPr>
      <w:r w:rsidRPr="005E1103">
        <w:rPr>
          <w:rFonts w:cstheme="minorHAnsi"/>
          <w:noProof/>
          <w:sz w:val="28"/>
          <w:szCs w:val="28"/>
        </w:rPr>
        <w:t>Entre los principales resultados de esta evaluación, cabe destacar las sugerencias para mejorar la formación previa a la implementación de la misma:</w:t>
      </w:r>
      <w:r w:rsidRPr="005E1103">
        <w:rPr>
          <w:rFonts w:cstheme="minorHAnsi"/>
          <w:noProof/>
          <w:color w:val="000000"/>
          <w:sz w:val="28"/>
          <w:szCs w:val="28"/>
        </w:rPr>
        <w:t xml:space="preserve"> ampliar del número de casos prácticos; evitar la sobreinformación; más dinámicas grupales y actividades; ampliar el tiempo dedicado a cada módulo; introducir vídeos explicativos; añadir comentarios sobre tablas y figuras o añadir más imágenes. A continuación, expondremos de forma detallada los resultados obtenidos en cada categoría.</w:t>
      </w:r>
    </w:p>
    <w:p w:rsidR="00C71AF3" w:rsidRPr="005E1103" w:rsidRDefault="00C71AF3" w:rsidP="00C71AF3">
      <w:pPr>
        <w:spacing w:line="360" w:lineRule="auto"/>
        <w:ind w:firstLine="397"/>
        <w:jc w:val="both"/>
        <w:rPr>
          <w:rFonts w:cstheme="minorHAnsi"/>
          <w:i/>
          <w:sz w:val="28"/>
          <w:szCs w:val="28"/>
          <w:u w:val="single"/>
        </w:rPr>
      </w:pPr>
      <w:r w:rsidRPr="005E1103">
        <w:rPr>
          <w:rFonts w:cstheme="minorHAnsi"/>
          <w:i/>
          <w:sz w:val="28"/>
          <w:szCs w:val="28"/>
          <w:u w:val="single"/>
        </w:rPr>
        <w:t>Claridad</w:t>
      </w:r>
    </w:p>
    <w:p w:rsidR="00C71AF3" w:rsidRPr="005E1103" w:rsidRDefault="00C71AF3" w:rsidP="00C71AF3">
      <w:pPr>
        <w:spacing w:line="360" w:lineRule="auto"/>
        <w:ind w:firstLine="397"/>
        <w:jc w:val="both"/>
        <w:rPr>
          <w:rFonts w:cstheme="minorHAnsi"/>
          <w:color w:val="000000"/>
          <w:sz w:val="28"/>
          <w:szCs w:val="28"/>
        </w:rPr>
      </w:pPr>
      <w:r w:rsidRPr="005E1103">
        <w:rPr>
          <w:rFonts w:cstheme="minorHAnsi"/>
          <w:color w:val="000000"/>
          <w:sz w:val="28"/>
          <w:szCs w:val="28"/>
        </w:rPr>
        <w:t xml:space="preserve">En este sentido y de forma generaliza, los expertos realizaron algunas recomendaciones de mejora como es el caso de la inclusión de imágenes, añadir comentarios a las tablas y figuras que aparecían en los diferentes módulos, clarificar algunos contenidos como puede ser la categorización de las formas de comunicación de las personas con discapacidad auditiva o la incorporación de algunos recursos, como vídeos para reforzar algunos contenidos (ej. el modelo de educación inclusiva) así como un índice o esquema general al inicio del módulo sobre los contenidos que se van tratar. </w:t>
      </w:r>
    </w:p>
    <w:p w:rsidR="00C71AF3" w:rsidRPr="005E1103" w:rsidRDefault="00C71AF3" w:rsidP="00C71AF3">
      <w:pPr>
        <w:autoSpaceDE w:val="0"/>
        <w:autoSpaceDN w:val="0"/>
        <w:adjustRightInd w:val="0"/>
        <w:spacing w:line="360" w:lineRule="auto"/>
        <w:ind w:firstLine="397"/>
        <w:jc w:val="both"/>
        <w:rPr>
          <w:rFonts w:cstheme="minorHAnsi"/>
          <w:color w:val="000000"/>
          <w:sz w:val="28"/>
          <w:szCs w:val="28"/>
        </w:rPr>
      </w:pPr>
      <w:r w:rsidRPr="005E1103">
        <w:rPr>
          <w:rFonts w:cstheme="minorHAnsi"/>
          <w:i/>
          <w:color w:val="000000"/>
          <w:sz w:val="28"/>
          <w:szCs w:val="28"/>
        </w:rPr>
        <w:t>“Personalmente he echado en falta un índice de contenidos para que el aprendiz se pueda hacer una idea global de qué es lo que se va encontrar en este curso. Esta información creo que podría ayudarle a situarse des del inicio del curso”.</w:t>
      </w:r>
      <w:r w:rsidRPr="005E1103" w:rsidDel="000C53CE">
        <w:rPr>
          <w:rFonts w:cstheme="minorHAnsi"/>
          <w:i/>
          <w:color w:val="000000"/>
          <w:sz w:val="28"/>
          <w:szCs w:val="28"/>
        </w:rPr>
        <w:t xml:space="preserve"> </w:t>
      </w:r>
      <w:r w:rsidRPr="005E1103">
        <w:rPr>
          <w:rFonts w:cstheme="minorHAnsi"/>
          <w:color w:val="000000"/>
          <w:sz w:val="28"/>
          <w:szCs w:val="28"/>
        </w:rPr>
        <w:t>(Alumno 4).</w:t>
      </w:r>
    </w:p>
    <w:p w:rsidR="00C71AF3" w:rsidRPr="005E1103" w:rsidRDefault="00C71AF3" w:rsidP="00C71AF3">
      <w:pPr>
        <w:autoSpaceDE w:val="0"/>
        <w:autoSpaceDN w:val="0"/>
        <w:adjustRightInd w:val="0"/>
        <w:spacing w:line="360" w:lineRule="auto"/>
        <w:ind w:firstLine="397"/>
        <w:jc w:val="both"/>
        <w:rPr>
          <w:rFonts w:cstheme="minorHAnsi"/>
          <w:sz w:val="28"/>
          <w:szCs w:val="28"/>
        </w:rPr>
      </w:pPr>
      <w:r w:rsidRPr="005E1103">
        <w:rPr>
          <w:rFonts w:cstheme="minorHAnsi"/>
          <w:i/>
          <w:color w:val="000000"/>
          <w:sz w:val="28"/>
          <w:szCs w:val="28"/>
        </w:rPr>
        <w:t>“</w:t>
      </w:r>
      <w:r w:rsidRPr="005E1103">
        <w:rPr>
          <w:rFonts w:cstheme="minorHAnsi"/>
          <w:i/>
          <w:sz w:val="28"/>
          <w:szCs w:val="28"/>
        </w:rPr>
        <w:t>Como sugerencia, propondría incluir imágenes (o enlaces en el texto) que permitieran a los docentes que participaran en el módulo identificar con facilidad las ayudas tiflotecnológicas más comunes (por ejemplo, el Braille’n Speak).”</w:t>
      </w:r>
      <w:r w:rsidRPr="005E1103">
        <w:rPr>
          <w:rFonts w:cstheme="minorHAnsi"/>
          <w:sz w:val="28"/>
          <w:szCs w:val="28"/>
        </w:rPr>
        <w:t xml:space="preserve"> (Experto 3).</w:t>
      </w:r>
    </w:p>
    <w:p w:rsidR="00C71AF3" w:rsidRPr="005E1103" w:rsidRDefault="00C71AF3" w:rsidP="00C71AF3">
      <w:pPr>
        <w:spacing w:line="360" w:lineRule="auto"/>
        <w:ind w:firstLine="397"/>
        <w:jc w:val="both"/>
        <w:rPr>
          <w:rFonts w:cstheme="minorHAnsi"/>
          <w:color w:val="000000"/>
          <w:sz w:val="28"/>
          <w:szCs w:val="28"/>
        </w:rPr>
      </w:pPr>
      <w:r w:rsidRPr="005E1103">
        <w:rPr>
          <w:rFonts w:cstheme="minorHAnsi"/>
          <w:color w:val="000000"/>
          <w:sz w:val="28"/>
          <w:szCs w:val="28"/>
        </w:rPr>
        <w:t>No obstante, salvo estos aspectos de mejora, todos los expertos se encontraron satisfechos con el material aportado e indicaron que era accesible y de fácil lectura.</w:t>
      </w:r>
    </w:p>
    <w:p w:rsidR="00125D27" w:rsidRDefault="00125D27">
      <w:pPr>
        <w:rPr>
          <w:rFonts w:cstheme="minorHAnsi"/>
          <w:i/>
          <w:color w:val="000000"/>
          <w:sz w:val="28"/>
          <w:szCs w:val="28"/>
        </w:rPr>
      </w:pPr>
      <w:r>
        <w:rPr>
          <w:rFonts w:cstheme="minorHAnsi"/>
          <w:i/>
          <w:color w:val="000000"/>
          <w:sz w:val="28"/>
          <w:szCs w:val="28"/>
        </w:rPr>
        <w:br w:type="page"/>
      </w:r>
    </w:p>
    <w:p w:rsidR="00C71AF3" w:rsidRPr="005E1103" w:rsidRDefault="00C71AF3" w:rsidP="00C71AF3">
      <w:pPr>
        <w:autoSpaceDE w:val="0"/>
        <w:autoSpaceDN w:val="0"/>
        <w:adjustRightInd w:val="0"/>
        <w:spacing w:line="360" w:lineRule="auto"/>
        <w:ind w:firstLine="397"/>
        <w:jc w:val="both"/>
        <w:rPr>
          <w:rFonts w:cstheme="minorHAnsi"/>
          <w:i/>
          <w:sz w:val="28"/>
          <w:szCs w:val="28"/>
          <w:u w:val="single"/>
        </w:rPr>
      </w:pPr>
      <w:r w:rsidRPr="005E1103" w:rsidDel="00207D62">
        <w:rPr>
          <w:rFonts w:cstheme="minorHAnsi"/>
          <w:i/>
          <w:color w:val="000000"/>
          <w:sz w:val="28"/>
          <w:szCs w:val="28"/>
        </w:rPr>
        <w:lastRenderedPageBreak/>
        <w:t xml:space="preserve"> </w:t>
      </w:r>
      <w:r w:rsidRPr="005E1103">
        <w:rPr>
          <w:rFonts w:cstheme="minorHAnsi"/>
          <w:i/>
          <w:sz w:val="28"/>
          <w:szCs w:val="28"/>
          <w:u w:val="single"/>
        </w:rPr>
        <w:t>Adecuación</w:t>
      </w:r>
    </w:p>
    <w:p w:rsidR="00C71AF3" w:rsidRPr="005E1103" w:rsidRDefault="00C71AF3" w:rsidP="00C71AF3">
      <w:pPr>
        <w:spacing w:line="360" w:lineRule="auto"/>
        <w:ind w:firstLine="397"/>
        <w:jc w:val="both"/>
        <w:rPr>
          <w:rFonts w:cstheme="minorHAnsi"/>
          <w:sz w:val="28"/>
          <w:szCs w:val="28"/>
        </w:rPr>
      </w:pPr>
      <w:r w:rsidRPr="005E1103">
        <w:rPr>
          <w:rFonts w:cstheme="minorHAnsi"/>
          <w:sz w:val="28"/>
          <w:szCs w:val="28"/>
        </w:rPr>
        <w:t xml:space="preserve">A través del análisis de los cuestionarios hemos podido observar que la mayoría de los expertos consideraron los módulos adecuados según los objetivos propuestos para el programa. </w:t>
      </w:r>
    </w:p>
    <w:p w:rsidR="00C71AF3" w:rsidRPr="005E1103" w:rsidRDefault="00C71AF3" w:rsidP="00C71AF3">
      <w:pPr>
        <w:autoSpaceDE w:val="0"/>
        <w:autoSpaceDN w:val="0"/>
        <w:adjustRightInd w:val="0"/>
        <w:spacing w:line="360" w:lineRule="auto"/>
        <w:ind w:firstLine="397"/>
        <w:jc w:val="both"/>
        <w:rPr>
          <w:rFonts w:cstheme="minorHAnsi"/>
          <w:sz w:val="28"/>
          <w:szCs w:val="28"/>
        </w:rPr>
      </w:pPr>
      <w:r w:rsidRPr="005E1103">
        <w:rPr>
          <w:rFonts w:cstheme="minorHAnsi"/>
          <w:i/>
          <w:sz w:val="28"/>
          <w:szCs w:val="28"/>
        </w:rPr>
        <w:t xml:space="preserve">“Los contenidos son los esenciales, las actividades están bien diseñadas para alcanzar los objetivos y el tiempo está bien planificado. La actividad de evaluación me parece muy adecuada para los objetivos que persigue el módulo.” </w:t>
      </w:r>
      <w:r w:rsidRPr="005E1103">
        <w:rPr>
          <w:rFonts w:cstheme="minorHAnsi"/>
          <w:sz w:val="28"/>
          <w:szCs w:val="28"/>
        </w:rPr>
        <w:t>(Experto 5).</w:t>
      </w:r>
    </w:p>
    <w:p w:rsidR="00C71AF3" w:rsidRPr="005E1103" w:rsidRDefault="00C71AF3" w:rsidP="00C71AF3">
      <w:pPr>
        <w:spacing w:line="360" w:lineRule="auto"/>
        <w:ind w:firstLine="397"/>
        <w:jc w:val="both"/>
        <w:rPr>
          <w:rFonts w:cstheme="minorHAnsi"/>
          <w:sz w:val="28"/>
          <w:szCs w:val="28"/>
        </w:rPr>
      </w:pPr>
      <w:r w:rsidRPr="005E1103">
        <w:rPr>
          <w:rFonts w:cstheme="minorHAnsi"/>
          <w:sz w:val="28"/>
          <w:szCs w:val="28"/>
        </w:rPr>
        <w:t xml:space="preserve">Sin embargo, pudimos apreciar algunas propuestas de mejora enfocadas a redefinir algunos de los contenidos tratados. De forma concreta, uno de los expertos indicó que era necesario comprobar algunas de las afirmaciones que se realizaban en los contenidos, como es el caso del personal que atiende al alumnado con discapacidad o los recursos tecnológicos que se le </w:t>
      </w:r>
      <w:r w:rsidR="00125D27" w:rsidRPr="005E1103">
        <w:rPr>
          <w:rFonts w:cstheme="minorHAnsi"/>
          <w:sz w:val="28"/>
          <w:szCs w:val="28"/>
        </w:rPr>
        <w:t>ofrecía,</w:t>
      </w:r>
      <w:r w:rsidRPr="005E1103">
        <w:rPr>
          <w:rFonts w:cstheme="minorHAnsi"/>
          <w:sz w:val="28"/>
          <w:szCs w:val="28"/>
        </w:rPr>
        <w:t xml:space="preserve"> así como la incorporación de algún recurso, actividad de retroalimentación o incremento de número de casos prácticos. </w:t>
      </w:r>
    </w:p>
    <w:p w:rsidR="00C71AF3" w:rsidRPr="005E1103" w:rsidRDefault="00C71AF3" w:rsidP="00C71AF3">
      <w:pPr>
        <w:autoSpaceDE w:val="0"/>
        <w:autoSpaceDN w:val="0"/>
        <w:adjustRightInd w:val="0"/>
        <w:spacing w:line="360" w:lineRule="auto"/>
        <w:ind w:firstLine="397"/>
        <w:jc w:val="both"/>
        <w:rPr>
          <w:rFonts w:cstheme="minorHAnsi"/>
          <w:color w:val="000000"/>
          <w:sz w:val="28"/>
          <w:szCs w:val="28"/>
        </w:rPr>
      </w:pPr>
      <w:r w:rsidRPr="005E1103" w:rsidDel="00E47E1E">
        <w:rPr>
          <w:rFonts w:cstheme="minorHAnsi"/>
          <w:i/>
          <w:color w:val="000000"/>
          <w:sz w:val="28"/>
          <w:szCs w:val="28"/>
        </w:rPr>
        <w:t xml:space="preserve"> </w:t>
      </w:r>
      <w:r w:rsidRPr="005E1103">
        <w:rPr>
          <w:rFonts w:cstheme="minorHAnsi"/>
          <w:i/>
          <w:color w:val="000000"/>
          <w:sz w:val="28"/>
          <w:szCs w:val="28"/>
        </w:rPr>
        <w:t>“</w:t>
      </w:r>
      <w:r w:rsidRPr="005E1103">
        <w:rPr>
          <w:rFonts w:cstheme="minorHAnsi"/>
          <w:i/>
          <w:sz w:val="28"/>
          <w:szCs w:val="28"/>
        </w:rPr>
        <w:t>Me parece muy acertado el tipo de actividades que se proponen ya que se centran en la reflexión sobre la propia actividad profesional en relación con este colectivo. Quizás sería recomendable ampliar este aspecto e incluir en el módulo varios perfiles cortos que dé pie a reflexionar ante situaciones diferentes realidades y necesidades. Por ejemplo, con diferentes perfiles de movilidad, comunicativos, perceptivos, etc.”</w:t>
      </w:r>
      <w:r w:rsidRPr="005E1103">
        <w:rPr>
          <w:rFonts w:cstheme="minorHAnsi"/>
          <w:sz w:val="28"/>
          <w:szCs w:val="28"/>
        </w:rPr>
        <w:t xml:space="preserve"> (Experto 8).</w:t>
      </w:r>
    </w:p>
    <w:p w:rsidR="00C71AF3" w:rsidRPr="005E1103" w:rsidRDefault="00C71AF3" w:rsidP="00C71AF3">
      <w:pPr>
        <w:spacing w:line="360" w:lineRule="auto"/>
        <w:ind w:firstLine="397"/>
        <w:jc w:val="both"/>
        <w:rPr>
          <w:rFonts w:cstheme="minorHAnsi"/>
          <w:i/>
          <w:sz w:val="28"/>
          <w:szCs w:val="28"/>
          <w:u w:val="single"/>
        </w:rPr>
      </w:pPr>
      <w:r w:rsidRPr="005E1103">
        <w:rPr>
          <w:rFonts w:cstheme="minorHAnsi"/>
          <w:i/>
          <w:sz w:val="28"/>
          <w:szCs w:val="28"/>
          <w:u w:val="single"/>
        </w:rPr>
        <w:t>Relevancia</w:t>
      </w:r>
    </w:p>
    <w:p w:rsidR="00C71AF3" w:rsidRPr="005E1103" w:rsidRDefault="00C71AF3" w:rsidP="00C71AF3">
      <w:pPr>
        <w:spacing w:line="360" w:lineRule="auto"/>
        <w:ind w:firstLine="397"/>
        <w:jc w:val="both"/>
        <w:rPr>
          <w:rFonts w:cstheme="minorHAnsi"/>
          <w:i/>
          <w:sz w:val="28"/>
          <w:szCs w:val="28"/>
        </w:rPr>
      </w:pPr>
      <w:r w:rsidRPr="005E1103">
        <w:rPr>
          <w:rFonts w:cstheme="minorHAnsi"/>
          <w:sz w:val="28"/>
          <w:szCs w:val="28"/>
        </w:rPr>
        <w:t>En este criterio, pese a parecer apropiada la relevancia de los contenidos trabajados, se reflejó como propuestas de mejora generar más dinámicas grupales, otorgar más dinamismo al texto o, por ejemplo, contextualizar los recursos empleados en el aula para las personas con discapacidad visual.</w:t>
      </w:r>
    </w:p>
    <w:p w:rsidR="00C71AF3" w:rsidRPr="005E1103" w:rsidRDefault="00C71AF3" w:rsidP="00C71AF3">
      <w:pPr>
        <w:spacing w:line="360" w:lineRule="auto"/>
        <w:ind w:firstLine="397"/>
        <w:jc w:val="both"/>
        <w:rPr>
          <w:rFonts w:cstheme="minorHAnsi"/>
          <w:sz w:val="28"/>
          <w:szCs w:val="28"/>
        </w:rPr>
      </w:pPr>
      <w:r w:rsidRPr="005E1103">
        <w:rPr>
          <w:rFonts w:cstheme="minorHAnsi"/>
          <w:i/>
          <w:sz w:val="28"/>
          <w:szCs w:val="28"/>
        </w:rPr>
        <w:t>“La información contenida es actual y relevante, pero concretaría más en los puntos fuertes de la misma y daría más dinamismo al texto.”</w:t>
      </w:r>
      <w:r w:rsidRPr="005E1103" w:rsidDel="00E47E1E">
        <w:rPr>
          <w:rFonts w:cstheme="minorHAnsi"/>
          <w:i/>
          <w:sz w:val="28"/>
          <w:szCs w:val="28"/>
        </w:rPr>
        <w:t xml:space="preserve"> </w:t>
      </w:r>
      <w:r w:rsidRPr="005E1103">
        <w:rPr>
          <w:rFonts w:cstheme="minorHAnsi"/>
          <w:i/>
          <w:sz w:val="28"/>
          <w:szCs w:val="28"/>
        </w:rPr>
        <w:t xml:space="preserve"> </w:t>
      </w:r>
      <w:r w:rsidRPr="005E1103">
        <w:rPr>
          <w:rFonts w:cstheme="minorHAnsi"/>
          <w:sz w:val="28"/>
          <w:szCs w:val="28"/>
        </w:rPr>
        <w:t>(Experto 7).</w:t>
      </w:r>
    </w:p>
    <w:p w:rsidR="00C71AF3" w:rsidRPr="005E1103" w:rsidRDefault="00C71AF3" w:rsidP="00C71AF3">
      <w:pPr>
        <w:spacing w:line="360" w:lineRule="auto"/>
        <w:ind w:firstLine="397"/>
        <w:jc w:val="both"/>
        <w:rPr>
          <w:rFonts w:cstheme="minorHAnsi"/>
          <w:i/>
          <w:sz w:val="28"/>
          <w:szCs w:val="28"/>
          <w:u w:val="single"/>
        </w:rPr>
      </w:pPr>
      <w:r w:rsidRPr="005E1103">
        <w:rPr>
          <w:rFonts w:cstheme="minorHAnsi"/>
          <w:i/>
          <w:sz w:val="28"/>
          <w:szCs w:val="28"/>
          <w:u w:val="single"/>
        </w:rPr>
        <w:lastRenderedPageBreak/>
        <w:t>Secuenciación</w:t>
      </w:r>
    </w:p>
    <w:p w:rsidR="00C71AF3" w:rsidRPr="005E1103" w:rsidRDefault="00C71AF3" w:rsidP="00C71AF3">
      <w:pPr>
        <w:spacing w:line="360" w:lineRule="auto"/>
        <w:ind w:firstLine="397"/>
        <w:jc w:val="both"/>
        <w:rPr>
          <w:rFonts w:cstheme="minorHAnsi"/>
          <w:sz w:val="28"/>
          <w:szCs w:val="28"/>
        </w:rPr>
      </w:pPr>
      <w:r w:rsidRPr="005E1103">
        <w:rPr>
          <w:rFonts w:cstheme="minorHAnsi"/>
          <w:sz w:val="28"/>
          <w:szCs w:val="28"/>
        </w:rPr>
        <w:t xml:space="preserve">En general, la mayoría de los expertos se mostraron satisfechos con la secuenciación de los diferentes módulos, indicando que les </w:t>
      </w:r>
      <w:r w:rsidR="00BA2141" w:rsidRPr="005E1103">
        <w:rPr>
          <w:rFonts w:cstheme="minorHAnsi"/>
          <w:sz w:val="28"/>
          <w:szCs w:val="28"/>
        </w:rPr>
        <w:t>parecía adecuada</w:t>
      </w:r>
      <w:r w:rsidRPr="005E1103">
        <w:rPr>
          <w:rFonts w:cstheme="minorHAnsi"/>
          <w:sz w:val="28"/>
          <w:szCs w:val="28"/>
        </w:rPr>
        <w:t xml:space="preserve"> además de ayudar tanto a la progresión como a la adquisición de los conocimientos. </w:t>
      </w:r>
    </w:p>
    <w:p w:rsidR="00C71AF3" w:rsidRPr="005E1103" w:rsidRDefault="00C71AF3" w:rsidP="00C71AF3">
      <w:pPr>
        <w:spacing w:line="360" w:lineRule="auto"/>
        <w:ind w:firstLine="397"/>
        <w:jc w:val="both"/>
        <w:rPr>
          <w:rFonts w:cstheme="minorHAnsi"/>
          <w:sz w:val="28"/>
          <w:szCs w:val="28"/>
        </w:rPr>
      </w:pPr>
      <w:r w:rsidRPr="005E1103">
        <w:rPr>
          <w:rFonts w:cstheme="minorHAnsi"/>
          <w:i/>
          <w:sz w:val="28"/>
          <w:szCs w:val="28"/>
        </w:rPr>
        <w:t>“La secuenciación me parece correcta y ayuda a la progresión en el tratamiento de los contenidos.”</w:t>
      </w:r>
      <w:r w:rsidRPr="005E1103">
        <w:rPr>
          <w:rFonts w:cstheme="minorHAnsi"/>
          <w:sz w:val="28"/>
          <w:szCs w:val="28"/>
        </w:rPr>
        <w:t xml:space="preserve"> (Experto 8).</w:t>
      </w:r>
    </w:p>
    <w:p w:rsidR="00C71AF3" w:rsidRPr="005E1103" w:rsidRDefault="00C71AF3" w:rsidP="00C71AF3">
      <w:pPr>
        <w:spacing w:line="360" w:lineRule="auto"/>
        <w:ind w:firstLine="397"/>
        <w:jc w:val="both"/>
        <w:rPr>
          <w:rFonts w:cstheme="minorHAnsi"/>
          <w:sz w:val="28"/>
          <w:szCs w:val="28"/>
        </w:rPr>
      </w:pPr>
      <w:r w:rsidRPr="005E1103">
        <w:rPr>
          <w:rFonts w:cstheme="minorHAnsi"/>
          <w:sz w:val="28"/>
          <w:szCs w:val="28"/>
        </w:rPr>
        <w:t xml:space="preserve">Sin embargo, algunos expertos, señalan que este tipo de información no le queda muy claro al no tener especificado el tiempo destinado a cada módulo. A pesar de </w:t>
      </w:r>
      <w:r w:rsidR="00BA2141" w:rsidRPr="005E1103">
        <w:rPr>
          <w:rFonts w:cstheme="minorHAnsi"/>
          <w:sz w:val="28"/>
          <w:szCs w:val="28"/>
        </w:rPr>
        <w:t>ello, consideraban</w:t>
      </w:r>
      <w:r w:rsidRPr="005E1103">
        <w:rPr>
          <w:rFonts w:cstheme="minorHAnsi"/>
          <w:sz w:val="28"/>
          <w:szCs w:val="28"/>
        </w:rPr>
        <w:t xml:space="preserve"> que tanto los contenidos, actividades así como la evaluación son coherentes con los objetivos propuestos en el programa o que aumentarían el número de horas asignadas a los módulos para poder profundizar y ahondar en los contenidos.</w:t>
      </w:r>
    </w:p>
    <w:p w:rsidR="00C71AF3" w:rsidRPr="005E1103" w:rsidRDefault="00C71AF3" w:rsidP="00C71AF3">
      <w:pPr>
        <w:spacing w:line="360" w:lineRule="auto"/>
        <w:ind w:firstLine="397"/>
        <w:jc w:val="both"/>
        <w:rPr>
          <w:rFonts w:cstheme="minorHAnsi"/>
          <w:sz w:val="28"/>
          <w:szCs w:val="28"/>
        </w:rPr>
      </w:pPr>
      <w:r w:rsidRPr="005E1103">
        <w:rPr>
          <w:rFonts w:cstheme="minorHAnsi"/>
          <w:i/>
          <w:sz w:val="28"/>
          <w:szCs w:val="28"/>
        </w:rPr>
        <w:t>“Esta pregunta me cuesta un poco contestarla porque no me ha quedado claro en el documento cuál es el tiempo planificado para el módulo, creo que no está especificado... dicho esto si que me parecen coherentes los contenidos, las actividades y la evaluación que se plantean en relación a los objetivos expuestos inicialmente</w:t>
      </w:r>
      <w:r w:rsidRPr="005E1103">
        <w:rPr>
          <w:rFonts w:cstheme="minorHAnsi"/>
          <w:sz w:val="28"/>
          <w:szCs w:val="28"/>
        </w:rPr>
        <w:t>.” (Experto 9).</w:t>
      </w:r>
    </w:p>
    <w:p w:rsidR="00C71AF3" w:rsidRPr="005E1103" w:rsidRDefault="00C71AF3" w:rsidP="00C71AF3">
      <w:pPr>
        <w:spacing w:line="360" w:lineRule="auto"/>
        <w:ind w:firstLine="397"/>
        <w:jc w:val="both"/>
        <w:rPr>
          <w:rFonts w:cstheme="minorHAnsi"/>
          <w:i/>
          <w:sz w:val="28"/>
          <w:szCs w:val="28"/>
        </w:rPr>
      </w:pPr>
      <w:r w:rsidRPr="005E1103">
        <w:rPr>
          <w:rFonts w:cstheme="minorHAnsi"/>
          <w:i/>
          <w:sz w:val="28"/>
          <w:szCs w:val="28"/>
        </w:rPr>
        <w:t xml:space="preserve">“No creo que 6 horas sea tiempo suficiente para entender y poder aplicar toda la variedad de casos, adaptaciones posibles y necesidades de apoyo que tenga un espectro tan amplio de alumnos y alumnas, pero como no se puede hacer un curso eterno, creo que sirve muy bien para generar reflexión en el docente.” </w:t>
      </w:r>
      <w:r w:rsidRPr="005E1103">
        <w:rPr>
          <w:rFonts w:cstheme="minorHAnsi"/>
          <w:sz w:val="28"/>
          <w:szCs w:val="28"/>
        </w:rPr>
        <w:t>(Experto 6).</w:t>
      </w:r>
    </w:p>
    <w:p w:rsidR="00C71AF3" w:rsidRPr="005E1103" w:rsidRDefault="00C71AF3" w:rsidP="00C71AF3">
      <w:pPr>
        <w:spacing w:line="360" w:lineRule="auto"/>
        <w:ind w:firstLine="397"/>
        <w:jc w:val="both"/>
        <w:rPr>
          <w:rFonts w:cstheme="minorHAnsi"/>
          <w:i/>
          <w:sz w:val="28"/>
          <w:szCs w:val="28"/>
          <w:u w:val="single"/>
        </w:rPr>
      </w:pPr>
      <w:r w:rsidRPr="005E1103">
        <w:rPr>
          <w:rFonts w:cstheme="minorHAnsi"/>
          <w:i/>
          <w:sz w:val="28"/>
          <w:szCs w:val="28"/>
          <w:u w:val="single"/>
        </w:rPr>
        <w:t>Aplicabilidad</w:t>
      </w:r>
    </w:p>
    <w:p w:rsidR="00C71AF3" w:rsidRPr="005E1103" w:rsidRDefault="00C71AF3" w:rsidP="00C71AF3">
      <w:pPr>
        <w:autoSpaceDE w:val="0"/>
        <w:autoSpaceDN w:val="0"/>
        <w:adjustRightInd w:val="0"/>
        <w:spacing w:line="360" w:lineRule="auto"/>
        <w:ind w:firstLine="397"/>
        <w:jc w:val="both"/>
        <w:rPr>
          <w:rFonts w:cstheme="minorHAnsi"/>
          <w:bCs/>
          <w:color w:val="000000"/>
          <w:sz w:val="28"/>
          <w:szCs w:val="28"/>
        </w:rPr>
      </w:pPr>
      <w:r w:rsidRPr="005E1103">
        <w:rPr>
          <w:rFonts w:cstheme="minorHAnsi"/>
          <w:sz w:val="28"/>
          <w:szCs w:val="28"/>
        </w:rPr>
        <w:t xml:space="preserve">Los expertos mostraron su agrado con el nivel de aplicabilidad del programa. En este sentido, hacían una valoración positiva de las actividades propuestas pues consideraban que ayudaban a mejorar las prácticas </w:t>
      </w:r>
      <w:r w:rsidR="00BA2141" w:rsidRPr="005E1103">
        <w:rPr>
          <w:rFonts w:cstheme="minorHAnsi"/>
          <w:sz w:val="28"/>
          <w:szCs w:val="28"/>
        </w:rPr>
        <w:t>docentes, los</w:t>
      </w:r>
      <w:r w:rsidRPr="005E1103">
        <w:rPr>
          <w:rFonts w:cstheme="minorHAnsi"/>
          <w:sz w:val="28"/>
          <w:szCs w:val="28"/>
        </w:rPr>
        <w:t xml:space="preserve"> contenidos trabajados dado que estaban enfocados desde la realidad práctica así como la concienciación y sensibilización que aportaban los materiales a esta comunidad.</w:t>
      </w:r>
    </w:p>
    <w:p w:rsidR="00C71AF3" w:rsidRPr="005E1103" w:rsidRDefault="00C71AF3" w:rsidP="00C71AF3">
      <w:pPr>
        <w:autoSpaceDE w:val="0"/>
        <w:autoSpaceDN w:val="0"/>
        <w:adjustRightInd w:val="0"/>
        <w:spacing w:line="360" w:lineRule="auto"/>
        <w:ind w:firstLine="397"/>
        <w:jc w:val="both"/>
        <w:rPr>
          <w:rFonts w:cstheme="minorHAnsi"/>
          <w:sz w:val="28"/>
          <w:szCs w:val="28"/>
        </w:rPr>
      </w:pPr>
      <w:r w:rsidRPr="005E1103">
        <w:rPr>
          <w:rFonts w:cstheme="minorHAnsi"/>
          <w:bCs/>
          <w:i/>
          <w:color w:val="000000"/>
          <w:sz w:val="28"/>
          <w:szCs w:val="28"/>
        </w:rPr>
        <w:lastRenderedPageBreak/>
        <w:t>“</w:t>
      </w:r>
      <w:r w:rsidRPr="005E1103">
        <w:rPr>
          <w:rFonts w:cstheme="minorHAnsi"/>
          <w:i/>
          <w:sz w:val="28"/>
          <w:szCs w:val="28"/>
        </w:rPr>
        <w:t xml:space="preserve">Considero que es un formación totalmente práctica y aplicable en la actividad docente. </w:t>
      </w:r>
      <w:r w:rsidR="00BA2141" w:rsidRPr="005E1103">
        <w:rPr>
          <w:rFonts w:cstheme="minorHAnsi"/>
          <w:i/>
          <w:sz w:val="28"/>
          <w:szCs w:val="28"/>
        </w:rPr>
        <w:t>Además,</w:t>
      </w:r>
      <w:r w:rsidRPr="005E1103">
        <w:rPr>
          <w:rFonts w:cstheme="minorHAnsi"/>
          <w:i/>
          <w:sz w:val="28"/>
          <w:szCs w:val="28"/>
        </w:rPr>
        <w:t xml:space="preserve"> hay que tener en cuenta que estamos tratando de cuestiones, en las que la aplicación no es voluntaria, todo lo contrario, hay una amplia legislación que es de obligatorio cumplimiento para la universidad, y por tanto, para el personal docente.”</w:t>
      </w:r>
      <w:r w:rsidRPr="005E1103">
        <w:rPr>
          <w:rFonts w:cstheme="minorHAnsi"/>
          <w:sz w:val="28"/>
          <w:szCs w:val="28"/>
        </w:rPr>
        <w:t xml:space="preserve"> (Experto 3).</w:t>
      </w:r>
    </w:p>
    <w:p w:rsidR="00C71AF3" w:rsidRPr="005E1103" w:rsidRDefault="00C71AF3" w:rsidP="00C71AF3">
      <w:pPr>
        <w:autoSpaceDE w:val="0"/>
        <w:autoSpaceDN w:val="0"/>
        <w:adjustRightInd w:val="0"/>
        <w:spacing w:line="360" w:lineRule="auto"/>
        <w:ind w:firstLine="397"/>
        <w:jc w:val="both"/>
        <w:rPr>
          <w:rFonts w:cstheme="minorHAnsi"/>
          <w:bCs/>
          <w:color w:val="000000"/>
          <w:sz w:val="28"/>
          <w:szCs w:val="28"/>
        </w:rPr>
      </w:pPr>
      <w:r w:rsidRPr="005E1103">
        <w:rPr>
          <w:rFonts w:cstheme="minorHAnsi"/>
          <w:bCs/>
          <w:i/>
          <w:color w:val="000000"/>
          <w:sz w:val="28"/>
          <w:szCs w:val="28"/>
        </w:rPr>
        <w:t>“</w:t>
      </w:r>
      <w:r w:rsidRPr="005E1103">
        <w:rPr>
          <w:rFonts w:cstheme="minorHAnsi"/>
          <w:i/>
          <w:sz w:val="28"/>
          <w:szCs w:val="28"/>
        </w:rPr>
        <w:t>Considero actividades y lecturas altamente aplicables y que permiten además una reflexión necesaria para comenzar a trabajar sobre este tema.”</w:t>
      </w:r>
      <w:r w:rsidRPr="005E1103">
        <w:rPr>
          <w:rFonts w:cstheme="minorHAnsi"/>
          <w:sz w:val="28"/>
          <w:szCs w:val="28"/>
        </w:rPr>
        <w:t xml:space="preserve"> (Experto 6)</w:t>
      </w:r>
    </w:p>
    <w:p w:rsidR="00C71AF3" w:rsidRPr="005E1103" w:rsidRDefault="00C71AF3" w:rsidP="00C71AF3">
      <w:pPr>
        <w:autoSpaceDE w:val="0"/>
        <w:autoSpaceDN w:val="0"/>
        <w:adjustRightInd w:val="0"/>
        <w:spacing w:line="360" w:lineRule="auto"/>
        <w:ind w:firstLine="397"/>
        <w:jc w:val="both"/>
        <w:rPr>
          <w:rFonts w:cstheme="minorHAnsi"/>
          <w:sz w:val="28"/>
          <w:szCs w:val="28"/>
        </w:rPr>
      </w:pPr>
      <w:r w:rsidRPr="005E1103">
        <w:rPr>
          <w:rFonts w:cstheme="minorHAnsi"/>
          <w:i/>
          <w:sz w:val="28"/>
          <w:szCs w:val="28"/>
        </w:rPr>
        <w:t xml:space="preserve">“Creo que el material ayuda a concienciarse del problema y a recibir orientaciones.” </w:t>
      </w:r>
      <w:r w:rsidRPr="005E1103">
        <w:rPr>
          <w:rFonts w:cstheme="minorHAnsi"/>
          <w:sz w:val="28"/>
          <w:szCs w:val="28"/>
        </w:rPr>
        <w:t>(Experto 5).</w:t>
      </w:r>
    </w:p>
    <w:p w:rsidR="00C71AF3" w:rsidRPr="005E1103" w:rsidRDefault="00C71AF3" w:rsidP="00C71AF3">
      <w:pPr>
        <w:spacing w:line="360" w:lineRule="auto"/>
        <w:ind w:firstLine="397"/>
        <w:jc w:val="both"/>
        <w:rPr>
          <w:rFonts w:cstheme="minorHAnsi"/>
          <w:i/>
          <w:sz w:val="28"/>
          <w:szCs w:val="28"/>
          <w:u w:val="single"/>
        </w:rPr>
      </w:pPr>
      <w:r w:rsidRPr="005E1103">
        <w:rPr>
          <w:rFonts w:cstheme="minorHAnsi"/>
          <w:i/>
          <w:sz w:val="28"/>
          <w:szCs w:val="28"/>
          <w:u w:val="single"/>
        </w:rPr>
        <w:t>Suficiencia</w:t>
      </w:r>
    </w:p>
    <w:p w:rsidR="00C71AF3" w:rsidRPr="005E1103" w:rsidRDefault="00C71AF3" w:rsidP="00C71AF3">
      <w:pPr>
        <w:spacing w:line="360" w:lineRule="auto"/>
        <w:ind w:firstLine="397"/>
        <w:jc w:val="both"/>
        <w:rPr>
          <w:rFonts w:cstheme="minorHAnsi"/>
          <w:sz w:val="28"/>
          <w:szCs w:val="28"/>
        </w:rPr>
      </w:pPr>
      <w:r w:rsidRPr="005E1103">
        <w:rPr>
          <w:rFonts w:cstheme="minorHAnsi"/>
          <w:sz w:val="28"/>
          <w:szCs w:val="28"/>
        </w:rPr>
        <w:t xml:space="preserve">Los participantes se encontraron altamente satisfechos con la organización del </w:t>
      </w:r>
      <w:r w:rsidR="00BA2141" w:rsidRPr="005E1103">
        <w:rPr>
          <w:rFonts w:cstheme="minorHAnsi"/>
          <w:sz w:val="28"/>
          <w:szCs w:val="28"/>
        </w:rPr>
        <w:t>contenido,</w:t>
      </w:r>
      <w:r w:rsidRPr="005E1103">
        <w:rPr>
          <w:rFonts w:cstheme="minorHAnsi"/>
          <w:sz w:val="28"/>
          <w:szCs w:val="28"/>
        </w:rPr>
        <w:t xml:space="preserve"> así como los objetivos y contenidos de los mismos indicando que es adecuada al tiempo y extensión establecida. </w:t>
      </w:r>
    </w:p>
    <w:p w:rsidR="00C71AF3" w:rsidRPr="005E1103" w:rsidRDefault="00C71AF3" w:rsidP="00C71AF3">
      <w:pPr>
        <w:autoSpaceDE w:val="0"/>
        <w:autoSpaceDN w:val="0"/>
        <w:adjustRightInd w:val="0"/>
        <w:spacing w:line="360" w:lineRule="auto"/>
        <w:ind w:firstLine="397"/>
        <w:jc w:val="both"/>
        <w:rPr>
          <w:rFonts w:cstheme="minorHAnsi"/>
          <w:i/>
          <w:sz w:val="28"/>
          <w:szCs w:val="28"/>
        </w:rPr>
      </w:pPr>
      <w:r w:rsidRPr="005E1103">
        <w:rPr>
          <w:rFonts w:cstheme="minorHAnsi"/>
          <w:i/>
          <w:color w:val="000000"/>
          <w:sz w:val="28"/>
          <w:szCs w:val="28"/>
        </w:rPr>
        <w:t>“</w:t>
      </w:r>
      <w:r w:rsidRPr="005E1103">
        <w:rPr>
          <w:rFonts w:cstheme="minorHAnsi"/>
          <w:i/>
          <w:sz w:val="28"/>
          <w:szCs w:val="28"/>
        </w:rPr>
        <w:t xml:space="preserve">En general, los objetivos, contenidos, actividades y tiempo de formación me parecen suficientes.” </w:t>
      </w:r>
      <w:r w:rsidRPr="005E1103">
        <w:rPr>
          <w:rFonts w:cstheme="minorHAnsi"/>
          <w:sz w:val="28"/>
          <w:szCs w:val="28"/>
        </w:rPr>
        <w:t>(Experto 5).</w:t>
      </w:r>
    </w:p>
    <w:p w:rsidR="00C71AF3" w:rsidRPr="005E1103" w:rsidRDefault="00C71AF3" w:rsidP="00C71AF3">
      <w:pPr>
        <w:spacing w:line="360" w:lineRule="auto"/>
        <w:ind w:firstLine="397"/>
        <w:jc w:val="both"/>
        <w:rPr>
          <w:rFonts w:cstheme="minorHAnsi"/>
          <w:sz w:val="28"/>
          <w:szCs w:val="28"/>
        </w:rPr>
      </w:pPr>
      <w:r w:rsidRPr="005E1103">
        <w:rPr>
          <w:rFonts w:cstheme="minorHAnsi"/>
          <w:sz w:val="28"/>
          <w:szCs w:val="28"/>
        </w:rPr>
        <w:t xml:space="preserve">No obstante, algunos expertos señalan la importancia de contextualizar en algunos módulos el nivel educativo con el que tratamos, en este caso, la ES o aportar, en casos concretos, material para ampliar y profundizar </w:t>
      </w:r>
      <w:r w:rsidR="00BA2141" w:rsidRPr="005E1103">
        <w:rPr>
          <w:rFonts w:cstheme="minorHAnsi"/>
          <w:sz w:val="28"/>
          <w:szCs w:val="28"/>
        </w:rPr>
        <w:t>información,</w:t>
      </w:r>
      <w:r w:rsidRPr="005E1103">
        <w:rPr>
          <w:rFonts w:cstheme="minorHAnsi"/>
          <w:sz w:val="28"/>
          <w:szCs w:val="28"/>
        </w:rPr>
        <w:t xml:space="preserve"> así como recursos externos de apoyo a los que los docentes puedan acudir en el caso de tener dudas en su práctica real.</w:t>
      </w:r>
    </w:p>
    <w:p w:rsidR="00C71AF3" w:rsidRPr="005E1103" w:rsidRDefault="00C71AF3" w:rsidP="00C71AF3">
      <w:pPr>
        <w:spacing w:line="360" w:lineRule="auto"/>
        <w:ind w:firstLine="397"/>
        <w:jc w:val="both"/>
        <w:rPr>
          <w:rFonts w:cstheme="minorHAnsi"/>
          <w:sz w:val="28"/>
          <w:szCs w:val="28"/>
        </w:rPr>
      </w:pPr>
      <w:r w:rsidRPr="005E1103">
        <w:rPr>
          <w:rFonts w:cstheme="minorHAnsi"/>
          <w:i/>
          <w:sz w:val="28"/>
          <w:szCs w:val="28"/>
        </w:rPr>
        <w:t xml:space="preserve">“En general sí, igual falta material con el que se pueda ampliar información, es decir, creo que está perfecto para una primera aproximación, pero quizás podría guiar un poco la profundización en caso de que fuera necesario.” </w:t>
      </w:r>
      <w:r w:rsidRPr="005E1103">
        <w:rPr>
          <w:rFonts w:cstheme="minorHAnsi"/>
          <w:sz w:val="28"/>
          <w:szCs w:val="28"/>
        </w:rPr>
        <w:t>(Experto 4).</w:t>
      </w:r>
    </w:p>
    <w:p w:rsidR="00C71AF3" w:rsidRPr="005E1103" w:rsidRDefault="00C71AF3" w:rsidP="00C71AF3">
      <w:pPr>
        <w:autoSpaceDE w:val="0"/>
        <w:autoSpaceDN w:val="0"/>
        <w:adjustRightInd w:val="0"/>
        <w:spacing w:line="360" w:lineRule="auto"/>
        <w:ind w:firstLine="397"/>
        <w:jc w:val="both"/>
        <w:rPr>
          <w:rFonts w:cstheme="minorHAnsi"/>
          <w:color w:val="000000"/>
          <w:sz w:val="28"/>
          <w:szCs w:val="28"/>
        </w:rPr>
      </w:pPr>
      <w:r w:rsidRPr="005E1103">
        <w:rPr>
          <w:rFonts w:cstheme="minorHAnsi"/>
          <w:i/>
          <w:color w:val="000000"/>
          <w:sz w:val="28"/>
          <w:szCs w:val="28"/>
        </w:rPr>
        <w:t>“</w:t>
      </w:r>
      <w:r w:rsidRPr="005E1103">
        <w:rPr>
          <w:rFonts w:cstheme="minorHAnsi"/>
          <w:i/>
          <w:sz w:val="28"/>
          <w:szCs w:val="28"/>
        </w:rPr>
        <w:t xml:space="preserve">Pienso que sería interesante y más completo acompañar o complementar esta formación con un "apoyo externo" (este apoyo podría ser un experto de la universidad, el </w:t>
      </w:r>
      <w:r w:rsidRPr="005E1103">
        <w:rPr>
          <w:rFonts w:cstheme="minorHAnsi"/>
          <w:i/>
          <w:sz w:val="28"/>
          <w:szCs w:val="28"/>
        </w:rPr>
        <w:lastRenderedPageBreak/>
        <w:t xml:space="preserve">servicio de atención a la discapacidad, un grupo de profesores expertos, trabajo colaborativo entre docentes, </w:t>
      </w:r>
      <w:r w:rsidR="00BA2141" w:rsidRPr="005E1103">
        <w:rPr>
          <w:rFonts w:cstheme="minorHAnsi"/>
          <w:i/>
          <w:sz w:val="28"/>
          <w:szCs w:val="28"/>
        </w:rPr>
        <w:t>etc.…</w:t>
      </w:r>
      <w:r w:rsidRPr="005E1103">
        <w:rPr>
          <w:rFonts w:cstheme="minorHAnsi"/>
          <w:i/>
          <w:sz w:val="28"/>
          <w:szCs w:val="28"/>
        </w:rPr>
        <w:t>).</w:t>
      </w:r>
      <w:r w:rsidRPr="005E1103">
        <w:rPr>
          <w:rFonts w:cstheme="minorHAnsi"/>
          <w:i/>
          <w:color w:val="000000"/>
          <w:sz w:val="28"/>
          <w:szCs w:val="28"/>
        </w:rPr>
        <w:t xml:space="preserve">.” </w:t>
      </w:r>
      <w:r w:rsidRPr="005E1103">
        <w:rPr>
          <w:rFonts w:cstheme="minorHAnsi"/>
          <w:color w:val="000000"/>
          <w:sz w:val="28"/>
          <w:szCs w:val="28"/>
        </w:rPr>
        <w:t>(Experto 9).</w:t>
      </w:r>
    </w:p>
    <w:p w:rsidR="00C71AF3" w:rsidRPr="005E1103" w:rsidRDefault="00C71AF3" w:rsidP="00C71AF3">
      <w:pPr>
        <w:spacing w:line="360" w:lineRule="auto"/>
        <w:ind w:firstLine="397"/>
        <w:jc w:val="both"/>
        <w:rPr>
          <w:rFonts w:cstheme="minorHAnsi"/>
          <w:i/>
          <w:sz w:val="28"/>
          <w:szCs w:val="28"/>
          <w:u w:val="single"/>
        </w:rPr>
      </w:pPr>
      <w:r w:rsidRPr="005E1103">
        <w:rPr>
          <w:rFonts w:cstheme="minorHAnsi"/>
          <w:i/>
          <w:sz w:val="28"/>
          <w:szCs w:val="28"/>
          <w:u w:val="single"/>
        </w:rPr>
        <w:t>Propuestas de mejora</w:t>
      </w:r>
    </w:p>
    <w:p w:rsidR="00C71AF3" w:rsidRPr="005E1103" w:rsidRDefault="00C71AF3" w:rsidP="00C71AF3">
      <w:pPr>
        <w:spacing w:line="360" w:lineRule="auto"/>
        <w:ind w:firstLine="397"/>
        <w:jc w:val="both"/>
        <w:rPr>
          <w:rFonts w:cstheme="minorHAnsi"/>
          <w:sz w:val="28"/>
          <w:szCs w:val="28"/>
        </w:rPr>
      </w:pPr>
      <w:r w:rsidRPr="005E1103">
        <w:rPr>
          <w:rFonts w:cstheme="minorHAnsi"/>
          <w:sz w:val="28"/>
          <w:szCs w:val="28"/>
        </w:rPr>
        <w:t xml:space="preserve">Para finalizar, se les dejó a los expertos un espacio reservado para propuestas de mejora que considerasen que no se habían recogido en las categorías anteriores. En este sentido, varios de los expertos agradecieron la labor del equipo de formación. </w:t>
      </w:r>
    </w:p>
    <w:p w:rsidR="00C71AF3" w:rsidRPr="005E1103" w:rsidRDefault="00C71AF3" w:rsidP="00C71AF3">
      <w:pPr>
        <w:autoSpaceDE w:val="0"/>
        <w:autoSpaceDN w:val="0"/>
        <w:adjustRightInd w:val="0"/>
        <w:spacing w:line="360" w:lineRule="auto"/>
        <w:ind w:firstLine="397"/>
        <w:jc w:val="both"/>
        <w:rPr>
          <w:rFonts w:cstheme="minorHAnsi"/>
          <w:color w:val="000000"/>
          <w:sz w:val="28"/>
          <w:szCs w:val="28"/>
        </w:rPr>
      </w:pPr>
      <w:r w:rsidRPr="005E1103">
        <w:rPr>
          <w:rFonts w:cstheme="minorHAnsi"/>
          <w:i/>
          <w:color w:val="000000"/>
          <w:sz w:val="28"/>
          <w:szCs w:val="28"/>
        </w:rPr>
        <w:t>“</w:t>
      </w:r>
      <w:r w:rsidRPr="005E1103">
        <w:rPr>
          <w:rFonts w:cstheme="minorHAnsi"/>
          <w:i/>
          <w:sz w:val="28"/>
          <w:szCs w:val="28"/>
        </w:rPr>
        <w:t>Creo que es un trabajo muy necesario y es de un gran valor ya que nos permite avanzar hacia la inclusión en la educación universitaria</w:t>
      </w:r>
      <w:r w:rsidRPr="005E1103">
        <w:rPr>
          <w:rFonts w:cstheme="minorHAnsi"/>
          <w:i/>
          <w:color w:val="000000"/>
          <w:sz w:val="28"/>
          <w:szCs w:val="28"/>
        </w:rPr>
        <w:t xml:space="preserve">.” </w:t>
      </w:r>
      <w:r w:rsidRPr="005E1103">
        <w:rPr>
          <w:rFonts w:cstheme="minorHAnsi"/>
          <w:color w:val="000000"/>
          <w:sz w:val="28"/>
          <w:szCs w:val="28"/>
        </w:rPr>
        <w:t>(Experto 2).</w:t>
      </w:r>
    </w:p>
    <w:p w:rsidR="00C71AF3" w:rsidRPr="005E1103" w:rsidRDefault="00C71AF3" w:rsidP="00C71AF3">
      <w:pPr>
        <w:spacing w:line="360" w:lineRule="auto"/>
        <w:ind w:firstLine="397"/>
        <w:jc w:val="both"/>
        <w:rPr>
          <w:rFonts w:cstheme="minorHAnsi"/>
          <w:sz w:val="28"/>
          <w:szCs w:val="28"/>
        </w:rPr>
      </w:pPr>
      <w:r w:rsidRPr="005E1103">
        <w:rPr>
          <w:rFonts w:cstheme="minorHAnsi"/>
          <w:sz w:val="28"/>
          <w:szCs w:val="28"/>
        </w:rPr>
        <w:t xml:space="preserve">Por otro lado, como aspectos de mejora para la implementación del programa, los expertos propusieron poder analizar la puesta en práctica de los docentes en un aula real con alumnos con discapacidad, incluir un apartado donde se informe al docente cómo puede asesorarse o actuar si tiene un alumno en su </w:t>
      </w:r>
      <w:r w:rsidR="00BA2141" w:rsidRPr="005E1103">
        <w:rPr>
          <w:rFonts w:cstheme="minorHAnsi"/>
          <w:sz w:val="28"/>
          <w:szCs w:val="28"/>
        </w:rPr>
        <w:t>aula con</w:t>
      </w:r>
      <w:r w:rsidRPr="005E1103">
        <w:rPr>
          <w:rFonts w:cstheme="minorHAnsi"/>
          <w:sz w:val="28"/>
          <w:szCs w:val="28"/>
        </w:rPr>
        <w:t xml:space="preserve"> discapacidad del que no hubieran sido previamente informado por el SAD así como algunas propuestas de mejora en redacción y erratas de escritura.</w:t>
      </w:r>
    </w:p>
    <w:p w:rsidR="00C71AF3" w:rsidRPr="005E1103" w:rsidRDefault="00C71AF3" w:rsidP="00C71AF3">
      <w:pPr>
        <w:autoSpaceDE w:val="0"/>
        <w:autoSpaceDN w:val="0"/>
        <w:adjustRightInd w:val="0"/>
        <w:spacing w:line="360" w:lineRule="auto"/>
        <w:ind w:firstLine="397"/>
        <w:jc w:val="both"/>
        <w:rPr>
          <w:rFonts w:cstheme="minorHAnsi"/>
          <w:sz w:val="28"/>
          <w:szCs w:val="28"/>
        </w:rPr>
      </w:pPr>
      <w:r w:rsidRPr="005E1103" w:rsidDel="007A6043">
        <w:rPr>
          <w:rFonts w:cstheme="minorHAnsi"/>
          <w:i/>
          <w:color w:val="000000"/>
          <w:sz w:val="28"/>
          <w:szCs w:val="28"/>
        </w:rPr>
        <w:t xml:space="preserve"> </w:t>
      </w:r>
      <w:r w:rsidRPr="005E1103">
        <w:rPr>
          <w:rFonts w:cstheme="minorHAnsi"/>
          <w:i/>
          <w:color w:val="000000"/>
          <w:sz w:val="28"/>
          <w:szCs w:val="28"/>
        </w:rPr>
        <w:t>“</w:t>
      </w:r>
      <w:r w:rsidRPr="005E1103">
        <w:rPr>
          <w:rFonts w:cstheme="minorHAnsi"/>
          <w:i/>
          <w:sz w:val="28"/>
          <w:szCs w:val="28"/>
        </w:rPr>
        <w:t xml:space="preserve">Creo que sería de utilidad un apartado en el que se explicara el procedimiento que debe seguir el profesor que detecte que en su clase hay un estudiante con discapacidad, del cual no ha sido previamente informado por el SAD.” </w:t>
      </w:r>
      <w:r w:rsidRPr="005E1103">
        <w:rPr>
          <w:rFonts w:cstheme="minorHAnsi"/>
          <w:sz w:val="28"/>
          <w:szCs w:val="28"/>
        </w:rPr>
        <w:t>(Experto 3).</w:t>
      </w:r>
    </w:p>
    <w:p w:rsidR="00C71AF3" w:rsidRPr="005E1103" w:rsidRDefault="00C71AF3" w:rsidP="00C71AF3">
      <w:pPr>
        <w:spacing w:line="360" w:lineRule="auto"/>
        <w:ind w:firstLine="397"/>
        <w:jc w:val="both"/>
        <w:rPr>
          <w:rFonts w:cstheme="minorHAnsi"/>
          <w:noProof/>
          <w:sz w:val="28"/>
          <w:szCs w:val="28"/>
        </w:rPr>
      </w:pPr>
      <w:r w:rsidRPr="005E1103">
        <w:rPr>
          <w:rFonts w:cstheme="minorHAnsi"/>
          <w:noProof/>
          <w:color w:val="000000"/>
          <w:sz w:val="28"/>
          <w:szCs w:val="28"/>
        </w:rPr>
        <w:t>Tras el análisis de las propuestas realizadas por los jueces, se procedió a la revisión del programa e incorporación de las propuestas de mejora por las personas expertas relativas a contenidos, metodología, temporalización y recursos.</w:t>
      </w:r>
    </w:p>
    <w:p w:rsidR="00C71AF3" w:rsidRPr="005E1103" w:rsidRDefault="00C71AF3" w:rsidP="00C71AF3">
      <w:pPr>
        <w:spacing w:line="360" w:lineRule="auto"/>
        <w:ind w:firstLine="397"/>
        <w:jc w:val="both"/>
        <w:rPr>
          <w:rFonts w:cstheme="minorHAnsi"/>
          <w:b/>
          <w:sz w:val="28"/>
          <w:szCs w:val="28"/>
        </w:rPr>
      </w:pPr>
      <w:r w:rsidRPr="005E1103">
        <w:rPr>
          <w:rFonts w:cstheme="minorHAnsi"/>
          <w:b/>
          <w:sz w:val="28"/>
          <w:szCs w:val="28"/>
        </w:rPr>
        <w:t>Conclusiones</w:t>
      </w:r>
    </w:p>
    <w:p w:rsidR="00C71AF3" w:rsidRPr="005E1103" w:rsidRDefault="00C71AF3" w:rsidP="00C71AF3">
      <w:pPr>
        <w:spacing w:line="360" w:lineRule="auto"/>
        <w:ind w:firstLine="397"/>
        <w:jc w:val="both"/>
        <w:rPr>
          <w:rFonts w:cstheme="minorHAnsi"/>
          <w:sz w:val="28"/>
          <w:szCs w:val="28"/>
        </w:rPr>
      </w:pPr>
      <w:r w:rsidRPr="005E1103">
        <w:rPr>
          <w:rFonts w:cstheme="minorHAnsi"/>
          <w:sz w:val="28"/>
          <w:szCs w:val="28"/>
        </w:rPr>
        <w:t xml:space="preserve">En líneas generales, la evaluación y juicio realizado por los expertos, nos ha permitido analizar y evaluar las fortalezas y </w:t>
      </w:r>
      <w:r w:rsidR="00BA2141" w:rsidRPr="005E1103">
        <w:rPr>
          <w:rFonts w:cstheme="minorHAnsi"/>
          <w:sz w:val="28"/>
          <w:szCs w:val="28"/>
        </w:rPr>
        <w:t>oportunidades,</w:t>
      </w:r>
      <w:r w:rsidRPr="005E1103">
        <w:rPr>
          <w:rFonts w:cstheme="minorHAnsi"/>
          <w:sz w:val="28"/>
          <w:szCs w:val="28"/>
        </w:rPr>
        <w:t xml:space="preserve"> así como las debilidades y necesidades de nuestro proyecto de formación para su posterior implementación. En este sentido, cabe reseñar: </w:t>
      </w:r>
    </w:p>
    <w:p w:rsidR="00C71AF3" w:rsidRPr="005E1103" w:rsidRDefault="00C71AF3" w:rsidP="00C71AF3">
      <w:pPr>
        <w:pStyle w:val="Prrafodelista"/>
        <w:numPr>
          <w:ilvl w:val="0"/>
          <w:numId w:val="10"/>
        </w:numPr>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lastRenderedPageBreak/>
        <w:t xml:space="preserve">De forma general, el programa es claro respecto al contenido y temas tratados en los diferentes </w:t>
      </w:r>
      <w:r w:rsidR="00BA2141" w:rsidRPr="005E1103">
        <w:rPr>
          <w:rFonts w:asciiTheme="minorHAnsi" w:hAnsiTheme="minorHAnsi" w:cstheme="minorHAnsi"/>
          <w:sz w:val="28"/>
          <w:szCs w:val="28"/>
        </w:rPr>
        <w:t>módulos,</w:t>
      </w:r>
      <w:r w:rsidRPr="005E1103">
        <w:rPr>
          <w:rFonts w:asciiTheme="minorHAnsi" w:hAnsiTheme="minorHAnsi" w:cstheme="minorHAnsi"/>
          <w:sz w:val="28"/>
          <w:szCs w:val="28"/>
        </w:rPr>
        <w:t xml:space="preserve"> así como de fácil acceso y de lectura. No obstante, se ha detectado la necesidad de perfeccionar y profundizar en los mismos con ejemplos prácticos como es el caso de imágenes, tablas o vídeos, que ayuden a los docentes a situarse ante el contenido con una visión más concreta, real y ejemplificadora.</w:t>
      </w:r>
    </w:p>
    <w:p w:rsidR="00C71AF3" w:rsidRPr="005E1103" w:rsidRDefault="00C71AF3" w:rsidP="00C71AF3">
      <w:pPr>
        <w:pStyle w:val="Prrafodelista"/>
        <w:numPr>
          <w:ilvl w:val="0"/>
          <w:numId w:val="10"/>
        </w:numPr>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Los módulos y contenidos responden correctamente con los objetivos propuestos en el programa. Sin embargo, los expertos consideran necesario la inclusión de actividades de retroalimentación o el incremento de ejemplos prácticos.</w:t>
      </w:r>
    </w:p>
    <w:p w:rsidR="00C71AF3" w:rsidRPr="005E1103" w:rsidRDefault="00C71AF3" w:rsidP="00C71AF3">
      <w:pPr>
        <w:pStyle w:val="Prrafodelista"/>
        <w:numPr>
          <w:ilvl w:val="0"/>
          <w:numId w:val="10"/>
        </w:numPr>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 xml:space="preserve">Los expertos evaluaron a los contenidos como relevantes, actuales y de interés para la figura docente y su formación. </w:t>
      </w:r>
    </w:p>
    <w:p w:rsidR="00C71AF3" w:rsidRPr="005E1103" w:rsidRDefault="00C71AF3" w:rsidP="00C71AF3">
      <w:pPr>
        <w:pStyle w:val="Prrafodelista"/>
        <w:numPr>
          <w:ilvl w:val="0"/>
          <w:numId w:val="10"/>
        </w:numPr>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Este tipo de acción formativa ayuda a concienciar y sensibilizar a los docentes ante las necesidades del alumnado con discapacidad.</w:t>
      </w:r>
    </w:p>
    <w:p w:rsidR="00C71AF3" w:rsidRPr="005E1103" w:rsidRDefault="00C71AF3" w:rsidP="00C71AF3">
      <w:pPr>
        <w:pStyle w:val="Prrafodelista"/>
        <w:numPr>
          <w:ilvl w:val="0"/>
          <w:numId w:val="10"/>
        </w:numPr>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 xml:space="preserve">De forma generalizada, la secuenciación de los contenidos es considerada adecuada a la temporalización y extensión de los mismos. </w:t>
      </w:r>
    </w:p>
    <w:p w:rsidR="00C71AF3" w:rsidRPr="005E1103" w:rsidRDefault="00C71AF3" w:rsidP="00C71AF3">
      <w:pPr>
        <w:pStyle w:val="Prrafodelista"/>
        <w:numPr>
          <w:ilvl w:val="0"/>
          <w:numId w:val="10"/>
        </w:numPr>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El programa de formación responde a la realidad de las aulas y ayuda a los docentes a ofrecer respuestas adecuadas y adaptadas a las necesidades del alumnado con discapacidad.</w:t>
      </w:r>
    </w:p>
    <w:p w:rsidR="00C71AF3" w:rsidRPr="005E1103" w:rsidRDefault="00C71AF3" w:rsidP="00C71AF3">
      <w:pPr>
        <w:pStyle w:val="Prrafodelista"/>
        <w:numPr>
          <w:ilvl w:val="0"/>
          <w:numId w:val="10"/>
        </w:numPr>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A lo largo de la evaluación, se ha reiterado la necesidad de incorporar recursos externos y materiales de apoyo que permitan a los docentes ahondar en los contenidos.</w:t>
      </w:r>
    </w:p>
    <w:p w:rsidR="00C71AF3" w:rsidRPr="005E1103" w:rsidRDefault="00C71AF3" w:rsidP="00C71AF3">
      <w:pPr>
        <w:spacing w:line="360" w:lineRule="auto"/>
        <w:ind w:firstLine="397"/>
        <w:jc w:val="both"/>
        <w:rPr>
          <w:rFonts w:cstheme="minorHAnsi"/>
          <w:sz w:val="28"/>
          <w:szCs w:val="28"/>
        </w:rPr>
      </w:pPr>
      <w:r w:rsidRPr="005E1103">
        <w:rPr>
          <w:rFonts w:cstheme="minorHAnsi"/>
          <w:sz w:val="28"/>
          <w:szCs w:val="28"/>
        </w:rPr>
        <w:t xml:space="preserve">En este sentido, cabe reseñar la importancia de la labor docente y la atención a la diversidad, sin obviar y, sobretodo, matizar, la importancia que adquiere en el desarrollo profesional de los docentes la adquisición de competencias formativas que les ayuden a enfrentarse a su práctica docente ajustada (siempre) a la realidad educativa de sus aulas (Aranda et al., 2014; Tortosa y Álvarez, 2009; Sánchez Palomino, 2009). </w:t>
      </w:r>
    </w:p>
    <w:p w:rsidR="00C71AF3" w:rsidRPr="005E1103" w:rsidRDefault="00C71AF3" w:rsidP="00C71AF3">
      <w:pPr>
        <w:widowControl w:val="0"/>
        <w:autoSpaceDE w:val="0"/>
        <w:autoSpaceDN w:val="0"/>
        <w:adjustRightInd w:val="0"/>
        <w:spacing w:line="360" w:lineRule="auto"/>
        <w:ind w:firstLine="397"/>
        <w:jc w:val="both"/>
        <w:rPr>
          <w:rFonts w:cstheme="minorHAnsi"/>
          <w:sz w:val="28"/>
          <w:szCs w:val="28"/>
        </w:rPr>
      </w:pPr>
      <w:r w:rsidRPr="005E1103">
        <w:rPr>
          <w:rFonts w:cstheme="minorHAnsi"/>
          <w:sz w:val="28"/>
          <w:szCs w:val="28"/>
        </w:rPr>
        <w:lastRenderedPageBreak/>
        <w:t>Por lo que, a raíz de estos hallazgos obtenidos, podemos afirmar junto con autores como Hurst (2006, 2015) que la formación del profesorado en materia de discapacidad debería ser obligatoria insertándose en las agendas formativas de las universidades ya que defendemos que, si se mejoran las prácticas de enseñanza para estudiantes con discapacidad también ejercerá una repercusión positiva en los procesos de enseñanza y aprendizaje de todos los estudiantes en general (Riddel, Tinklin &amp; Wilson, 2005; Shaw, 2009).</w:t>
      </w:r>
    </w:p>
    <w:p w:rsidR="00C71AF3" w:rsidRPr="005E1103" w:rsidRDefault="00C71AF3" w:rsidP="00C71AF3">
      <w:pPr>
        <w:widowControl w:val="0"/>
        <w:autoSpaceDE w:val="0"/>
        <w:autoSpaceDN w:val="0"/>
        <w:adjustRightInd w:val="0"/>
        <w:spacing w:line="360" w:lineRule="auto"/>
        <w:ind w:firstLine="397"/>
        <w:jc w:val="both"/>
        <w:rPr>
          <w:rFonts w:cstheme="minorHAnsi"/>
          <w:b/>
          <w:sz w:val="28"/>
          <w:szCs w:val="28"/>
        </w:rPr>
      </w:pPr>
      <w:r w:rsidRPr="005E1103">
        <w:rPr>
          <w:rFonts w:cstheme="minorHAnsi"/>
          <w:b/>
          <w:sz w:val="28"/>
          <w:szCs w:val="28"/>
        </w:rPr>
        <w:t>Referencias Bibliográficas</w:t>
      </w:r>
    </w:p>
    <w:p w:rsidR="00C71AF3" w:rsidRPr="005E1103" w:rsidRDefault="00C71AF3" w:rsidP="00C71AF3">
      <w:pPr>
        <w:spacing w:line="360" w:lineRule="auto"/>
        <w:ind w:left="397" w:hanging="397"/>
        <w:jc w:val="both"/>
        <w:rPr>
          <w:rFonts w:cstheme="minorHAnsi"/>
          <w:sz w:val="28"/>
          <w:szCs w:val="28"/>
        </w:rPr>
      </w:pPr>
      <w:r w:rsidRPr="005E1103">
        <w:rPr>
          <w:rFonts w:cstheme="minorHAnsi"/>
          <w:sz w:val="28"/>
          <w:szCs w:val="28"/>
        </w:rPr>
        <w:t xml:space="preserve">Alegre, O.M., &amp; Villar, L.M. (2009). </w:t>
      </w:r>
      <w:r w:rsidRPr="005E1103">
        <w:rPr>
          <w:rFonts w:cstheme="minorHAnsi"/>
          <w:sz w:val="28"/>
          <w:szCs w:val="28"/>
          <w:lang w:val="en-US"/>
        </w:rPr>
        <w:t xml:space="preserve">Evaluation Of A 10-Year Special Education Master’s Degree Program: The Case Of La Laguna University. </w:t>
      </w:r>
      <w:r w:rsidRPr="005E1103">
        <w:rPr>
          <w:rFonts w:cstheme="minorHAnsi"/>
          <w:i/>
          <w:sz w:val="28"/>
          <w:szCs w:val="28"/>
        </w:rPr>
        <w:t>International Journal of Special Education</w:t>
      </w:r>
      <w:r w:rsidRPr="005E1103">
        <w:rPr>
          <w:rFonts w:cstheme="minorHAnsi"/>
          <w:sz w:val="28"/>
          <w:szCs w:val="28"/>
        </w:rPr>
        <w:t xml:space="preserve">, </w:t>
      </w:r>
      <w:r w:rsidRPr="005E1103">
        <w:rPr>
          <w:rFonts w:cstheme="minorHAnsi"/>
          <w:i/>
          <w:sz w:val="28"/>
          <w:szCs w:val="28"/>
        </w:rPr>
        <w:t>24</w:t>
      </w:r>
      <w:r w:rsidRPr="005E1103">
        <w:rPr>
          <w:rFonts w:cstheme="minorHAnsi"/>
          <w:sz w:val="28"/>
          <w:szCs w:val="28"/>
        </w:rPr>
        <w:t>, 2, 116-129.</w:t>
      </w:r>
    </w:p>
    <w:p w:rsidR="00C71AF3" w:rsidRPr="005E1103" w:rsidRDefault="00C71AF3" w:rsidP="00C71AF3">
      <w:pPr>
        <w:widowControl w:val="0"/>
        <w:autoSpaceDE w:val="0"/>
        <w:autoSpaceDN w:val="0"/>
        <w:adjustRightInd w:val="0"/>
        <w:spacing w:line="360" w:lineRule="auto"/>
        <w:ind w:left="397" w:hanging="397"/>
        <w:jc w:val="both"/>
        <w:rPr>
          <w:rFonts w:cstheme="minorHAnsi"/>
          <w:sz w:val="28"/>
          <w:szCs w:val="28"/>
          <w:lang w:val="en-US"/>
        </w:rPr>
      </w:pPr>
      <w:r w:rsidRPr="005E1103">
        <w:rPr>
          <w:rFonts w:cstheme="minorHAnsi"/>
          <w:sz w:val="28"/>
          <w:szCs w:val="28"/>
        </w:rPr>
        <w:t xml:space="preserve">Aranda, R. et al. (2014). La formación del profesorado universitario: mejora de los procesos de enseñanza-aprendizaje del alumnado con discapacidad. </w:t>
      </w:r>
      <w:r w:rsidRPr="005E1103">
        <w:rPr>
          <w:rFonts w:cstheme="minorHAnsi"/>
          <w:i/>
          <w:sz w:val="28"/>
          <w:szCs w:val="28"/>
          <w:lang w:val="en-US"/>
        </w:rPr>
        <w:t>Tendencias Pedagógicas</w:t>
      </w:r>
      <w:r w:rsidRPr="005E1103">
        <w:rPr>
          <w:rFonts w:cstheme="minorHAnsi"/>
          <w:sz w:val="28"/>
          <w:szCs w:val="28"/>
          <w:lang w:val="en-US"/>
        </w:rPr>
        <w:t>, 23, 271-300.</w:t>
      </w:r>
    </w:p>
    <w:p w:rsidR="00C71AF3" w:rsidRPr="005E1103" w:rsidRDefault="00C71AF3" w:rsidP="00C71AF3">
      <w:pPr>
        <w:spacing w:line="360" w:lineRule="auto"/>
        <w:ind w:left="397" w:hanging="397"/>
        <w:jc w:val="both"/>
        <w:rPr>
          <w:rFonts w:cstheme="minorHAnsi"/>
          <w:sz w:val="28"/>
          <w:szCs w:val="28"/>
          <w:lang w:val="en-US"/>
        </w:rPr>
      </w:pPr>
      <w:r w:rsidRPr="005E1103">
        <w:rPr>
          <w:rFonts w:cstheme="minorHAnsi"/>
          <w:sz w:val="28"/>
          <w:szCs w:val="28"/>
          <w:lang w:val="en-US" w:eastAsia="es-ES_tradnl"/>
        </w:rPr>
        <w:t xml:space="preserve">Borland, J., &amp; James, S. (1999) The Learning Experience of Students with Disabilities in Higher Education. A case study of a UK university. </w:t>
      </w:r>
      <w:r w:rsidRPr="005E1103">
        <w:rPr>
          <w:rFonts w:cstheme="minorHAnsi"/>
          <w:i/>
          <w:sz w:val="28"/>
          <w:szCs w:val="28"/>
          <w:lang w:val="en-US" w:eastAsia="es-ES_tradnl"/>
        </w:rPr>
        <w:t>Disability &amp; Society</w:t>
      </w:r>
      <w:r w:rsidRPr="005E1103">
        <w:rPr>
          <w:rFonts w:cstheme="minorHAnsi"/>
          <w:sz w:val="28"/>
          <w:szCs w:val="28"/>
          <w:lang w:val="en-US" w:eastAsia="es-ES_tradnl"/>
        </w:rPr>
        <w:t xml:space="preserve">, </w:t>
      </w:r>
      <w:r w:rsidRPr="005E1103">
        <w:rPr>
          <w:rFonts w:cstheme="minorHAnsi"/>
          <w:i/>
          <w:sz w:val="28"/>
          <w:szCs w:val="28"/>
          <w:lang w:val="en-US" w:eastAsia="es-ES_tradnl"/>
        </w:rPr>
        <w:t>14</w:t>
      </w:r>
      <w:r w:rsidRPr="005E1103">
        <w:rPr>
          <w:rFonts w:cstheme="minorHAnsi"/>
          <w:sz w:val="28"/>
          <w:szCs w:val="28"/>
          <w:lang w:val="en-US" w:eastAsia="es-ES_tradnl"/>
        </w:rPr>
        <w:t>, 1, 85-101.</w:t>
      </w:r>
    </w:p>
    <w:p w:rsidR="00C71AF3" w:rsidRPr="005E1103" w:rsidRDefault="00C71AF3" w:rsidP="00C71AF3">
      <w:pPr>
        <w:widowControl w:val="0"/>
        <w:autoSpaceDE w:val="0"/>
        <w:autoSpaceDN w:val="0"/>
        <w:adjustRightInd w:val="0"/>
        <w:spacing w:line="360" w:lineRule="auto"/>
        <w:ind w:left="397" w:hanging="397"/>
        <w:jc w:val="both"/>
        <w:rPr>
          <w:rFonts w:cstheme="minorHAnsi"/>
          <w:sz w:val="28"/>
          <w:szCs w:val="28"/>
        </w:rPr>
      </w:pPr>
      <w:r w:rsidRPr="005E1103">
        <w:rPr>
          <w:rFonts w:cstheme="minorHAnsi"/>
          <w:sz w:val="28"/>
          <w:szCs w:val="28"/>
          <w:lang w:val="en-US"/>
        </w:rPr>
        <w:t xml:space="preserve">Castellana, M., &amp; Sala, I. (2005). </w:t>
      </w:r>
      <w:r w:rsidRPr="005E1103">
        <w:rPr>
          <w:rFonts w:cstheme="minorHAnsi"/>
          <w:sz w:val="28"/>
          <w:szCs w:val="28"/>
        </w:rPr>
        <w:t xml:space="preserve">La Universidad ante la diversidad en el aula. </w:t>
      </w:r>
      <w:r w:rsidRPr="005E1103">
        <w:rPr>
          <w:rFonts w:cstheme="minorHAnsi"/>
          <w:i/>
          <w:sz w:val="28"/>
          <w:szCs w:val="28"/>
        </w:rPr>
        <w:t>Aula Abierta</w:t>
      </w:r>
      <w:r w:rsidRPr="005E1103">
        <w:rPr>
          <w:rFonts w:cstheme="minorHAnsi"/>
          <w:sz w:val="28"/>
          <w:szCs w:val="28"/>
        </w:rPr>
        <w:t>, 85, 57-84.</w:t>
      </w:r>
    </w:p>
    <w:p w:rsidR="00C71AF3" w:rsidRPr="005E1103" w:rsidRDefault="00C71AF3" w:rsidP="00C71AF3">
      <w:pPr>
        <w:autoSpaceDE w:val="0"/>
        <w:autoSpaceDN w:val="0"/>
        <w:adjustRightInd w:val="0"/>
        <w:spacing w:line="360" w:lineRule="auto"/>
        <w:ind w:left="397" w:hanging="397"/>
        <w:jc w:val="both"/>
        <w:rPr>
          <w:rFonts w:cstheme="minorHAnsi"/>
          <w:bCs/>
          <w:sz w:val="28"/>
          <w:szCs w:val="28"/>
          <w:lang w:val="en-US"/>
        </w:rPr>
      </w:pPr>
      <w:r w:rsidRPr="005E1103">
        <w:rPr>
          <w:rFonts w:cstheme="minorHAnsi"/>
          <w:iCs/>
          <w:color w:val="0D0D0D" w:themeColor="text1" w:themeTint="F2"/>
          <w:sz w:val="28"/>
          <w:szCs w:val="28"/>
        </w:rPr>
        <w:t xml:space="preserve">Cerrillo, R., Izuzquiza, D., &amp; Egido, I. (2013). </w:t>
      </w:r>
      <w:r w:rsidRPr="005E1103">
        <w:rPr>
          <w:rFonts w:cstheme="minorHAnsi"/>
          <w:bCs/>
          <w:sz w:val="28"/>
          <w:szCs w:val="28"/>
        </w:rPr>
        <w:t xml:space="preserve">Inclusión de jóvenes con discapacidad intelectual en la Universidad. </w:t>
      </w:r>
      <w:r w:rsidRPr="005E1103">
        <w:rPr>
          <w:rFonts w:cstheme="minorHAnsi"/>
          <w:bCs/>
          <w:i/>
          <w:sz w:val="28"/>
          <w:szCs w:val="28"/>
          <w:lang w:val="en-US"/>
        </w:rPr>
        <w:t>Revista de Investigación en Educación</w:t>
      </w:r>
      <w:r w:rsidRPr="005E1103">
        <w:rPr>
          <w:rFonts w:cstheme="minorHAnsi"/>
          <w:bCs/>
          <w:sz w:val="28"/>
          <w:szCs w:val="28"/>
          <w:lang w:val="en-US"/>
        </w:rPr>
        <w:t xml:space="preserve">, </w:t>
      </w:r>
      <w:r w:rsidRPr="005E1103">
        <w:rPr>
          <w:rFonts w:cstheme="minorHAnsi"/>
          <w:bCs/>
          <w:i/>
          <w:sz w:val="28"/>
          <w:szCs w:val="28"/>
          <w:lang w:val="en-US"/>
        </w:rPr>
        <w:t>11</w:t>
      </w:r>
      <w:r w:rsidRPr="005E1103">
        <w:rPr>
          <w:rFonts w:cstheme="minorHAnsi"/>
          <w:bCs/>
          <w:sz w:val="28"/>
          <w:szCs w:val="28"/>
          <w:lang w:val="en-US"/>
        </w:rPr>
        <w:t xml:space="preserve">(1), 41-57. </w:t>
      </w:r>
    </w:p>
    <w:p w:rsidR="00C71AF3" w:rsidRPr="005E1103" w:rsidRDefault="00C71AF3" w:rsidP="00C71AF3">
      <w:pPr>
        <w:autoSpaceDE w:val="0"/>
        <w:autoSpaceDN w:val="0"/>
        <w:adjustRightInd w:val="0"/>
        <w:spacing w:line="360" w:lineRule="auto"/>
        <w:ind w:left="397" w:hanging="397"/>
        <w:jc w:val="both"/>
        <w:rPr>
          <w:rFonts w:cstheme="minorHAnsi"/>
          <w:color w:val="0D0D0D" w:themeColor="text1" w:themeTint="F2"/>
          <w:sz w:val="28"/>
          <w:szCs w:val="28"/>
          <w:lang w:val="en-US"/>
        </w:rPr>
      </w:pPr>
      <w:r w:rsidRPr="005E1103">
        <w:rPr>
          <w:rFonts w:cstheme="minorHAnsi"/>
          <w:color w:val="0D0D0D" w:themeColor="text1" w:themeTint="F2"/>
          <w:sz w:val="28"/>
          <w:szCs w:val="28"/>
          <w:lang w:val="en-US"/>
        </w:rPr>
        <w:t xml:space="preserve">Doughty, H., &amp; Allan, J. (2008). Social capital and the evaluation of inclusiveness in Scottish further education colleges, </w:t>
      </w:r>
      <w:r w:rsidRPr="005E1103">
        <w:rPr>
          <w:rFonts w:cstheme="minorHAnsi"/>
          <w:i/>
          <w:color w:val="0D0D0D" w:themeColor="text1" w:themeTint="F2"/>
          <w:sz w:val="28"/>
          <w:szCs w:val="28"/>
          <w:lang w:val="en-US"/>
        </w:rPr>
        <w:t>Journal of Further and Higher Education</w:t>
      </w:r>
      <w:r w:rsidRPr="005E1103">
        <w:rPr>
          <w:rFonts w:cstheme="minorHAnsi"/>
          <w:color w:val="0D0D0D" w:themeColor="text1" w:themeTint="F2"/>
          <w:sz w:val="28"/>
          <w:szCs w:val="28"/>
          <w:lang w:val="en-US"/>
        </w:rPr>
        <w:t xml:space="preserve">, </w:t>
      </w:r>
      <w:r w:rsidRPr="005E1103">
        <w:rPr>
          <w:rFonts w:cstheme="minorHAnsi"/>
          <w:i/>
          <w:color w:val="0D0D0D" w:themeColor="text1" w:themeTint="F2"/>
          <w:sz w:val="28"/>
          <w:szCs w:val="28"/>
          <w:lang w:val="en-US"/>
        </w:rPr>
        <w:t>32</w:t>
      </w:r>
      <w:r w:rsidRPr="005E1103">
        <w:rPr>
          <w:rFonts w:cstheme="minorHAnsi"/>
          <w:color w:val="0D0D0D" w:themeColor="text1" w:themeTint="F2"/>
          <w:sz w:val="28"/>
          <w:szCs w:val="28"/>
          <w:lang w:val="en-US"/>
        </w:rPr>
        <w:t>(3), 275-284.</w:t>
      </w:r>
    </w:p>
    <w:p w:rsidR="00C71AF3" w:rsidRPr="005E1103" w:rsidRDefault="00C71AF3" w:rsidP="00C71AF3">
      <w:pPr>
        <w:autoSpaceDE w:val="0"/>
        <w:autoSpaceDN w:val="0"/>
        <w:adjustRightInd w:val="0"/>
        <w:spacing w:line="360" w:lineRule="auto"/>
        <w:ind w:left="397" w:hanging="397"/>
        <w:jc w:val="both"/>
        <w:rPr>
          <w:rFonts w:cstheme="minorHAnsi"/>
          <w:sz w:val="28"/>
          <w:szCs w:val="28"/>
        </w:rPr>
      </w:pPr>
      <w:r w:rsidRPr="005E1103">
        <w:rPr>
          <w:rFonts w:cstheme="minorHAnsi"/>
          <w:color w:val="000000"/>
          <w:sz w:val="28"/>
          <w:szCs w:val="28"/>
          <w:lang w:eastAsia="es-ES_tradnl"/>
        </w:rPr>
        <w:t xml:space="preserve">Echeita, G. </w:t>
      </w:r>
      <w:r w:rsidRPr="005E1103">
        <w:rPr>
          <w:rFonts w:cstheme="minorHAnsi"/>
          <w:sz w:val="28"/>
          <w:szCs w:val="28"/>
        </w:rPr>
        <w:t xml:space="preserve">(2013). Inclusión y exclusión educativa. De nuevo voz y quebranto. </w:t>
      </w:r>
      <w:r w:rsidRPr="005E1103">
        <w:rPr>
          <w:rFonts w:cstheme="minorHAnsi"/>
          <w:i/>
          <w:sz w:val="28"/>
          <w:szCs w:val="28"/>
        </w:rPr>
        <w:t>Reice</w:t>
      </w:r>
      <w:r w:rsidRPr="005E1103">
        <w:rPr>
          <w:rFonts w:cstheme="minorHAnsi"/>
          <w:sz w:val="28"/>
          <w:szCs w:val="28"/>
        </w:rPr>
        <w:t xml:space="preserve">, </w:t>
      </w:r>
      <w:r w:rsidRPr="005E1103">
        <w:rPr>
          <w:rFonts w:cstheme="minorHAnsi"/>
          <w:i/>
          <w:sz w:val="28"/>
          <w:szCs w:val="28"/>
        </w:rPr>
        <w:t>11</w:t>
      </w:r>
      <w:r w:rsidRPr="005E1103">
        <w:rPr>
          <w:rFonts w:cstheme="minorHAnsi"/>
          <w:sz w:val="28"/>
          <w:szCs w:val="28"/>
        </w:rPr>
        <w:t>(2), 99-118.</w:t>
      </w:r>
    </w:p>
    <w:p w:rsidR="00C71AF3" w:rsidRPr="005E1103" w:rsidRDefault="00C71AF3" w:rsidP="00C71AF3">
      <w:pPr>
        <w:widowControl w:val="0"/>
        <w:autoSpaceDE w:val="0"/>
        <w:autoSpaceDN w:val="0"/>
        <w:adjustRightInd w:val="0"/>
        <w:spacing w:line="360" w:lineRule="auto"/>
        <w:ind w:left="397" w:hanging="397"/>
        <w:jc w:val="both"/>
        <w:rPr>
          <w:rFonts w:eastAsia="Times New Roman" w:cstheme="minorHAnsi"/>
          <w:color w:val="111111"/>
          <w:sz w:val="28"/>
          <w:szCs w:val="28"/>
        </w:rPr>
      </w:pPr>
      <w:r w:rsidRPr="005E1103">
        <w:rPr>
          <w:rFonts w:cstheme="minorHAnsi"/>
          <w:color w:val="000000"/>
          <w:sz w:val="28"/>
          <w:szCs w:val="28"/>
          <w:lang w:eastAsia="es-ES_tradnl"/>
        </w:rPr>
        <w:lastRenderedPageBreak/>
        <w:t xml:space="preserve">Escudero, J.M., &amp; Martínez, B. </w:t>
      </w:r>
      <w:r w:rsidRPr="005E1103">
        <w:rPr>
          <w:rFonts w:cstheme="minorHAnsi"/>
          <w:sz w:val="28"/>
          <w:szCs w:val="28"/>
        </w:rPr>
        <w:t xml:space="preserve">(2011). Educación inclusiva y cambio escolar. </w:t>
      </w:r>
      <w:r w:rsidRPr="005E1103">
        <w:rPr>
          <w:rFonts w:cstheme="minorHAnsi"/>
          <w:i/>
          <w:sz w:val="28"/>
          <w:szCs w:val="28"/>
        </w:rPr>
        <w:t>Revista Iberoamericana de Educación</w:t>
      </w:r>
      <w:r w:rsidRPr="005E1103">
        <w:rPr>
          <w:rFonts w:cstheme="minorHAnsi"/>
          <w:sz w:val="28"/>
          <w:szCs w:val="28"/>
        </w:rPr>
        <w:t xml:space="preserve">, </w:t>
      </w:r>
      <w:r w:rsidRPr="005E1103">
        <w:rPr>
          <w:rFonts w:cstheme="minorHAnsi"/>
          <w:i/>
          <w:sz w:val="28"/>
          <w:szCs w:val="28"/>
        </w:rPr>
        <w:t>55</w:t>
      </w:r>
      <w:r w:rsidRPr="005E1103">
        <w:rPr>
          <w:rFonts w:cstheme="minorHAnsi"/>
          <w:sz w:val="28"/>
          <w:szCs w:val="28"/>
        </w:rPr>
        <w:t>, 85-105.</w:t>
      </w:r>
    </w:p>
    <w:p w:rsidR="00C71AF3" w:rsidRPr="005E1103" w:rsidRDefault="00C71AF3" w:rsidP="00C71A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397" w:hanging="397"/>
        <w:jc w:val="both"/>
        <w:rPr>
          <w:rFonts w:cstheme="minorHAnsi"/>
          <w:sz w:val="28"/>
          <w:szCs w:val="28"/>
        </w:rPr>
      </w:pPr>
      <w:r w:rsidRPr="005E1103">
        <w:rPr>
          <w:rFonts w:cstheme="minorHAnsi"/>
          <w:sz w:val="28"/>
          <w:szCs w:val="28"/>
        </w:rPr>
        <w:t xml:space="preserve">Fraiz Brea, J., Alén González, Mª E., &amp; Domínguez Vila, T. (2008). La accesibilidad como nexo de unión entre la Universidad y la sociedad: la creación de mercados globales e integradores. En Castro de Silva &amp; Díaz de Castro (Coords), </w:t>
      </w:r>
      <w:r w:rsidRPr="005E1103">
        <w:rPr>
          <w:rFonts w:cstheme="minorHAnsi"/>
          <w:i/>
          <w:sz w:val="28"/>
          <w:szCs w:val="28"/>
        </w:rPr>
        <w:t xml:space="preserve">Universidad, Sociedad y Mercados Globales </w:t>
      </w:r>
      <w:r w:rsidRPr="005E1103">
        <w:rPr>
          <w:rFonts w:cstheme="minorHAnsi"/>
          <w:sz w:val="28"/>
          <w:szCs w:val="28"/>
        </w:rPr>
        <w:t>(pp.409-420). Madrid: Asociación Española de Dirección y Economía de la Empresa (AEDEM).</w:t>
      </w:r>
    </w:p>
    <w:p w:rsidR="00C71AF3" w:rsidRPr="005E1103" w:rsidRDefault="00C71AF3" w:rsidP="00C71AF3">
      <w:pPr>
        <w:autoSpaceDE w:val="0"/>
        <w:autoSpaceDN w:val="0"/>
        <w:adjustRightInd w:val="0"/>
        <w:spacing w:line="360" w:lineRule="auto"/>
        <w:ind w:left="397" w:hanging="397"/>
        <w:jc w:val="both"/>
        <w:rPr>
          <w:rFonts w:cstheme="minorHAnsi"/>
          <w:color w:val="0D0D0D" w:themeColor="text1" w:themeTint="F2"/>
          <w:sz w:val="28"/>
          <w:szCs w:val="28"/>
          <w:lang w:val="en-US"/>
        </w:rPr>
      </w:pPr>
      <w:r w:rsidRPr="005E1103">
        <w:rPr>
          <w:rFonts w:cstheme="minorHAnsi"/>
          <w:color w:val="0D0D0D" w:themeColor="text1" w:themeTint="F2"/>
          <w:sz w:val="28"/>
          <w:szCs w:val="28"/>
          <w:lang w:val="en-US"/>
        </w:rPr>
        <w:t xml:space="preserve">Fuller, M., Bradley, A., &amp; Healey, M. (2004). Incorporating disabled students within an inclusive higher education environment, </w:t>
      </w:r>
      <w:r w:rsidRPr="005E1103">
        <w:rPr>
          <w:rFonts w:cstheme="minorHAnsi"/>
          <w:i/>
          <w:color w:val="0D0D0D" w:themeColor="text1" w:themeTint="F2"/>
          <w:sz w:val="28"/>
          <w:szCs w:val="28"/>
          <w:lang w:val="en-US"/>
        </w:rPr>
        <w:t>Disability &amp; Society</w:t>
      </w:r>
      <w:r w:rsidRPr="005E1103">
        <w:rPr>
          <w:rFonts w:cstheme="minorHAnsi"/>
          <w:color w:val="0D0D0D" w:themeColor="text1" w:themeTint="F2"/>
          <w:sz w:val="28"/>
          <w:szCs w:val="28"/>
          <w:lang w:val="en-US"/>
        </w:rPr>
        <w:t xml:space="preserve">, </w:t>
      </w:r>
      <w:r w:rsidRPr="005E1103">
        <w:rPr>
          <w:rFonts w:cstheme="minorHAnsi"/>
          <w:i/>
          <w:color w:val="0D0D0D" w:themeColor="text1" w:themeTint="F2"/>
          <w:sz w:val="28"/>
          <w:szCs w:val="28"/>
          <w:lang w:val="en-US"/>
        </w:rPr>
        <w:t>19</w:t>
      </w:r>
      <w:r w:rsidRPr="005E1103">
        <w:rPr>
          <w:rFonts w:cstheme="minorHAnsi"/>
          <w:color w:val="0D0D0D" w:themeColor="text1" w:themeTint="F2"/>
          <w:sz w:val="28"/>
          <w:szCs w:val="28"/>
          <w:lang w:val="en-US"/>
        </w:rPr>
        <w:t>(5), 455-468</w:t>
      </w:r>
    </w:p>
    <w:p w:rsidR="00C71AF3" w:rsidRPr="005E1103" w:rsidRDefault="00C71AF3" w:rsidP="00C71AF3">
      <w:pPr>
        <w:autoSpaceDE w:val="0"/>
        <w:autoSpaceDN w:val="0"/>
        <w:adjustRightInd w:val="0"/>
        <w:spacing w:line="360" w:lineRule="auto"/>
        <w:ind w:left="397" w:hanging="397"/>
        <w:jc w:val="both"/>
        <w:rPr>
          <w:rStyle w:val="Hipervnculo"/>
          <w:rFonts w:cstheme="minorHAnsi"/>
          <w:sz w:val="28"/>
          <w:szCs w:val="28"/>
        </w:rPr>
      </w:pPr>
      <w:r w:rsidRPr="005E1103">
        <w:rPr>
          <w:rFonts w:cstheme="minorHAnsi"/>
          <w:color w:val="0D0D0D" w:themeColor="text1" w:themeTint="F2"/>
          <w:sz w:val="28"/>
          <w:szCs w:val="28"/>
          <w:lang w:val="en-US"/>
        </w:rPr>
        <w:t xml:space="preserve">Fuller, M., Healey, M. Bradley, A., &amp; Hall, T. (2005). </w:t>
      </w:r>
      <w:r w:rsidRPr="005E1103">
        <w:rPr>
          <w:rFonts w:cstheme="minorHAnsi"/>
          <w:bCs/>
          <w:color w:val="0D0D0D" w:themeColor="text1" w:themeTint="F2"/>
          <w:sz w:val="28"/>
          <w:szCs w:val="28"/>
          <w:lang w:val="en-US"/>
        </w:rPr>
        <w:t xml:space="preserve">What are disabled students’ experiences of learning at university? </w:t>
      </w:r>
      <w:r w:rsidRPr="005E1103">
        <w:rPr>
          <w:rFonts w:cstheme="minorHAnsi"/>
          <w:i/>
          <w:color w:val="0D0D0D" w:themeColor="text1" w:themeTint="F2"/>
          <w:sz w:val="28"/>
          <w:szCs w:val="28"/>
        </w:rPr>
        <w:t>Social Diversity and Difference</w:t>
      </w:r>
      <w:r w:rsidRPr="005E1103">
        <w:rPr>
          <w:rFonts w:cstheme="minorHAnsi"/>
          <w:color w:val="0D0D0D" w:themeColor="text1" w:themeTint="F2"/>
          <w:sz w:val="28"/>
          <w:szCs w:val="28"/>
        </w:rPr>
        <w:t xml:space="preserve">. Consultado el 2/11/2011, disponible en </w:t>
      </w:r>
      <w:hyperlink r:id="rId31" w:history="1">
        <w:r w:rsidRPr="005E1103">
          <w:rPr>
            <w:rStyle w:val="Hipervnculo"/>
            <w:rFonts w:cstheme="minorHAnsi"/>
            <w:sz w:val="28"/>
            <w:szCs w:val="28"/>
          </w:rPr>
          <w:t>http://arrts.gtcni.org.uk/gtcni/bitstream/2428/49115/2/keele.docds.pdf</w:t>
        </w:r>
      </w:hyperlink>
    </w:p>
    <w:p w:rsidR="00C71AF3" w:rsidRPr="005E1103" w:rsidRDefault="00C71AF3" w:rsidP="00C71AF3">
      <w:pPr>
        <w:spacing w:line="360" w:lineRule="auto"/>
        <w:ind w:left="397" w:hanging="397"/>
        <w:jc w:val="both"/>
        <w:rPr>
          <w:rFonts w:cstheme="minorHAnsi"/>
          <w:sz w:val="28"/>
          <w:szCs w:val="28"/>
          <w:lang w:val="en-US"/>
        </w:rPr>
      </w:pPr>
      <w:r w:rsidRPr="005E1103">
        <w:rPr>
          <w:rFonts w:cstheme="minorHAnsi"/>
          <w:sz w:val="28"/>
          <w:szCs w:val="28"/>
          <w:lang w:val="en-US"/>
        </w:rPr>
        <w:t xml:space="preserve">Goode, J. (2007). “Managing” disability: early experiences of university students with disabilities. </w:t>
      </w:r>
      <w:r w:rsidRPr="005E1103">
        <w:rPr>
          <w:rFonts w:cstheme="minorHAnsi"/>
          <w:i/>
          <w:sz w:val="28"/>
          <w:szCs w:val="28"/>
          <w:lang w:val="en-US"/>
        </w:rPr>
        <w:t>Disability &amp; Society</w:t>
      </w:r>
      <w:r w:rsidRPr="005E1103">
        <w:rPr>
          <w:rFonts w:cstheme="minorHAnsi"/>
          <w:sz w:val="28"/>
          <w:szCs w:val="28"/>
          <w:lang w:val="en-US"/>
        </w:rPr>
        <w:t xml:space="preserve">, </w:t>
      </w:r>
      <w:r w:rsidRPr="005E1103">
        <w:rPr>
          <w:rFonts w:cstheme="minorHAnsi"/>
          <w:i/>
          <w:sz w:val="28"/>
          <w:szCs w:val="28"/>
          <w:lang w:val="en-US"/>
        </w:rPr>
        <w:t>22</w:t>
      </w:r>
      <w:r w:rsidRPr="005E1103">
        <w:rPr>
          <w:rFonts w:cstheme="minorHAnsi"/>
          <w:sz w:val="28"/>
          <w:szCs w:val="28"/>
          <w:lang w:val="en-US"/>
        </w:rPr>
        <w:t>(1), 35-48.</w:t>
      </w:r>
    </w:p>
    <w:p w:rsidR="00C71AF3" w:rsidRPr="005E1103" w:rsidRDefault="00C71AF3" w:rsidP="00C71AF3">
      <w:pPr>
        <w:autoSpaceDE w:val="0"/>
        <w:autoSpaceDN w:val="0"/>
        <w:adjustRightInd w:val="0"/>
        <w:spacing w:line="360" w:lineRule="auto"/>
        <w:ind w:left="397" w:hanging="397"/>
        <w:jc w:val="both"/>
        <w:rPr>
          <w:rFonts w:cstheme="minorHAnsi"/>
          <w:color w:val="0D0D0D" w:themeColor="text1" w:themeTint="F2"/>
          <w:sz w:val="28"/>
          <w:szCs w:val="28"/>
          <w:lang w:val="en-US"/>
        </w:rPr>
      </w:pPr>
      <w:r w:rsidRPr="005E1103">
        <w:rPr>
          <w:rFonts w:cstheme="minorHAnsi"/>
          <w:color w:val="0D0D0D" w:themeColor="text1" w:themeTint="F2"/>
          <w:sz w:val="28"/>
          <w:szCs w:val="28"/>
          <w:lang w:val="en-US"/>
        </w:rPr>
        <w:t xml:space="preserve">Hadjikakou, K., &amp; Hartas, D. (2008). Higher education provision for students with disabilities in Cyprus. </w:t>
      </w:r>
      <w:r w:rsidRPr="005E1103">
        <w:rPr>
          <w:rFonts w:cstheme="minorHAnsi"/>
          <w:i/>
          <w:color w:val="0D0D0D" w:themeColor="text1" w:themeTint="F2"/>
          <w:sz w:val="28"/>
          <w:szCs w:val="28"/>
          <w:lang w:val="en-US"/>
        </w:rPr>
        <w:t>Higher Education</w:t>
      </w:r>
      <w:r w:rsidRPr="005E1103">
        <w:rPr>
          <w:rFonts w:cstheme="minorHAnsi"/>
          <w:color w:val="0D0D0D" w:themeColor="text1" w:themeTint="F2"/>
          <w:sz w:val="28"/>
          <w:szCs w:val="28"/>
          <w:lang w:val="en-US"/>
        </w:rPr>
        <w:t xml:space="preserve">, </w:t>
      </w:r>
      <w:r w:rsidRPr="005E1103">
        <w:rPr>
          <w:rFonts w:cstheme="minorHAnsi"/>
          <w:i/>
          <w:color w:val="0D0D0D" w:themeColor="text1" w:themeTint="F2"/>
          <w:sz w:val="28"/>
          <w:szCs w:val="28"/>
          <w:lang w:val="en-US"/>
        </w:rPr>
        <w:t>55</w:t>
      </w:r>
      <w:r w:rsidRPr="005E1103">
        <w:rPr>
          <w:rFonts w:cstheme="minorHAnsi"/>
          <w:color w:val="0D0D0D" w:themeColor="text1" w:themeTint="F2"/>
          <w:sz w:val="28"/>
          <w:szCs w:val="28"/>
          <w:lang w:val="en-US"/>
        </w:rPr>
        <w:t>, 103-119.</w:t>
      </w:r>
    </w:p>
    <w:p w:rsidR="00C71AF3" w:rsidRPr="005E1103" w:rsidRDefault="00C71AF3" w:rsidP="00C71AF3">
      <w:pPr>
        <w:autoSpaceDE w:val="0"/>
        <w:autoSpaceDN w:val="0"/>
        <w:adjustRightInd w:val="0"/>
        <w:spacing w:line="360" w:lineRule="auto"/>
        <w:ind w:left="397" w:hanging="397"/>
        <w:jc w:val="both"/>
        <w:rPr>
          <w:rFonts w:cstheme="minorHAnsi"/>
          <w:color w:val="0D0D0D" w:themeColor="text1" w:themeTint="F2"/>
          <w:sz w:val="28"/>
          <w:szCs w:val="28"/>
          <w:lang w:val="en-US"/>
        </w:rPr>
      </w:pPr>
      <w:r w:rsidRPr="005E1103">
        <w:rPr>
          <w:rFonts w:cstheme="minorHAnsi"/>
          <w:color w:val="0D0D0D" w:themeColor="text1" w:themeTint="F2"/>
          <w:sz w:val="28"/>
          <w:szCs w:val="28"/>
          <w:lang w:val="en-US"/>
        </w:rPr>
        <w:t xml:space="preserve">Hanafin, J., Shevlin, M., Kenny, M., &amp; McNeela, E. (2007). Including young people with disabilities: Assessment challenges in higher education. </w:t>
      </w:r>
      <w:r w:rsidRPr="005E1103">
        <w:rPr>
          <w:rFonts w:cstheme="minorHAnsi"/>
          <w:i/>
          <w:color w:val="0D0D0D" w:themeColor="text1" w:themeTint="F2"/>
          <w:sz w:val="28"/>
          <w:szCs w:val="28"/>
          <w:lang w:val="en-US"/>
        </w:rPr>
        <w:t>Higher Education</w:t>
      </w:r>
      <w:r w:rsidRPr="005E1103">
        <w:rPr>
          <w:rFonts w:cstheme="minorHAnsi"/>
          <w:color w:val="0D0D0D" w:themeColor="text1" w:themeTint="F2"/>
          <w:sz w:val="28"/>
          <w:szCs w:val="28"/>
          <w:lang w:val="en-US"/>
        </w:rPr>
        <w:t xml:space="preserve">, </w:t>
      </w:r>
      <w:r w:rsidRPr="005E1103">
        <w:rPr>
          <w:rFonts w:cstheme="minorHAnsi"/>
          <w:i/>
          <w:color w:val="0D0D0D" w:themeColor="text1" w:themeTint="F2"/>
          <w:sz w:val="28"/>
          <w:szCs w:val="28"/>
          <w:lang w:val="en-US"/>
        </w:rPr>
        <w:t>54</w:t>
      </w:r>
      <w:r w:rsidRPr="005E1103">
        <w:rPr>
          <w:rFonts w:cstheme="minorHAnsi"/>
          <w:color w:val="0D0D0D" w:themeColor="text1" w:themeTint="F2"/>
          <w:sz w:val="28"/>
          <w:szCs w:val="28"/>
          <w:lang w:val="en-US"/>
        </w:rPr>
        <w:t>, 435-448.</w:t>
      </w:r>
    </w:p>
    <w:p w:rsidR="00C71AF3" w:rsidRPr="005E1103" w:rsidRDefault="00C71AF3" w:rsidP="00C71AF3">
      <w:pPr>
        <w:spacing w:line="360" w:lineRule="auto"/>
        <w:ind w:left="397" w:hanging="397"/>
        <w:jc w:val="both"/>
        <w:rPr>
          <w:rFonts w:eastAsia="Times New Roman" w:cstheme="minorHAnsi"/>
          <w:color w:val="000000"/>
          <w:sz w:val="28"/>
          <w:szCs w:val="28"/>
          <w:shd w:val="clear" w:color="auto" w:fill="FFFFFF"/>
          <w:lang w:val="en-US"/>
        </w:rPr>
      </w:pPr>
      <w:r w:rsidRPr="005E1103">
        <w:rPr>
          <w:rFonts w:eastAsia="Times New Roman" w:cstheme="minorHAnsi"/>
          <w:bCs/>
          <w:color w:val="000000"/>
          <w:sz w:val="28"/>
          <w:szCs w:val="28"/>
          <w:shd w:val="clear" w:color="auto" w:fill="FFFFFF"/>
          <w:lang w:val="en-US"/>
        </w:rPr>
        <w:t>Healey, M</w:t>
      </w:r>
      <w:r w:rsidRPr="005E1103">
        <w:rPr>
          <w:rFonts w:eastAsia="Times New Roman" w:cstheme="minorHAnsi"/>
          <w:color w:val="000000"/>
          <w:sz w:val="28"/>
          <w:szCs w:val="28"/>
          <w:shd w:val="clear" w:color="auto" w:fill="FFFFFF"/>
          <w:lang w:val="en-US"/>
        </w:rPr>
        <w:t>., Fuller, M., Bradley, A., &amp; Hall, T. (2006) Listening to students: the experiences of disabled students of learning at university. In Adams, M., &amp; Brown, S. (Eds) </w:t>
      </w:r>
      <w:r w:rsidRPr="005E1103">
        <w:rPr>
          <w:rFonts w:eastAsia="Times New Roman" w:cstheme="minorHAnsi"/>
          <w:i/>
          <w:iCs/>
          <w:color w:val="000000"/>
          <w:sz w:val="28"/>
          <w:szCs w:val="28"/>
          <w:shd w:val="clear" w:color="auto" w:fill="FFFFFF"/>
          <w:lang w:val="en-US"/>
        </w:rPr>
        <w:t xml:space="preserve">Inclusive learning in higher education: improving provision for disabled students </w:t>
      </w:r>
      <w:r w:rsidRPr="005E1103">
        <w:rPr>
          <w:rFonts w:eastAsia="Times New Roman" w:cstheme="minorHAnsi"/>
          <w:iCs/>
          <w:color w:val="000000"/>
          <w:sz w:val="28"/>
          <w:szCs w:val="28"/>
          <w:shd w:val="clear" w:color="auto" w:fill="FFFFFF"/>
          <w:lang w:val="en-US"/>
        </w:rPr>
        <w:t>(32-43)</w:t>
      </w:r>
      <w:r w:rsidRPr="005E1103">
        <w:rPr>
          <w:rFonts w:eastAsia="Times New Roman" w:cstheme="minorHAnsi"/>
          <w:i/>
          <w:iCs/>
          <w:color w:val="000000"/>
          <w:sz w:val="28"/>
          <w:szCs w:val="28"/>
          <w:shd w:val="clear" w:color="auto" w:fill="FFFFFF"/>
          <w:lang w:val="en-US"/>
        </w:rPr>
        <w:t>.</w:t>
      </w:r>
      <w:r w:rsidRPr="005E1103">
        <w:rPr>
          <w:rFonts w:eastAsia="Times New Roman" w:cstheme="minorHAnsi"/>
          <w:color w:val="000000"/>
          <w:sz w:val="28"/>
          <w:szCs w:val="28"/>
          <w:shd w:val="clear" w:color="auto" w:fill="FFFFFF"/>
          <w:lang w:val="en-US"/>
        </w:rPr>
        <w:t> London: RoutledgeFalmer.</w:t>
      </w:r>
    </w:p>
    <w:p w:rsidR="00C71AF3" w:rsidRPr="005E1103" w:rsidRDefault="00C71AF3" w:rsidP="00C71AF3">
      <w:pPr>
        <w:spacing w:line="360" w:lineRule="auto"/>
        <w:ind w:left="397" w:hanging="397"/>
        <w:jc w:val="both"/>
        <w:rPr>
          <w:rFonts w:cstheme="minorHAnsi"/>
          <w:color w:val="0D0D0D" w:themeColor="text1" w:themeTint="F2"/>
          <w:sz w:val="28"/>
          <w:szCs w:val="28"/>
          <w:lang w:val="en-US"/>
        </w:rPr>
      </w:pPr>
      <w:r w:rsidRPr="005E1103">
        <w:rPr>
          <w:rFonts w:cstheme="minorHAnsi"/>
          <w:color w:val="0D0D0D" w:themeColor="text1" w:themeTint="F2"/>
          <w:sz w:val="28"/>
          <w:szCs w:val="28"/>
          <w:lang w:val="en-US"/>
        </w:rPr>
        <w:lastRenderedPageBreak/>
        <w:t xml:space="preserve">Holloway, S. (2001). The experience of higher education from the perspective of disabled students. </w:t>
      </w:r>
      <w:r w:rsidRPr="005E1103">
        <w:rPr>
          <w:rFonts w:cstheme="minorHAnsi"/>
          <w:i/>
          <w:color w:val="0D0D0D" w:themeColor="text1" w:themeTint="F2"/>
          <w:sz w:val="28"/>
          <w:szCs w:val="28"/>
          <w:lang w:val="en-US"/>
        </w:rPr>
        <w:t>Disability &amp; Society</w:t>
      </w:r>
      <w:r w:rsidRPr="005E1103">
        <w:rPr>
          <w:rFonts w:cstheme="minorHAnsi"/>
          <w:color w:val="0D0D0D" w:themeColor="text1" w:themeTint="F2"/>
          <w:sz w:val="28"/>
          <w:szCs w:val="28"/>
          <w:lang w:val="en-US"/>
        </w:rPr>
        <w:t xml:space="preserve">, </w:t>
      </w:r>
      <w:r w:rsidRPr="005E1103">
        <w:rPr>
          <w:rFonts w:cstheme="minorHAnsi"/>
          <w:i/>
          <w:color w:val="0D0D0D" w:themeColor="text1" w:themeTint="F2"/>
          <w:sz w:val="28"/>
          <w:szCs w:val="28"/>
          <w:lang w:val="en-US"/>
        </w:rPr>
        <w:t>16</w:t>
      </w:r>
      <w:r w:rsidRPr="005E1103">
        <w:rPr>
          <w:rFonts w:cstheme="minorHAnsi"/>
          <w:color w:val="0D0D0D" w:themeColor="text1" w:themeTint="F2"/>
          <w:sz w:val="28"/>
          <w:szCs w:val="28"/>
          <w:lang w:val="en-US"/>
        </w:rPr>
        <w:t>(4), 597-615.</w:t>
      </w:r>
    </w:p>
    <w:p w:rsidR="00C71AF3" w:rsidRPr="005E1103" w:rsidRDefault="00C71AF3" w:rsidP="00C71AF3">
      <w:pPr>
        <w:spacing w:line="360" w:lineRule="auto"/>
        <w:ind w:left="397" w:hanging="397"/>
        <w:jc w:val="both"/>
        <w:rPr>
          <w:rFonts w:eastAsia="Times New Roman" w:cstheme="minorHAnsi"/>
          <w:sz w:val="28"/>
          <w:szCs w:val="28"/>
          <w:lang w:val="en-US"/>
        </w:rPr>
      </w:pPr>
      <w:r w:rsidRPr="005E1103">
        <w:rPr>
          <w:rFonts w:eastAsia="Times New Roman" w:cstheme="minorHAnsi"/>
          <w:sz w:val="28"/>
          <w:szCs w:val="28"/>
          <w:lang w:val="en-US"/>
        </w:rPr>
        <w:t xml:space="preserve">Hurst, A. (2006). Disability and maistreaming continuing profesional development in higher education. In M. Adams, &amp; S. Brown (Eds.), </w:t>
      </w:r>
      <w:r w:rsidRPr="005E1103">
        <w:rPr>
          <w:rFonts w:eastAsia="Times New Roman" w:cstheme="minorHAnsi"/>
          <w:i/>
          <w:sz w:val="28"/>
          <w:szCs w:val="28"/>
          <w:lang w:val="en-US"/>
        </w:rPr>
        <w:t xml:space="preserve">Towards inclusive learning in higher education </w:t>
      </w:r>
      <w:r w:rsidRPr="005E1103">
        <w:rPr>
          <w:rFonts w:eastAsia="Times New Roman" w:cstheme="minorHAnsi"/>
          <w:sz w:val="28"/>
          <w:szCs w:val="28"/>
          <w:lang w:val="en-US"/>
        </w:rPr>
        <w:t>(pp. 56-66). London: Routledge.</w:t>
      </w:r>
    </w:p>
    <w:p w:rsidR="00C71AF3" w:rsidRPr="005E1103" w:rsidRDefault="00C71AF3" w:rsidP="00C71AF3">
      <w:pPr>
        <w:spacing w:line="360" w:lineRule="auto"/>
        <w:ind w:left="397"/>
        <w:jc w:val="both"/>
        <w:rPr>
          <w:rFonts w:cstheme="minorHAnsi"/>
          <w:sz w:val="28"/>
          <w:szCs w:val="28"/>
          <w:lang w:val="en-US"/>
        </w:rPr>
      </w:pPr>
      <w:r w:rsidRPr="005E1103">
        <w:rPr>
          <w:rFonts w:cstheme="minorHAnsi"/>
          <w:sz w:val="28"/>
          <w:szCs w:val="28"/>
          <w:lang w:val="en-US"/>
        </w:rPr>
        <w:t xml:space="preserve">-- (2015). Developing and implementing an accreditation scheme for disability services staff in post-compulsory education in the United Kingdom. </w:t>
      </w:r>
      <w:r w:rsidRPr="005E1103">
        <w:rPr>
          <w:rFonts w:cstheme="minorHAnsi"/>
          <w:i/>
          <w:sz w:val="28"/>
          <w:szCs w:val="28"/>
          <w:lang w:val="en-US"/>
        </w:rPr>
        <w:t>Journal of Postsecondary Education and Disability, 28(</w:t>
      </w:r>
      <w:r w:rsidRPr="005E1103">
        <w:rPr>
          <w:rFonts w:cstheme="minorHAnsi"/>
          <w:sz w:val="28"/>
          <w:szCs w:val="28"/>
          <w:lang w:val="en-US"/>
        </w:rPr>
        <w:t xml:space="preserve">1), 9-24. </w:t>
      </w:r>
    </w:p>
    <w:p w:rsidR="00C71AF3" w:rsidRPr="005E1103" w:rsidRDefault="00C71AF3" w:rsidP="00C71AF3">
      <w:pPr>
        <w:autoSpaceDE w:val="0"/>
        <w:autoSpaceDN w:val="0"/>
        <w:adjustRightInd w:val="0"/>
        <w:spacing w:line="360" w:lineRule="auto"/>
        <w:ind w:left="397" w:hanging="397"/>
        <w:jc w:val="both"/>
        <w:rPr>
          <w:rFonts w:cstheme="minorHAnsi"/>
          <w:color w:val="0D0D0D" w:themeColor="text1" w:themeTint="F2"/>
          <w:sz w:val="28"/>
          <w:szCs w:val="28"/>
        </w:rPr>
      </w:pPr>
      <w:r w:rsidRPr="005E1103">
        <w:rPr>
          <w:rFonts w:cstheme="minorHAnsi"/>
          <w:color w:val="0D0D0D" w:themeColor="text1" w:themeTint="F2"/>
          <w:sz w:val="28"/>
          <w:szCs w:val="28"/>
          <w:lang w:val="en-US"/>
        </w:rPr>
        <w:t xml:space="preserve">Jacklin, A., Robinson, C., O’Meara, L., &amp; Harris, A. (2007). </w:t>
      </w:r>
      <w:r w:rsidRPr="005E1103">
        <w:rPr>
          <w:rFonts w:cstheme="minorHAnsi"/>
          <w:i/>
          <w:color w:val="0D0D0D" w:themeColor="text1" w:themeTint="F2"/>
          <w:sz w:val="28"/>
          <w:szCs w:val="28"/>
          <w:lang w:val="en-US"/>
        </w:rPr>
        <w:t>Improving the experiences of disabled students in higher education</w:t>
      </w:r>
      <w:r w:rsidRPr="005E1103">
        <w:rPr>
          <w:rFonts w:cstheme="minorHAnsi"/>
          <w:color w:val="0D0D0D" w:themeColor="text1" w:themeTint="F2"/>
          <w:sz w:val="28"/>
          <w:szCs w:val="28"/>
          <w:lang w:val="en-US"/>
        </w:rPr>
        <w:t xml:space="preserve">. </w:t>
      </w:r>
      <w:r w:rsidRPr="005E1103">
        <w:rPr>
          <w:rFonts w:cstheme="minorHAnsi"/>
          <w:color w:val="0D0D0D" w:themeColor="text1" w:themeTint="F2"/>
          <w:sz w:val="28"/>
          <w:szCs w:val="28"/>
        </w:rPr>
        <w:t xml:space="preserve">Consultado el 14/10/2011, disponible en </w:t>
      </w:r>
      <w:hyperlink r:id="rId32" w:history="1">
        <w:r w:rsidRPr="005E1103">
          <w:rPr>
            <w:rStyle w:val="Hipervnculo"/>
            <w:rFonts w:cstheme="minorHAnsi"/>
            <w:sz w:val="28"/>
            <w:szCs w:val="28"/>
          </w:rPr>
          <w:t>http://www.heacademy.ac.uk/assets/documents/research/jacklin.pdf</w:t>
        </w:r>
      </w:hyperlink>
    </w:p>
    <w:p w:rsidR="00C71AF3" w:rsidRPr="005E1103" w:rsidRDefault="00C71AF3" w:rsidP="00C71AF3">
      <w:pPr>
        <w:widowControl w:val="0"/>
        <w:autoSpaceDE w:val="0"/>
        <w:autoSpaceDN w:val="0"/>
        <w:adjustRightInd w:val="0"/>
        <w:spacing w:line="360" w:lineRule="auto"/>
        <w:ind w:left="397" w:hanging="397"/>
        <w:jc w:val="both"/>
        <w:rPr>
          <w:rFonts w:cstheme="minorHAnsi"/>
          <w:sz w:val="28"/>
          <w:szCs w:val="28"/>
        </w:rPr>
      </w:pPr>
      <w:r w:rsidRPr="005E1103">
        <w:rPr>
          <w:rFonts w:cstheme="minorHAnsi"/>
          <w:sz w:val="28"/>
          <w:szCs w:val="28"/>
          <w:lang w:val="en-US"/>
        </w:rPr>
        <w:t xml:space="preserve">Martin, J.M. (2010) Stigma and student mental health in higher education. </w:t>
      </w:r>
      <w:r w:rsidRPr="005E1103">
        <w:rPr>
          <w:rFonts w:cstheme="minorHAnsi"/>
          <w:i/>
          <w:sz w:val="28"/>
          <w:szCs w:val="28"/>
        </w:rPr>
        <w:t>Higher Education Research &amp; Development</w:t>
      </w:r>
      <w:r w:rsidRPr="005E1103">
        <w:rPr>
          <w:rFonts w:cstheme="minorHAnsi"/>
          <w:sz w:val="28"/>
          <w:szCs w:val="28"/>
        </w:rPr>
        <w:t xml:space="preserve">, </w:t>
      </w:r>
      <w:r w:rsidRPr="005E1103">
        <w:rPr>
          <w:rFonts w:cstheme="minorHAnsi"/>
          <w:i/>
          <w:sz w:val="28"/>
          <w:szCs w:val="28"/>
        </w:rPr>
        <w:t>29</w:t>
      </w:r>
      <w:r w:rsidRPr="005E1103">
        <w:rPr>
          <w:rFonts w:cstheme="minorHAnsi"/>
          <w:sz w:val="28"/>
          <w:szCs w:val="28"/>
        </w:rPr>
        <w:t>(3), 259-274.</w:t>
      </w:r>
    </w:p>
    <w:p w:rsidR="00C71AF3" w:rsidRPr="005E1103" w:rsidRDefault="00C71AF3" w:rsidP="00C71AF3">
      <w:pPr>
        <w:widowControl w:val="0"/>
        <w:autoSpaceDE w:val="0"/>
        <w:autoSpaceDN w:val="0"/>
        <w:adjustRightInd w:val="0"/>
        <w:spacing w:line="360" w:lineRule="auto"/>
        <w:ind w:left="397" w:hanging="397"/>
        <w:jc w:val="both"/>
        <w:rPr>
          <w:rFonts w:cstheme="minorHAnsi"/>
          <w:sz w:val="28"/>
          <w:szCs w:val="28"/>
        </w:rPr>
      </w:pPr>
      <w:r w:rsidRPr="005E1103">
        <w:rPr>
          <w:rFonts w:cstheme="minorHAnsi"/>
          <w:sz w:val="28"/>
          <w:szCs w:val="28"/>
          <w:lang w:eastAsia="es-ES_tradnl"/>
        </w:rPr>
        <w:t xml:space="preserve">Moriña, A. </w:t>
      </w:r>
      <w:r w:rsidRPr="005E1103">
        <w:rPr>
          <w:rFonts w:cstheme="minorHAnsi"/>
          <w:sz w:val="28"/>
          <w:szCs w:val="28"/>
        </w:rPr>
        <w:t xml:space="preserve">(Ed.) (2014). </w:t>
      </w:r>
      <w:r w:rsidRPr="005E1103">
        <w:rPr>
          <w:rFonts w:cstheme="minorHAnsi"/>
          <w:i/>
          <w:sz w:val="28"/>
          <w:szCs w:val="28"/>
        </w:rPr>
        <w:t>Análisis de las barreras y ayudas que los estudiantes con discapacidad identifican en la Universidad de Sevilla</w:t>
      </w:r>
      <w:r w:rsidRPr="005E1103">
        <w:rPr>
          <w:rFonts w:cstheme="minorHAnsi"/>
          <w:sz w:val="28"/>
          <w:szCs w:val="28"/>
        </w:rPr>
        <w:t>. Alicante: Área de Innovación y Desarrollo, S.L.</w:t>
      </w:r>
    </w:p>
    <w:p w:rsidR="00C71AF3" w:rsidRPr="005E1103" w:rsidRDefault="00C71AF3" w:rsidP="00C71AF3">
      <w:pPr>
        <w:spacing w:line="360" w:lineRule="auto"/>
        <w:ind w:left="397" w:hanging="397"/>
        <w:jc w:val="both"/>
        <w:rPr>
          <w:rFonts w:eastAsia="Times New Roman" w:cstheme="minorHAnsi"/>
          <w:color w:val="222222"/>
          <w:sz w:val="28"/>
          <w:szCs w:val="28"/>
          <w:shd w:val="clear" w:color="auto" w:fill="FFFFFF"/>
          <w:lang w:val="en-US"/>
        </w:rPr>
      </w:pPr>
      <w:r w:rsidRPr="005E1103">
        <w:rPr>
          <w:rFonts w:eastAsia="Times New Roman" w:cstheme="minorHAnsi"/>
          <w:color w:val="222222"/>
          <w:sz w:val="28"/>
          <w:szCs w:val="28"/>
          <w:shd w:val="clear" w:color="auto" w:fill="FFFFFF"/>
        </w:rPr>
        <w:t xml:space="preserve">Moriña, A.; Cortés, Mª. D., &amp; Melero, N. (2014). </w:t>
      </w:r>
      <w:r w:rsidRPr="005E1103">
        <w:rPr>
          <w:rFonts w:eastAsia="Times New Roman" w:cstheme="minorHAnsi"/>
          <w:color w:val="222222"/>
          <w:sz w:val="28"/>
          <w:szCs w:val="28"/>
          <w:shd w:val="clear" w:color="auto" w:fill="FFFFFF"/>
          <w:lang w:val="en-US"/>
        </w:rPr>
        <w:t xml:space="preserve">Inclusive curricula in Spanish higher education? Students with disabilities speak out. </w:t>
      </w:r>
      <w:r w:rsidRPr="005E1103">
        <w:rPr>
          <w:rFonts w:eastAsia="Times New Roman" w:cstheme="minorHAnsi"/>
          <w:i/>
          <w:color w:val="222222"/>
          <w:sz w:val="28"/>
          <w:szCs w:val="28"/>
          <w:shd w:val="clear" w:color="auto" w:fill="FFFFFF"/>
          <w:lang w:val="en-US"/>
        </w:rPr>
        <w:t>Disability &amp; Society</w:t>
      </w:r>
      <w:r w:rsidRPr="005E1103">
        <w:rPr>
          <w:rFonts w:eastAsia="Times New Roman" w:cstheme="minorHAnsi"/>
          <w:color w:val="222222"/>
          <w:sz w:val="28"/>
          <w:szCs w:val="28"/>
          <w:shd w:val="clear" w:color="auto" w:fill="FFFFFF"/>
          <w:lang w:val="en-US"/>
        </w:rPr>
        <w:t xml:space="preserve">. </w:t>
      </w:r>
      <w:r w:rsidRPr="005E1103">
        <w:rPr>
          <w:rFonts w:eastAsia="Times New Roman" w:cstheme="minorHAnsi"/>
          <w:i/>
          <w:color w:val="222222"/>
          <w:sz w:val="28"/>
          <w:szCs w:val="28"/>
          <w:shd w:val="clear" w:color="auto" w:fill="FFFFFF"/>
          <w:lang w:val="en-US"/>
        </w:rPr>
        <w:t>29</w:t>
      </w:r>
      <w:r w:rsidRPr="005E1103">
        <w:rPr>
          <w:rFonts w:eastAsia="Times New Roman" w:cstheme="minorHAnsi"/>
          <w:color w:val="222222"/>
          <w:sz w:val="28"/>
          <w:szCs w:val="28"/>
          <w:shd w:val="clear" w:color="auto" w:fill="FFFFFF"/>
          <w:lang w:val="en-US"/>
        </w:rPr>
        <w:t>(1), 44-57</w:t>
      </w:r>
    </w:p>
    <w:p w:rsidR="00C71AF3" w:rsidRPr="005E1103" w:rsidRDefault="00C71AF3" w:rsidP="00C71AF3">
      <w:pPr>
        <w:spacing w:line="360" w:lineRule="auto"/>
        <w:ind w:left="397" w:hanging="397"/>
        <w:jc w:val="both"/>
        <w:rPr>
          <w:rFonts w:eastAsia="Times New Roman" w:cstheme="minorHAnsi"/>
          <w:sz w:val="28"/>
          <w:szCs w:val="28"/>
          <w:lang w:val="en-US"/>
        </w:rPr>
      </w:pPr>
      <w:r w:rsidRPr="005E1103">
        <w:rPr>
          <w:rFonts w:eastAsia="Times New Roman" w:cstheme="minorHAnsi"/>
          <w:color w:val="222222"/>
          <w:sz w:val="28"/>
          <w:szCs w:val="28"/>
          <w:shd w:val="clear" w:color="auto" w:fill="FFFFFF"/>
          <w:lang w:val="en-US"/>
        </w:rPr>
        <w:t xml:space="preserve">Moriña, A.; López, R.; Melero, N.; Cortés, Mª D., &amp; Molina, V. (2013). </w:t>
      </w:r>
      <w:r w:rsidRPr="005E1103">
        <w:rPr>
          <w:rFonts w:eastAsia="Times New Roman" w:cstheme="minorHAnsi"/>
          <w:color w:val="222222"/>
          <w:sz w:val="28"/>
          <w:szCs w:val="28"/>
          <w:shd w:val="clear" w:color="auto" w:fill="FFFFFF"/>
        </w:rPr>
        <w:t xml:space="preserve">El profesorado en la  universidad ante el alumnado con discapacidad: ¿Tendiendo puentes o levantando muros? </w:t>
      </w:r>
      <w:r w:rsidRPr="005E1103">
        <w:rPr>
          <w:rFonts w:eastAsia="Times New Roman" w:cstheme="minorHAnsi"/>
          <w:color w:val="222222"/>
          <w:sz w:val="28"/>
          <w:szCs w:val="28"/>
          <w:shd w:val="clear" w:color="auto" w:fill="FFFFFF"/>
          <w:lang w:val="en-US"/>
        </w:rPr>
        <w:t>REDU. </w:t>
      </w:r>
      <w:r w:rsidRPr="005E1103">
        <w:rPr>
          <w:rFonts w:eastAsia="Times New Roman" w:cstheme="minorHAnsi"/>
          <w:i/>
          <w:iCs/>
          <w:color w:val="222222"/>
          <w:sz w:val="28"/>
          <w:szCs w:val="28"/>
          <w:shd w:val="clear" w:color="auto" w:fill="FFFFFF"/>
          <w:lang w:val="en-US"/>
        </w:rPr>
        <w:t>Revista de Docencia Universitaria</w:t>
      </w:r>
      <w:r w:rsidRPr="005E1103">
        <w:rPr>
          <w:rFonts w:eastAsia="Times New Roman" w:cstheme="minorHAnsi"/>
          <w:color w:val="222222"/>
          <w:sz w:val="28"/>
          <w:szCs w:val="28"/>
          <w:shd w:val="clear" w:color="auto" w:fill="FFFFFF"/>
          <w:lang w:val="en-US"/>
        </w:rPr>
        <w:t xml:space="preserve">, </w:t>
      </w:r>
      <w:r w:rsidRPr="005E1103">
        <w:rPr>
          <w:rFonts w:eastAsia="Times New Roman" w:cstheme="minorHAnsi"/>
          <w:i/>
          <w:color w:val="222222"/>
          <w:sz w:val="28"/>
          <w:szCs w:val="28"/>
          <w:shd w:val="clear" w:color="auto" w:fill="FFFFFF"/>
          <w:lang w:val="en-US"/>
        </w:rPr>
        <w:t>11</w:t>
      </w:r>
      <w:r w:rsidRPr="005E1103">
        <w:rPr>
          <w:rFonts w:eastAsia="Times New Roman" w:cstheme="minorHAnsi"/>
          <w:color w:val="222222"/>
          <w:sz w:val="28"/>
          <w:szCs w:val="28"/>
          <w:shd w:val="clear" w:color="auto" w:fill="FFFFFF"/>
          <w:lang w:val="en-US"/>
        </w:rPr>
        <w:t>(3), 423-442.</w:t>
      </w:r>
    </w:p>
    <w:p w:rsidR="00C71AF3" w:rsidRPr="005E1103" w:rsidRDefault="00C71AF3" w:rsidP="00C71AF3">
      <w:pPr>
        <w:spacing w:line="360" w:lineRule="auto"/>
        <w:ind w:left="397" w:hanging="397"/>
        <w:jc w:val="both"/>
        <w:rPr>
          <w:rFonts w:eastAsia="Times New Roman" w:cstheme="minorHAnsi"/>
          <w:color w:val="000000"/>
          <w:sz w:val="28"/>
          <w:szCs w:val="28"/>
        </w:rPr>
      </w:pPr>
      <w:r w:rsidRPr="005E1103">
        <w:rPr>
          <w:rFonts w:eastAsia="Times New Roman" w:cstheme="minorHAnsi"/>
          <w:color w:val="000000"/>
          <w:sz w:val="28"/>
          <w:szCs w:val="28"/>
          <w:lang w:val="en-US"/>
        </w:rPr>
        <w:t>Pliner, S., &amp; Johnson, J. (2004). Historical, theoretical, and foundational principles of universal instructional design in higher education. </w:t>
      </w:r>
      <w:r w:rsidRPr="005E1103">
        <w:rPr>
          <w:rFonts w:eastAsia="Times New Roman" w:cstheme="minorHAnsi"/>
          <w:i/>
          <w:iCs/>
          <w:color w:val="000000"/>
          <w:sz w:val="28"/>
          <w:szCs w:val="28"/>
        </w:rPr>
        <w:t>Equity &amp; Excellence in Education, 3</w:t>
      </w:r>
      <w:r w:rsidRPr="005E1103">
        <w:rPr>
          <w:rFonts w:eastAsia="Times New Roman" w:cstheme="minorHAnsi"/>
          <w:color w:val="000000"/>
          <w:sz w:val="28"/>
          <w:szCs w:val="28"/>
        </w:rPr>
        <w:t>, 105-113.</w:t>
      </w:r>
    </w:p>
    <w:p w:rsidR="00C71AF3" w:rsidRPr="005E1103" w:rsidRDefault="00C71AF3" w:rsidP="00C71AF3">
      <w:pPr>
        <w:spacing w:line="360" w:lineRule="auto"/>
        <w:ind w:left="397" w:hanging="397"/>
        <w:jc w:val="both"/>
        <w:rPr>
          <w:rFonts w:eastAsia="Times New Roman" w:cstheme="minorHAnsi"/>
          <w:color w:val="000000"/>
          <w:sz w:val="28"/>
          <w:szCs w:val="28"/>
        </w:rPr>
      </w:pPr>
      <w:r w:rsidRPr="005E1103">
        <w:rPr>
          <w:rFonts w:cstheme="minorHAnsi"/>
          <w:sz w:val="28"/>
          <w:szCs w:val="28"/>
        </w:rPr>
        <w:lastRenderedPageBreak/>
        <w:t xml:space="preserve">Pujadas, J.J. (2002). </w:t>
      </w:r>
      <w:r w:rsidRPr="005E1103">
        <w:rPr>
          <w:rFonts w:cstheme="minorHAnsi"/>
          <w:i/>
          <w:sz w:val="28"/>
          <w:szCs w:val="28"/>
        </w:rPr>
        <w:t>El método biográfico: El uso de las Historias de Vida en Ciencias Sociales</w:t>
      </w:r>
      <w:r w:rsidRPr="005E1103">
        <w:rPr>
          <w:rFonts w:cstheme="minorHAnsi"/>
          <w:sz w:val="28"/>
          <w:szCs w:val="28"/>
        </w:rPr>
        <w:t xml:space="preserve">. Madrid: Centro de Investigaciones Sociológicas </w:t>
      </w:r>
      <w:r w:rsidRPr="005E1103">
        <w:rPr>
          <w:rFonts w:cstheme="minorHAnsi"/>
          <w:spacing w:val="-3"/>
          <w:sz w:val="28"/>
          <w:szCs w:val="28"/>
        </w:rPr>
        <w:t>(edición original, 1992)</w:t>
      </w:r>
      <w:r w:rsidRPr="005E1103">
        <w:rPr>
          <w:rFonts w:cstheme="minorHAnsi"/>
          <w:sz w:val="28"/>
          <w:szCs w:val="28"/>
        </w:rPr>
        <w:t>.</w:t>
      </w:r>
    </w:p>
    <w:p w:rsidR="00C71AF3" w:rsidRPr="005E1103" w:rsidRDefault="00C71AF3" w:rsidP="00C71AF3">
      <w:pPr>
        <w:spacing w:line="360" w:lineRule="auto"/>
        <w:ind w:left="397" w:hanging="397"/>
        <w:jc w:val="both"/>
        <w:rPr>
          <w:rFonts w:cstheme="minorHAnsi"/>
          <w:color w:val="0D0D0D" w:themeColor="text1" w:themeTint="F2"/>
          <w:sz w:val="28"/>
          <w:szCs w:val="28"/>
        </w:rPr>
      </w:pPr>
      <w:r w:rsidRPr="005E1103">
        <w:rPr>
          <w:rFonts w:cstheme="minorHAnsi"/>
          <w:color w:val="0D0D0D" w:themeColor="text1" w:themeTint="F2"/>
          <w:sz w:val="28"/>
          <w:szCs w:val="28"/>
        </w:rPr>
        <w:t xml:space="preserve">Riddell, S., Tinklin, T., &amp; Wilson, A. (2005). </w:t>
      </w:r>
      <w:r w:rsidRPr="005E1103">
        <w:rPr>
          <w:rFonts w:cstheme="minorHAnsi"/>
          <w:i/>
          <w:color w:val="0D0D0D" w:themeColor="text1" w:themeTint="F2"/>
          <w:sz w:val="28"/>
          <w:szCs w:val="28"/>
          <w:lang w:val="en-US"/>
        </w:rPr>
        <w:t>Disabled students in Higher Education</w:t>
      </w:r>
      <w:r w:rsidRPr="005E1103">
        <w:rPr>
          <w:rFonts w:cstheme="minorHAnsi"/>
          <w:color w:val="0D0D0D" w:themeColor="text1" w:themeTint="F2"/>
          <w:sz w:val="28"/>
          <w:szCs w:val="28"/>
          <w:lang w:val="en-US"/>
        </w:rPr>
        <w:t xml:space="preserve">. </w:t>
      </w:r>
      <w:r w:rsidRPr="005E1103">
        <w:rPr>
          <w:rFonts w:cstheme="minorHAnsi"/>
          <w:color w:val="0D0D0D" w:themeColor="text1" w:themeTint="F2"/>
          <w:sz w:val="28"/>
          <w:szCs w:val="28"/>
        </w:rPr>
        <w:t>London: Routledge.</w:t>
      </w:r>
    </w:p>
    <w:p w:rsidR="00C71AF3" w:rsidRPr="005E1103" w:rsidRDefault="00C71AF3" w:rsidP="00C71AF3">
      <w:pPr>
        <w:widowControl w:val="0"/>
        <w:autoSpaceDE w:val="0"/>
        <w:autoSpaceDN w:val="0"/>
        <w:adjustRightInd w:val="0"/>
        <w:spacing w:line="360" w:lineRule="auto"/>
        <w:ind w:left="397" w:hanging="397"/>
        <w:jc w:val="both"/>
        <w:rPr>
          <w:rFonts w:cstheme="minorHAnsi"/>
          <w:sz w:val="28"/>
          <w:szCs w:val="28"/>
          <w:lang w:val="en-US"/>
        </w:rPr>
      </w:pPr>
      <w:r w:rsidRPr="005E1103">
        <w:rPr>
          <w:rFonts w:cstheme="minorHAnsi"/>
          <w:sz w:val="28"/>
          <w:szCs w:val="28"/>
        </w:rPr>
        <w:t xml:space="preserve">Sánchez Palomino, A. (2009). La Universidad de Almería ante la integración educativa y social de los estudiantes con discapacidad: Ideas y actitude  del personal docente e investigador. </w:t>
      </w:r>
      <w:r w:rsidRPr="005E1103">
        <w:rPr>
          <w:rFonts w:cstheme="minorHAnsi"/>
          <w:i/>
          <w:sz w:val="28"/>
          <w:szCs w:val="28"/>
          <w:lang w:val="en-US"/>
        </w:rPr>
        <w:t>Revista de Educación</w:t>
      </w:r>
      <w:r w:rsidRPr="005E1103">
        <w:rPr>
          <w:rFonts w:cstheme="minorHAnsi"/>
          <w:sz w:val="28"/>
          <w:szCs w:val="28"/>
          <w:lang w:val="en-US"/>
        </w:rPr>
        <w:t xml:space="preserve">, 354, 575-603. </w:t>
      </w:r>
    </w:p>
    <w:p w:rsidR="00C71AF3" w:rsidRPr="005E1103" w:rsidRDefault="00C71AF3" w:rsidP="00C71AF3">
      <w:pPr>
        <w:widowControl w:val="0"/>
        <w:autoSpaceDE w:val="0"/>
        <w:autoSpaceDN w:val="0"/>
        <w:adjustRightInd w:val="0"/>
        <w:spacing w:line="360" w:lineRule="auto"/>
        <w:ind w:left="397" w:hanging="397"/>
        <w:jc w:val="both"/>
        <w:rPr>
          <w:rFonts w:cstheme="minorHAnsi"/>
          <w:sz w:val="28"/>
          <w:szCs w:val="28"/>
        </w:rPr>
      </w:pPr>
      <w:r w:rsidRPr="005E1103">
        <w:rPr>
          <w:rFonts w:eastAsia="Times New Roman" w:cstheme="minorHAnsi"/>
          <w:sz w:val="28"/>
          <w:szCs w:val="28"/>
          <w:lang w:val="en-US"/>
        </w:rPr>
        <w:t xml:space="preserve">Shaw, J. A. (2009). Chance happenings in life and psychotherapy. </w:t>
      </w:r>
      <w:r w:rsidRPr="005E1103">
        <w:rPr>
          <w:rFonts w:eastAsia="Times New Roman" w:cstheme="minorHAnsi"/>
          <w:sz w:val="28"/>
          <w:szCs w:val="28"/>
        </w:rPr>
        <w:t xml:space="preserve">Psychiatry, </w:t>
      </w:r>
      <w:r w:rsidRPr="005E1103">
        <w:rPr>
          <w:rFonts w:eastAsia="Times New Roman" w:cstheme="minorHAnsi"/>
          <w:i/>
          <w:sz w:val="28"/>
          <w:szCs w:val="28"/>
        </w:rPr>
        <w:t>72</w:t>
      </w:r>
      <w:r w:rsidRPr="005E1103">
        <w:rPr>
          <w:rFonts w:eastAsia="Times New Roman" w:cstheme="minorHAnsi"/>
          <w:sz w:val="28"/>
          <w:szCs w:val="28"/>
        </w:rPr>
        <w:t>(1), 1-12.</w:t>
      </w:r>
    </w:p>
    <w:p w:rsidR="00C71AF3" w:rsidRPr="005E1103" w:rsidRDefault="00C71AF3" w:rsidP="00C71AF3">
      <w:pPr>
        <w:widowControl w:val="0"/>
        <w:autoSpaceDE w:val="0"/>
        <w:autoSpaceDN w:val="0"/>
        <w:adjustRightInd w:val="0"/>
        <w:spacing w:line="360" w:lineRule="auto"/>
        <w:ind w:left="397" w:hanging="397"/>
        <w:jc w:val="both"/>
        <w:rPr>
          <w:rFonts w:cstheme="minorHAnsi"/>
          <w:sz w:val="28"/>
          <w:szCs w:val="28"/>
        </w:rPr>
      </w:pPr>
      <w:r w:rsidRPr="005E1103">
        <w:rPr>
          <w:rFonts w:cstheme="minorHAnsi"/>
          <w:sz w:val="28"/>
          <w:szCs w:val="28"/>
        </w:rPr>
        <w:t xml:space="preserve">Tortosa, M. T. y Álvarez, T. (2009). </w:t>
      </w:r>
      <w:r w:rsidRPr="005E1103">
        <w:rPr>
          <w:rFonts w:cstheme="minorHAnsi"/>
          <w:i/>
          <w:sz w:val="28"/>
          <w:szCs w:val="28"/>
        </w:rPr>
        <w:t>Investigaciones colaborativas en el ámbito universitario: propuestas para el cambio</w:t>
      </w:r>
      <w:r w:rsidRPr="005E1103">
        <w:rPr>
          <w:rFonts w:cstheme="minorHAnsi"/>
          <w:sz w:val="28"/>
          <w:szCs w:val="28"/>
        </w:rPr>
        <w:t xml:space="preserve">. Universidad de Alicante: Vicerrectorado de Planificación Estratégica y Calidad-ICE. </w:t>
      </w:r>
    </w:p>
    <w:p w:rsidR="00C71AF3" w:rsidRPr="005E1103" w:rsidRDefault="00C71AF3" w:rsidP="00C71AF3">
      <w:pPr>
        <w:spacing w:line="360" w:lineRule="auto"/>
        <w:ind w:left="397" w:hanging="397"/>
        <w:jc w:val="both"/>
        <w:rPr>
          <w:rFonts w:cstheme="minorHAnsi"/>
          <w:color w:val="000000"/>
          <w:sz w:val="28"/>
          <w:szCs w:val="28"/>
          <w:lang w:eastAsia="es-ES_tradnl"/>
        </w:rPr>
      </w:pPr>
      <w:r w:rsidRPr="005E1103">
        <w:rPr>
          <w:rFonts w:cstheme="minorHAnsi"/>
          <w:color w:val="000000"/>
          <w:sz w:val="28"/>
          <w:szCs w:val="28"/>
          <w:lang w:val="en-US" w:eastAsia="es-ES_tradnl"/>
        </w:rPr>
        <w:t xml:space="preserve">Vickerman, P., &amp; Blundell, M. (2010). Hearing the voices of disabled students in higher education. </w:t>
      </w:r>
      <w:r w:rsidRPr="005E1103">
        <w:rPr>
          <w:rFonts w:cstheme="minorHAnsi"/>
          <w:i/>
          <w:color w:val="000000"/>
          <w:sz w:val="28"/>
          <w:szCs w:val="28"/>
          <w:lang w:eastAsia="es-ES_tradnl"/>
        </w:rPr>
        <w:t>Disability &amp; Society</w:t>
      </w:r>
      <w:r w:rsidRPr="005E1103">
        <w:rPr>
          <w:rFonts w:cstheme="minorHAnsi"/>
          <w:color w:val="000000"/>
          <w:sz w:val="28"/>
          <w:szCs w:val="28"/>
          <w:lang w:eastAsia="es-ES_tradnl"/>
        </w:rPr>
        <w:t xml:space="preserve">, </w:t>
      </w:r>
      <w:r w:rsidRPr="005E1103">
        <w:rPr>
          <w:rFonts w:cstheme="minorHAnsi"/>
          <w:i/>
          <w:color w:val="000000"/>
          <w:sz w:val="28"/>
          <w:szCs w:val="28"/>
          <w:lang w:eastAsia="es-ES_tradnl"/>
        </w:rPr>
        <w:t>25</w:t>
      </w:r>
      <w:r w:rsidRPr="005E1103">
        <w:rPr>
          <w:rFonts w:cstheme="minorHAnsi"/>
          <w:color w:val="000000"/>
          <w:sz w:val="28"/>
          <w:szCs w:val="28"/>
          <w:lang w:eastAsia="es-ES_tradnl"/>
        </w:rPr>
        <w:t>(2), 21-32.</w:t>
      </w:r>
    </w:p>
    <w:p w:rsidR="00C71AF3" w:rsidRPr="005E1103" w:rsidRDefault="00C71AF3">
      <w:pPr>
        <w:rPr>
          <w:rFonts w:cstheme="minorHAnsi"/>
          <w:color w:val="000000"/>
          <w:sz w:val="28"/>
          <w:szCs w:val="28"/>
          <w:lang w:eastAsia="es-ES_tradnl"/>
        </w:rPr>
      </w:pPr>
      <w:r w:rsidRPr="005E1103">
        <w:rPr>
          <w:rFonts w:cstheme="minorHAnsi"/>
          <w:color w:val="000000"/>
          <w:sz w:val="28"/>
          <w:szCs w:val="28"/>
          <w:lang w:eastAsia="es-ES_tradnl"/>
        </w:rPr>
        <w:br w:type="page"/>
      </w:r>
    </w:p>
    <w:p w:rsidR="00C71AF3" w:rsidRPr="005E1103" w:rsidRDefault="00C71AF3" w:rsidP="00C71AF3">
      <w:pPr>
        <w:spacing w:line="360" w:lineRule="auto"/>
        <w:jc w:val="center"/>
        <w:rPr>
          <w:rFonts w:cstheme="minorHAnsi"/>
          <w:b/>
          <w:sz w:val="28"/>
          <w:szCs w:val="28"/>
        </w:rPr>
      </w:pPr>
      <w:r w:rsidRPr="005E1103">
        <w:rPr>
          <w:rFonts w:cstheme="minorHAnsi"/>
          <w:b/>
          <w:sz w:val="28"/>
          <w:szCs w:val="28"/>
        </w:rPr>
        <w:lastRenderedPageBreak/>
        <w:t>COMUNICACIÓN 8</w:t>
      </w:r>
    </w:p>
    <w:p w:rsidR="00C71AF3" w:rsidRPr="00143EB9" w:rsidRDefault="00C71AF3" w:rsidP="00143EB9">
      <w:pPr>
        <w:pStyle w:val="Sinespaciado"/>
        <w:pBdr>
          <w:top w:val="single" w:sz="4" w:space="1" w:color="auto"/>
          <w:left w:val="single" w:sz="4" w:space="1" w:color="auto"/>
          <w:bottom w:val="single" w:sz="4" w:space="1" w:color="auto"/>
          <w:right w:val="single" w:sz="4" w:space="1" w:color="auto"/>
        </w:pBdr>
        <w:spacing w:after="0" w:line="240" w:lineRule="auto"/>
        <w:jc w:val="center"/>
        <w:rPr>
          <w:rFonts w:asciiTheme="minorHAnsi" w:hAnsiTheme="minorHAnsi" w:cstheme="minorHAnsi"/>
          <w:b/>
          <w:sz w:val="28"/>
          <w:szCs w:val="28"/>
        </w:rPr>
      </w:pPr>
      <w:r w:rsidRPr="00143EB9">
        <w:rPr>
          <w:rFonts w:asciiTheme="minorHAnsi" w:hAnsiTheme="minorHAnsi" w:cstheme="minorHAnsi"/>
          <w:b/>
          <w:sz w:val="28"/>
          <w:szCs w:val="28"/>
        </w:rPr>
        <w:t>Familia y personas con diversidad funcional visual: ámbito familiar,</w:t>
      </w:r>
    </w:p>
    <w:p w:rsidR="00C71AF3" w:rsidRPr="00143EB9" w:rsidRDefault="00C71AF3" w:rsidP="00143EB9">
      <w:pPr>
        <w:pBdr>
          <w:top w:val="single" w:sz="4" w:space="1" w:color="auto"/>
          <w:left w:val="single" w:sz="4" w:space="1" w:color="auto"/>
          <w:bottom w:val="single" w:sz="4" w:space="1" w:color="auto"/>
          <w:right w:val="single" w:sz="4" w:space="1" w:color="auto"/>
        </w:pBdr>
        <w:spacing w:after="0" w:line="240" w:lineRule="auto"/>
        <w:jc w:val="center"/>
        <w:rPr>
          <w:rFonts w:cstheme="minorHAnsi"/>
          <w:b/>
          <w:sz w:val="28"/>
          <w:szCs w:val="28"/>
        </w:rPr>
      </w:pPr>
      <w:r w:rsidRPr="00143EB9">
        <w:rPr>
          <w:rFonts w:cstheme="minorHAnsi"/>
          <w:b/>
          <w:sz w:val="28"/>
          <w:szCs w:val="28"/>
        </w:rPr>
        <w:t>Calidad de vida y educación</w:t>
      </w:r>
    </w:p>
    <w:p w:rsidR="00C71AF3" w:rsidRPr="005E1103" w:rsidRDefault="00C71AF3" w:rsidP="00C71AF3">
      <w:pPr>
        <w:spacing w:line="360" w:lineRule="auto"/>
        <w:jc w:val="center"/>
        <w:rPr>
          <w:rFonts w:cstheme="minorHAnsi"/>
          <w:b/>
          <w:sz w:val="28"/>
          <w:szCs w:val="28"/>
        </w:rPr>
      </w:pPr>
    </w:p>
    <w:p w:rsidR="00C71AF3" w:rsidRPr="005E1103" w:rsidRDefault="00C71AF3" w:rsidP="00C71AF3">
      <w:pPr>
        <w:pStyle w:val="Sinespaciado"/>
        <w:spacing w:line="360" w:lineRule="auto"/>
        <w:jc w:val="right"/>
        <w:rPr>
          <w:rFonts w:asciiTheme="minorHAnsi" w:hAnsiTheme="minorHAnsi" w:cstheme="minorHAnsi"/>
          <w:sz w:val="28"/>
          <w:szCs w:val="28"/>
        </w:rPr>
      </w:pPr>
      <w:r w:rsidRPr="005E1103">
        <w:rPr>
          <w:rFonts w:asciiTheme="minorHAnsi" w:hAnsiTheme="minorHAnsi" w:cstheme="minorHAnsi"/>
          <w:sz w:val="28"/>
          <w:szCs w:val="28"/>
        </w:rPr>
        <w:t>José Enrique Llamazares de Prado</w:t>
      </w:r>
    </w:p>
    <w:p w:rsidR="00C71AF3" w:rsidRPr="005E1103" w:rsidRDefault="00C71AF3" w:rsidP="00C71AF3">
      <w:pPr>
        <w:pStyle w:val="Sinespaciado"/>
        <w:spacing w:line="360" w:lineRule="auto"/>
        <w:jc w:val="right"/>
        <w:rPr>
          <w:rFonts w:asciiTheme="minorHAnsi" w:hAnsiTheme="minorHAnsi" w:cstheme="minorHAnsi"/>
          <w:sz w:val="28"/>
          <w:szCs w:val="28"/>
        </w:rPr>
      </w:pPr>
      <w:r w:rsidRPr="005E1103">
        <w:rPr>
          <w:rFonts w:asciiTheme="minorHAnsi" w:hAnsiTheme="minorHAnsi" w:cstheme="minorHAnsi"/>
          <w:sz w:val="28"/>
          <w:szCs w:val="28"/>
        </w:rPr>
        <w:t>PhD y colaborador del departamento de didáctica</w:t>
      </w:r>
    </w:p>
    <w:p w:rsidR="00C71AF3" w:rsidRPr="005E1103" w:rsidRDefault="00C71AF3" w:rsidP="00C71AF3">
      <w:pPr>
        <w:pStyle w:val="Sinespaciado"/>
        <w:spacing w:line="360" w:lineRule="auto"/>
        <w:jc w:val="right"/>
        <w:rPr>
          <w:rFonts w:asciiTheme="minorHAnsi" w:hAnsiTheme="minorHAnsi" w:cstheme="minorHAnsi"/>
          <w:sz w:val="28"/>
          <w:szCs w:val="28"/>
        </w:rPr>
      </w:pPr>
      <w:r w:rsidRPr="005E1103">
        <w:rPr>
          <w:rFonts w:asciiTheme="minorHAnsi" w:hAnsiTheme="minorHAnsi" w:cstheme="minorHAnsi"/>
          <w:sz w:val="28"/>
          <w:szCs w:val="28"/>
        </w:rPr>
        <w:t xml:space="preserve">            Ana Rosa Arias Gago</w:t>
      </w:r>
    </w:p>
    <w:p w:rsidR="00C71AF3" w:rsidRPr="005E1103" w:rsidRDefault="00C71AF3" w:rsidP="00C71AF3">
      <w:pPr>
        <w:pStyle w:val="Sinespaciado"/>
        <w:spacing w:line="360" w:lineRule="auto"/>
        <w:jc w:val="right"/>
        <w:rPr>
          <w:rFonts w:asciiTheme="minorHAnsi" w:hAnsiTheme="minorHAnsi" w:cstheme="minorHAnsi"/>
          <w:sz w:val="28"/>
          <w:szCs w:val="28"/>
        </w:rPr>
      </w:pPr>
      <w:r w:rsidRPr="005E1103">
        <w:rPr>
          <w:rFonts w:asciiTheme="minorHAnsi" w:hAnsiTheme="minorHAnsi" w:cstheme="minorHAnsi"/>
          <w:sz w:val="28"/>
          <w:szCs w:val="28"/>
        </w:rPr>
        <w:t>Profesor titular en didáctica general, específica y teorías de la educación</w:t>
      </w:r>
    </w:p>
    <w:p w:rsidR="00C71AF3" w:rsidRPr="005E1103" w:rsidRDefault="00C71AF3" w:rsidP="00C71AF3">
      <w:pPr>
        <w:pStyle w:val="Sinespaciado"/>
        <w:spacing w:line="360" w:lineRule="auto"/>
        <w:jc w:val="right"/>
        <w:rPr>
          <w:rFonts w:asciiTheme="minorHAnsi" w:hAnsiTheme="minorHAnsi" w:cstheme="minorHAnsi"/>
          <w:sz w:val="28"/>
          <w:szCs w:val="28"/>
        </w:rPr>
      </w:pPr>
      <w:r w:rsidRPr="005E1103">
        <w:rPr>
          <w:rFonts w:asciiTheme="minorHAnsi" w:hAnsiTheme="minorHAnsi" w:cstheme="minorHAnsi"/>
          <w:sz w:val="28"/>
          <w:szCs w:val="28"/>
        </w:rPr>
        <w:t xml:space="preserve">      María Antonia Melcón Álvarez </w:t>
      </w:r>
    </w:p>
    <w:p w:rsidR="00C71AF3" w:rsidRPr="005E1103" w:rsidRDefault="00C71AF3" w:rsidP="00C71AF3">
      <w:pPr>
        <w:pStyle w:val="Sinespaciado"/>
        <w:spacing w:line="360" w:lineRule="auto"/>
        <w:jc w:val="right"/>
        <w:rPr>
          <w:rFonts w:asciiTheme="minorHAnsi" w:hAnsiTheme="minorHAnsi" w:cstheme="minorHAnsi"/>
          <w:sz w:val="28"/>
          <w:szCs w:val="28"/>
        </w:rPr>
      </w:pPr>
      <w:r w:rsidRPr="005E1103">
        <w:rPr>
          <w:rFonts w:asciiTheme="minorHAnsi" w:hAnsiTheme="minorHAnsi" w:cstheme="minorHAnsi"/>
          <w:sz w:val="28"/>
          <w:szCs w:val="28"/>
        </w:rPr>
        <w:t xml:space="preserve">Profesor titular en Psicología, Sociología y Filosofía </w:t>
      </w:r>
    </w:p>
    <w:p w:rsidR="00C71AF3" w:rsidRPr="005E1103" w:rsidRDefault="00C71AF3" w:rsidP="00C71AF3">
      <w:pPr>
        <w:pStyle w:val="Sinespaciado"/>
        <w:spacing w:line="360" w:lineRule="auto"/>
        <w:jc w:val="right"/>
        <w:rPr>
          <w:rFonts w:asciiTheme="minorHAnsi" w:hAnsiTheme="minorHAnsi" w:cstheme="minorHAnsi"/>
          <w:sz w:val="28"/>
          <w:szCs w:val="28"/>
        </w:rPr>
      </w:pPr>
      <w:r w:rsidRPr="005E1103">
        <w:rPr>
          <w:rFonts w:asciiTheme="minorHAnsi" w:hAnsiTheme="minorHAnsi" w:cstheme="minorHAnsi"/>
          <w:sz w:val="28"/>
          <w:szCs w:val="28"/>
        </w:rPr>
        <w:t>Universidad de León</w:t>
      </w:r>
    </w:p>
    <w:p w:rsidR="00C71AF3" w:rsidRPr="005E1103" w:rsidRDefault="00C71AF3" w:rsidP="00C71AF3">
      <w:pPr>
        <w:pStyle w:val="Sinespaciado"/>
        <w:spacing w:line="360" w:lineRule="auto"/>
        <w:jc w:val="right"/>
        <w:rPr>
          <w:rFonts w:asciiTheme="minorHAnsi" w:hAnsiTheme="minorHAnsi" w:cstheme="minorHAnsi"/>
          <w:sz w:val="28"/>
          <w:szCs w:val="28"/>
        </w:rPr>
      </w:pPr>
    </w:p>
    <w:p w:rsidR="00C71AF3" w:rsidRPr="00143EB9" w:rsidRDefault="00C71AF3" w:rsidP="00143EB9">
      <w:pPr>
        <w:spacing w:line="360" w:lineRule="auto"/>
        <w:rPr>
          <w:rFonts w:cstheme="minorHAnsi"/>
          <w:b/>
          <w:sz w:val="28"/>
          <w:szCs w:val="28"/>
          <w:u w:val="single"/>
        </w:rPr>
      </w:pPr>
      <w:r w:rsidRPr="00143EB9">
        <w:rPr>
          <w:rFonts w:cstheme="minorHAnsi"/>
          <w:b/>
          <w:sz w:val="28"/>
          <w:szCs w:val="28"/>
          <w:u w:val="single"/>
        </w:rPr>
        <w:t>Resumen</w:t>
      </w:r>
    </w:p>
    <w:p w:rsidR="00C71AF3" w:rsidRPr="005E1103" w:rsidRDefault="00C71AF3" w:rsidP="00C71AF3">
      <w:pPr>
        <w:spacing w:line="360" w:lineRule="auto"/>
        <w:jc w:val="both"/>
        <w:rPr>
          <w:rFonts w:cstheme="minorHAnsi"/>
          <w:sz w:val="28"/>
          <w:szCs w:val="28"/>
        </w:rPr>
      </w:pPr>
      <w:r w:rsidRPr="005E1103">
        <w:rPr>
          <w:rFonts w:cstheme="minorHAnsi"/>
          <w:sz w:val="28"/>
          <w:szCs w:val="28"/>
        </w:rPr>
        <w:t xml:space="preserve">Existen pocos estudios que traten la relación entre la familia y la discapacidad, así como la importancia de la calidad de vida y la relación entre la educación y la familia. El presente trabajo tiene como principal objetivo la revisión de los estudios sobre el papel de las familias de las personas con diversidad funcional y su calidad de vida, a través de la realización de un Metanálisis, existiendo un amplio consenso en cuanto a la formulación y secuenciación de las etapas que comprende, siendo muy similares a las propias de cualquier investigación empírica (Hattie, 2009). Pretendemos una reflexión sistematizada de la estimación cuantitativa sintética de todos los estudios disponibles, estableciendo un marco teórico sobre la relación entre las familias con diversidad funcional y la calidad de vida. En este estudio se aportan valoraciones personales acerca de las variables </w:t>
      </w:r>
      <w:r w:rsidRPr="005E1103">
        <w:rPr>
          <w:rFonts w:cstheme="minorHAnsi"/>
          <w:sz w:val="28"/>
          <w:szCs w:val="28"/>
        </w:rPr>
        <w:lastRenderedPageBreak/>
        <w:t>anteriormente citadas. Dentro de las conclusiones obtenidas, se evidencia que la familia juega un papel fundamental como primer núcleo educativo. No obstante, ha de aunarse esfuerzos para una labor conjunta con los profesionales con mayor implicación en la educación, sin desmerecer el papel que ejercen los progenitores, apostándose por un bien común. Los currícula escolares han de ser modificables junto a los programas para implementar mejoras educativas, teniéndose que fomentar la sensación del estudiante de disponer de un ambiente favorable tanto en la escuela como en el hogar. De ahí, la importancia de la labor conjunta de padres y profesionales de la educación en las tareas y acciones, no existiendo barreras entre la escuela y el hogar.</w:t>
      </w:r>
    </w:p>
    <w:p w:rsidR="00C71AF3" w:rsidRPr="005E1103" w:rsidRDefault="00C71AF3" w:rsidP="00C71AF3">
      <w:pPr>
        <w:spacing w:line="360" w:lineRule="auto"/>
        <w:rPr>
          <w:rFonts w:cstheme="minorHAnsi"/>
          <w:sz w:val="28"/>
          <w:szCs w:val="28"/>
        </w:rPr>
      </w:pPr>
      <w:r w:rsidRPr="005E1103">
        <w:rPr>
          <w:rFonts w:cstheme="minorHAnsi"/>
          <w:sz w:val="28"/>
          <w:szCs w:val="28"/>
        </w:rPr>
        <w:t>Palabras clave: Discapacidad, Calidad de Vida, diversidad funcional, educación, discapacidad visual, participación familiar.</w:t>
      </w:r>
    </w:p>
    <w:p w:rsidR="00C71AF3" w:rsidRPr="005E1103" w:rsidRDefault="00C71AF3" w:rsidP="00C71AF3">
      <w:pPr>
        <w:spacing w:line="360" w:lineRule="auto"/>
        <w:rPr>
          <w:rFonts w:cstheme="minorHAnsi"/>
          <w:sz w:val="28"/>
          <w:szCs w:val="28"/>
        </w:rPr>
      </w:pPr>
    </w:p>
    <w:p w:rsidR="00C71AF3" w:rsidRPr="00143EB9" w:rsidRDefault="00C71AF3" w:rsidP="00C71AF3">
      <w:pPr>
        <w:spacing w:line="360" w:lineRule="auto"/>
        <w:rPr>
          <w:rFonts w:cstheme="minorHAnsi"/>
          <w:b/>
          <w:sz w:val="28"/>
          <w:szCs w:val="28"/>
        </w:rPr>
      </w:pPr>
      <w:r w:rsidRPr="00143EB9">
        <w:rPr>
          <w:rFonts w:cstheme="minorHAnsi"/>
          <w:b/>
          <w:sz w:val="28"/>
          <w:szCs w:val="28"/>
        </w:rPr>
        <w:t>INTRODUCCIÓN</w:t>
      </w:r>
    </w:p>
    <w:p w:rsidR="00C71AF3" w:rsidRPr="005E1103" w:rsidRDefault="00C71AF3" w:rsidP="00C71AF3">
      <w:pPr>
        <w:spacing w:line="360" w:lineRule="auto"/>
        <w:ind w:firstLine="567"/>
        <w:jc w:val="both"/>
        <w:rPr>
          <w:rFonts w:cstheme="minorHAnsi"/>
          <w:sz w:val="28"/>
          <w:szCs w:val="28"/>
        </w:rPr>
      </w:pPr>
      <w:r w:rsidRPr="005E1103">
        <w:rPr>
          <w:rFonts w:cstheme="minorHAnsi"/>
          <w:sz w:val="28"/>
          <w:szCs w:val="28"/>
        </w:rPr>
        <w:t xml:space="preserve">La participación familiar es fundamental en la intervención educativa, siendo necesario conocer diferentes tipos de intervención para adecuar el mejor a cada situación. </w:t>
      </w:r>
    </w:p>
    <w:p w:rsidR="00C71AF3" w:rsidRPr="005E1103" w:rsidRDefault="00C71AF3" w:rsidP="00C71AF3">
      <w:pPr>
        <w:spacing w:line="360" w:lineRule="auto"/>
        <w:ind w:firstLine="567"/>
        <w:jc w:val="both"/>
        <w:rPr>
          <w:rFonts w:cstheme="minorHAnsi"/>
          <w:sz w:val="28"/>
          <w:szCs w:val="28"/>
        </w:rPr>
      </w:pPr>
      <w:r w:rsidRPr="005E1103">
        <w:rPr>
          <w:rFonts w:cstheme="minorHAnsi"/>
          <w:sz w:val="28"/>
          <w:szCs w:val="28"/>
        </w:rPr>
        <w:t>En cuanto a los modelos de intervención han de valorarse tanto el apoyo como la información recibida, con la finalidad del desarrollo de actitudes y sentimientos positivos. En este contexto destacan los siguientes modelos: transaccional, sistémico, evolutivo-educativo, ecológico, entre otros (MEC, 2012).</w:t>
      </w:r>
    </w:p>
    <w:p w:rsidR="00C71AF3" w:rsidRPr="005E1103" w:rsidRDefault="00C71AF3" w:rsidP="00C71AF3">
      <w:pPr>
        <w:spacing w:line="360" w:lineRule="auto"/>
        <w:ind w:firstLine="567"/>
        <w:jc w:val="both"/>
        <w:rPr>
          <w:rFonts w:cstheme="minorHAnsi"/>
          <w:sz w:val="28"/>
          <w:szCs w:val="28"/>
        </w:rPr>
      </w:pPr>
      <w:r w:rsidRPr="005E1103">
        <w:rPr>
          <w:rFonts w:cstheme="minorHAnsi"/>
          <w:sz w:val="28"/>
          <w:szCs w:val="28"/>
        </w:rPr>
        <w:t>Por ello, en este artículo pretendemos un estudio de Metaanálisis indagando sobre el ámbito familiar de las personas con diversidad funciona, su calidad de vida y el valor de la educación en la adquisición de competencias para el desarrollo y bienestar emocional, siendo la escuela y el hogar los dos agentes básicos en la educación.</w:t>
      </w:r>
    </w:p>
    <w:p w:rsidR="00C71AF3" w:rsidRPr="005E1103" w:rsidRDefault="00C71AF3" w:rsidP="00C71AF3">
      <w:pPr>
        <w:spacing w:line="360" w:lineRule="auto"/>
        <w:ind w:firstLine="567"/>
        <w:jc w:val="both"/>
        <w:rPr>
          <w:rFonts w:cstheme="minorHAnsi"/>
          <w:sz w:val="28"/>
          <w:szCs w:val="28"/>
        </w:rPr>
      </w:pPr>
      <w:r w:rsidRPr="005E1103">
        <w:rPr>
          <w:rFonts w:cstheme="minorHAnsi"/>
          <w:sz w:val="28"/>
          <w:szCs w:val="28"/>
        </w:rPr>
        <w:lastRenderedPageBreak/>
        <w:t>Son diversos los investigadores que abordaron la correlación entre la familia y el rendimiento académico (Guevera y Paredes, 2011; Torres, 2011; Corral, 2010), coinciden en el papel primordial de la familia como primer agente en el desarrollo del individuo, con el refuerzo familiar en el ámbito educativo. La colaboración con las escuelas favorece mejores resultados académicos, la formación integral del alumnado, así como una mejor valoración y satisfacción de los resultados obtenidos y la formación integral del alumnado (Corall, 2010).</w:t>
      </w:r>
    </w:p>
    <w:p w:rsidR="00C71AF3" w:rsidRPr="005E1103" w:rsidRDefault="00C71AF3" w:rsidP="00C71AF3">
      <w:pPr>
        <w:spacing w:line="360" w:lineRule="auto"/>
        <w:ind w:firstLine="567"/>
        <w:jc w:val="both"/>
        <w:rPr>
          <w:rFonts w:cstheme="minorHAnsi"/>
          <w:sz w:val="28"/>
          <w:szCs w:val="28"/>
        </w:rPr>
      </w:pPr>
      <w:r w:rsidRPr="005E1103">
        <w:rPr>
          <w:rFonts w:cstheme="minorHAnsi"/>
          <w:sz w:val="28"/>
          <w:szCs w:val="28"/>
        </w:rPr>
        <w:t xml:space="preserve">Cabe señalar que al igual que no hay dos personas iguales, tampoco hay dos familias iguales. Sin embargo, en base a la revisión bibliográfica realizada (Fantova, 2000 y Becerril, et al., 2006: 133; Parra, et al., </w:t>
      </w:r>
      <w:r w:rsidRPr="005E1103">
        <w:rPr>
          <w:rFonts w:cstheme="minorHAnsi"/>
          <w:sz w:val="28"/>
          <w:szCs w:val="28"/>
          <w:lang w:val="es-ES_tradnl"/>
        </w:rPr>
        <w:t xml:space="preserve">2011; </w:t>
      </w:r>
      <w:r w:rsidRPr="005E1103">
        <w:rPr>
          <w:rFonts w:cstheme="minorHAnsi"/>
          <w:sz w:val="28"/>
          <w:szCs w:val="28"/>
        </w:rPr>
        <w:t>Múñoz, 2014), dentro del ámbito de la familia con un miembro con discapacidad no hay tantas diferencias respecto a una familia sin ningún miembro con discapacidad. A pesar de esto, muchos investigadores escriben todavía en un tono negativo acerca del ajuste familiar (Griffith, et al., 2011).</w:t>
      </w:r>
    </w:p>
    <w:p w:rsidR="00C71AF3" w:rsidRPr="005E1103" w:rsidRDefault="00C71AF3" w:rsidP="00C71AF3">
      <w:pPr>
        <w:spacing w:line="360" w:lineRule="auto"/>
        <w:ind w:firstLine="567"/>
        <w:jc w:val="both"/>
        <w:rPr>
          <w:rFonts w:cstheme="minorHAnsi"/>
          <w:sz w:val="28"/>
          <w:szCs w:val="28"/>
        </w:rPr>
      </w:pPr>
      <w:r w:rsidRPr="005E1103">
        <w:rPr>
          <w:rFonts w:cstheme="minorHAnsi"/>
          <w:sz w:val="28"/>
          <w:szCs w:val="28"/>
        </w:rPr>
        <w:t xml:space="preserve">Actualmente, entendiéndose la familia como un sistema, según la Teoría de Sistemas (Parra, et al., </w:t>
      </w:r>
      <w:r w:rsidRPr="005E1103">
        <w:rPr>
          <w:rFonts w:cstheme="minorHAnsi"/>
          <w:sz w:val="28"/>
          <w:szCs w:val="28"/>
          <w:lang w:val="es-ES_tradnl"/>
        </w:rPr>
        <w:t>2011</w:t>
      </w:r>
      <w:r w:rsidRPr="005E1103">
        <w:rPr>
          <w:rFonts w:cstheme="minorHAnsi"/>
          <w:sz w:val="28"/>
          <w:szCs w:val="28"/>
        </w:rPr>
        <w:t xml:space="preserve">; Guevera y Paredes, 2011), la familia es entendida como una estructura abierta donde se interrelacionan las diversas subpartes que la integran, además del ambiente. Hay que destacar, además, el contexto cultural familiar, las funciones, los elementos y el ciclo vital. </w:t>
      </w:r>
    </w:p>
    <w:p w:rsidR="00C71AF3" w:rsidRPr="005E1103" w:rsidRDefault="00C71AF3" w:rsidP="00C71AF3">
      <w:pPr>
        <w:spacing w:line="360" w:lineRule="auto"/>
        <w:ind w:firstLine="567"/>
        <w:jc w:val="both"/>
        <w:rPr>
          <w:rFonts w:cstheme="minorHAnsi"/>
          <w:sz w:val="28"/>
          <w:szCs w:val="28"/>
          <w:lang w:val="es-ES_tradnl"/>
        </w:rPr>
      </w:pPr>
      <w:r w:rsidRPr="005E1103">
        <w:rPr>
          <w:rFonts w:cstheme="minorHAnsi"/>
          <w:sz w:val="28"/>
          <w:szCs w:val="28"/>
          <w:lang w:val="es-ES_tradnl"/>
        </w:rPr>
        <w:t>El desarrollo del niño invidente pasa por la interacción con el entorno, debe adquirir habilidades que le permitan la relación interpersonal y de autonomía. En las etapas iniciales, el aprendizaje procede de la familia y, posteriormente, de la escuela, siendo las familias y la escuela dos agentes básicos en la educación y socialización del menor.</w:t>
      </w:r>
    </w:p>
    <w:p w:rsidR="00C71AF3" w:rsidRPr="005E1103" w:rsidRDefault="00C71AF3" w:rsidP="00C71AF3">
      <w:pPr>
        <w:spacing w:line="360" w:lineRule="auto"/>
        <w:ind w:firstLine="567"/>
        <w:jc w:val="both"/>
        <w:rPr>
          <w:rFonts w:cstheme="minorHAnsi"/>
          <w:sz w:val="28"/>
          <w:szCs w:val="28"/>
          <w:lang w:val="es-ES_tradnl"/>
        </w:rPr>
      </w:pPr>
      <w:r w:rsidRPr="005E1103">
        <w:rPr>
          <w:rFonts w:cstheme="minorHAnsi"/>
          <w:sz w:val="28"/>
          <w:szCs w:val="28"/>
          <w:lang w:val="es-ES_tradnl"/>
        </w:rPr>
        <w:t>La familia, para los investigadores Marc y Picard (1992, cit. en Cabanillas y Dotto, 2003), es la base para el desarrollo del sujeto en la sociedad, en la cual se dan las primeras interacciones que dotan de la adquisición de habilidades tanto sociales, comunicativas o expresivas.</w:t>
      </w:r>
    </w:p>
    <w:p w:rsidR="00C71AF3" w:rsidRPr="005E1103" w:rsidRDefault="00C71AF3" w:rsidP="00C71AF3">
      <w:pPr>
        <w:spacing w:line="360" w:lineRule="auto"/>
        <w:ind w:firstLine="567"/>
        <w:jc w:val="both"/>
        <w:rPr>
          <w:rFonts w:cstheme="minorHAnsi"/>
          <w:sz w:val="28"/>
          <w:szCs w:val="28"/>
          <w:lang w:val="es-ES_tradnl"/>
        </w:rPr>
      </w:pPr>
      <w:r w:rsidRPr="005E1103">
        <w:rPr>
          <w:rFonts w:cstheme="minorHAnsi"/>
          <w:sz w:val="28"/>
          <w:szCs w:val="28"/>
          <w:lang w:val="es-ES_tradnl"/>
        </w:rPr>
        <w:lastRenderedPageBreak/>
        <w:t>Siendo la familia el primer transmisor de información, se ha de dotar de una adecuada e idónea estimulación temprana al sujeto con discapacidad visual, para afianzar los pilares de la integración escolar y social, y para ello los padres y el profesorado han de formarse (Ventorini, 2009), el profesorado y las familias se necesitan mutuamente, para hacer avanzar una propuesta educativa.</w:t>
      </w:r>
    </w:p>
    <w:p w:rsidR="00C71AF3" w:rsidRPr="005E1103" w:rsidRDefault="00C71AF3" w:rsidP="00C71AF3">
      <w:pPr>
        <w:spacing w:line="360" w:lineRule="auto"/>
        <w:ind w:firstLine="567"/>
        <w:jc w:val="both"/>
        <w:rPr>
          <w:rFonts w:cstheme="minorHAnsi"/>
          <w:sz w:val="28"/>
          <w:szCs w:val="28"/>
        </w:rPr>
      </w:pPr>
      <w:r w:rsidRPr="005E1103">
        <w:rPr>
          <w:rFonts w:cstheme="minorHAnsi"/>
          <w:sz w:val="28"/>
          <w:szCs w:val="28"/>
          <w:lang w:val="es-ES_tradnl"/>
        </w:rPr>
        <w:t xml:space="preserve">Algunos </w:t>
      </w:r>
      <w:r w:rsidRPr="005E1103">
        <w:rPr>
          <w:rFonts w:cstheme="minorHAnsi"/>
          <w:sz w:val="28"/>
          <w:szCs w:val="28"/>
        </w:rPr>
        <w:t xml:space="preserve">especialistas afirman que, a veces, la atención al hijo con discapacidad pasa a ser únicamente competencia de especialistas, dificultándose un acercamiento natural. Cabe señalar que la labor de los especialistas es importante pero no exclusiva para la formación del niño con discapacidad, son muchos los profesionales que pueden aportar valores para el enriquecimiento del aprendizaje y mejora del bienestar emocional y personal. Los padres, más tarde o más temprano, llegan a considerar que los profesionales son importantes pero no lo son todo en la formación de sus hijos, ellos también juegan un papel importante (Múñoz, 2014). </w:t>
      </w:r>
    </w:p>
    <w:p w:rsidR="00C71AF3" w:rsidRPr="005E1103" w:rsidRDefault="00C71AF3" w:rsidP="00C71AF3">
      <w:pPr>
        <w:spacing w:line="360" w:lineRule="auto"/>
        <w:ind w:firstLine="567"/>
        <w:jc w:val="both"/>
        <w:rPr>
          <w:rFonts w:cstheme="minorHAnsi"/>
          <w:sz w:val="28"/>
          <w:szCs w:val="28"/>
        </w:rPr>
      </w:pPr>
      <w:r w:rsidRPr="005E1103">
        <w:rPr>
          <w:rFonts w:cstheme="minorHAnsi"/>
          <w:sz w:val="28"/>
          <w:szCs w:val="28"/>
        </w:rPr>
        <w:t>Uno de los factores más importantes es el momento en el que los padres tienen conocimiento de la noticia de la discapacidad de uno de sus miembros, bien congénita o adquirida. Para la explicación conductual de la aceptación o el rechazo, el entorno juega un papel fundamental, siendo la expresión de los sentimientos, y por ende, el aprendizaje en inteligencia emocional, una herramienta adecuada para los profesionales ante el modo de mejora de la expresividad de los progenitores. En el caso de las personas con diversidad funcional</w:t>
      </w:r>
      <w:r w:rsidRPr="005E1103">
        <w:rPr>
          <w:rFonts w:cstheme="minorHAnsi"/>
          <w:sz w:val="28"/>
          <w:szCs w:val="28"/>
          <w:lang w:val="es-ES_tradnl"/>
        </w:rPr>
        <w:t xml:space="preserve"> </w:t>
      </w:r>
      <w:r w:rsidRPr="005E1103">
        <w:rPr>
          <w:rFonts w:cstheme="minorHAnsi"/>
          <w:sz w:val="28"/>
          <w:szCs w:val="28"/>
        </w:rPr>
        <w:t xml:space="preserve">desde su nacimiento, la familia tiene que aceptar el hecho de la peculiaridad de uno de sus miembros, ya que son los elementos del clima familiar los que definen una interconexión entre los miembros de la unidad familiar y la aceptación-rechazo parental ante tales acontecimientos (Dulanto, 2000; Lila y Gracia, 2005, citados en </w:t>
      </w:r>
      <w:r w:rsidR="00143EB9" w:rsidRPr="005E1103">
        <w:rPr>
          <w:rFonts w:cstheme="minorHAnsi"/>
          <w:sz w:val="28"/>
          <w:szCs w:val="28"/>
        </w:rPr>
        <w:t>mayo</w:t>
      </w:r>
      <w:r w:rsidRPr="005E1103">
        <w:rPr>
          <w:rFonts w:cstheme="minorHAnsi"/>
          <w:sz w:val="28"/>
          <w:szCs w:val="28"/>
        </w:rPr>
        <w:t>, 2010)</w:t>
      </w:r>
    </w:p>
    <w:p w:rsidR="00C71AF3" w:rsidRPr="005E1103" w:rsidRDefault="00C71AF3" w:rsidP="00C71AF3">
      <w:pPr>
        <w:spacing w:line="360" w:lineRule="auto"/>
        <w:ind w:firstLine="567"/>
        <w:jc w:val="both"/>
        <w:rPr>
          <w:rFonts w:cstheme="minorHAnsi"/>
          <w:sz w:val="28"/>
          <w:szCs w:val="28"/>
          <w:lang w:val="es-ES_tradnl"/>
        </w:rPr>
      </w:pPr>
      <w:r w:rsidRPr="005E1103">
        <w:rPr>
          <w:rFonts w:cstheme="minorHAnsi"/>
          <w:sz w:val="28"/>
          <w:szCs w:val="28"/>
        </w:rPr>
        <w:t xml:space="preserve">En las familias hay variables que influyen en la educación de las personas con discapacidad, dentro de las cuales destacan las recogidas por Scorgie et al., (1998, cit. en </w:t>
      </w:r>
      <w:r w:rsidRPr="005E1103">
        <w:rPr>
          <w:rFonts w:cstheme="minorHAnsi"/>
          <w:sz w:val="28"/>
          <w:szCs w:val="28"/>
        </w:rPr>
        <w:lastRenderedPageBreak/>
        <w:t xml:space="preserve">Davis &amp; </w:t>
      </w:r>
      <w:r w:rsidRPr="005E1103">
        <w:rPr>
          <w:rFonts w:cstheme="minorHAnsi"/>
          <w:sz w:val="28"/>
          <w:szCs w:val="28"/>
          <w:lang w:val="es-ES_tradnl"/>
        </w:rPr>
        <w:t xml:space="preserve">Gavidia, 2009). </w:t>
      </w:r>
      <w:r w:rsidRPr="005E1103">
        <w:rPr>
          <w:rFonts w:cstheme="minorHAnsi"/>
          <w:sz w:val="28"/>
          <w:szCs w:val="28"/>
        </w:rPr>
        <w:t xml:space="preserve">Por su parte, Fantova (2000) reagrupa estas variables en los siguientes subgrupos: variables externas, variables del niño, variables familiares, variables de los padres. </w:t>
      </w:r>
    </w:p>
    <w:p w:rsidR="00C71AF3" w:rsidRPr="005E1103" w:rsidRDefault="00C71AF3" w:rsidP="00C71AF3">
      <w:pPr>
        <w:spacing w:line="360" w:lineRule="auto"/>
        <w:ind w:firstLine="567"/>
        <w:jc w:val="both"/>
        <w:rPr>
          <w:rFonts w:cstheme="minorHAnsi"/>
          <w:sz w:val="28"/>
          <w:szCs w:val="28"/>
        </w:rPr>
      </w:pPr>
      <w:r w:rsidRPr="005E1103">
        <w:rPr>
          <w:rFonts w:cstheme="minorHAnsi"/>
          <w:sz w:val="28"/>
          <w:szCs w:val="28"/>
        </w:rPr>
        <w:t>No obstante, Flinstone (1993, cit. en Vera, 2011) remarca la relevancia del asesoramiento familiar por parte de los profesionales, haciéndoles conscientes de la limitación que puede darse en el aprendizaje y el desarrollo de su hijo. Además, considera que los miembros que integran el núcleo familiar, han de considerar tanto las capacidades y fortalezas, como las debilidades del sujeto con discapacidad, evitándose la sobreprotección y valorando su opinión del mismo modo que cualquier otro familiar. Hay que tener en cuenta que es en la etapa infantil donde comienza el desarrollo de la personalidad del sujeto y la base para la formación del adulto del mañana. Las conductas pasivas, miedos y limitaciones que tendrá en su etapa adulta habrán sido gestados en sus primeras etapas de vida.</w:t>
      </w:r>
    </w:p>
    <w:p w:rsidR="00C71AF3" w:rsidRPr="005E1103" w:rsidRDefault="00C71AF3" w:rsidP="00C71AF3">
      <w:pPr>
        <w:spacing w:line="360" w:lineRule="auto"/>
        <w:ind w:firstLine="567"/>
        <w:jc w:val="both"/>
        <w:rPr>
          <w:rFonts w:cstheme="minorHAnsi"/>
          <w:sz w:val="28"/>
          <w:szCs w:val="28"/>
        </w:rPr>
      </w:pPr>
      <w:r w:rsidRPr="005E1103">
        <w:rPr>
          <w:rFonts w:cstheme="minorHAnsi"/>
          <w:sz w:val="28"/>
          <w:szCs w:val="28"/>
        </w:rPr>
        <w:t>La interacción paternal con los hijos con discapacidad, tiene un peso destacado en el ámbito del desarrollo, siendo esta tanto positiva como negativa, dentro del aprendizaje. Por ello, es de vital importancia la formación continua de los padres en lo que respecta a la discapacidad de sus hijos, estando asesorados a través de expertos cualificados.</w:t>
      </w:r>
    </w:p>
    <w:p w:rsidR="00C71AF3" w:rsidRPr="005E1103" w:rsidRDefault="00C71AF3" w:rsidP="00C71AF3">
      <w:pPr>
        <w:spacing w:line="360" w:lineRule="auto"/>
        <w:ind w:firstLine="567"/>
        <w:jc w:val="both"/>
        <w:rPr>
          <w:rFonts w:cstheme="minorHAnsi"/>
          <w:sz w:val="28"/>
          <w:szCs w:val="28"/>
        </w:rPr>
      </w:pPr>
      <w:r w:rsidRPr="005E1103">
        <w:rPr>
          <w:rFonts w:cstheme="minorHAnsi"/>
          <w:sz w:val="28"/>
          <w:szCs w:val="28"/>
        </w:rPr>
        <w:t>En el ámbito educativo, los currícula escolares (Sánchez, 2014) diseñados junto a los programas educativos tienen que poder ser flexibles para incorporar mejoras progresivas, fomentándose una participación más directa entre el vínculo familiar y la escuela, valorándose tanto las características culturales como demográficas para diseñar un óptimo plan educativo, alentando la creación de ambientes favorables para dotar de bienestar social y emocional a los estudiantes.</w:t>
      </w:r>
    </w:p>
    <w:p w:rsidR="00C71AF3" w:rsidRPr="005E1103" w:rsidRDefault="00C71AF3" w:rsidP="00C71AF3">
      <w:pPr>
        <w:spacing w:line="360" w:lineRule="auto"/>
        <w:ind w:firstLine="567"/>
        <w:jc w:val="both"/>
        <w:rPr>
          <w:rFonts w:cstheme="minorHAnsi"/>
          <w:sz w:val="28"/>
          <w:szCs w:val="28"/>
        </w:rPr>
      </w:pPr>
      <w:r w:rsidRPr="005E1103">
        <w:rPr>
          <w:rFonts w:cstheme="minorHAnsi"/>
          <w:sz w:val="28"/>
          <w:szCs w:val="28"/>
        </w:rPr>
        <w:t xml:space="preserve">Respecto a los factores influyentes en el rendimiento escolar, Morales et al., (1999, cit. en Guevera y Paredes, 2011), el nivel cultural familiar influye directamente en el rendimiento escolar del alumnado, a través del análisis de la variable “nivel cultural de la </w:t>
      </w:r>
      <w:r w:rsidRPr="005E1103">
        <w:rPr>
          <w:rFonts w:cstheme="minorHAnsi"/>
          <w:sz w:val="28"/>
          <w:szCs w:val="28"/>
        </w:rPr>
        <w:lastRenderedPageBreak/>
        <w:t>familia”, concluyendo que en el grado en que se observe acercamiento por actividades académicas de los progenitores, los hijos tendrán una mayor receptividad hacia el estudio, así como que el número de hijos por familia no es un valor influyente en el rendimiento escolar. De tal modo, si hay conflictos en la familia, esto se evidencia en los hijos. En conclusión, si la familia muestra interés por las actividades de sus hijos, la valoración y la vinculación con la escuela, se obtienen excelentes resultados.</w:t>
      </w:r>
    </w:p>
    <w:p w:rsidR="00C71AF3" w:rsidRPr="005E1103" w:rsidRDefault="00C71AF3" w:rsidP="00C71AF3">
      <w:pPr>
        <w:spacing w:line="360" w:lineRule="auto"/>
        <w:ind w:firstLine="567"/>
        <w:jc w:val="both"/>
        <w:rPr>
          <w:rFonts w:cstheme="minorHAnsi"/>
          <w:sz w:val="28"/>
          <w:szCs w:val="28"/>
        </w:rPr>
      </w:pPr>
      <w:r w:rsidRPr="005E1103">
        <w:rPr>
          <w:rFonts w:cstheme="minorHAnsi"/>
          <w:sz w:val="28"/>
          <w:szCs w:val="28"/>
        </w:rPr>
        <w:t>Dentro de la influencia familiar cabe exponer la premisa del investigador Nord (1998, cit. en</w:t>
      </w:r>
      <w:r w:rsidRPr="005E1103">
        <w:rPr>
          <w:rFonts w:cstheme="minorHAnsi"/>
          <w:sz w:val="28"/>
          <w:szCs w:val="28"/>
          <w:lang w:val="es-ES_tradnl"/>
        </w:rPr>
        <w:t xml:space="preserve"> Compton, 2012) el cual </w:t>
      </w:r>
      <w:r w:rsidRPr="005E1103">
        <w:rPr>
          <w:rFonts w:cstheme="minorHAnsi"/>
          <w:sz w:val="28"/>
          <w:szCs w:val="28"/>
        </w:rPr>
        <w:t>manifiesta la importancia de la implicación de los padres en la educación de su hijo, importante para el éxito escolar; pero no todos los niños tienen padres que se involucren en su escuela. En el estudio de Stevenson y Baker (1987, cit. en Booth &amp; Dunn, 2009), se demostró que “los niños de padres que participan en las actividades escolares muestran un aprovechamiento mayor que los niños de padres menos participativos” (Sánchez, 2014, pp. 2). Ya Rich (1985, cit. en Bray &amp; Lykins, 2012) evidenció que con la participación activa de los padres, los resultados obtenidos son positivos desde el primer momento, tanto en la conducta, como el factor emocional y cognitivo del alumno, facilitando la reducción de estrés y potenciando una fluida comunicación.</w:t>
      </w:r>
    </w:p>
    <w:p w:rsidR="00C71AF3" w:rsidRPr="005E1103" w:rsidRDefault="00C71AF3" w:rsidP="00C71AF3">
      <w:pPr>
        <w:spacing w:line="360" w:lineRule="auto"/>
        <w:ind w:firstLine="567"/>
        <w:jc w:val="both"/>
        <w:rPr>
          <w:rFonts w:cstheme="minorHAnsi"/>
          <w:sz w:val="28"/>
          <w:szCs w:val="28"/>
        </w:rPr>
      </w:pPr>
      <w:r w:rsidRPr="005E1103">
        <w:rPr>
          <w:rFonts w:cstheme="minorHAnsi"/>
          <w:sz w:val="28"/>
          <w:szCs w:val="28"/>
        </w:rPr>
        <w:t>La calidad de vida en el ámbito familiar, se puede valorar por factores que la componen en el seno familiar, así como por los indicadores considerados en la Escala de Calidad de Vida Familiar (ECVF) (González, et al., 2013; Verdugo y Rodríguez, 2009), desarrollada por la Universidad de Kansas. Es un instrumento muy útil como herramienta de planificación para establecer la adaptación individual a planes o servicios de apoyo a las familias, indicadores para las familias y grado de satisfacción. Esta escala está constituida por cinco ítems: bienestar emocional, físico, material, interacción familiar, el papel de los padres y los apoyos a la persona con discapacidad.</w:t>
      </w:r>
    </w:p>
    <w:p w:rsidR="00C71AF3" w:rsidRPr="005E1103" w:rsidRDefault="00C71AF3" w:rsidP="00C71AF3">
      <w:pPr>
        <w:spacing w:line="360" w:lineRule="auto"/>
        <w:ind w:firstLine="567"/>
        <w:jc w:val="both"/>
        <w:rPr>
          <w:rFonts w:cstheme="minorHAnsi"/>
          <w:sz w:val="28"/>
          <w:szCs w:val="28"/>
        </w:rPr>
      </w:pPr>
      <w:r w:rsidRPr="005E1103">
        <w:rPr>
          <w:rFonts w:cstheme="minorHAnsi"/>
          <w:sz w:val="28"/>
          <w:szCs w:val="28"/>
        </w:rPr>
        <w:lastRenderedPageBreak/>
        <w:t xml:space="preserve">En el ámbito de la discapacidad, dentro del campo de la calidad de vida, en la última década se ha avanzado en el cálculo, valoración y cuantificación, centrándose en el entorno familiar principalmente con una persona con discapacidad (Córdoba, et al., 2008). </w:t>
      </w:r>
    </w:p>
    <w:p w:rsidR="00C71AF3" w:rsidRPr="005E1103" w:rsidRDefault="00C71AF3" w:rsidP="00C71AF3">
      <w:pPr>
        <w:spacing w:line="360" w:lineRule="auto"/>
        <w:ind w:firstLine="567"/>
        <w:jc w:val="both"/>
        <w:rPr>
          <w:rFonts w:cstheme="minorHAnsi"/>
          <w:sz w:val="28"/>
          <w:szCs w:val="28"/>
        </w:rPr>
      </w:pPr>
      <w:r w:rsidRPr="005E1103">
        <w:rPr>
          <w:rFonts w:cstheme="minorHAnsi"/>
          <w:sz w:val="28"/>
          <w:szCs w:val="28"/>
        </w:rPr>
        <w:t>Siendo escasos los estudios sobre la calidad de vida en discapacidad visual, resultan representativos los estudios (Verdugo, et al., 1999; Caballo, et al., 2001; Córdoba, et al., 2008; Cabrera, 2011; García, 2013; Albà y Flores, 2015) que han tratado de definir la calidad de vida en la Baja visión, siendo una evaluación de carácter subjetivo, excluyendo la ceguera total.</w:t>
      </w:r>
    </w:p>
    <w:p w:rsidR="00C71AF3" w:rsidRPr="005E1103" w:rsidRDefault="00C71AF3" w:rsidP="00C71AF3">
      <w:pPr>
        <w:spacing w:line="360" w:lineRule="auto"/>
        <w:ind w:firstLine="567"/>
        <w:jc w:val="both"/>
        <w:rPr>
          <w:rFonts w:cstheme="minorHAnsi"/>
          <w:sz w:val="28"/>
          <w:szCs w:val="28"/>
        </w:rPr>
      </w:pPr>
      <w:r w:rsidRPr="005E1103">
        <w:rPr>
          <w:rFonts w:cstheme="minorHAnsi"/>
          <w:sz w:val="28"/>
          <w:szCs w:val="28"/>
        </w:rPr>
        <w:t>En relación a los autores citados, se deduce la necesidad de la realización de evaluaciones subjetivas en la calidad de vida de sujetos con baja visión dado que son muchos los que cesan de la realización de las actividades a causa de la discapacidad adquirida.</w:t>
      </w:r>
    </w:p>
    <w:p w:rsidR="00C71AF3" w:rsidRPr="005E1103" w:rsidRDefault="00C71AF3" w:rsidP="00C71AF3">
      <w:pPr>
        <w:spacing w:line="360" w:lineRule="auto"/>
        <w:ind w:firstLine="567"/>
        <w:jc w:val="both"/>
        <w:rPr>
          <w:rFonts w:cstheme="minorHAnsi"/>
          <w:sz w:val="28"/>
          <w:szCs w:val="28"/>
        </w:rPr>
      </w:pPr>
      <w:r w:rsidRPr="005E1103">
        <w:rPr>
          <w:rFonts w:cstheme="minorHAnsi"/>
          <w:sz w:val="28"/>
          <w:szCs w:val="28"/>
        </w:rPr>
        <w:t xml:space="preserve">En cuanto al debate si influye o no el nivel socioeconómico en la calidad de vida, en palabras de Cabrera (2011). “El impacto de la discapacidad visual va a ser diferente en cada persona. Es erróneo creer que su calidad de vida tiene que ver con el dinero o la cultura del contexto familiar…” (pp. 6). </w:t>
      </w:r>
    </w:p>
    <w:p w:rsidR="00C71AF3" w:rsidRPr="005E1103" w:rsidRDefault="00C71AF3" w:rsidP="00C71AF3">
      <w:pPr>
        <w:spacing w:line="360" w:lineRule="auto"/>
        <w:ind w:firstLine="567"/>
        <w:jc w:val="both"/>
        <w:rPr>
          <w:rFonts w:cstheme="minorHAnsi"/>
          <w:sz w:val="28"/>
          <w:szCs w:val="28"/>
        </w:rPr>
      </w:pPr>
      <w:r w:rsidRPr="005E1103">
        <w:rPr>
          <w:rFonts w:cstheme="minorHAnsi"/>
          <w:sz w:val="28"/>
          <w:szCs w:val="28"/>
        </w:rPr>
        <w:t>El sujeto invidente logra una mejor calidad de vida a través de la autorrealización por medio de la expresión corporal, permitiendo la manifestación de la expresión de los sentimientos y las pasiones, en el trabajo de Llanos (2009) analiza la “danza de la vida”, siendo un medio de expresión a través del movimiento que favorece la creatividad y la aceptación tanto de uno mismo como de los demás, los resultados del estudio señalaron un aumento en la determinación, la estabilidad, resistencia al estrés, merma de la ansiedad, autovaloración, fomento de los espacios personales, y un mayor desarrollo de pertenencia al grupo.</w:t>
      </w:r>
    </w:p>
    <w:p w:rsidR="00C71AF3" w:rsidRPr="005E1103" w:rsidRDefault="00C71AF3" w:rsidP="00C71AF3">
      <w:pPr>
        <w:spacing w:line="360" w:lineRule="auto"/>
        <w:ind w:firstLine="567"/>
        <w:jc w:val="both"/>
        <w:rPr>
          <w:rFonts w:cstheme="minorHAnsi"/>
          <w:sz w:val="28"/>
          <w:szCs w:val="28"/>
        </w:rPr>
      </w:pPr>
      <w:r w:rsidRPr="005E1103">
        <w:rPr>
          <w:rFonts w:cstheme="minorHAnsi"/>
          <w:sz w:val="28"/>
          <w:szCs w:val="28"/>
        </w:rPr>
        <w:lastRenderedPageBreak/>
        <w:t>Para finalizar, me gustaría resaltar el papel que los padres juegan en la educación a través de estas citas:</w:t>
      </w:r>
    </w:p>
    <w:p w:rsidR="00C71AF3" w:rsidRPr="005E1103" w:rsidRDefault="00C71AF3" w:rsidP="00C71AF3">
      <w:pPr>
        <w:spacing w:line="360" w:lineRule="auto"/>
        <w:ind w:left="567" w:firstLine="567"/>
        <w:jc w:val="both"/>
        <w:rPr>
          <w:rFonts w:cstheme="minorHAnsi"/>
          <w:sz w:val="28"/>
          <w:szCs w:val="28"/>
          <w:lang w:val="es-ES_tradnl"/>
        </w:rPr>
      </w:pPr>
      <w:r w:rsidRPr="005E1103">
        <w:rPr>
          <w:rFonts w:cstheme="minorHAnsi"/>
          <w:i/>
          <w:sz w:val="28"/>
          <w:szCs w:val="28"/>
        </w:rPr>
        <w:t xml:space="preserve">“Cuando los padres participan en la educación de sus niños, se obtienen beneficios, tanto para los padres como para el niño, ya que frecuentemente mejora la autoestima del niño, ayuda a los padres a desarrollar actitudes positivas hacia la escuela y les proporciona a los padres una mejor comprensión del proceso de enseñanza” </w:t>
      </w:r>
      <w:r w:rsidRPr="005E1103">
        <w:rPr>
          <w:rFonts w:cstheme="minorHAnsi"/>
          <w:sz w:val="28"/>
          <w:szCs w:val="28"/>
        </w:rPr>
        <w:t>(Brown, 1989 pp. 2 cit. en Kiyama, et al., 2015).</w:t>
      </w:r>
      <w:r w:rsidRPr="005E1103">
        <w:rPr>
          <w:rFonts w:cstheme="minorHAnsi"/>
          <w:i/>
          <w:sz w:val="28"/>
          <w:szCs w:val="28"/>
        </w:rPr>
        <w:tab/>
      </w:r>
      <w:r w:rsidRPr="005E1103">
        <w:rPr>
          <w:rFonts w:cstheme="minorHAnsi"/>
          <w:i/>
          <w:sz w:val="28"/>
          <w:szCs w:val="28"/>
        </w:rPr>
        <w:tab/>
      </w:r>
      <w:r w:rsidRPr="005E1103">
        <w:rPr>
          <w:rFonts w:cstheme="minorHAnsi"/>
          <w:i/>
          <w:sz w:val="28"/>
          <w:szCs w:val="28"/>
        </w:rPr>
        <w:tab/>
      </w:r>
    </w:p>
    <w:p w:rsidR="00C71AF3" w:rsidRPr="005E1103" w:rsidRDefault="00C71AF3" w:rsidP="00C71AF3">
      <w:pPr>
        <w:spacing w:line="360" w:lineRule="auto"/>
        <w:ind w:firstLine="708"/>
        <w:rPr>
          <w:rFonts w:cstheme="minorHAnsi"/>
          <w:b/>
          <w:sz w:val="28"/>
          <w:szCs w:val="28"/>
        </w:rPr>
      </w:pPr>
      <w:r w:rsidRPr="005E1103">
        <w:rPr>
          <w:rFonts w:cstheme="minorHAnsi"/>
          <w:b/>
          <w:sz w:val="28"/>
          <w:szCs w:val="28"/>
        </w:rPr>
        <w:t>Conclusiones:</w:t>
      </w:r>
    </w:p>
    <w:p w:rsidR="00C71AF3" w:rsidRPr="005E1103" w:rsidRDefault="00C71AF3" w:rsidP="00C71AF3">
      <w:pPr>
        <w:spacing w:line="360" w:lineRule="auto"/>
        <w:ind w:firstLine="567"/>
        <w:jc w:val="both"/>
        <w:rPr>
          <w:rFonts w:cstheme="minorHAnsi"/>
          <w:sz w:val="28"/>
          <w:szCs w:val="28"/>
        </w:rPr>
      </w:pPr>
      <w:r w:rsidRPr="005E1103">
        <w:rPr>
          <w:rFonts w:cstheme="minorHAnsi"/>
          <w:sz w:val="28"/>
          <w:szCs w:val="28"/>
        </w:rPr>
        <w:t>No cabe duda de que el ámbito familiar, influye directamente en la calidad de vida y en la educación de las personas con discapacidad visual. La labor que desempeñan los profesionales es crucial sobre todo en las familias con un miembro con diversidad funcional, sobre todo en el caso de familias más vulnerables, desde los inicios hasta todo el desarrollo posterior, considerando que una intervención oportuna puede prevenir elementos de conflicto psicológico que requieran posteriores intervenciones psicoterapéuticas.</w:t>
      </w:r>
    </w:p>
    <w:p w:rsidR="00C71AF3" w:rsidRPr="005E1103" w:rsidRDefault="00C71AF3" w:rsidP="00C71AF3">
      <w:pPr>
        <w:spacing w:line="360" w:lineRule="auto"/>
        <w:ind w:firstLine="567"/>
        <w:jc w:val="both"/>
        <w:rPr>
          <w:rFonts w:cstheme="minorHAnsi"/>
          <w:sz w:val="28"/>
          <w:szCs w:val="28"/>
        </w:rPr>
      </w:pPr>
      <w:r w:rsidRPr="005E1103">
        <w:rPr>
          <w:rFonts w:cstheme="minorHAnsi"/>
          <w:sz w:val="28"/>
          <w:szCs w:val="28"/>
        </w:rPr>
        <w:t xml:space="preserve">No obstante, los padres, generalmente, desconocen que la participación activa en la educación de sus hijos supone una mejora considerada en el campo de la educación especial, siendo escasa la información al respecto, al igual que la relación de la familia y la necesidad educativa. Por ello, es necesario fomentar la relación activa entre escuela y familia, para dotar de un mensaje unificado. Los padres han de estimular a sus hijos no únicamente en </w:t>
      </w:r>
      <w:r w:rsidR="00143EB9" w:rsidRPr="005E1103">
        <w:rPr>
          <w:rFonts w:cstheme="minorHAnsi"/>
          <w:sz w:val="28"/>
          <w:szCs w:val="28"/>
        </w:rPr>
        <w:t>la etapa inicial</w:t>
      </w:r>
      <w:r w:rsidRPr="005E1103">
        <w:rPr>
          <w:rFonts w:cstheme="minorHAnsi"/>
          <w:sz w:val="28"/>
          <w:szCs w:val="28"/>
        </w:rPr>
        <w:t xml:space="preserve"> sino </w:t>
      </w:r>
      <w:r w:rsidR="00143EB9" w:rsidRPr="005E1103">
        <w:rPr>
          <w:rFonts w:cstheme="minorHAnsi"/>
          <w:sz w:val="28"/>
          <w:szCs w:val="28"/>
        </w:rPr>
        <w:t>al largo</w:t>
      </w:r>
      <w:r w:rsidRPr="005E1103">
        <w:rPr>
          <w:rFonts w:cstheme="minorHAnsi"/>
          <w:sz w:val="28"/>
          <w:szCs w:val="28"/>
        </w:rPr>
        <w:t xml:space="preserve"> de toda su etapa educativa, y fomentar actividades extracurriculares que incentiven la motivación y el desarrollo del bienestar personal.</w:t>
      </w:r>
    </w:p>
    <w:p w:rsidR="00C71AF3" w:rsidRPr="005E1103" w:rsidRDefault="00C71AF3" w:rsidP="00C71AF3">
      <w:pPr>
        <w:spacing w:line="360" w:lineRule="auto"/>
        <w:ind w:firstLine="567"/>
        <w:jc w:val="both"/>
        <w:rPr>
          <w:rFonts w:cstheme="minorHAnsi"/>
          <w:sz w:val="28"/>
          <w:szCs w:val="28"/>
        </w:rPr>
      </w:pPr>
      <w:r w:rsidRPr="005E1103">
        <w:rPr>
          <w:rFonts w:cstheme="minorHAnsi"/>
          <w:sz w:val="28"/>
          <w:szCs w:val="28"/>
        </w:rPr>
        <w:lastRenderedPageBreak/>
        <w:t xml:space="preserve">Consideramos que en los estudios en materia de calidad de vida en discapacidad visual, no se ha de profundizar únicamente en los sujetos con baja visión, excluyendo a la ceguera total, ya que ambos grupos son representativos. </w:t>
      </w:r>
    </w:p>
    <w:p w:rsidR="00C71AF3" w:rsidRPr="005E1103" w:rsidRDefault="00C71AF3" w:rsidP="00C71AF3">
      <w:pPr>
        <w:spacing w:line="360" w:lineRule="auto"/>
        <w:ind w:firstLine="567"/>
        <w:jc w:val="both"/>
        <w:rPr>
          <w:rFonts w:cstheme="minorHAnsi"/>
          <w:sz w:val="28"/>
          <w:szCs w:val="28"/>
        </w:rPr>
      </w:pPr>
      <w:r w:rsidRPr="005E1103">
        <w:rPr>
          <w:rFonts w:cstheme="minorHAnsi"/>
          <w:sz w:val="28"/>
          <w:szCs w:val="28"/>
        </w:rPr>
        <w:t>Para lograr una adecuada calidad de vida, desde la educación debe potenciarse la autorrealización a través de la expresión corporal, como puede ser la Biodanza, que facilita la potencialidad afectivo-cognitiva, favoreciendo el desarrollo creativo-emocional en los sujetos invidentes y como elemento integrador entre el alumnado normovisual e invidente.</w:t>
      </w:r>
    </w:p>
    <w:p w:rsidR="00C71AF3" w:rsidRPr="005E1103" w:rsidRDefault="00C71AF3" w:rsidP="00C71AF3">
      <w:pPr>
        <w:spacing w:line="360" w:lineRule="auto"/>
        <w:ind w:firstLine="567"/>
        <w:jc w:val="both"/>
        <w:rPr>
          <w:rFonts w:cstheme="minorHAnsi"/>
          <w:sz w:val="28"/>
          <w:szCs w:val="28"/>
        </w:rPr>
      </w:pPr>
      <w:r w:rsidRPr="005E1103">
        <w:rPr>
          <w:rFonts w:cstheme="minorHAnsi"/>
          <w:sz w:val="28"/>
          <w:szCs w:val="28"/>
        </w:rPr>
        <w:t xml:space="preserve">Se tiene que tener presente </w:t>
      </w:r>
      <w:r w:rsidR="00E17A21" w:rsidRPr="005E1103">
        <w:rPr>
          <w:rFonts w:cstheme="minorHAnsi"/>
          <w:sz w:val="28"/>
          <w:szCs w:val="28"/>
        </w:rPr>
        <w:t>que,</w:t>
      </w:r>
      <w:r w:rsidRPr="005E1103">
        <w:rPr>
          <w:rFonts w:cstheme="minorHAnsi"/>
          <w:sz w:val="28"/>
          <w:szCs w:val="28"/>
        </w:rPr>
        <w:t xml:space="preserve"> tanto en las escuelas regulares como en los centros especializados, el apoyo familiar es básico en el progreso y desarrollo del alumnado, al igual que la motivación para potenciar los logros escolares, y la incorporación en las aulas ordinarias; siendo una realidad la configuración de aulas inclusivas, sin tener que darse segregación en distintas aulas aisladas del alumnado sin discapacidad. </w:t>
      </w:r>
    </w:p>
    <w:p w:rsidR="00C71AF3" w:rsidRPr="005E1103" w:rsidRDefault="00C71AF3" w:rsidP="00E17A21">
      <w:pPr>
        <w:spacing w:line="360" w:lineRule="auto"/>
        <w:ind w:left="2124" w:firstLine="708"/>
        <w:rPr>
          <w:rFonts w:cstheme="minorHAnsi"/>
          <w:b/>
          <w:sz w:val="28"/>
          <w:szCs w:val="28"/>
          <w:lang w:val="es-ES_tradnl"/>
        </w:rPr>
      </w:pPr>
      <w:r w:rsidRPr="005E1103">
        <w:rPr>
          <w:rFonts w:cstheme="minorHAnsi"/>
          <w:b/>
          <w:sz w:val="28"/>
          <w:szCs w:val="28"/>
          <w:lang w:val="es-ES_tradnl"/>
        </w:rPr>
        <w:t xml:space="preserve">REFERENCIAS BIBLIOGRAFICAS: </w:t>
      </w:r>
    </w:p>
    <w:p w:rsidR="00C71AF3" w:rsidRPr="005E1103" w:rsidRDefault="00C71AF3" w:rsidP="00C71AF3">
      <w:pPr>
        <w:spacing w:line="360" w:lineRule="auto"/>
        <w:ind w:left="567" w:hanging="567"/>
        <w:jc w:val="both"/>
        <w:rPr>
          <w:rFonts w:cstheme="minorHAnsi"/>
          <w:sz w:val="28"/>
          <w:szCs w:val="28"/>
          <w:shd w:val="clear" w:color="auto" w:fill="FFFFFF"/>
          <w:lang w:val="en-US"/>
        </w:rPr>
      </w:pPr>
      <w:r w:rsidRPr="005E1103">
        <w:rPr>
          <w:rFonts w:cstheme="minorHAnsi"/>
          <w:sz w:val="28"/>
          <w:szCs w:val="28"/>
          <w:shd w:val="clear" w:color="auto" w:fill="FFFFFF"/>
          <w:lang w:val="es-ES_tradnl"/>
        </w:rPr>
        <w:t xml:space="preserve">Albà, Salut y Flores, Valle, «Aspectos psicológicos y su relación con la calidad de vida en pacientes con baja visión», Gaceta de optometría y óptica oftálmica, ISSN 2173-9366, Nº. 499, (2015), págs. </w:t>
      </w:r>
      <w:r w:rsidRPr="005E1103">
        <w:rPr>
          <w:rFonts w:cstheme="minorHAnsi"/>
          <w:sz w:val="28"/>
          <w:szCs w:val="28"/>
          <w:shd w:val="clear" w:color="auto" w:fill="FFFFFF"/>
          <w:lang w:val="en-US"/>
        </w:rPr>
        <w:t xml:space="preserve">18-24. </w:t>
      </w:r>
    </w:p>
    <w:p w:rsidR="00C71AF3" w:rsidRPr="005E1103" w:rsidRDefault="00C71AF3" w:rsidP="00C71AF3">
      <w:pPr>
        <w:spacing w:line="360" w:lineRule="auto"/>
        <w:ind w:left="567" w:hanging="567"/>
        <w:jc w:val="both"/>
        <w:rPr>
          <w:rFonts w:cstheme="minorHAnsi"/>
          <w:sz w:val="28"/>
          <w:szCs w:val="28"/>
          <w:shd w:val="clear" w:color="auto" w:fill="FFFFFF"/>
        </w:rPr>
      </w:pPr>
      <w:r w:rsidRPr="005E1103">
        <w:rPr>
          <w:rFonts w:cstheme="minorHAnsi"/>
          <w:sz w:val="28"/>
          <w:szCs w:val="28"/>
          <w:shd w:val="clear" w:color="auto" w:fill="FFFFFF"/>
          <w:lang w:val="en-US"/>
        </w:rPr>
        <w:t xml:space="preserve">Bray, Mark., &amp; Lykins, Chad. (2012). </w:t>
      </w:r>
      <w:r w:rsidRPr="005E1103">
        <w:rPr>
          <w:rFonts w:cstheme="minorHAnsi"/>
          <w:i/>
          <w:sz w:val="28"/>
          <w:szCs w:val="28"/>
          <w:shd w:val="clear" w:color="auto" w:fill="FFFFFF"/>
          <w:lang w:val="en-US"/>
        </w:rPr>
        <w:t>Shadow Education Private Supplementary Tutoring and Its Implications for Policy Makers in Asia</w:t>
      </w:r>
      <w:r w:rsidRPr="005E1103">
        <w:rPr>
          <w:rFonts w:cstheme="minorHAnsi"/>
          <w:sz w:val="28"/>
          <w:szCs w:val="28"/>
          <w:shd w:val="clear" w:color="auto" w:fill="FFFFFF"/>
          <w:lang w:val="en-US"/>
        </w:rPr>
        <w:t xml:space="preserve">. ADB. </w:t>
      </w:r>
      <w:r w:rsidRPr="005E1103">
        <w:rPr>
          <w:rFonts w:cstheme="minorHAnsi"/>
          <w:sz w:val="28"/>
          <w:szCs w:val="28"/>
          <w:shd w:val="clear" w:color="auto" w:fill="FFFFFF"/>
        </w:rPr>
        <w:t xml:space="preserve">Recuperado de: </w:t>
      </w:r>
      <w:hyperlink r:id="rId33" w:history="1">
        <w:r w:rsidRPr="005E1103">
          <w:rPr>
            <w:rStyle w:val="Hipervnculo"/>
            <w:rFonts w:cstheme="minorHAnsi"/>
            <w:sz w:val="28"/>
            <w:szCs w:val="28"/>
            <w:shd w:val="clear" w:color="auto" w:fill="FFFFFF"/>
          </w:rPr>
          <w:t>http://adb.org/sites/default/files/pub/2012/shadow-education.pdf</w:t>
        </w:r>
      </w:hyperlink>
    </w:p>
    <w:p w:rsidR="00C71AF3" w:rsidRPr="005E1103" w:rsidRDefault="00C71AF3" w:rsidP="00C71AF3">
      <w:pPr>
        <w:spacing w:line="360" w:lineRule="auto"/>
        <w:ind w:left="567" w:hanging="567"/>
        <w:jc w:val="both"/>
        <w:rPr>
          <w:rFonts w:cstheme="minorHAnsi"/>
          <w:sz w:val="28"/>
          <w:szCs w:val="28"/>
          <w:shd w:val="clear" w:color="auto" w:fill="FFFFFF"/>
        </w:rPr>
      </w:pPr>
      <w:r w:rsidRPr="005E1103">
        <w:rPr>
          <w:rFonts w:cstheme="minorHAnsi"/>
          <w:sz w:val="28"/>
          <w:szCs w:val="28"/>
          <w:shd w:val="clear" w:color="auto" w:fill="FFFFFF"/>
        </w:rPr>
        <w:t xml:space="preserve">Becerril, Rosa., Jiménez, Olga. Luz. y Vargas, José. Manuel. (2006). </w:t>
      </w:r>
      <w:r w:rsidRPr="005E1103">
        <w:rPr>
          <w:rFonts w:cstheme="minorHAnsi"/>
          <w:i/>
          <w:sz w:val="28"/>
          <w:szCs w:val="28"/>
          <w:shd w:val="clear" w:color="auto" w:fill="FFFFFF"/>
        </w:rPr>
        <w:t xml:space="preserve">Hacia la intervención en la comunidad. Licenciatura en Intervención Educativa. </w:t>
      </w:r>
      <w:r w:rsidRPr="005E1103">
        <w:rPr>
          <w:rFonts w:cstheme="minorHAnsi"/>
          <w:sz w:val="28"/>
          <w:szCs w:val="28"/>
          <w:shd w:val="clear" w:color="auto" w:fill="FFFFFF"/>
        </w:rPr>
        <w:t xml:space="preserve">UPN. Recuperado de: </w:t>
      </w:r>
      <w:hyperlink r:id="rId34" w:history="1">
        <w:r w:rsidRPr="005E1103">
          <w:rPr>
            <w:rStyle w:val="Hipervnculo"/>
            <w:rFonts w:cstheme="minorHAnsi"/>
            <w:sz w:val="28"/>
            <w:szCs w:val="28"/>
            <w:shd w:val="clear" w:color="auto" w:fill="FFFFFF"/>
          </w:rPr>
          <w:t>http://es.calameo.com/books/0016421041ca1becd9a19</w:t>
        </w:r>
      </w:hyperlink>
    </w:p>
    <w:p w:rsidR="00C71AF3" w:rsidRPr="005E1103" w:rsidRDefault="00C71AF3" w:rsidP="00C71AF3">
      <w:pPr>
        <w:spacing w:line="360" w:lineRule="auto"/>
        <w:ind w:left="567" w:hanging="567"/>
        <w:jc w:val="both"/>
        <w:rPr>
          <w:rFonts w:cstheme="minorHAnsi"/>
          <w:sz w:val="28"/>
          <w:szCs w:val="28"/>
          <w:shd w:val="clear" w:color="auto" w:fill="FFFFFF"/>
          <w:lang w:val="en-US"/>
        </w:rPr>
      </w:pPr>
      <w:r w:rsidRPr="005E1103">
        <w:rPr>
          <w:rFonts w:cstheme="minorHAnsi"/>
          <w:sz w:val="28"/>
          <w:szCs w:val="28"/>
          <w:shd w:val="clear" w:color="auto" w:fill="FFFFFF"/>
          <w:lang w:val="en-US"/>
        </w:rPr>
        <w:lastRenderedPageBreak/>
        <w:t xml:space="preserve">Booth, Alan. &amp; Dunn, Judith. (2009), </w:t>
      </w:r>
      <w:r w:rsidRPr="005E1103">
        <w:rPr>
          <w:rFonts w:cstheme="minorHAnsi"/>
          <w:i/>
          <w:sz w:val="28"/>
          <w:szCs w:val="28"/>
          <w:shd w:val="clear" w:color="auto" w:fill="FFFFFF"/>
          <w:lang w:val="en-US"/>
        </w:rPr>
        <w:t xml:space="preserve">Family-School Links. How Do They Affect. Educational </w:t>
      </w:r>
      <w:r w:rsidR="00E17A21" w:rsidRPr="005E1103">
        <w:rPr>
          <w:rFonts w:cstheme="minorHAnsi"/>
          <w:i/>
          <w:sz w:val="28"/>
          <w:szCs w:val="28"/>
          <w:shd w:val="clear" w:color="auto" w:fill="FFFFFF"/>
          <w:lang w:val="en-US"/>
        </w:rPr>
        <w:t>Outcomes?</w:t>
      </w:r>
      <w:r w:rsidRPr="005E1103">
        <w:rPr>
          <w:rFonts w:cstheme="minorHAnsi"/>
          <w:sz w:val="28"/>
          <w:szCs w:val="28"/>
          <w:shd w:val="clear" w:color="auto" w:fill="FFFFFF"/>
          <w:lang w:val="en-US"/>
        </w:rPr>
        <w:t xml:space="preserve"> Pennsylvania State University. United State, New Yersey. ISBN 0-8058-1840-5</w:t>
      </w:r>
    </w:p>
    <w:p w:rsidR="00C71AF3" w:rsidRPr="005E1103" w:rsidRDefault="00C71AF3" w:rsidP="00C71AF3">
      <w:pPr>
        <w:spacing w:line="360" w:lineRule="auto"/>
        <w:ind w:left="567" w:hanging="567"/>
        <w:jc w:val="both"/>
        <w:rPr>
          <w:rFonts w:cstheme="minorHAnsi"/>
          <w:sz w:val="28"/>
          <w:szCs w:val="28"/>
          <w:shd w:val="clear" w:color="auto" w:fill="FFFFFF"/>
        </w:rPr>
      </w:pPr>
      <w:r w:rsidRPr="005E1103">
        <w:rPr>
          <w:rFonts w:cstheme="minorHAnsi"/>
          <w:sz w:val="28"/>
          <w:szCs w:val="28"/>
          <w:lang w:val="en-US"/>
        </w:rPr>
        <w:t xml:space="preserve">Cabrera, Marta. </w:t>
      </w:r>
      <w:r w:rsidRPr="005E1103">
        <w:rPr>
          <w:rFonts w:cstheme="minorHAnsi"/>
          <w:sz w:val="28"/>
          <w:szCs w:val="28"/>
        </w:rPr>
        <w:t xml:space="preserve">«Discapacidad visual». </w:t>
      </w:r>
      <w:r w:rsidRPr="005E1103">
        <w:rPr>
          <w:rFonts w:cstheme="minorHAnsi"/>
          <w:i/>
          <w:sz w:val="28"/>
          <w:szCs w:val="28"/>
        </w:rPr>
        <w:t>Orienta. Revista integración e Inclusión Educativa.</w:t>
      </w:r>
      <w:r w:rsidRPr="005E1103">
        <w:rPr>
          <w:rFonts w:cstheme="minorHAnsi"/>
          <w:sz w:val="28"/>
          <w:szCs w:val="28"/>
        </w:rPr>
        <w:t xml:space="preserve"> Recuperado de: </w:t>
      </w:r>
      <w:hyperlink r:id="rId35" w:history="1">
        <w:r w:rsidRPr="005E1103">
          <w:rPr>
            <w:rStyle w:val="Hipervnculo"/>
            <w:rFonts w:cstheme="minorHAnsi"/>
            <w:sz w:val="28"/>
            <w:szCs w:val="28"/>
          </w:rPr>
          <w:t>http://docplayer.es/10449435-Discapacidad-visual-una-sutil-diferencia.html</w:t>
        </w:r>
      </w:hyperlink>
      <w:r w:rsidRPr="005E1103">
        <w:rPr>
          <w:rFonts w:cstheme="minorHAnsi"/>
          <w:sz w:val="28"/>
          <w:szCs w:val="28"/>
        </w:rPr>
        <w:t xml:space="preserve"> (2011), págs. 14.</w:t>
      </w:r>
    </w:p>
    <w:p w:rsidR="00C71AF3" w:rsidRPr="005E1103" w:rsidRDefault="00C71AF3" w:rsidP="00C71AF3">
      <w:pPr>
        <w:spacing w:line="360" w:lineRule="auto"/>
        <w:ind w:left="567" w:hanging="567"/>
        <w:jc w:val="both"/>
        <w:rPr>
          <w:rFonts w:cstheme="minorHAnsi"/>
          <w:sz w:val="28"/>
          <w:szCs w:val="28"/>
          <w:shd w:val="clear" w:color="auto" w:fill="FFFFFF"/>
          <w:lang w:val="es-ES_tradnl"/>
        </w:rPr>
      </w:pPr>
      <w:r w:rsidRPr="005E1103">
        <w:rPr>
          <w:rFonts w:cstheme="minorHAnsi"/>
          <w:sz w:val="28"/>
          <w:szCs w:val="28"/>
          <w:shd w:val="clear" w:color="auto" w:fill="FFFFFF"/>
          <w:lang w:val="es-ES_tradnl"/>
        </w:rPr>
        <w:t>Cabanillas, Gabriel. y Dotto, Antonio. «El aspecto social de la integración escolar de niños con discapacidad visual: Interacciones». Argentina:</w:t>
      </w:r>
      <w:r w:rsidRPr="005E1103">
        <w:rPr>
          <w:rFonts w:cstheme="minorHAnsi"/>
          <w:i/>
          <w:sz w:val="28"/>
          <w:szCs w:val="28"/>
          <w:shd w:val="clear" w:color="auto" w:fill="FFFFFF"/>
          <w:lang w:val="es-ES_tradnl"/>
        </w:rPr>
        <w:t xml:space="preserve"> Profesorado en Educación y Rehabilitación para Discapacitados Visuales</w:t>
      </w:r>
      <w:r w:rsidRPr="005E1103">
        <w:rPr>
          <w:rFonts w:cstheme="minorHAnsi"/>
          <w:sz w:val="28"/>
          <w:szCs w:val="28"/>
          <w:shd w:val="clear" w:color="auto" w:fill="FFFFFF"/>
          <w:lang w:val="es-ES_tradnl"/>
        </w:rPr>
        <w:t xml:space="preserve">. (2003), págs. 9. </w:t>
      </w:r>
    </w:p>
    <w:p w:rsidR="00C71AF3" w:rsidRPr="005E1103" w:rsidRDefault="00C71AF3" w:rsidP="00C71AF3">
      <w:pPr>
        <w:spacing w:line="360" w:lineRule="auto"/>
        <w:ind w:left="567" w:hanging="567"/>
        <w:jc w:val="both"/>
        <w:rPr>
          <w:rFonts w:cstheme="minorHAnsi"/>
          <w:sz w:val="28"/>
          <w:szCs w:val="28"/>
        </w:rPr>
      </w:pPr>
      <w:r w:rsidRPr="005E1103">
        <w:rPr>
          <w:rFonts w:cstheme="minorHAnsi"/>
          <w:sz w:val="28"/>
          <w:szCs w:val="28"/>
        </w:rPr>
        <w:t xml:space="preserve">Caballo, Cristina, Verdugo, Miguel Ángel, Prieto, Gerardo, Peláez, Ana María, «Un estudio comparativo de la calidad de vida en personas con deficiencia visual y personas sin discapacidad. Apoyos, autodeterminación y calidad de vida». Apoyos, autodeterminacion y calidad de vida: </w:t>
      </w:r>
      <w:r w:rsidRPr="005E1103">
        <w:rPr>
          <w:rFonts w:cstheme="minorHAnsi"/>
          <w:i/>
          <w:sz w:val="28"/>
          <w:szCs w:val="28"/>
        </w:rPr>
        <w:t>actas de las</w:t>
      </w:r>
      <w:r w:rsidRPr="005E1103">
        <w:rPr>
          <w:rFonts w:cstheme="minorHAnsi"/>
          <w:sz w:val="28"/>
          <w:szCs w:val="28"/>
        </w:rPr>
        <w:t xml:space="preserve"> </w:t>
      </w:r>
      <w:r w:rsidRPr="005E1103">
        <w:rPr>
          <w:rFonts w:cstheme="minorHAnsi"/>
          <w:i/>
          <w:sz w:val="28"/>
          <w:szCs w:val="28"/>
        </w:rPr>
        <w:t>IV Jornadas de Investigación sobre personas con discapacidad.</w:t>
      </w:r>
      <w:r w:rsidRPr="005E1103">
        <w:rPr>
          <w:rFonts w:cstheme="minorHAnsi"/>
          <w:sz w:val="28"/>
          <w:szCs w:val="28"/>
        </w:rPr>
        <w:t xml:space="preserve"> </w:t>
      </w:r>
      <w:r w:rsidRPr="005E1103">
        <w:rPr>
          <w:rFonts w:cstheme="minorHAnsi"/>
          <w:i/>
          <w:sz w:val="28"/>
          <w:szCs w:val="28"/>
        </w:rPr>
        <w:t>(Salamanca, 15-17 de mayo).</w:t>
      </w:r>
      <w:r w:rsidRPr="005E1103">
        <w:rPr>
          <w:rFonts w:cstheme="minorHAnsi"/>
          <w:sz w:val="28"/>
          <w:szCs w:val="28"/>
        </w:rPr>
        <w:t xml:space="preserve"> Amaru Ediciones, ISBN 84-8196-144-2. 2001, págs. 357-376.</w:t>
      </w:r>
    </w:p>
    <w:p w:rsidR="00C71AF3" w:rsidRPr="005E1103" w:rsidRDefault="00C71AF3" w:rsidP="00C71AF3">
      <w:pPr>
        <w:spacing w:line="360" w:lineRule="auto"/>
        <w:ind w:left="567" w:hanging="567"/>
        <w:jc w:val="both"/>
        <w:rPr>
          <w:rFonts w:cstheme="minorHAnsi"/>
          <w:sz w:val="28"/>
          <w:szCs w:val="28"/>
          <w:shd w:val="clear" w:color="auto" w:fill="FFFFFF"/>
        </w:rPr>
      </w:pPr>
      <w:r w:rsidRPr="005E1103">
        <w:rPr>
          <w:rFonts w:cstheme="minorHAnsi"/>
          <w:sz w:val="28"/>
          <w:szCs w:val="28"/>
          <w:shd w:val="clear" w:color="auto" w:fill="FFFFFF"/>
        </w:rPr>
        <w:t xml:space="preserve">Corall, Vicenta. «La familia, agente relevante de la educación». </w:t>
      </w:r>
      <w:r w:rsidRPr="005E1103">
        <w:rPr>
          <w:rFonts w:cstheme="minorHAnsi"/>
          <w:i/>
          <w:sz w:val="28"/>
          <w:szCs w:val="28"/>
          <w:shd w:val="clear" w:color="auto" w:fill="FFFFFF"/>
        </w:rPr>
        <w:t>Temas para la Educación.</w:t>
      </w:r>
      <w:r w:rsidRPr="005E1103">
        <w:rPr>
          <w:rFonts w:cstheme="minorHAnsi"/>
          <w:sz w:val="28"/>
          <w:szCs w:val="28"/>
          <w:shd w:val="clear" w:color="auto" w:fill="FFFFFF"/>
        </w:rPr>
        <w:t xml:space="preserve"> Andalucía. Recuperado de: </w:t>
      </w:r>
      <w:hyperlink r:id="rId36" w:history="1">
        <w:r w:rsidRPr="005E1103">
          <w:rPr>
            <w:rStyle w:val="Hipervnculo"/>
            <w:rFonts w:cstheme="minorHAnsi"/>
            <w:sz w:val="28"/>
            <w:szCs w:val="28"/>
            <w:shd w:val="clear" w:color="auto" w:fill="FFFFFF"/>
          </w:rPr>
          <w:t>http://www.feandalucia.ccoo.es/indcontei.aspx?d=5247&amp;s=5&amp;ind=233</w:t>
        </w:r>
      </w:hyperlink>
      <w:r w:rsidRPr="005E1103">
        <w:rPr>
          <w:rStyle w:val="Hipervnculo"/>
          <w:rFonts w:cstheme="minorHAnsi"/>
          <w:sz w:val="28"/>
          <w:szCs w:val="28"/>
          <w:shd w:val="clear" w:color="auto" w:fill="FFFFFF"/>
        </w:rPr>
        <w:t>, N.º 11. (2010), págs. 1-6.</w:t>
      </w:r>
    </w:p>
    <w:p w:rsidR="00C71AF3" w:rsidRPr="005E1103" w:rsidRDefault="00C71AF3" w:rsidP="00C71AF3">
      <w:pPr>
        <w:spacing w:line="360" w:lineRule="auto"/>
        <w:ind w:left="567" w:hanging="567"/>
        <w:jc w:val="both"/>
        <w:rPr>
          <w:rFonts w:cstheme="minorHAnsi"/>
          <w:sz w:val="28"/>
          <w:szCs w:val="28"/>
          <w:lang w:val="es-ES_tradnl"/>
        </w:rPr>
      </w:pPr>
      <w:r w:rsidRPr="005E1103">
        <w:rPr>
          <w:rFonts w:cstheme="minorHAnsi"/>
          <w:sz w:val="28"/>
          <w:szCs w:val="28"/>
        </w:rPr>
        <w:t xml:space="preserve">Córdoba, Leonor., Gómez, Juana., y Verdugo, Miguel. «Calidad de vida familiar en personas con discapacidad: un análisis comparativo». </w:t>
      </w:r>
      <w:r w:rsidRPr="005E1103">
        <w:rPr>
          <w:rFonts w:cstheme="minorHAnsi"/>
          <w:i/>
          <w:sz w:val="28"/>
          <w:szCs w:val="28"/>
          <w:lang w:val="es-ES_tradnl"/>
        </w:rPr>
        <w:t xml:space="preserve">Universitas Psychologica. </w:t>
      </w:r>
      <w:r w:rsidRPr="005E1103">
        <w:rPr>
          <w:rFonts w:cstheme="minorHAnsi"/>
          <w:sz w:val="28"/>
          <w:szCs w:val="28"/>
          <w:lang w:val="es-ES_tradnl"/>
        </w:rPr>
        <w:t xml:space="preserve">Recuperado de: </w:t>
      </w:r>
      <w:hyperlink r:id="rId37" w:history="1">
        <w:r w:rsidRPr="005E1103">
          <w:rPr>
            <w:rStyle w:val="Hipervnculo"/>
            <w:rFonts w:cstheme="minorHAnsi"/>
            <w:sz w:val="28"/>
            <w:szCs w:val="28"/>
            <w:lang w:val="es-ES_tradnl"/>
          </w:rPr>
          <w:t>http://www.scielo.org.co/pdf/rups/v7n2/v7n2a06.pdf</w:t>
        </w:r>
      </w:hyperlink>
      <w:r w:rsidRPr="005E1103">
        <w:rPr>
          <w:rFonts w:cstheme="minorHAnsi"/>
          <w:sz w:val="28"/>
          <w:szCs w:val="28"/>
          <w:lang w:val="es-ES_tradnl"/>
        </w:rPr>
        <w:t xml:space="preserve"> n.º 7, Vol.2, (2008), págs, 369-383.</w:t>
      </w:r>
    </w:p>
    <w:p w:rsidR="00C71AF3" w:rsidRPr="005E1103" w:rsidRDefault="00C71AF3" w:rsidP="00C71AF3">
      <w:pPr>
        <w:spacing w:line="360" w:lineRule="auto"/>
        <w:ind w:left="567" w:hanging="567"/>
        <w:jc w:val="both"/>
        <w:rPr>
          <w:rFonts w:cstheme="minorHAnsi"/>
          <w:sz w:val="28"/>
          <w:szCs w:val="28"/>
          <w:shd w:val="clear" w:color="auto" w:fill="FFFFFF"/>
          <w:lang w:val="en-US"/>
        </w:rPr>
      </w:pPr>
      <w:r w:rsidRPr="005E1103">
        <w:rPr>
          <w:rFonts w:cstheme="minorHAnsi"/>
          <w:sz w:val="28"/>
          <w:szCs w:val="28"/>
          <w:shd w:val="clear" w:color="auto" w:fill="FFFFFF"/>
          <w:lang w:val="en-US"/>
        </w:rPr>
        <w:t>Compton, Terrie. « "One Story, Two Perspectives: A Mother's and Daughter's Experiences in Special Education in Public Schools" ».</w:t>
      </w:r>
      <w:r w:rsidRPr="005E1103">
        <w:rPr>
          <w:rFonts w:cstheme="minorHAnsi"/>
          <w:i/>
          <w:sz w:val="28"/>
          <w:szCs w:val="28"/>
          <w:shd w:val="clear" w:color="auto" w:fill="FFFFFF"/>
          <w:lang w:val="en-US"/>
        </w:rPr>
        <w:t xml:space="preserve"> Electronic Theses &amp; Dissertations. Georgia </w:t>
      </w:r>
      <w:r w:rsidRPr="005E1103">
        <w:rPr>
          <w:rFonts w:cstheme="minorHAnsi"/>
          <w:i/>
          <w:sz w:val="28"/>
          <w:szCs w:val="28"/>
          <w:shd w:val="clear" w:color="auto" w:fill="FFFFFF"/>
          <w:lang w:val="en-US"/>
        </w:rPr>
        <w:lastRenderedPageBreak/>
        <w:t xml:space="preserve">Southern University. </w:t>
      </w:r>
      <w:r w:rsidRPr="005E1103">
        <w:rPr>
          <w:rFonts w:cstheme="minorHAnsi"/>
          <w:sz w:val="28"/>
          <w:szCs w:val="28"/>
          <w:shd w:val="clear" w:color="auto" w:fill="FFFFFF"/>
          <w:lang w:val="en-US"/>
        </w:rPr>
        <w:t xml:space="preserve">Recuperado de: </w:t>
      </w:r>
      <w:hyperlink r:id="rId38" w:history="1">
        <w:r w:rsidRPr="005E1103">
          <w:rPr>
            <w:rStyle w:val="Hipervnculo"/>
            <w:rFonts w:cstheme="minorHAnsi"/>
            <w:sz w:val="28"/>
            <w:szCs w:val="28"/>
            <w:shd w:val="clear" w:color="auto" w:fill="FFFFFF"/>
            <w:lang w:val="en-US"/>
          </w:rPr>
          <w:t>http://digitalcommons.georgiasouthern.edu/etd/572</w:t>
        </w:r>
      </w:hyperlink>
      <w:r w:rsidRPr="005E1103">
        <w:rPr>
          <w:rFonts w:cstheme="minorHAnsi"/>
          <w:sz w:val="28"/>
          <w:szCs w:val="28"/>
          <w:shd w:val="clear" w:color="auto" w:fill="FFFFFF"/>
          <w:lang w:val="en-US"/>
        </w:rPr>
        <w:t xml:space="preserve"> (2012), págs 572. </w:t>
      </w:r>
    </w:p>
    <w:p w:rsidR="00C71AF3" w:rsidRPr="005E1103" w:rsidRDefault="00C71AF3" w:rsidP="00C71AF3">
      <w:pPr>
        <w:spacing w:line="360" w:lineRule="auto"/>
        <w:ind w:left="567" w:hanging="567"/>
        <w:jc w:val="both"/>
        <w:rPr>
          <w:rFonts w:cstheme="minorHAnsi"/>
          <w:sz w:val="28"/>
          <w:szCs w:val="28"/>
          <w:shd w:val="clear" w:color="auto" w:fill="FFFFFF"/>
          <w:lang w:val="en-US"/>
        </w:rPr>
      </w:pPr>
      <w:r w:rsidRPr="005E1103">
        <w:rPr>
          <w:rFonts w:cstheme="minorHAnsi"/>
          <w:sz w:val="28"/>
          <w:szCs w:val="28"/>
          <w:shd w:val="clear" w:color="auto" w:fill="FFFFFF"/>
          <w:lang w:val="en-US"/>
        </w:rPr>
        <w:t xml:space="preserve">Davis, Kate., &amp; Gavidia, Susana. «The impact of child, family, and professional support characteristics on the quality of life in families of young children with disabilities». </w:t>
      </w:r>
      <w:r w:rsidRPr="005E1103">
        <w:rPr>
          <w:rFonts w:cstheme="minorHAnsi"/>
          <w:i/>
          <w:sz w:val="28"/>
          <w:szCs w:val="28"/>
          <w:shd w:val="clear" w:color="auto" w:fill="FFFFFF"/>
          <w:lang w:val="en-US"/>
        </w:rPr>
        <w:t xml:space="preserve">Journal of Intellectual and Developmental </w:t>
      </w:r>
      <w:r w:rsidR="00E17A21" w:rsidRPr="005E1103">
        <w:rPr>
          <w:rFonts w:cstheme="minorHAnsi"/>
          <w:i/>
          <w:sz w:val="28"/>
          <w:szCs w:val="28"/>
          <w:shd w:val="clear" w:color="auto" w:fill="FFFFFF"/>
          <w:lang w:val="en-US"/>
        </w:rPr>
        <w:t>Disability, n. º</w:t>
      </w:r>
      <w:r w:rsidRPr="005E1103">
        <w:rPr>
          <w:rFonts w:cstheme="minorHAnsi"/>
          <w:i/>
          <w:sz w:val="28"/>
          <w:szCs w:val="28"/>
          <w:shd w:val="clear" w:color="auto" w:fill="FFFFFF"/>
          <w:lang w:val="en-US"/>
        </w:rPr>
        <w:t xml:space="preserve"> 34, Vol.</w:t>
      </w:r>
      <w:r w:rsidR="00E17A21" w:rsidRPr="005E1103">
        <w:rPr>
          <w:rFonts w:cstheme="minorHAnsi"/>
          <w:i/>
          <w:sz w:val="28"/>
          <w:szCs w:val="28"/>
          <w:shd w:val="clear" w:color="auto" w:fill="FFFFFF"/>
          <w:lang w:val="en-US"/>
        </w:rPr>
        <w:t>2,</w:t>
      </w:r>
      <w:r w:rsidR="00E17A21" w:rsidRPr="005E1103">
        <w:rPr>
          <w:rFonts w:cstheme="minorHAnsi"/>
          <w:sz w:val="28"/>
          <w:szCs w:val="28"/>
          <w:shd w:val="clear" w:color="auto" w:fill="FFFFFF"/>
          <w:lang w:val="en-US"/>
        </w:rPr>
        <w:t xml:space="preserve"> (</w:t>
      </w:r>
      <w:r w:rsidRPr="005E1103">
        <w:rPr>
          <w:rFonts w:cstheme="minorHAnsi"/>
          <w:sz w:val="28"/>
          <w:szCs w:val="28"/>
          <w:shd w:val="clear" w:color="auto" w:fill="FFFFFF"/>
          <w:lang w:val="en-US"/>
        </w:rPr>
        <w:t>2009), págs, 153-162.</w:t>
      </w:r>
    </w:p>
    <w:p w:rsidR="00C71AF3" w:rsidRPr="005E1103" w:rsidRDefault="00C71AF3" w:rsidP="00C71AF3">
      <w:pPr>
        <w:spacing w:line="360" w:lineRule="auto"/>
        <w:ind w:left="567" w:hanging="567"/>
        <w:jc w:val="both"/>
        <w:rPr>
          <w:rStyle w:val="Hipervnculo"/>
          <w:rFonts w:cstheme="minorHAnsi"/>
          <w:sz w:val="28"/>
          <w:szCs w:val="28"/>
        </w:rPr>
      </w:pPr>
      <w:r w:rsidRPr="005E1103">
        <w:rPr>
          <w:rFonts w:cstheme="minorHAnsi"/>
          <w:sz w:val="28"/>
          <w:szCs w:val="28"/>
          <w:lang w:val="es-ES_tradnl"/>
        </w:rPr>
        <w:t>Fantova, Fernando. «Trabajando con l</w:t>
      </w:r>
      <w:r w:rsidRPr="005E1103">
        <w:rPr>
          <w:rFonts w:cstheme="minorHAnsi"/>
          <w:sz w:val="28"/>
          <w:szCs w:val="28"/>
        </w:rPr>
        <w:t xml:space="preserve">as familias de las personas con discapacidad. Organismo especializado de la OEA. Instituto Interamericano del Niño». </w:t>
      </w:r>
      <w:r w:rsidRPr="005E1103">
        <w:rPr>
          <w:rFonts w:cstheme="minorHAnsi"/>
          <w:i/>
          <w:sz w:val="28"/>
          <w:szCs w:val="28"/>
        </w:rPr>
        <w:t xml:space="preserve">Siglo Cero: Revista Española sobre Discapacidad Intelectual, </w:t>
      </w:r>
      <w:r w:rsidRPr="005E1103">
        <w:rPr>
          <w:rFonts w:cstheme="minorHAnsi"/>
          <w:sz w:val="28"/>
          <w:szCs w:val="28"/>
        </w:rPr>
        <w:t xml:space="preserve">Recuperado de: </w:t>
      </w:r>
      <w:hyperlink r:id="rId39" w:history="1">
        <w:r w:rsidRPr="005E1103">
          <w:rPr>
            <w:rStyle w:val="Hipervnculo"/>
            <w:rFonts w:cstheme="minorHAnsi"/>
            <w:sz w:val="28"/>
            <w:szCs w:val="28"/>
          </w:rPr>
          <w:t>http://www.iin.oea.org/Cursos_a_distancia/Lectura13_disc..UT3.pdf</w:t>
        </w:r>
      </w:hyperlink>
      <w:r w:rsidRPr="005E1103">
        <w:rPr>
          <w:rStyle w:val="Hipervnculo"/>
          <w:rFonts w:cstheme="minorHAnsi"/>
          <w:sz w:val="28"/>
          <w:szCs w:val="28"/>
        </w:rPr>
        <w:t>, n.º 192, Vol. 31, (2000), págs, 33-50.</w:t>
      </w:r>
    </w:p>
    <w:p w:rsidR="00C71AF3" w:rsidRPr="005E1103" w:rsidRDefault="00C71AF3" w:rsidP="00C71AF3">
      <w:pPr>
        <w:spacing w:line="360" w:lineRule="auto"/>
        <w:ind w:left="567" w:hanging="567"/>
        <w:jc w:val="both"/>
        <w:rPr>
          <w:rStyle w:val="Hipervnculo"/>
          <w:rFonts w:cstheme="minorHAnsi"/>
          <w:sz w:val="28"/>
          <w:szCs w:val="28"/>
        </w:rPr>
      </w:pPr>
      <w:r w:rsidRPr="005E1103">
        <w:rPr>
          <w:rStyle w:val="Hipervnculo"/>
          <w:rFonts w:cstheme="minorHAnsi"/>
          <w:sz w:val="28"/>
          <w:szCs w:val="28"/>
        </w:rPr>
        <w:t xml:space="preserve">García, Silvia. «Evaluación subjetiva de la evaluación de la calidad de vida en pacientes con baja visión tras rehabilitación visual». (TFM). Uva. Recuperado de: </w:t>
      </w:r>
      <w:hyperlink r:id="rId40" w:history="1">
        <w:r w:rsidRPr="005E1103">
          <w:rPr>
            <w:rStyle w:val="Hipervnculo"/>
            <w:rFonts w:cstheme="minorHAnsi"/>
            <w:sz w:val="28"/>
            <w:szCs w:val="28"/>
          </w:rPr>
          <w:t>https://uvadoc.uva.es/bitstream/10324/4446/1/TFM%20silvia%2019%208%2013.pdf</w:t>
        </w:r>
      </w:hyperlink>
      <w:r w:rsidRPr="005E1103">
        <w:rPr>
          <w:rStyle w:val="Hipervnculo"/>
          <w:rFonts w:cstheme="minorHAnsi"/>
          <w:sz w:val="28"/>
          <w:szCs w:val="28"/>
        </w:rPr>
        <w:t xml:space="preserve"> (2013) págs, 47. </w:t>
      </w:r>
    </w:p>
    <w:p w:rsidR="00C71AF3" w:rsidRPr="005E1103" w:rsidRDefault="00C71AF3" w:rsidP="00C71AF3">
      <w:pPr>
        <w:spacing w:line="360" w:lineRule="auto"/>
        <w:ind w:left="567" w:hanging="567"/>
        <w:jc w:val="both"/>
        <w:rPr>
          <w:rFonts w:cstheme="minorHAnsi"/>
          <w:sz w:val="28"/>
          <w:szCs w:val="28"/>
          <w:shd w:val="clear" w:color="auto" w:fill="FFFFFF"/>
          <w:lang w:val="en-US"/>
        </w:rPr>
      </w:pPr>
      <w:r w:rsidRPr="005E1103">
        <w:rPr>
          <w:rFonts w:cstheme="minorHAnsi"/>
          <w:sz w:val="28"/>
          <w:szCs w:val="28"/>
          <w:shd w:val="clear" w:color="auto" w:fill="FFFFFF"/>
          <w:lang w:val="es-ES_tradnl"/>
        </w:rPr>
        <w:t>González, Asunción., Cagigal, Virginia., y Blas, Eva, «</w:t>
      </w:r>
      <w:r w:rsidRPr="005E1103">
        <w:rPr>
          <w:rFonts w:cstheme="minorHAnsi"/>
          <w:sz w:val="28"/>
          <w:szCs w:val="28"/>
          <w:shd w:val="clear" w:color="auto" w:fill="FFFFFF"/>
        </w:rPr>
        <w:t xml:space="preserve">La calidad de vida de las familias de personas con discapacidad intelectual. Un estudio cualitativo realizado en la Comunidad de Madrid». </w:t>
      </w:r>
      <w:r w:rsidRPr="005E1103">
        <w:rPr>
          <w:rFonts w:cstheme="minorHAnsi"/>
          <w:i/>
          <w:sz w:val="28"/>
          <w:szCs w:val="28"/>
          <w:shd w:val="clear" w:color="auto" w:fill="FFFFFF"/>
        </w:rPr>
        <w:t xml:space="preserve">Revista Española de Orientación y Psicopedagogía, </w:t>
      </w:r>
      <w:r w:rsidRPr="005E1103">
        <w:rPr>
          <w:rFonts w:cstheme="minorHAnsi"/>
          <w:sz w:val="28"/>
          <w:szCs w:val="28"/>
          <w:shd w:val="clear" w:color="auto" w:fill="FFFFFF"/>
        </w:rPr>
        <w:t>vol. 24</w:t>
      </w:r>
      <w:r w:rsidRPr="005E1103">
        <w:rPr>
          <w:rFonts w:cstheme="minorHAnsi"/>
          <w:i/>
          <w:sz w:val="28"/>
          <w:szCs w:val="28"/>
          <w:shd w:val="clear" w:color="auto" w:fill="FFFFFF"/>
        </w:rPr>
        <w:t xml:space="preserve"> </w:t>
      </w:r>
      <w:r w:rsidRPr="005E1103">
        <w:rPr>
          <w:rFonts w:cstheme="minorHAnsi"/>
          <w:sz w:val="28"/>
          <w:szCs w:val="28"/>
          <w:shd w:val="clear" w:color="auto" w:fill="FFFFFF"/>
        </w:rPr>
        <w:t>n.º 1</w:t>
      </w:r>
      <w:r w:rsidRPr="005E1103">
        <w:rPr>
          <w:rFonts w:cstheme="minorHAnsi"/>
          <w:i/>
          <w:sz w:val="28"/>
          <w:szCs w:val="28"/>
          <w:shd w:val="clear" w:color="auto" w:fill="FFFFFF"/>
        </w:rPr>
        <w:t xml:space="preserve"> </w:t>
      </w:r>
      <w:r w:rsidRPr="005E1103">
        <w:rPr>
          <w:rFonts w:cstheme="minorHAnsi"/>
          <w:sz w:val="28"/>
          <w:szCs w:val="28"/>
          <w:shd w:val="clear" w:color="auto" w:fill="FFFFFF"/>
        </w:rPr>
        <w:t xml:space="preserve">(2013) págs. </w:t>
      </w:r>
      <w:r w:rsidRPr="005E1103">
        <w:rPr>
          <w:rFonts w:cstheme="minorHAnsi"/>
          <w:sz w:val="28"/>
          <w:szCs w:val="28"/>
          <w:shd w:val="clear" w:color="auto" w:fill="FFFFFF"/>
          <w:lang w:val="en-US"/>
        </w:rPr>
        <w:t>93-109.</w:t>
      </w:r>
    </w:p>
    <w:p w:rsidR="00C71AF3" w:rsidRPr="005E1103" w:rsidRDefault="00C71AF3" w:rsidP="00C71AF3">
      <w:pPr>
        <w:spacing w:line="360" w:lineRule="auto"/>
        <w:ind w:left="567" w:hanging="567"/>
        <w:jc w:val="both"/>
        <w:rPr>
          <w:rFonts w:cstheme="minorHAnsi"/>
          <w:sz w:val="28"/>
          <w:szCs w:val="28"/>
          <w:shd w:val="clear" w:color="auto" w:fill="FFFFFF"/>
          <w:lang w:val="en-US"/>
        </w:rPr>
      </w:pPr>
      <w:r w:rsidRPr="005E1103">
        <w:rPr>
          <w:rFonts w:cstheme="minorHAnsi"/>
          <w:sz w:val="28"/>
          <w:szCs w:val="28"/>
          <w:shd w:val="clear" w:color="auto" w:fill="FFFFFF"/>
          <w:lang w:val="en-US"/>
        </w:rPr>
        <w:t xml:space="preserve">Griffith, Gemma. Maria., Hastings, Richard. P., Nash, Susie., Petalas, Michael., Oliver, Chris., Howlin, Patricia., Moss, Joanna., Petty, Jane. &amp; Tunnicliffe, Penelope. «“You Have to Sit and Explain it All, and Explain Yourself.” Mothers’ Experiences of Support Services for Their Offspring with a Rare Genetic Intellectual Disability Syndrome». </w:t>
      </w:r>
      <w:r w:rsidRPr="005E1103">
        <w:rPr>
          <w:rFonts w:cstheme="minorHAnsi"/>
          <w:i/>
          <w:sz w:val="28"/>
          <w:szCs w:val="28"/>
          <w:shd w:val="clear" w:color="auto" w:fill="FFFFFF"/>
          <w:lang w:val="en-US"/>
        </w:rPr>
        <w:t xml:space="preserve">Journal of genetic counseling, </w:t>
      </w:r>
      <w:r w:rsidRPr="005E1103">
        <w:rPr>
          <w:rFonts w:cstheme="minorHAnsi"/>
          <w:sz w:val="28"/>
          <w:szCs w:val="28"/>
          <w:shd w:val="clear" w:color="auto" w:fill="FFFFFF"/>
          <w:lang w:val="en-US"/>
        </w:rPr>
        <w:t xml:space="preserve">Consultado en: </w:t>
      </w:r>
      <w:hyperlink r:id="rId41" w:history="1">
        <w:r w:rsidRPr="005E1103">
          <w:rPr>
            <w:rStyle w:val="Hipervnculo"/>
            <w:rFonts w:cstheme="minorHAnsi"/>
            <w:sz w:val="28"/>
            <w:szCs w:val="28"/>
            <w:shd w:val="clear" w:color="auto" w:fill="FFFFFF"/>
            <w:lang w:val="en-US"/>
          </w:rPr>
          <w:t>http://link.springer.com/article/10.1007/s10897-010-9339-4</w:t>
        </w:r>
      </w:hyperlink>
      <w:r w:rsidRPr="005E1103">
        <w:rPr>
          <w:rFonts w:cstheme="minorHAnsi"/>
          <w:sz w:val="28"/>
          <w:szCs w:val="28"/>
          <w:shd w:val="clear" w:color="auto" w:fill="FFFFFF"/>
          <w:lang w:val="en-US"/>
        </w:rPr>
        <w:t xml:space="preserve"> n.º 20 vol. 2 (2011), págs. 165-177.</w:t>
      </w:r>
    </w:p>
    <w:p w:rsidR="00C71AF3" w:rsidRPr="005E1103" w:rsidRDefault="00C71AF3" w:rsidP="00C71AF3">
      <w:pPr>
        <w:spacing w:line="360" w:lineRule="auto"/>
        <w:ind w:left="567" w:hanging="567"/>
        <w:jc w:val="both"/>
        <w:rPr>
          <w:rFonts w:cstheme="minorHAnsi"/>
          <w:sz w:val="28"/>
          <w:szCs w:val="28"/>
          <w:shd w:val="clear" w:color="auto" w:fill="FFFFFF"/>
          <w:lang w:val="en-US"/>
        </w:rPr>
      </w:pPr>
      <w:r w:rsidRPr="005E1103">
        <w:rPr>
          <w:rFonts w:cstheme="minorHAnsi"/>
          <w:sz w:val="28"/>
          <w:szCs w:val="28"/>
          <w:shd w:val="clear" w:color="auto" w:fill="FFFFFF"/>
          <w:lang w:val="en-US"/>
        </w:rPr>
        <w:t xml:space="preserve">Hattie, John (2009). </w:t>
      </w:r>
      <w:r w:rsidRPr="005E1103">
        <w:rPr>
          <w:rFonts w:cstheme="minorHAnsi"/>
          <w:i/>
          <w:sz w:val="28"/>
          <w:szCs w:val="28"/>
          <w:shd w:val="clear" w:color="auto" w:fill="FFFFFF"/>
          <w:lang w:val="en-US"/>
        </w:rPr>
        <w:t>Visible learning: A synthesis of over 800 meta-analyses relating to achievement</w:t>
      </w:r>
      <w:r w:rsidRPr="005E1103">
        <w:rPr>
          <w:rFonts w:cstheme="minorHAnsi"/>
          <w:sz w:val="28"/>
          <w:szCs w:val="28"/>
          <w:shd w:val="clear" w:color="auto" w:fill="FFFFFF"/>
          <w:lang w:val="en-US"/>
        </w:rPr>
        <w:t>. Routledge. New York. ISBN. 978-0-203-88733-2</w:t>
      </w:r>
    </w:p>
    <w:p w:rsidR="00C71AF3" w:rsidRPr="005E1103" w:rsidRDefault="00C71AF3" w:rsidP="00C71AF3">
      <w:pPr>
        <w:spacing w:line="360" w:lineRule="auto"/>
        <w:ind w:left="567" w:hanging="567"/>
        <w:jc w:val="both"/>
        <w:rPr>
          <w:rFonts w:cstheme="minorHAnsi"/>
          <w:iCs/>
          <w:sz w:val="28"/>
          <w:szCs w:val="28"/>
          <w:lang w:val="en-US"/>
        </w:rPr>
      </w:pPr>
      <w:r w:rsidRPr="005E1103">
        <w:rPr>
          <w:rFonts w:cstheme="minorHAnsi"/>
          <w:sz w:val="28"/>
          <w:szCs w:val="28"/>
          <w:lang w:val="en-US"/>
        </w:rPr>
        <w:t>Kiyama, Judy, Harper, Casandra., Ramos, Delma., Aguayo, David., Page, Laura., &amp; Riester, Kathy. (Eds.). «</w:t>
      </w:r>
      <w:r w:rsidRPr="005E1103">
        <w:rPr>
          <w:rFonts w:cstheme="minorHAnsi"/>
          <w:i/>
          <w:iCs/>
          <w:sz w:val="28"/>
          <w:szCs w:val="28"/>
          <w:lang w:val="en-US"/>
        </w:rPr>
        <w:t xml:space="preserve">Parent and Family Engagement in Higher Education»: </w:t>
      </w:r>
      <w:r w:rsidRPr="005E1103">
        <w:rPr>
          <w:rFonts w:cstheme="minorHAnsi"/>
          <w:iCs/>
          <w:sz w:val="28"/>
          <w:szCs w:val="28"/>
          <w:lang w:val="en-US"/>
        </w:rPr>
        <w:t xml:space="preserve">AEHE </w:t>
      </w:r>
      <w:r w:rsidRPr="005E1103">
        <w:rPr>
          <w:rFonts w:cstheme="minorHAnsi"/>
          <w:sz w:val="28"/>
          <w:szCs w:val="28"/>
          <w:lang w:val="en-US"/>
        </w:rPr>
        <w:t xml:space="preserve">John Wiley &amp; Sons. </w:t>
      </w:r>
      <w:r w:rsidR="00E17A21" w:rsidRPr="005E1103">
        <w:rPr>
          <w:rFonts w:cstheme="minorHAnsi"/>
          <w:iCs/>
          <w:sz w:val="28"/>
          <w:szCs w:val="28"/>
          <w:lang w:val="en-US"/>
        </w:rPr>
        <w:t>n. º</w:t>
      </w:r>
      <w:r w:rsidRPr="005E1103">
        <w:rPr>
          <w:rFonts w:cstheme="minorHAnsi"/>
          <w:iCs/>
          <w:sz w:val="28"/>
          <w:szCs w:val="28"/>
          <w:lang w:val="en-US"/>
        </w:rPr>
        <w:t xml:space="preserve"> 6 vol. 41</w:t>
      </w:r>
      <w:r w:rsidRPr="005E1103">
        <w:rPr>
          <w:rFonts w:cstheme="minorHAnsi"/>
          <w:sz w:val="28"/>
          <w:szCs w:val="28"/>
          <w:lang w:val="en-US"/>
        </w:rPr>
        <w:t xml:space="preserve"> (2015).</w:t>
      </w:r>
    </w:p>
    <w:p w:rsidR="00C71AF3" w:rsidRPr="005E1103" w:rsidRDefault="00C71AF3" w:rsidP="00C71AF3">
      <w:pPr>
        <w:spacing w:line="360" w:lineRule="auto"/>
        <w:ind w:left="567" w:hanging="567"/>
        <w:jc w:val="both"/>
        <w:rPr>
          <w:rFonts w:cstheme="minorHAnsi"/>
          <w:sz w:val="28"/>
          <w:szCs w:val="28"/>
          <w:lang w:val="es-ES_tradnl"/>
        </w:rPr>
      </w:pPr>
      <w:r w:rsidRPr="005E1103">
        <w:rPr>
          <w:rFonts w:cstheme="minorHAnsi"/>
          <w:sz w:val="28"/>
          <w:szCs w:val="28"/>
          <w:lang w:val="es-ES_tradnl"/>
        </w:rPr>
        <w:t xml:space="preserve">Llanos, Martha. </w:t>
      </w:r>
      <w:r w:rsidRPr="005E1103">
        <w:rPr>
          <w:rFonts w:cstheme="minorHAnsi"/>
          <w:i/>
          <w:sz w:val="28"/>
          <w:szCs w:val="28"/>
          <w:lang w:val="es-ES_tradnl"/>
        </w:rPr>
        <w:t>«Biodanza y calidad de vida. Investigación pionera con adultos ciegos del Perú».</w:t>
      </w:r>
      <w:r w:rsidRPr="005E1103">
        <w:rPr>
          <w:rFonts w:cstheme="minorHAnsi"/>
          <w:sz w:val="28"/>
          <w:szCs w:val="28"/>
          <w:lang w:val="es-ES_tradnl"/>
        </w:rPr>
        <w:t xml:space="preserve"> 27th Congreso Mundial en Investigación en danza. CID.UNESCO. </w:t>
      </w:r>
      <w:r w:rsidRPr="005E1103">
        <w:rPr>
          <w:rFonts w:cstheme="minorHAnsi"/>
          <w:i/>
          <w:sz w:val="28"/>
          <w:szCs w:val="28"/>
          <w:lang w:val="es-ES_tradnl"/>
        </w:rPr>
        <w:t>(Málaga, 15 al 19 de julio)</w:t>
      </w:r>
      <w:r w:rsidRPr="005E1103">
        <w:rPr>
          <w:rFonts w:cstheme="minorHAnsi"/>
          <w:sz w:val="28"/>
          <w:szCs w:val="28"/>
          <w:lang w:val="es-ES_tradnl"/>
        </w:rPr>
        <w:t>. Recuperado de:</w:t>
      </w:r>
      <w:hyperlink r:id="rId42" w:history="1">
        <w:r w:rsidRPr="005E1103">
          <w:rPr>
            <w:rStyle w:val="Hipervnculo"/>
            <w:rFonts w:cstheme="minorHAnsi"/>
            <w:sz w:val="28"/>
            <w:szCs w:val="28"/>
            <w:lang w:val="es-ES_tradnl"/>
          </w:rPr>
          <w:t>https://www.academia.edu/11092130/BIODANZA_Y_CALIDAD_DE_VIDA._EXPERIENCIA_PIONERA_CON_ADULTOS_CIEGOS?auto=download</w:t>
        </w:r>
      </w:hyperlink>
      <w:r w:rsidRPr="005E1103">
        <w:rPr>
          <w:rFonts w:cstheme="minorHAnsi"/>
          <w:sz w:val="28"/>
          <w:szCs w:val="28"/>
          <w:lang w:val="es-ES_tradnl"/>
        </w:rPr>
        <w:t xml:space="preserve"> (2009), págs. 9.</w:t>
      </w:r>
    </w:p>
    <w:p w:rsidR="00C71AF3" w:rsidRPr="005E1103" w:rsidRDefault="00C71AF3" w:rsidP="00C71AF3">
      <w:pPr>
        <w:spacing w:line="360" w:lineRule="auto"/>
        <w:ind w:left="567" w:hanging="567"/>
        <w:jc w:val="both"/>
        <w:rPr>
          <w:rFonts w:cstheme="minorHAnsi"/>
          <w:sz w:val="28"/>
          <w:szCs w:val="28"/>
          <w:shd w:val="clear" w:color="auto" w:fill="FFFFFF"/>
          <w:lang w:val="es-ES_tradnl"/>
        </w:rPr>
      </w:pPr>
      <w:r w:rsidRPr="005E1103">
        <w:rPr>
          <w:rFonts w:cstheme="minorHAnsi"/>
          <w:sz w:val="28"/>
          <w:szCs w:val="28"/>
          <w:shd w:val="clear" w:color="auto" w:fill="FFFFFF"/>
          <w:lang w:val="es-ES_tradnl"/>
        </w:rPr>
        <w:t xml:space="preserve">Mayo, Mª Emma, «La familia ante la discapacidad visual de un hijo: reacciones, afrontamiento y clima». </w:t>
      </w:r>
      <w:r w:rsidRPr="005E1103">
        <w:rPr>
          <w:rFonts w:cstheme="minorHAnsi"/>
          <w:sz w:val="28"/>
          <w:szCs w:val="28"/>
          <w:shd w:val="clear" w:color="auto" w:fill="FFFFFF"/>
        </w:rPr>
        <w:t xml:space="preserve">(Tesis Doctoral). </w:t>
      </w:r>
      <w:r w:rsidRPr="005E1103">
        <w:rPr>
          <w:rFonts w:cstheme="minorHAnsi"/>
          <w:i/>
          <w:sz w:val="28"/>
          <w:szCs w:val="28"/>
          <w:shd w:val="clear" w:color="auto" w:fill="FFFFFF"/>
        </w:rPr>
        <w:t>USC.</w:t>
      </w:r>
      <w:r w:rsidRPr="005E1103">
        <w:rPr>
          <w:rFonts w:cstheme="minorHAnsi"/>
          <w:sz w:val="28"/>
          <w:szCs w:val="28"/>
          <w:shd w:val="clear" w:color="auto" w:fill="FFFFFF"/>
        </w:rPr>
        <w:t xml:space="preserve"> Recuperado de </w:t>
      </w:r>
      <w:hyperlink r:id="rId43" w:history="1">
        <w:r w:rsidRPr="005E1103">
          <w:rPr>
            <w:rStyle w:val="Hipervnculo"/>
            <w:rFonts w:cstheme="minorHAnsi"/>
            <w:sz w:val="28"/>
            <w:szCs w:val="28"/>
            <w:shd w:val="clear" w:color="auto" w:fill="FFFFFF"/>
          </w:rPr>
          <w:t>http://www.siis.net/documentos/ficha/198963.pdf</w:t>
        </w:r>
      </w:hyperlink>
      <w:r w:rsidRPr="005E1103">
        <w:rPr>
          <w:rStyle w:val="Hipervnculo"/>
          <w:rFonts w:cstheme="minorHAnsi"/>
          <w:sz w:val="28"/>
          <w:szCs w:val="28"/>
          <w:shd w:val="clear" w:color="auto" w:fill="FFFFFF"/>
        </w:rPr>
        <w:t xml:space="preserve"> (2010), págs. 337. </w:t>
      </w:r>
    </w:p>
    <w:p w:rsidR="00C71AF3" w:rsidRPr="005E1103" w:rsidRDefault="00C71AF3" w:rsidP="00C71AF3">
      <w:pPr>
        <w:spacing w:line="360" w:lineRule="auto"/>
        <w:ind w:left="567" w:hanging="567"/>
        <w:jc w:val="both"/>
        <w:rPr>
          <w:rStyle w:val="Hipervnculo"/>
          <w:rFonts w:cstheme="minorHAnsi"/>
          <w:sz w:val="28"/>
          <w:szCs w:val="28"/>
          <w:shd w:val="clear" w:color="auto" w:fill="FFFFFF"/>
        </w:rPr>
      </w:pPr>
      <w:r w:rsidRPr="005E1103">
        <w:rPr>
          <w:rFonts w:cstheme="minorHAnsi"/>
          <w:sz w:val="28"/>
          <w:szCs w:val="28"/>
          <w:shd w:val="clear" w:color="auto" w:fill="FFFFFF"/>
        </w:rPr>
        <w:t xml:space="preserve">Ministerio de Educación, Cultura y Deporte. (2012). </w:t>
      </w:r>
      <w:r w:rsidRPr="005E1103">
        <w:rPr>
          <w:rFonts w:cstheme="minorHAnsi"/>
          <w:i/>
          <w:sz w:val="28"/>
          <w:szCs w:val="28"/>
          <w:shd w:val="clear" w:color="auto" w:fill="FFFFFF"/>
        </w:rPr>
        <w:t xml:space="preserve">Familias y síndrome de Down. Apoyos y marcos de colaboración. </w:t>
      </w:r>
      <w:r w:rsidRPr="005E1103">
        <w:rPr>
          <w:rFonts w:cstheme="minorHAnsi"/>
          <w:sz w:val="28"/>
          <w:szCs w:val="28"/>
          <w:shd w:val="clear" w:color="auto" w:fill="FFFFFF"/>
        </w:rPr>
        <w:t xml:space="preserve">MECD. pp. 32. Consultado en: </w:t>
      </w:r>
      <w:hyperlink r:id="rId44" w:history="1">
        <w:r w:rsidRPr="005E1103">
          <w:rPr>
            <w:rStyle w:val="Hipervnculo"/>
            <w:rFonts w:cstheme="minorHAnsi"/>
            <w:sz w:val="28"/>
            <w:szCs w:val="28"/>
            <w:shd w:val="clear" w:color="auto" w:fill="FFFFFF"/>
          </w:rPr>
          <w:t>http://www.sindromedown.net/wp-content/uploads/2014/09/146L_14.pdf</w:t>
        </w:r>
      </w:hyperlink>
    </w:p>
    <w:p w:rsidR="00C71AF3" w:rsidRPr="005E1103" w:rsidRDefault="00C71AF3" w:rsidP="00C71AF3">
      <w:pPr>
        <w:spacing w:line="360" w:lineRule="auto"/>
        <w:ind w:left="567" w:hanging="567"/>
        <w:jc w:val="both"/>
        <w:rPr>
          <w:rFonts w:cstheme="minorHAnsi"/>
          <w:sz w:val="28"/>
          <w:szCs w:val="28"/>
          <w:shd w:val="clear" w:color="auto" w:fill="FFFFFF"/>
        </w:rPr>
      </w:pPr>
      <w:r w:rsidRPr="005E1103">
        <w:rPr>
          <w:rFonts w:cstheme="minorHAnsi"/>
          <w:sz w:val="28"/>
          <w:szCs w:val="28"/>
          <w:shd w:val="clear" w:color="auto" w:fill="FFFFFF"/>
        </w:rPr>
        <w:t xml:space="preserve">Múñoz, César Andres, «La Educación especial en la escuela rural: Papalotla de Xicohténcalt», (Tesis de maestría). </w:t>
      </w:r>
      <w:r w:rsidRPr="005E1103">
        <w:rPr>
          <w:rFonts w:cstheme="minorHAnsi"/>
          <w:i/>
          <w:sz w:val="28"/>
          <w:szCs w:val="28"/>
          <w:shd w:val="clear" w:color="auto" w:fill="FFFFFF"/>
        </w:rPr>
        <w:t xml:space="preserve">Tlaxcala. </w:t>
      </w:r>
      <w:r w:rsidRPr="005E1103">
        <w:rPr>
          <w:rFonts w:cstheme="minorHAnsi"/>
          <w:sz w:val="28"/>
          <w:szCs w:val="28"/>
          <w:shd w:val="clear" w:color="auto" w:fill="FFFFFF"/>
        </w:rPr>
        <w:t>México. Consultado en: http://www.biblio.colpos.mx: 8080/jspui/handle/10521/2323 (2014), págs. 143.</w:t>
      </w:r>
    </w:p>
    <w:p w:rsidR="00C71AF3" w:rsidRPr="005E1103" w:rsidRDefault="00C71AF3" w:rsidP="00C71AF3">
      <w:pPr>
        <w:spacing w:line="360" w:lineRule="auto"/>
        <w:ind w:left="567" w:hanging="567"/>
        <w:jc w:val="both"/>
        <w:rPr>
          <w:rFonts w:cstheme="minorHAnsi"/>
          <w:sz w:val="28"/>
          <w:szCs w:val="28"/>
          <w:lang w:val="es-ES_tradnl"/>
        </w:rPr>
      </w:pPr>
      <w:r w:rsidRPr="005E1103">
        <w:rPr>
          <w:rFonts w:cstheme="minorHAnsi"/>
          <w:sz w:val="28"/>
          <w:szCs w:val="28"/>
        </w:rPr>
        <w:t xml:space="preserve">Parra, Joaquín, Gomariz, Mª Ángeles y Sánchez, </w:t>
      </w:r>
      <w:r w:rsidRPr="005E1103">
        <w:rPr>
          <w:rFonts w:cstheme="minorHAnsi"/>
          <w:sz w:val="28"/>
          <w:szCs w:val="28"/>
          <w:lang w:val="es-ES_tradnl"/>
        </w:rPr>
        <w:t xml:space="preserve">Mª Cristina. «El análisis del contexto familiar en la educación». </w:t>
      </w:r>
      <w:r w:rsidRPr="005E1103">
        <w:rPr>
          <w:rFonts w:cstheme="minorHAnsi"/>
          <w:i/>
          <w:iCs/>
          <w:sz w:val="28"/>
          <w:szCs w:val="28"/>
          <w:lang w:val="es-ES_tradnl"/>
        </w:rPr>
        <w:t>Revista electrónica interuniversitaria de formación del profesorado</w:t>
      </w:r>
      <w:r w:rsidRPr="005E1103">
        <w:rPr>
          <w:rFonts w:cstheme="minorHAnsi"/>
          <w:sz w:val="28"/>
          <w:szCs w:val="28"/>
          <w:lang w:val="es-ES_tradnl"/>
        </w:rPr>
        <w:t xml:space="preserve">. Consultado en: </w:t>
      </w:r>
      <w:hyperlink r:id="rId45" w:history="1">
        <w:r w:rsidRPr="005E1103">
          <w:rPr>
            <w:rStyle w:val="Hipervnculo"/>
            <w:rFonts w:cstheme="minorHAnsi"/>
            <w:sz w:val="28"/>
            <w:szCs w:val="28"/>
            <w:lang w:val="es-ES_tradnl"/>
          </w:rPr>
          <w:t>http://www.aufop.com/aufop/uploaded_files/articulos/1301588607.pdf</w:t>
        </w:r>
      </w:hyperlink>
      <w:r w:rsidRPr="005E1103">
        <w:rPr>
          <w:rStyle w:val="Hipervnculo"/>
          <w:rFonts w:cstheme="minorHAnsi"/>
          <w:sz w:val="28"/>
          <w:szCs w:val="28"/>
          <w:lang w:val="es-ES_tradnl"/>
        </w:rPr>
        <w:t xml:space="preserve"> n. º 14, Vol. 1 (2011), págs. 177-192.</w:t>
      </w:r>
    </w:p>
    <w:p w:rsidR="00C71AF3" w:rsidRPr="005E1103" w:rsidRDefault="00C71AF3" w:rsidP="00C71AF3">
      <w:pPr>
        <w:spacing w:line="360" w:lineRule="auto"/>
        <w:ind w:left="567" w:hanging="567"/>
        <w:jc w:val="both"/>
        <w:rPr>
          <w:rFonts w:cstheme="minorHAnsi"/>
          <w:sz w:val="28"/>
          <w:szCs w:val="28"/>
        </w:rPr>
      </w:pPr>
      <w:r w:rsidRPr="005E1103">
        <w:rPr>
          <w:rFonts w:cstheme="minorHAnsi"/>
          <w:sz w:val="28"/>
          <w:szCs w:val="28"/>
          <w:lang w:val="es-ES_tradnl"/>
        </w:rPr>
        <w:t xml:space="preserve">Sánchez, Pedro. «Discapacidad, familia y logro escolar». </w:t>
      </w:r>
      <w:r w:rsidRPr="005E1103">
        <w:rPr>
          <w:rFonts w:cstheme="minorHAnsi"/>
          <w:i/>
          <w:sz w:val="28"/>
          <w:szCs w:val="28"/>
          <w:lang w:val="es-ES_tradnl"/>
        </w:rPr>
        <w:t>Revista Iberoamericana de Educación.</w:t>
      </w:r>
      <w:r w:rsidRPr="005E1103">
        <w:rPr>
          <w:rFonts w:cstheme="minorHAnsi"/>
          <w:sz w:val="28"/>
          <w:szCs w:val="28"/>
          <w:lang w:val="es-ES_tradnl"/>
        </w:rPr>
        <w:t xml:space="preserve"> Universidad Autónoma de Yucatán, México. </w:t>
      </w:r>
      <w:r w:rsidRPr="005E1103">
        <w:rPr>
          <w:rFonts w:cstheme="minorHAnsi"/>
          <w:sz w:val="28"/>
          <w:szCs w:val="28"/>
        </w:rPr>
        <w:t>40, (2014), págs 1-10. ISSN 1681-5653</w:t>
      </w:r>
    </w:p>
    <w:p w:rsidR="00C71AF3" w:rsidRPr="005E1103" w:rsidRDefault="00C71AF3" w:rsidP="00C71AF3">
      <w:pPr>
        <w:spacing w:line="360" w:lineRule="auto"/>
        <w:ind w:left="567" w:hanging="567"/>
        <w:jc w:val="both"/>
        <w:rPr>
          <w:rFonts w:cstheme="minorHAnsi"/>
          <w:sz w:val="28"/>
          <w:szCs w:val="28"/>
          <w:shd w:val="clear" w:color="auto" w:fill="FFFFFF"/>
        </w:rPr>
      </w:pPr>
      <w:r w:rsidRPr="005E1103">
        <w:rPr>
          <w:rFonts w:cstheme="minorHAnsi"/>
          <w:sz w:val="28"/>
          <w:szCs w:val="28"/>
          <w:shd w:val="clear" w:color="auto" w:fill="FFFFFF"/>
        </w:rPr>
        <w:t xml:space="preserve">Torres, Laura Evilia. «Rendimiento académico, familia y equidad de género». </w:t>
      </w:r>
      <w:r w:rsidRPr="005E1103">
        <w:rPr>
          <w:rFonts w:cstheme="minorHAnsi"/>
          <w:i/>
          <w:sz w:val="28"/>
          <w:szCs w:val="28"/>
          <w:shd w:val="clear" w:color="auto" w:fill="FFFFFF"/>
        </w:rPr>
        <w:t xml:space="preserve">Ciencia y sociedad. </w:t>
      </w:r>
      <w:r w:rsidRPr="005E1103">
        <w:rPr>
          <w:rFonts w:cstheme="minorHAnsi"/>
          <w:sz w:val="28"/>
          <w:szCs w:val="28"/>
          <w:shd w:val="clear" w:color="auto" w:fill="FFFFFF"/>
        </w:rPr>
        <w:t xml:space="preserve">ISSN. 0378-7680, </w:t>
      </w:r>
      <w:r w:rsidR="00E17A21" w:rsidRPr="005E1103">
        <w:rPr>
          <w:rFonts w:cstheme="minorHAnsi"/>
          <w:sz w:val="28"/>
          <w:szCs w:val="28"/>
          <w:shd w:val="clear" w:color="auto" w:fill="FFFFFF"/>
        </w:rPr>
        <w:t>n. º36, Vol.</w:t>
      </w:r>
      <w:r w:rsidRPr="005E1103">
        <w:rPr>
          <w:rFonts w:cstheme="minorHAnsi"/>
          <w:sz w:val="28"/>
          <w:szCs w:val="28"/>
          <w:shd w:val="clear" w:color="auto" w:fill="FFFFFF"/>
        </w:rPr>
        <w:t xml:space="preserve"> 1. (2011), págs. 46-64.</w:t>
      </w:r>
    </w:p>
    <w:p w:rsidR="00C71AF3" w:rsidRPr="005E1103" w:rsidRDefault="00C71AF3" w:rsidP="00C71AF3">
      <w:pPr>
        <w:spacing w:line="360" w:lineRule="auto"/>
        <w:ind w:left="567" w:hanging="567"/>
        <w:jc w:val="both"/>
        <w:rPr>
          <w:rFonts w:cstheme="minorHAnsi"/>
          <w:sz w:val="28"/>
          <w:szCs w:val="28"/>
        </w:rPr>
      </w:pPr>
      <w:r w:rsidRPr="005E1103">
        <w:rPr>
          <w:rFonts w:cstheme="minorHAnsi"/>
          <w:sz w:val="28"/>
          <w:szCs w:val="28"/>
        </w:rPr>
        <w:t xml:space="preserve">Verdugo, Miguel Ángel., Caballo. Cristina., y Peláez, Ana. «Calidad de Vida en personas con deficiencia Visual». En: Varios: </w:t>
      </w:r>
      <w:r w:rsidRPr="005E1103">
        <w:rPr>
          <w:rFonts w:cstheme="minorHAnsi"/>
          <w:i/>
          <w:sz w:val="28"/>
          <w:szCs w:val="28"/>
        </w:rPr>
        <w:t>III Jornadas Científicas de Investigación sobre Personas con Discapacidad</w:t>
      </w:r>
      <w:r w:rsidRPr="005E1103">
        <w:rPr>
          <w:rFonts w:cstheme="minorHAnsi"/>
          <w:sz w:val="28"/>
          <w:szCs w:val="28"/>
        </w:rPr>
        <w:t xml:space="preserve">. </w:t>
      </w:r>
      <w:r w:rsidRPr="005E1103">
        <w:rPr>
          <w:rFonts w:cstheme="minorHAnsi"/>
          <w:i/>
          <w:sz w:val="28"/>
          <w:szCs w:val="28"/>
        </w:rPr>
        <w:t>(Salamanca 17, 18 y 19 de marzo)</w:t>
      </w:r>
      <w:r w:rsidRPr="005E1103">
        <w:rPr>
          <w:rFonts w:cstheme="minorHAnsi"/>
          <w:sz w:val="28"/>
          <w:szCs w:val="28"/>
        </w:rPr>
        <w:t>. Amaru Ediciones, 1999, págs.481-496.</w:t>
      </w:r>
    </w:p>
    <w:p w:rsidR="00C71AF3" w:rsidRPr="005E1103" w:rsidRDefault="00C71AF3" w:rsidP="00C71AF3">
      <w:pPr>
        <w:spacing w:line="360" w:lineRule="auto"/>
        <w:ind w:left="567" w:hanging="567"/>
        <w:jc w:val="both"/>
        <w:rPr>
          <w:rFonts w:cstheme="minorHAnsi"/>
          <w:sz w:val="28"/>
          <w:szCs w:val="28"/>
          <w:shd w:val="clear" w:color="auto" w:fill="FFFFFF"/>
        </w:rPr>
      </w:pPr>
      <w:r w:rsidRPr="005E1103">
        <w:rPr>
          <w:rFonts w:cstheme="minorHAnsi"/>
          <w:sz w:val="28"/>
          <w:szCs w:val="28"/>
          <w:shd w:val="clear" w:color="auto" w:fill="FFFFFF"/>
        </w:rPr>
        <w:t xml:space="preserve">Verdugo, Miguel Ángel. y Rodríguez, Alba. (2009). </w:t>
      </w:r>
      <w:r w:rsidRPr="005E1103">
        <w:rPr>
          <w:rFonts w:cstheme="minorHAnsi"/>
          <w:i/>
          <w:sz w:val="28"/>
          <w:szCs w:val="28"/>
          <w:shd w:val="clear" w:color="auto" w:fill="FFFFFF"/>
        </w:rPr>
        <w:t xml:space="preserve">Guía F. Guía de intervención y apoyo a familias de personas con discapacidad. Consejería para la igualdad y el bienestar. </w:t>
      </w:r>
      <w:r w:rsidRPr="005E1103">
        <w:rPr>
          <w:rFonts w:cstheme="minorHAnsi"/>
          <w:sz w:val="28"/>
          <w:szCs w:val="28"/>
          <w:shd w:val="clear" w:color="auto" w:fill="FFFFFF"/>
        </w:rPr>
        <w:t>Junta de Andalucía. Trama Gestión, págs., 168.</w:t>
      </w:r>
    </w:p>
    <w:p w:rsidR="00C71AF3" w:rsidRPr="005E1103" w:rsidRDefault="00C71AF3" w:rsidP="00C71AF3">
      <w:pPr>
        <w:spacing w:line="360" w:lineRule="auto"/>
        <w:ind w:left="567" w:hanging="567"/>
        <w:jc w:val="both"/>
        <w:rPr>
          <w:rFonts w:cstheme="minorHAnsi"/>
          <w:sz w:val="28"/>
          <w:szCs w:val="28"/>
          <w:shd w:val="clear" w:color="auto" w:fill="FFFFFF"/>
        </w:rPr>
      </w:pPr>
      <w:r w:rsidRPr="005E1103">
        <w:rPr>
          <w:rFonts w:cstheme="minorHAnsi"/>
          <w:sz w:val="28"/>
          <w:szCs w:val="28"/>
          <w:shd w:val="clear" w:color="auto" w:fill="FFFFFF"/>
          <w:lang w:val="es-ES_tradnl"/>
        </w:rPr>
        <w:t xml:space="preserve">Ventorini, Silvia Elena (2009). </w:t>
      </w:r>
      <w:r w:rsidRPr="005E1103">
        <w:rPr>
          <w:rFonts w:cstheme="minorHAnsi"/>
          <w:i/>
          <w:sz w:val="28"/>
          <w:szCs w:val="28"/>
          <w:shd w:val="clear" w:color="auto" w:fill="FFFFFF"/>
          <w:lang w:val="es-ES_tradnl"/>
        </w:rPr>
        <w:t>A experiência como fator determinante na representação espacial da pessoa com deficiência visual</w:t>
      </w:r>
      <w:r w:rsidRPr="005E1103">
        <w:rPr>
          <w:rFonts w:cstheme="minorHAnsi"/>
          <w:sz w:val="28"/>
          <w:szCs w:val="28"/>
          <w:shd w:val="clear" w:color="auto" w:fill="FFFFFF"/>
          <w:lang w:val="es-ES_tradnl"/>
        </w:rPr>
        <w:t>.</w:t>
      </w:r>
      <w:r w:rsidRPr="005E1103">
        <w:rPr>
          <w:rFonts w:cstheme="minorHAnsi"/>
          <w:i/>
          <w:sz w:val="28"/>
          <w:szCs w:val="28"/>
          <w:shd w:val="clear" w:color="auto" w:fill="FFFFFF"/>
          <w:lang w:val="es-ES_tradnl"/>
        </w:rPr>
        <w:t xml:space="preserve"> </w:t>
      </w:r>
      <w:r w:rsidRPr="005E1103">
        <w:rPr>
          <w:rFonts w:cstheme="minorHAnsi"/>
          <w:sz w:val="28"/>
          <w:szCs w:val="28"/>
          <w:shd w:val="clear" w:color="auto" w:fill="FFFFFF"/>
        </w:rPr>
        <w:t xml:space="preserve">(online). </w:t>
      </w:r>
      <w:r w:rsidRPr="005E1103">
        <w:rPr>
          <w:rFonts w:cstheme="minorHAnsi"/>
          <w:i/>
          <w:sz w:val="28"/>
          <w:szCs w:val="28"/>
          <w:shd w:val="clear" w:color="auto" w:fill="FFFFFF"/>
        </w:rPr>
        <w:t>SciELO-Ed. UNESP.</w:t>
      </w:r>
      <w:r w:rsidRPr="005E1103">
        <w:rPr>
          <w:rFonts w:cstheme="minorHAnsi"/>
          <w:sz w:val="28"/>
          <w:szCs w:val="28"/>
          <w:shd w:val="clear" w:color="auto" w:fill="FFFFFF"/>
        </w:rPr>
        <w:t xml:space="preserve"> ISBN. 978-85-393-0436-3, págs., 112. </w:t>
      </w:r>
    </w:p>
    <w:p w:rsidR="00C71AF3" w:rsidRPr="005E1103" w:rsidRDefault="00C71AF3" w:rsidP="00C71AF3">
      <w:pPr>
        <w:spacing w:line="360" w:lineRule="auto"/>
        <w:ind w:left="397" w:hanging="397"/>
        <w:jc w:val="both"/>
        <w:rPr>
          <w:rFonts w:cstheme="minorHAnsi"/>
          <w:sz w:val="28"/>
          <w:szCs w:val="28"/>
          <w:shd w:val="clear" w:color="auto" w:fill="FFFFFF"/>
        </w:rPr>
      </w:pPr>
      <w:r w:rsidRPr="005E1103">
        <w:rPr>
          <w:rFonts w:cstheme="minorHAnsi"/>
          <w:sz w:val="28"/>
          <w:szCs w:val="28"/>
          <w:shd w:val="clear" w:color="auto" w:fill="FFFFFF"/>
        </w:rPr>
        <w:t xml:space="preserve">Vera, Oscarline Victor Félix, «La aplicación de los valores humanos inciden en el comportamiento escolar». </w:t>
      </w:r>
      <w:r w:rsidRPr="005E1103">
        <w:rPr>
          <w:rFonts w:cstheme="minorHAnsi"/>
          <w:i/>
          <w:sz w:val="28"/>
          <w:szCs w:val="28"/>
          <w:shd w:val="clear" w:color="auto" w:fill="FFFFFF"/>
        </w:rPr>
        <w:t>(Tesis Doctoral).</w:t>
      </w:r>
      <w:r w:rsidRPr="005E1103">
        <w:rPr>
          <w:rFonts w:cstheme="minorHAnsi"/>
          <w:sz w:val="28"/>
          <w:szCs w:val="28"/>
          <w:shd w:val="clear" w:color="auto" w:fill="FFFFFF"/>
        </w:rPr>
        <w:t xml:space="preserve"> Recuperado de: </w:t>
      </w:r>
      <w:hyperlink r:id="rId46" w:history="1">
        <w:r w:rsidRPr="005E1103">
          <w:rPr>
            <w:rStyle w:val="Hipervnculo"/>
            <w:rFonts w:cstheme="minorHAnsi"/>
            <w:sz w:val="28"/>
            <w:szCs w:val="28"/>
            <w:shd w:val="clear" w:color="auto" w:fill="FFFFFF"/>
          </w:rPr>
          <w:t>http://repositorio.ute.edu.ec/bitstream/123456789/2468/1/52323_1.pdf</w:t>
        </w:r>
      </w:hyperlink>
      <w:r w:rsidRPr="005E1103">
        <w:rPr>
          <w:rFonts w:cstheme="minorHAnsi"/>
          <w:sz w:val="28"/>
          <w:szCs w:val="28"/>
          <w:shd w:val="clear" w:color="auto" w:fill="FFFFFF"/>
        </w:rPr>
        <w:t xml:space="preserve"> Quito, (2011), págs., 127.</w:t>
      </w:r>
    </w:p>
    <w:p w:rsidR="00C71AF3" w:rsidRPr="005E1103" w:rsidRDefault="00C71AF3">
      <w:pPr>
        <w:rPr>
          <w:rFonts w:cstheme="minorHAnsi"/>
          <w:sz w:val="28"/>
          <w:szCs w:val="28"/>
          <w:shd w:val="clear" w:color="auto" w:fill="FFFFFF"/>
        </w:rPr>
      </w:pPr>
      <w:r w:rsidRPr="005E1103">
        <w:rPr>
          <w:rFonts w:cstheme="minorHAnsi"/>
          <w:sz w:val="28"/>
          <w:szCs w:val="28"/>
          <w:shd w:val="clear" w:color="auto" w:fill="FFFFFF"/>
        </w:rPr>
        <w:br w:type="page"/>
      </w:r>
    </w:p>
    <w:p w:rsidR="00C71AF3" w:rsidRPr="005E1103" w:rsidRDefault="00C71AF3" w:rsidP="00C71AF3">
      <w:pPr>
        <w:spacing w:line="360" w:lineRule="auto"/>
        <w:jc w:val="center"/>
        <w:rPr>
          <w:rFonts w:cstheme="minorHAnsi"/>
          <w:b/>
          <w:sz w:val="28"/>
          <w:szCs w:val="28"/>
        </w:rPr>
      </w:pPr>
      <w:r w:rsidRPr="005E1103">
        <w:rPr>
          <w:rFonts w:cstheme="minorHAnsi"/>
          <w:b/>
          <w:sz w:val="28"/>
          <w:szCs w:val="28"/>
        </w:rPr>
        <w:lastRenderedPageBreak/>
        <w:t>COMUNICACIÓN 9</w:t>
      </w:r>
    </w:p>
    <w:p w:rsidR="00C71AF3" w:rsidRPr="006A7F21" w:rsidRDefault="00C71AF3" w:rsidP="00C71AF3">
      <w:pPr>
        <w:pStyle w:val="NormalWeb"/>
        <w:pBdr>
          <w:top w:val="single" w:sz="4" w:space="1" w:color="auto"/>
          <w:left w:val="single" w:sz="4" w:space="4" w:color="auto"/>
          <w:bottom w:val="single" w:sz="4" w:space="1" w:color="auto"/>
          <w:right w:val="single" w:sz="4" w:space="4" w:color="auto"/>
        </w:pBdr>
        <w:spacing w:before="0" w:beforeAutospacing="0" w:after="120" w:afterAutospacing="0" w:line="360" w:lineRule="auto"/>
        <w:jc w:val="center"/>
        <w:rPr>
          <w:rFonts w:asciiTheme="minorHAnsi" w:hAnsiTheme="minorHAnsi" w:cstheme="minorHAnsi"/>
          <w:b/>
          <w:sz w:val="28"/>
          <w:szCs w:val="28"/>
          <w:lang w:val="es-ES_tradnl"/>
        </w:rPr>
      </w:pPr>
      <w:r w:rsidRPr="006A7F21">
        <w:rPr>
          <w:rFonts w:asciiTheme="minorHAnsi" w:hAnsiTheme="minorHAnsi" w:cstheme="minorHAnsi"/>
          <w:b/>
          <w:sz w:val="28"/>
          <w:szCs w:val="28"/>
          <w:lang w:val="es-ES_tradnl"/>
        </w:rPr>
        <w:t xml:space="preserve">TDH Y UNIVERSIDAD, ABRIENDO CAMINOS </w:t>
      </w:r>
    </w:p>
    <w:p w:rsidR="00C71AF3" w:rsidRPr="005E1103" w:rsidRDefault="00C71AF3" w:rsidP="00C71AF3">
      <w:pPr>
        <w:spacing w:line="360" w:lineRule="auto"/>
        <w:jc w:val="center"/>
        <w:rPr>
          <w:rFonts w:cstheme="minorHAnsi"/>
          <w:b/>
          <w:sz w:val="28"/>
          <w:szCs w:val="28"/>
        </w:rPr>
      </w:pPr>
    </w:p>
    <w:p w:rsidR="00C71AF3" w:rsidRPr="005E1103" w:rsidRDefault="00C71AF3" w:rsidP="00C71AF3">
      <w:pPr>
        <w:spacing w:after="120" w:line="360" w:lineRule="auto"/>
        <w:jc w:val="right"/>
        <w:outlineLvl w:val="0"/>
        <w:rPr>
          <w:rFonts w:cstheme="minorHAnsi"/>
          <w:sz w:val="28"/>
          <w:szCs w:val="28"/>
        </w:rPr>
      </w:pPr>
      <w:r w:rsidRPr="005E1103">
        <w:rPr>
          <w:rFonts w:cstheme="minorHAnsi"/>
          <w:sz w:val="28"/>
          <w:szCs w:val="28"/>
        </w:rPr>
        <w:t>Mª Ángeles Martínez Martín</w:t>
      </w:r>
    </w:p>
    <w:p w:rsidR="00C71AF3" w:rsidRPr="005E1103" w:rsidRDefault="00C71AF3" w:rsidP="00C71AF3">
      <w:pPr>
        <w:spacing w:after="120" w:line="360" w:lineRule="auto"/>
        <w:jc w:val="right"/>
        <w:outlineLvl w:val="0"/>
        <w:rPr>
          <w:rFonts w:cstheme="minorHAnsi"/>
          <w:i/>
          <w:sz w:val="28"/>
          <w:szCs w:val="28"/>
        </w:rPr>
      </w:pPr>
      <w:r w:rsidRPr="005E1103">
        <w:rPr>
          <w:rFonts w:cstheme="minorHAnsi"/>
          <w:i/>
          <w:sz w:val="28"/>
          <w:szCs w:val="28"/>
        </w:rPr>
        <w:t xml:space="preserve">Profesora del Área de Personalidad, Evaluación y Tratamiento Psicológico </w:t>
      </w:r>
    </w:p>
    <w:p w:rsidR="00C71AF3" w:rsidRPr="005E1103" w:rsidRDefault="00C71AF3" w:rsidP="00C71AF3">
      <w:pPr>
        <w:spacing w:after="120" w:line="360" w:lineRule="auto"/>
        <w:jc w:val="right"/>
        <w:outlineLvl w:val="0"/>
        <w:rPr>
          <w:rFonts w:cstheme="minorHAnsi"/>
          <w:sz w:val="28"/>
          <w:szCs w:val="28"/>
        </w:rPr>
      </w:pPr>
      <w:r w:rsidRPr="005E1103">
        <w:rPr>
          <w:rFonts w:cstheme="minorHAnsi"/>
          <w:sz w:val="28"/>
          <w:szCs w:val="28"/>
        </w:rPr>
        <w:t>Mª Natividad de Juan Barriuso</w:t>
      </w:r>
    </w:p>
    <w:p w:rsidR="00C71AF3" w:rsidRPr="005E1103" w:rsidRDefault="00C71AF3" w:rsidP="00C71AF3">
      <w:pPr>
        <w:spacing w:after="120" w:line="360" w:lineRule="auto"/>
        <w:jc w:val="right"/>
        <w:outlineLvl w:val="0"/>
        <w:rPr>
          <w:rFonts w:cstheme="minorHAnsi"/>
          <w:i/>
          <w:sz w:val="28"/>
          <w:szCs w:val="28"/>
        </w:rPr>
      </w:pPr>
      <w:r w:rsidRPr="005E1103">
        <w:rPr>
          <w:rFonts w:cstheme="minorHAnsi"/>
          <w:i/>
          <w:sz w:val="28"/>
          <w:szCs w:val="28"/>
        </w:rPr>
        <w:t>Técnico en la Unidad de Atención a la Diversidad</w:t>
      </w:r>
    </w:p>
    <w:p w:rsidR="00C71AF3" w:rsidRPr="005E1103" w:rsidRDefault="00C71AF3" w:rsidP="00C71AF3">
      <w:pPr>
        <w:spacing w:after="120" w:line="360" w:lineRule="auto"/>
        <w:jc w:val="right"/>
        <w:outlineLvl w:val="0"/>
        <w:rPr>
          <w:rFonts w:cstheme="minorHAnsi"/>
          <w:sz w:val="28"/>
          <w:szCs w:val="28"/>
        </w:rPr>
      </w:pPr>
      <w:r w:rsidRPr="005E1103">
        <w:rPr>
          <w:rFonts w:cstheme="minorHAnsi"/>
          <w:sz w:val="28"/>
          <w:szCs w:val="28"/>
        </w:rPr>
        <w:t>Mª Yolanda González Alonso</w:t>
      </w:r>
    </w:p>
    <w:p w:rsidR="00C71AF3" w:rsidRPr="005E1103" w:rsidRDefault="00C71AF3" w:rsidP="00C71AF3">
      <w:pPr>
        <w:spacing w:after="120" w:line="360" w:lineRule="auto"/>
        <w:jc w:val="right"/>
        <w:outlineLvl w:val="0"/>
        <w:rPr>
          <w:rFonts w:cstheme="minorHAnsi"/>
          <w:i/>
          <w:sz w:val="28"/>
          <w:szCs w:val="28"/>
        </w:rPr>
      </w:pPr>
      <w:r w:rsidRPr="005E1103">
        <w:rPr>
          <w:rFonts w:cstheme="minorHAnsi"/>
          <w:i/>
          <w:sz w:val="28"/>
          <w:szCs w:val="28"/>
        </w:rPr>
        <w:t xml:space="preserve">Profesora del Área de Personalidad, Evaluación y Tratamiento Psicológico </w:t>
      </w:r>
    </w:p>
    <w:p w:rsidR="00C71AF3" w:rsidRPr="005E1103" w:rsidRDefault="00C71AF3" w:rsidP="00C71AF3">
      <w:pPr>
        <w:spacing w:after="120" w:line="360" w:lineRule="auto"/>
        <w:jc w:val="right"/>
        <w:outlineLvl w:val="0"/>
        <w:rPr>
          <w:rFonts w:cstheme="minorHAnsi"/>
          <w:i/>
          <w:sz w:val="28"/>
          <w:szCs w:val="28"/>
        </w:rPr>
      </w:pPr>
      <w:r w:rsidRPr="005E1103">
        <w:rPr>
          <w:rFonts w:cstheme="minorHAnsi"/>
          <w:i/>
          <w:sz w:val="28"/>
          <w:szCs w:val="28"/>
        </w:rPr>
        <w:t>Universidad de Burgos</w:t>
      </w:r>
    </w:p>
    <w:p w:rsidR="00C71AF3" w:rsidRPr="005E1103" w:rsidRDefault="00C71AF3" w:rsidP="00C71AF3">
      <w:pPr>
        <w:pStyle w:val="NormalWeb"/>
        <w:spacing w:before="0" w:beforeAutospacing="0" w:after="120" w:afterAutospacing="0" w:line="360" w:lineRule="auto"/>
        <w:jc w:val="both"/>
        <w:rPr>
          <w:rFonts w:asciiTheme="minorHAnsi" w:hAnsiTheme="minorHAnsi" w:cstheme="minorHAnsi"/>
          <w:sz w:val="28"/>
          <w:szCs w:val="28"/>
        </w:rPr>
      </w:pPr>
      <w:r w:rsidRPr="005E1103">
        <w:rPr>
          <w:rFonts w:asciiTheme="minorHAnsi" w:hAnsiTheme="minorHAnsi" w:cstheme="minorHAnsi"/>
          <w:sz w:val="28"/>
          <w:szCs w:val="28"/>
        </w:rPr>
        <w:t xml:space="preserve">La presente comunicación pretende ser un acercamiento a la realidad del </w:t>
      </w:r>
      <w:r w:rsidRPr="005E1103">
        <w:rPr>
          <w:rFonts w:asciiTheme="minorHAnsi" w:hAnsiTheme="minorHAnsi" w:cstheme="minorHAnsi"/>
          <w:color w:val="000000"/>
          <w:sz w:val="28"/>
          <w:szCs w:val="28"/>
        </w:rPr>
        <w:t>Trastorno por Déficit de Atención, con o sin Hiperactividad</w:t>
      </w:r>
      <w:r w:rsidRPr="005E1103">
        <w:rPr>
          <w:rFonts w:asciiTheme="minorHAnsi" w:hAnsiTheme="minorHAnsi" w:cstheme="minorHAnsi"/>
          <w:sz w:val="28"/>
          <w:szCs w:val="28"/>
        </w:rPr>
        <w:t xml:space="preserve"> (TDA/H) en la Universidad. Partiendo de que </w:t>
      </w:r>
      <w:r w:rsidRPr="005E1103">
        <w:rPr>
          <w:rFonts w:asciiTheme="minorHAnsi" w:hAnsiTheme="minorHAnsi" w:cstheme="minorHAnsi"/>
          <w:color w:val="000000"/>
          <w:sz w:val="28"/>
          <w:szCs w:val="28"/>
        </w:rPr>
        <w:t>dicho trastorno, constituye uno de los más estudiados en la infancia, pero escasamente investigado en estudiantes universitarios; llegaremos a</w:t>
      </w:r>
      <w:r w:rsidRPr="005E1103">
        <w:rPr>
          <w:rFonts w:asciiTheme="minorHAnsi" w:hAnsiTheme="minorHAnsi" w:cstheme="minorHAnsi"/>
          <w:sz w:val="28"/>
          <w:szCs w:val="28"/>
        </w:rPr>
        <w:t xml:space="preserve"> la conclusión de </w:t>
      </w:r>
      <w:r w:rsidRPr="005E1103">
        <w:rPr>
          <w:rFonts w:asciiTheme="minorHAnsi" w:hAnsiTheme="minorHAnsi" w:cstheme="minorHAnsi"/>
          <w:color w:val="000000"/>
          <w:sz w:val="28"/>
          <w:szCs w:val="28"/>
        </w:rPr>
        <w:t>que la universidad, como institución pública de carácter social y educativo, debe comprometerse con el conocimiento del TDA/H, el desarrollo personal de los estudiantes universitarios con esta condición y la intervención social a través de la sensibilización, formación e investigación en dicho ámbito. Es decir, la universidad debe abrir puertas, facilitar caminos que hagan más accesible y favorable, a las personas con TDA/H, el tránsito por la universidad.</w:t>
      </w:r>
    </w:p>
    <w:p w:rsidR="00C71AF3" w:rsidRPr="005E1103" w:rsidRDefault="00C71AF3" w:rsidP="00C71AF3">
      <w:pPr>
        <w:spacing w:after="120" w:line="360" w:lineRule="auto"/>
        <w:jc w:val="both"/>
        <w:rPr>
          <w:rFonts w:cstheme="minorHAnsi"/>
          <w:sz w:val="28"/>
          <w:szCs w:val="28"/>
        </w:rPr>
      </w:pPr>
      <w:r w:rsidRPr="005E1103">
        <w:rPr>
          <w:rFonts w:cstheme="minorHAnsi"/>
          <w:sz w:val="28"/>
          <w:szCs w:val="28"/>
        </w:rPr>
        <w:t>El recorrido hasta llegar a esta conclusión no es fácil, por ello vamos a realizarlo acercándonos a la propia realidad a través de la información aportada por los propios estudiantes con TDA/H, pues ellos son los que realmente más nos pueden ayudar a avanzar en el conocimiento del TDA/H en la Universidad.</w:t>
      </w:r>
    </w:p>
    <w:p w:rsidR="00C71AF3" w:rsidRPr="005E1103" w:rsidRDefault="00C71AF3" w:rsidP="00C71AF3">
      <w:pPr>
        <w:spacing w:after="120" w:line="360" w:lineRule="auto"/>
        <w:jc w:val="both"/>
        <w:rPr>
          <w:rFonts w:cstheme="minorHAnsi"/>
          <w:sz w:val="28"/>
          <w:szCs w:val="28"/>
        </w:rPr>
      </w:pPr>
      <w:r w:rsidRPr="005E1103">
        <w:rPr>
          <w:rFonts w:cstheme="minorHAnsi"/>
          <w:sz w:val="28"/>
          <w:szCs w:val="28"/>
        </w:rPr>
        <w:lastRenderedPageBreak/>
        <w:t>Esta es, por tanto, la historia de Fernando, Alejandro, Pablo, Rubén… o de cualquier estudiante con TDA/H que decide continuar su formación, cursando estudios universitarios, en una universidad cualquiera, en este caso nos referiremos a la Universidad de Burgos, por ser la universidad en la que desempeñamos nuestro trabajo.</w:t>
      </w:r>
    </w:p>
    <w:p w:rsidR="00C71AF3" w:rsidRPr="005E1103" w:rsidRDefault="00C71AF3" w:rsidP="00C71AF3">
      <w:pPr>
        <w:pStyle w:val="NormalWeb"/>
        <w:spacing w:before="0" w:beforeAutospacing="0" w:after="120" w:afterAutospacing="0" w:line="360" w:lineRule="auto"/>
        <w:jc w:val="both"/>
        <w:rPr>
          <w:rFonts w:asciiTheme="minorHAnsi" w:hAnsiTheme="minorHAnsi" w:cstheme="minorHAnsi"/>
          <w:b/>
          <w:sz w:val="28"/>
          <w:szCs w:val="28"/>
        </w:rPr>
      </w:pPr>
      <w:r w:rsidRPr="005E1103">
        <w:rPr>
          <w:rFonts w:asciiTheme="minorHAnsi" w:hAnsiTheme="minorHAnsi" w:cstheme="minorHAnsi"/>
          <w:b/>
          <w:sz w:val="28"/>
          <w:szCs w:val="28"/>
        </w:rPr>
        <w:t>UN LARGO RECORRIDO</w:t>
      </w:r>
    </w:p>
    <w:p w:rsidR="00C71AF3" w:rsidRPr="005E1103" w:rsidRDefault="00C71AF3" w:rsidP="00C71AF3">
      <w:pPr>
        <w:pStyle w:val="NormalWeb"/>
        <w:spacing w:before="0" w:beforeAutospacing="0" w:after="120" w:afterAutospacing="0" w:line="360" w:lineRule="auto"/>
        <w:jc w:val="both"/>
        <w:rPr>
          <w:rFonts w:asciiTheme="minorHAnsi" w:hAnsiTheme="minorHAnsi" w:cstheme="minorHAnsi"/>
          <w:sz w:val="28"/>
          <w:szCs w:val="28"/>
        </w:rPr>
      </w:pPr>
      <w:r w:rsidRPr="005E1103">
        <w:rPr>
          <w:rFonts w:asciiTheme="minorHAnsi" w:hAnsiTheme="minorHAnsi" w:cstheme="minorHAnsi"/>
          <w:sz w:val="28"/>
          <w:szCs w:val="28"/>
        </w:rPr>
        <w:t>Fernando, Alejandro, Pablo, Rubén… después de pasar por la educación primaria, la educación secundaria, la cual recuerdan como especialmente complicada, y el bachillerato, se proponen realizar las pruebas de acceso a la Universidad y esto constituyó todo un reto, porque si acceder a la universidad es difícil para muchas personas, resulta especialmente complejo para aquellas que presentan TDA/H.</w:t>
      </w:r>
    </w:p>
    <w:p w:rsidR="00C71AF3" w:rsidRPr="005E1103" w:rsidRDefault="00C71AF3" w:rsidP="00C71AF3">
      <w:pPr>
        <w:pStyle w:val="NormalWeb"/>
        <w:spacing w:before="0" w:beforeAutospacing="0" w:after="120" w:afterAutospacing="0" w:line="360" w:lineRule="auto"/>
        <w:jc w:val="both"/>
        <w:rPr>
          <w:rFonts w:asciiTheme="minorHAnsi" w:hAnsiTheme="minorHAnsi" w:cstheme="minorHAnsi"/>
          <w:color w:val="000000"/>
          <w:sz w:val="28"/>
          <w:szCs w:val="28"/>
        </w:rPr>
      </w:pPr>
      <w:r w:rsidRPr="005E1103">
        <w:rPr>
          <w:rFonts w:asciiTheme="minorHAnsi" w:hAnsiTheme="minorHAnsi" w:cstheme="minorHAnsi"/>
          <w:sz w:val="28"/>
          <w:szCs w:val="28"/>
        </w:rPr>
        <w:t xml:space="preserve">Fernando, Alejandro, Pablo, Rubén… consiguieron superar la prueba y </w:t>
      </w:r>
      <w:r w:rsidRPr="005E1103">
        <w:rPr>
          <w:rFonts w:asciiTheme="minorHAnsi" w:hAnsiTheme="minorHAnsi" w:cstheme="minorHAnsi"/>
          <w:color w:val="000000"/>
          <w:sz w:val="28"/>
          <w:szCs w:val="28"/>
        </w:rPr>
        <w:t>esto constituyó todo un logro si tenemos en cuenta que, según la Fundación Adana</w:t>
      </w:r>
      <w:r w:rsidRPr="005E1103">
        <w:rPr>
          <w:rStyle w:val="Refdenotaalpie"/>
          <w:rFonts w:asciiTheme="minorHAnsi" w:hAnsiTheme="minorHAnsi" w:cstheme="minorHAnsi"/>
          <w:color w:val="000000"/>
          <w:sz w:val="28"/>
          <w:szCs w:val="28"/>
        </w:rPr>
        <w:footnoteReference w:id="9"/>
      </w:r>
      <w:r w:rsidRPr="005E1103">
        <w:rPr>
          <w:rFonts w:asciiTheme="minorHAnsi" w:hAnsiTheme="minorHAnsi" w:cstheme="minorHAnsi"/>
          <w:color w:val="000000"/>
          <w:sz w:val="28"/>
          <w:szCs w:val="28"/>
        </w:rPr>
        <w:t xml:space="preserve"> un alto porcentaje de estudiantes con TDA/H no tiene posibilidades de acceder a estudios universitarios porque fracasan en la selectividad, lo cual constituye no solo un impedimento funcional, sino un factor de exclusión (Beltrán, 2008).</w:t>
      </w:r>
    </w:p>
    <w:p w:rsidR="00C71AF3" w:rsidRPr="005E1103" w:rsidRDefault="00C71AF3" w:rsidP="00C71AF3">
      <w:pPr>
        <w:spacing w:after="120" w:line="360" w:lineRule="auto"/>
        <w:jc w:val="both"/>
        <w:rPr>
          <w:rFonts w:cstheme="minorHAnsi"/>
          <w:sz w:val="28"/>
          <w:szCs w:val="28"/>
        </w:rPr>
      </w:pPr>
      <w:r w:rsidRPr="005E1103">
        <w:rPr>
          <w:rFonts w:cstheme="minorHAnsi"/>
          <w:sz w:val="28"/>
          <w:szCs w:val="28"/>
        </w:rPr>
        <w:t>Según los datos recogidos desde la Unidad de Atención a la Diversidad de la UBU, podemos ver que cada vez más estudiantes de bachillerato solicitan adaptaciones para dichas pruebas.</w:t>
      </w:r>
    </w:p>
    <w:p w:rsidR="00C71AF3" w:rsidRPr="005E1103" w:rsidRDefault="00C71AF3" w:rsidP="00C71AF3">
      <w:pPr>
        <w:ind w:left="567"/>
        <w:jc w:val="both"/>
        <w:rPr>
          <w:rFonts w:cstheme="minorHAnsi"/>
          <w:sz w:val="28"/>
          <w:szCs w:val="28"/>
        </w:rPr>
      </w:pPr>
      <w:r w:rsidRPr="005E1103">
        <w:rPr>
          <w:rFonts w:cstheme="minorHAnsi"/>
          <w:noProof/>
          <w:sz w:val="28"/>
          <w:szCs w:val="28"/>
          <w:lang w:eastAsia="es-ES"/>
        </w:rPr>
        <w:drawing>
          <wp:inline distT="0" distB="0" distL="0" distR="0" wp14:anchorId="5869F985" wp14:editId="74965AC0">
            <wp:extent cx="4314825" cy="1562100"/>
            <wp:effectExtent l="19050" t="0" r="9525" b="0"/>
            <wp:docPr id="68" name="Gráfico 6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C71AF3" w:rsidRPr="005E1103" w:rsidRDefault="00C71AF3" w:rsidP="00C71AF3">
      <w:pPr>
        <w:jc w:val="center"/>
        <w:rPr>
          <w:rFonts w:cstheme="minorHAnsi"/>
          <w:sz w:val="28"/>
          <w:szCs w:val="28"/>
        </w:rPr>
      </w:pPr>
      <w:r w:rsidRPr="005E1103">
        <w:rPr>
          <w:rFonts w:cstheme="minorHAnsi"/>
          <w:sz w:val="28"/>
          <w:szCs w:val="28"/>
        </w:rPr>
        <w:t xml:space="preserve">Gráfico 1. Evolución en las PAU </w:t>
      </w:r>
    </w:p>
    <w:p w:rsidR="00C71AF3" w:rsidRPr="005E1103" w:rsidRDefault="00C71AF3" w:rsidP="00C71AF3">
      <w:pPr>
        <w:spacing w:after="120" w:line="360" w:lineRule="auto"/>
        <w:jc w:val="both"/>
        <w:rPr>
          <w:rFonts w:cstheme="minorHAnsi"/>
          <w:color w:val="000000"/>
          <w:sz w:val="28"/>
          <w:szCs w:val="28"/>
        </w:rPr>
      </w:pPr>
      <w:r w:rsidRPr="005E1103">
        <w:rPr>
          <w:rFonts w:cstheme="minorHAnsi"/>
          <w:sz w:val="28"/>
          <w:szCs w:val="28"/>
        </w:rPr>
        <w:lastRenderedPageBreak/>
        <w:t xml:space="preserve">Una vez superada la prueba, nuestros protagonistas deciden cursar estudios universitarios en la UBU, incorporarse a un entorno académico que conlleva una serie de peculiaridades que pueden resultar especialmente complejas para los estudiantes con TDA/H. </w:t>
      </w:r>
      <w:r w:rsidRPr="005E1103">
        <w:rPr>
          <w:rFonts w:cstheme="minorHAnsi"/>
          <w:color w:val="000000"/>
          <w:sz w:val="28"/>
          <w:szCs w:val="28"/>
        </w:rPr>
        <w:t>Ser universitario implica ser autónomo, ser capaz de organizar su propio tiempo y actividades (horarios, plan de trabajo en cada asignatura, distinto tipo de tareas requeridas…), de tomar ciertas decisiones (ir a clase o no, formar parte de un grupo u otro, elegir temas de trabajos, pedir ayuda,…) y de poseer estrategias de adaptación grupal, lo cual a veces no es fácil de conseguir.</w:t>
      </w:r>
    </w:p>
    <w:p w:rsidR="00C71AF3" w:rsidRPr="005E1103" w:rsidRDefault="00C71AF3" w:rsidP="00C71AF3">
      <w:pPr>
        <w:spacing w:after="120" w:line="360" w:lineRule="auto"/>
        <w:jc w:val="both"/>
        <w:rPr>
          <w:rFonts w:cstheme="minorHAnsi"/>
          <w:b/>
          <w:sz w:val="28"/>
          <w:szCs w:val="28"/>
        </w:rPr>
      </w:pPr>
      <w:r w:rsidRPr="005E1103">
        <w:rPr>
          <w:rFonts w:cstheme="minorHAnsi"/>
          <w:color w:val="000000"/>
          <w:sz w:val="28"/>
          <w:szCs w:val="28"/>
        </w:rPr>
        <w:t xml:space="preserve">Los estudiantes </w:t>
      </w:r>
      <w:r w:rsidRPr="005E1103">
        <w:rPr>
          <w:rFonts w:cstheme="minorHAnsi"/>
          <w:sz w:val="28"/>
          <w:szCs w:val="28"/>
        </w:rPr>
        <w:t>universitarios con TDA/H presentan</w:t>
      </w:r>
      <w:r w:rsidRPr="005E1103">
        <w:rPr>
          <w:rFonts w:cstheme="minorHAnsi"/>
          <w:b/>
          <w:sz w:val="28"/>
          <w:szCs w:val="28"/>
        </w:rPr>
        <w:t xml:space="preserve"> </w:t>
      </w:r>
      <w:r w:rsidRPr="005E1103">
        <w:rPr>
          <w:rFonts w:cstheme="minorHAnsi"/>
          <w:sz w:val="28"/>
          <w:szCs w:val="28"/>
        </w:rPr>
        <w:t>ciertas</w:t>
      </w:r>
      <w:r w:rsidRPr="005E1103">
        <w:rPr>
          <w:rFonts w:cstheme="minorHAnsi"/>
          <w:b/>
          <w:sz w:val="28"/>
          <w:szCs w:val="28"/>
        </w:rPr>
        <w:t xml:space="preserve"> </w:t>
      </w:r>
      <w:r w:rsidRPr="005E1103">
        <w:rPr>
          <w:rFonts w:cstheme="minorHAnsi"/>
          <w:i/>
          <w:sz w:val="28"/>
          <w:szCs w:val="28"/>
        </w:rPr>
        <w:t xml:space="preserve">dificultades: </w:t>
      </w:r>
      <w:r w:rsidRPr="005E1103">
        <w:rPr>
          <w:rFonts w:cstheme="minorHAnsi"/>
          <w:sz w:val="28"/>
          <w:szCs w:val="28"/>
        </w:rPr>
        <w:t xml:space="preserve">problemas en la capacidad de atención, inhibición alterada de la respuesta, falta de control del impulso, incapacidad de retrasar la gratificación, fallo en la memoria de trabajo,... (Moreno, 2011). Asimismo cuentan con </w:t>
      </w:r>
      <w:r w:rsidRPr="005E1103">
        <w:rPr>
          <w:rFonts w:cstheme="minorHAnsi"/>
          <w:i/>
          <w:sz w:val="28"/>
          <w:szCs w:val="28"/>
        </w:rPr>
        <w:t>estrategias que han adquirido a lo largo de su trayectoria académica y que les permite compensar ciertos déficits</w:t>
      </w:r>
      <w:r w:rsidRPr="005E1103">
        <w:rPr>
          <w:rFonts w:cstheme="minorHAnsi"/>
          <w:sz w:val="28"/>
          <w:szCs w:val="28"/>
        </w:rPr>
        <w:t xml:space="preserve">: elevado nivel de autoexigencia sobre su desempeño académico; control y planificación temporal del estudio y realización de trabajos mediante el uso de agendas, recordatorios...; adquisición de hábitos y rituales específicos de organización académica; incorporación a grupos de compañeros que les apoyan y facilitan la información docente (Ortiz y Jaimes, 2007; Moreno, 2011). Y por supuesto muestran </w:t>
      </w:r>
      <w:r w:rsidRPr="005E1103">
        <w:rPr>
          <w:rFonts w:cstheme="minorHAnsi"/>
          <w:i/>
          <w:sz w:val="28"/>
          <w:szCs w:val="28"/>
        </w:rPr>
        <w:t xml:space="preserve">cualidades: </w:t>
      </w:r>
      <w:r w:rsidRPr="005E1103">
        <w:rPr>
          <w:rStyle w:val="not41"/>
          <w:rFonts w:asciiTheme="minorHAnsi" w:hAnsiTheme="minorHAnsi" w:cstheme="minorHAnsi"/>
          <w:sz w:val="28"/>
          <w:szCs w:val="28"/>
        </w:rPr>
        <w:t xml:space="preserve">personas </w:t>
      </w:r>
      <w:r w:rsidRPr="005E1103">
        <w:rPr>
          <w:rFonts w:cstheme="minorHAnsi"/>
          <w:sz w:val="28"/>
          <w:szCs w:val="28"/>
        </w:rPr>
        <w:t>cariñosas y sensibles</w:t>
      </w:r>
      <w:r w:rsidRPr="005E1103">
        <w:rPr>
          <w:rStyle w:val="not41"/>
          <w:rFonts w:asciiTheme="minorHAnsi" w:hAnsiTheme="minorHAnsi" w:cstheme="minorHAnsi"/>
          <w:sz w:val="28"/>
          <w:szCs w:val="28"/>
        </w:rPr>
        <w:t xml:space="preserve">, </w:t>
      </w:r>
      <w:r w:rsidRPr="005E1103">
        <w:rPr>
          <w:rFonts w:cstheme="minorHAnsi"/>
          <w:sz w:val="28"/>
          <w:szCs w:val="28"/>
        </w:rPr>
        <w:t>sentido del humor; elevada creatividad; habilidad para identificar alternativas, generar ideas…; talante aventurero, lo que les incita a investigar; elevada vitalidad y energía “incansable”; habilidad para hiperfocalizar; entusiasmo, pasión por las cosas en las que se implican; carácter extravertido, sociable, abierto; capacidad para adaptarse a los cambios, improvisar; optimismo y tenacidad, entre otras (Guerrero, 2011). Estos tres aspectos (dificultades, estrategias aprendidas y cualidades) se dan en mayor o menor medida en los estudiantes con TDA/H por lo que el grado u dificultad de adaptación al contexto universitario difiere de unos a otros.</w:t>
      </w:r>
    </w:p>
    <w:p w:rsidR="00C71AF3" w:rsidRPr="005E1103" w:rsidRDefault="00C71AF3" w:rsidP="00C71AF3">
      <w:pPr>
        <w:pStyle w:val="NormalWeb"/>
        <w:spacing w:before="0" w:beforeAutospacing="0" w:after="120" w:afterAutospacing="0" w:line="360" w:lineRule="auto"/>
        <w:jc w:val="both"/>
        <w:rPr>
          <w:rFonts w:asciiTheme="minorHAnsi" w:hAnsiTheme="minorHAnsi" w:cstheme="minorHAnsi"/>
          <w:b/>
          <w:i/>
          <w:sz w:val="28"/>
          <w:szCs w:val="28"/>
        </w:rPr>
      </w:pPr>
      <w:r w:rsidRPr="005E1103">
        <w:rPr>
          <w:rFonts w:asciiTheme="minorHAnsi" w:hAnsiTheme="minorHAnsi" w:cstheme="minorHAnsi"/>
          <w:sz w:val="28"/>
          <w:szCs w:val="28"/>
        </w:rPr>
        <w:lastRenderedPageBreak/>
        <w:t xml:space="preserve">Antes de continuar con la historia de nuestros protagonistas, quisiéramos señalar que entre el 2% y el 4% de los alumnos universitarios presentan este trastorno, porcentaje variable de unas universidades a otras (Ortiz y Jaimes, 2007). En la universidad </w:t>
      </w:r>
      <w:r w:rsidRPr="005E1103">
        <w:rPr>
          <w:rFonts w:asciiTheme="minorHAnsi" w:hAnsiTheme="minorHAnsi" w:cstheme="minorHAnsi"/>
          <w:color w:val="000000"/>
          <w:sz w:val="28"/>
          <w:szCs w:val="28"/>
        </w:rPr>
        <w:t>las personas con TDA/H pasan más desapercibidas y</w:t>
      </w:r>
      <w:r w:rsidRPr="005E1103">
        <w:rPr>
          <w:rFonts w:asciiTheme="minorHAnsi" w:hAnsiTheme="minorHAnsi" w:cstheme="minorHAnsi"/>
          <w:sz w:val="28"/>
          <w:szCs w:val="28"/>
        </w:rPr>
        <w:t xml:space="preserve"> la detección e identificación resulta mucho más difícil (</w:t>
      </w:r>
      <w:r w:rsidRPr="005E1103">
        <w:rPr>
          <w:rFonts w:asciiTheme="minorHAnsi" w:hAnsiTheme="minorHAnsi" w:cstheme="minorHAnsi"/>
          <w:color w:val="000000"/>
          <w:sz w:val="28"/>
          <w:szCs w:val="28"/>
        </w:rPr>
        <w:t xml:space="preserve">Martínez y Bilbao, 2009). </w:t>
      </w:r>
      <w:r w:rsidRPr="005E1103">
        <w:rPr>
          <w:rFonts w:asciiTheme="minorHAnsi" w:hAnsiTheme="minorHAnsi" w:cstheme="minorHAnsi"/>
          <w:sz w:val="28"/>
          <w:szCs w:val="28"/>
        </w:rPr>
        <w:t xml:space="preserve">A la universidad, además de estudiantes diagnosticados, acuden otros muchos que no están diagnosticados, si tenemos en cuenta, tal y como indica Ramos-Quiroga et al. (2006, 2009), que el 18% de los adultos con TDA/H son diagnosticados en la infancia. </w:t>
      </w:r>
    </w:p>
    <w:p w:rsidR="00C71AF3" w:rsidRPr="005E1103" w:rsidRDefault="00C71AF3" w:rsidP="00C71AF3">
      <w:pPr>
        <w:pStyle w:val="NormalWeb"/>
        <w:spacing w:before="0" w:beforeAutospacing="0" w:after="120" w:afterAutospacing="0" w:line="360" w:lineRule="auto"/>
        <w:jc w:val="both"/>
        <w:rPr>
          <w:rFonts w:asciiTheme="minorHAnsi" w:eastAsiaTheme="minorHAnsi" w:hAnsiTheme="minorHAnsi" w:cstheme="minorHAnsi"/>
          <w:sz w:val="28"/>
          <w:szCs w:val="28"/>
          <w:lang w:eastAsia="en-US"/>
        </w:rPr>
      </w:pPr>
      <w:r w:rsidRPr="005E1103">
        <w:rPr>
          <w:rFonts w:asciiTheme="minorHAnsi" w:eastAsiaTheme="minorHAnsi" w:hAnsiTheme="minorHAnsi" w:cstheme="minorHAnsi"/>
          <w:sz w:val="28"/>
          <w:szCs w:val="28"/>
          <w:lang w:eastAsia="en-US"/>
        </w:rPr>
        <w:t>Pablo se matricula de un Grado de Ingeniería y durante el primer curso intenta adentrarse en el mundo universitario pero con escaso éxito, suspende muchas asignaturas y pasado el primer curso decide abandonar esos estudios.</w:t>
      </w:r>
    </w:p>
    <w:p w:rsidR="00C71AF3" w:rsidRPr="005E1103" w:rsidRDefault="00C71AF3" w:rsidP="00C71AF3">
      <w:pPr>
        <w:pStyle w:val="NormalWeb"/>
        <w:spacing w:before="0" w:beforeAutospacing="0" w:after="120" w:afterAutospacing="0" w:line="360" w:lineRule="auto"/>
        <w:jc w:val="both"/>
        <w:rPr>
          <w:rFonts w:asciiTheme="minorHAnsi" w:hAnsiTheme="minorHAnsi" w:cstheme="minorHAnsi"/>
          <w:sz w:val="28"/>
          <w:szCs w:val="28"/>
        </w:rPr>
      </w:pPr>
      <w:r w:rsidRPr="005E1103">
        <w:rPr>
          <w:rFonts w:asciiTheme="minorHAnsi" w:hAnsiTheme="minorHAnsi" w:cstheme="minorHAnsi"/>
          <w:sz w:val="28"/>
          <w:szCs w:val="28"/>
        </w:rPr>
        <w:t xml:space="preserve">Lo que le sucede a Pablo es bastante frecuente. Los estudiantes con TDA/H constituyen un colectivo de riesgo de fracaso académico y abandono de los estudios universitarios (90-95%), (Barkley et al, 2002), aumentando la vulnerabilidad de abandono en los dos primeros años, especialmente en primer curso, aunque la sensación de dificultad para superar de forma satisfactoria las demandas universitarias también puede surgir o persistir en años posteriores o incluso al finalizar el grado. Wolf (2001) refiere que aproximadamente el 50% de los estudiantes que presentan este trastorno, abandona los estudios universitarios sin acabarlos. </w:t>
      </w:r>
    </w:p>
    <w:p w:rsidR="00C71AF3" w:rsidRPr="005E1103" w:rsidRDefault="00C71AF3" w:rsidP="00C71AF3">
      <w:pPr>
        <w:pStyle w:val="NormalWeb"/>
        <w:spacing w:before="0" w:beforeAutospacing="0" w:after="120" w:afterAutospacing="0" w:line="360" w:lineRule="auto"/>
        <w:jc w:val="both"/>
        <w:rPr>
          <w:rFonts w:asciiTheme="minorHAnsi" w:hAnsiTheme="minorHAnsi" w:cstheme="minorHAnsi"/>
          <w:sz w:val="28"/>
          <w:szCs w:val="28"/>
        </w:rPr>
      </w:pPr>
      <w:r w:rsidRPr="005E1103">
        <w:rPr>
          <w:rFonts w:asciiTheme="minorHAnsi" w:hAnsiTheme="minorHAnsi" w:cstheme="minorHAnsi"/>
          <w:color w:val="080000"/>
          <w:sz w:val="28"/>
          <w:szCs w:val="28"/>
        </w:rPr>
        <w:t>Algunos estudios hablan de que 9 de cada 10 afectados por TDA/H abandonan la universidad.</w:t>
      </w:r>
      <w:r w:rsidRPr="005E1103">
        <w:rPr>
          <w:rFonts w:asciiTheme="minorHAnsi" w:hAnsiTheme="minorHAnsi" w:cstheme="minorHAnsi"/>
          <w:sz w:val="28"/>
          <w:szCs w:val="28"/>
        </w:rPr>
        <w:t xml:space="preserve"> Las causas que parecen influir en el abandono de los estudios universitarios se relacionan con los déficits cognitivos propios del trastorno (desatención, dificultad para inhibir la conducta y controlar los impulsos, dificultades en las funciones ejecutivas) y con la afectación emocional que éste conlleva (Martínez y Bilbao, 2013). Las dificultades más frecuentes asociadas al TDA/H, según Mulas et al., (2006), son los problemas de aprendizaje en un 22% de los casos, por lo que adolescentes y adultos </w:t>
      </w:r>
      <w:r w:rsidRPr="005E1103">
        <w:rPr>
          <w:rFonts w:asciiTheme="minorHAnsi" w:hAnsiTheme="minorHAnsi" w:cstheme="minorHAnsi"/>
          <w:sz w:val="28"/>
          <w:szCs w:val="28"/>
        </w:rPr>
        <w:lastRenderedPageBreak/>
        <w:t xml:space="preserve">tienen un alto riesgo de presentar fracaso en sus estudios. Distintos trabajos destacan, entre otras, dificultades de rendimiento académico, sobreesfuerzo requerido según las exigencias planteadas, falta de habilidades académicas básicas, técnicas de estudio escasas y deficitarias, deficiente organización académica, dificultades en la planificación de tareas y en la organización temporal, entorno académico escasamente estructurado, dificultades en las relaciones sociales, problemas de autoestima y conductas disruptivas (Ceruti, de la Barrera y Donolo, 2008; Moreno, 2011). </w:t>
      </w:r>
    </w:p>
    <w:p w:rsidR="00C71AF3" w:rsidRPr="005E1103" w:rsidRDefault="00C71AF3" w:rsidP="00C71AF3">
      <w:pPr>
        <w:pStyle w:val="NormalWeb"/>
        <w:spacing w:before="0" w:beforeAutospacing="0" w:after="120" w:afterAutospacing="0" w:line="360" w:lineRule="auto"/>
        <w:jc w:val="both"/>
        <w:rPr>
          <w:rFonts w:asciiTheme="minorHAnsi" w:hAnsiTheme="minorHAnsi" w:cstheme="minorHAnsi"/>
          <w:color w:val="080000"/>
          <w:sz w:val="28"/>
          <w:szCs w:val="28"/>
        </w:rPr>
      </w:pPr>
      <w:r w:rsidRPr="005E1103">
        <w:rPr>
          <w:rFonts w:asciiTheme="minorHAnsi" w:hAnsiTheme="minorHAnsi" w:cstheme="minorHAnsi"/>
          <w:color w:val="080000"/>
          <w:sz w:val="28"/>
          <w:szCs w:val="28"/>
        </w:rPr>
        <w:t>A pesar del fracaso, Pablo quiere conseguir su objetivo, quiere estudiar en la Universidad, quiere lograr su sueño de realizar estudios superiores, sueño para el que se había estado esforzando y preparando durante mucho tiempo. Decide pedir asesoramiento y ayuda, y que mejor que a los Servicios de Atención a la Diversidad que existen en todas las universidades. En dicho servicio le orientan y asesoran para que se matricule en el Grado en Administración y Dirección de Empresas.</w:t>
      </w:r>
    </w:p>
    <w:p w:rsidR="00C71AF3" w:rsidRPr="005E1103" w:rsidRDefault="00C71AF3" w:rsidP="00C71AF3">
      <w:pPr>
        <w:pStyle w:val="NormalWeb"/>
        <w:spacing w:before="0" w:beforeAutospacing="0" w:after="120" w:afterAutospacing="0" w:line="360" w:lineRule="auto"/>
        <w:jc w:val="both"/>
        <w:rPr>
          <w:rFonts w:asciiTheme="minorHAnsi" w:hAnsiTheme="minorHAnsi" w:cstheme="minorHAnsi"/>
          <w:color w:val="080000"/>
          <w:sz w:val="28"/>
          <w:szCs w:val="28"/>
        </w:rPr>
      </w:pPr>
      <w:r w:rsidRPr="005E1103">
        <w:rPr>
          <w:rFonts w:asciiTheme="minorHAnsi" w:hAnsiTheme="minorHAnsi" w:cstheme="minorHAnsi"/>
          <w:color w:val="080000"/>
          <w:sz w:val="28"/>
          <w:szCs w:val="28"/>
        </w:rPr>
        <w:t xml:space="preserve">Aquí ya todo cambia. </w:t>
      </w:r>
      <w:r w:rsidRPr="005E1103">
        <w:rPr>
          <w:rFonts w:asciiTheme="minorHAnsi" w:hAnsiTheme="minorHAnsi" w:cstheme="minorHAnsi"/>
          <w:sz w:val="28"/>
          <w:szCs w:val="28"/>
        </w:rPr>
        <w:t>Y entra a formar parte del porcentaje señalado por algunos autores- entre el 5% y el 10% de los alumnos con TDA/H terminan los estudios- (Barkley et al, 2002).</w:t>
      </w:r>
    </w:p>
    <w:p w:rsidR="00C71AF3" w:rsidRPr="005E1103" w:rsidRDefault="00C71AF3" w:rsidP="00C71AF3">
      <w:pPr>
        <w:spacing w:after="120" w:line="360" w:lineRule="auto"/>
        <w:ind w:right="44"/>
        <w:jc w:val="both"/>
        <w:rPr>
          <w:rFonts w:cstheme="minorHAnsi"/>
          <w:i/>
          <w:sz w:val="28"/>
          <w:szCs w:val="28"/>
        </w:rPr>
      </w:pPr>
      <w:r w:rsidRPr="005E1103">
        <w:rPr>
          <w:rFonts w:cstheme="minorHAnsi"/>
          <w:sz w:val="28"/>
          <w:szCs w:val="28"/>
        </w:rPr>
        <w:t xml:space="preserve">El éxito académico de Pablo, Fernando, Alejandro, Rubén… en la Universidad va a depender, en gran medida, de su propia capacidad para afrontar las demandas académicas y del apoyo que reciba tanto de su familia como de los distintos componentes de la comunidad universitaria. Al hablar del éxito universitario, es necesario mencionar el papel de la medicación, pues les puede ayudar a mejorar la concentración y a reducir la hiperactividad y la facilidad de distracción, en absoluto les disminuye el trabajo que deben realizar (Staufer y Greydanus, 2005). Nuestros estudiantes comentan que durante su periodo universitario tomaron medicación “gracias a la medicación eres capaz de hacer cosas que sin ella no harías, eres capaz de </w:t>
      </w:r>
      <w:r w:rsidRPr="005E1103">
        <w:rPr>
          <w:rFonts w:cstheme="minorHAnsi"/>
          <w:sz w:val="28"/>
          <w:szCs w:val="28"/>
        </w:rPr>
        <w:lastRenderedPageBreak/>
        <w:t>manejar situaciones de manera más eficaz, y esto influye positivamente en la autoestima</w:t>
      </w:r>
      <w:r w:rsidRPr="005E1103">
        <w:rPr>
          <w:rFonts w:cstheme="minorHAnsi"/>
          <w:i/>
          <w:sz w:val="28"/>
          <w:szCs w:val="28"/>
        </w:rPr>
        <w:t xml:space="preserve">” </w:t>
      </w:r>
      <w:r w:rsidRPr="005E1103">
        <w:rPr>
          <w:rFonts w:cstheme="minorHAnsi"/>
          <w:sz w:val="28"/>
          <w:szCs w:val="28"/>
        </w:rPr>
        <w:t>(estudiante con TDAH, 2016).</w:t>
      </w:r>
    </w:p>
    <w:p w:rsidR="00C71AF3" w:rsidRPr="005E1103" w:rsidRDefault="00C71AF3" w:rsidP="00C71AF3">
      <w:pPr>
        <w:pStyle w:val="NormalWeb"/>
        <w:spacing w:before="0" w:beforeAutospacing="0" w:after="120" w:afterAutospacing="0" w:line="360" w:lineRule="auto"/>
        <w:jc w:val="both"/>
        <w:rPr>
          <w:rFonts w:asciiTheme="minorHAnsi" w:hAnsiTheme="minorHAnsi" w:cstheme="minorHAnsi"/>
          <w:i/>
          <w:color w:val="080000"/>
          <w:sz w:val="28"/>
          <w:szCs w:val="28"/>
        </w:rPr>
      </w:pPr>
      <w:r w:rsidRPr="005E1103">
        <w:rPr>
          <w:rFonts w:asciiTheme="minorHAnsi" w:hAnsiTheme="minorHAnsi" w:cstheme="minorHAnsi"/>
          <w:color w:val="080000"/>
          <w:sz w:val="28"/>
          <w:szCs w:val="28"/>
        </w:rPr>
        <w:t>Los estudiantes con TDAH que acuden a la Universidad deben conocer la existencia de los distintos recursos que ofrece la universidad, a este respecto Alejandro refiere que “se arrepiente de no haber conocido antes la Unidad de Atención a la Diversidad</w:t>
      </w:r>
      <w:r w:rsidRPr="005E1103">
        <w:rPr>
          <w:rFonts w:asciiTheme="minorHAnsi" w:hAnsiTheme="minorHAnsi" w:cstheme="minorHAnsi"/>
          <w:i/>
          <w:color w:val="080000"/>
          <w:sz w:val="28"/>
          <w:szCs w:val="28"/>
        </w:rPr>
        <w:t>”.</w:t>
      </w:r>
    </w:p>
    <w:p w:rsidR="00C71AF3" w:rsidRPr="005E1103" w:rsidRDefault="00C71AF3" w:rsidP="00C71AF3">
      <w:pPr>
        <w:spacing w:after="120" w:line="360" w:lineRule="auto"/>
        <w:jc w:val="both"/>
        <w:rPr>
          <w:rFonts w:cstheme="minorHAnsi"/>
          <w:sz w:val="28"/>
          <w:szCs w:val="28"/>
        </w:rPr>
      </w:pPr>
      <w:r w:rsidRPr="005E1103">
        <w:rPr>
          <w:rFonts w:cstheme="minorHAnsi"/>
          <w:sz w:val="28"/>
          <w:szCs w:val="28"/>
        </w:rPr>
        <w:t xml:space="preserve">Desde esta Unidad (Atención a la Diversidad) se llevan a cabo actuaciones en distintos momentos de la vida universitaria. En el proceso </w:t>
      </w:r>
      <w:r w:rsidRPr="005E1103">
        <w:rPr>
          <w:rFonts w:cstheme="minorHAnsi"/>
          <w:b/>
          <w:sz w:val="28"/>
          <w:szCs w:val="28"/>
        </w:rPr>
        <w:t>de transición a la universidad</w:t>
      </w:r>
      <w:r w:rsidRPr="005E1103">
        <w:rPr>
          <w:rFonts w:cstheme="minorHAnsi"/>
          <w:sz w:val="28"/>
          <w:szCs w:val="28"/>
        </w:rPr>
        <w:t xml:space="preserve"> (coordinación con los responsables de los Departamentos de Orientación de los Centros de Bachillerato; realización de las pruebas de acceso a la Universidad (PAU), orientación en la elección de estudios universitarios…). </w:t>
      </w:r>
      <w:r w:rsidRPr="005E1103">
        <w:rPr>
          <w:rFonts w:cstheme="minorHAnsi"/>
          <w:b/>
          <w:sz w:val="28"/>
          <w:szCs w:val="28"/>
        </w:rPr>
        <w:t>En el propio contexto universitario</w:t>
      </w:r>
      <w:r w:rsidRPr="005E1103">
        <w:rPr>
          <w:rFonts w:cstheme="minorHAnsi"/>
          <w:sz w:val="28"/>
          <w:szCs w:val="28"/>
        </w:rPr>
        <w:t xml:space="preserve"> (protocolo de acogida: dar a conocer el funcionamiento universitario, la </w:t>
      </w:r>
      <w:r w:rsidRPr="005E1103">
        <w:rPr>
          <w:rFonts w:cstheme="minorHAnsi"/>
          <w:color w:val="000000"/>
          <w:sz w:val="28"/>
          <w:szCs w:val="28"/>
        </w:rPr>
        <w:t>organización y estructura universitarias, los planes de estudio y metodologías de enseñanza; Bolonia, pros y contras</w:t>
      </w:r>
      <w:r w:rsidRPr="005E1103">
        <w:rPr>
          <w:rFonts w:cstheme="minorHAnsi"/>
          <w:sz w:val="28"/>
          <w:szCs w:val="28"/>
        </w:rPr>
        <w:t xml:space="preserve">, planificación de apoyos, información y apoyo al profesorado, tarea de coordinación continua tanto con los profesores tutores como con el resto de profesores; sensibilización sobre el TDAH a la comunidad universitaria, asesoramiento en cuanto a actividades extraacadémicas vinculadas a la universidad…). </w:t>
      </w:r>
      <w:r w:rsidRPr="005E1103">
        <w:rPr>
          <w:rFonts w:cstheme="minorHAnsi"/>
          <w:b/>
          <w:sz w:val="28"/>
          <w:szCs w:val="28"/>
        </w:rPr>
        <w:t>Y al finalizar los estudios universitarios</w:t>
      </w:r>
      <w:r w:rsidRPr="005E1103">
        <w:rPr>
          <w:rFonts w:cstheme="minorHAnsi"/>
          <w:sz w:val="28"/>
          <w:szCs w:val="28"/>
        </w:rPr>
        <w:t xml:space="preserve"> (favorecer la transición a la vida laboral de los estudiantes con TDAH) (Martínez y Bilbao, 2013).</w:t>
      </w:r>
    </w:p>
    <w:p w:rsidR="00C71AF3" w:rsidRPr="005E1103" w:rsidRDefault="00C71AF3" w:rsidP="00C71AF3">
      <w:pPr>
        <w:spacing w:after="120" w:line="360" w:lineRule="auto"/>
        <w:jc w:val="both"/>
        <w:rPr>
          <w:rFonts w:cstheme="minorHAnsi"/>
          <w:sz w:val="28"/>
          <w:szCs w:val="28"/>
        </w:rPr>
      </w:pPr>
      <w:r w:rsidRPr="005E1103">
        <w:rPr>
          <w:rFonts w:cstheme="minorHAnsi"/>
          <w:color w:val="000000"/>
          <w:sz w:val="28"/>
          <w:szCs w:val="28"/>
        </w:rPr>
        <w:t>Pablo y el resto de compañeros con TDA/H, para solventar alguna de las dificultades que encuentran en el camino participa del Programa Mentor</w:t>
      </w:r>
      <w:r w:rsidRPr="005E1103">
        <w:rPr>
          <w:rStyle w:val="Refdenotaalpie"/>
          <w:rFonts w:cstheme="minorHAnsi"/>
          <w:color w:val="000000"/>
          <w:sz w:val="28"/>
          <w:szCs w:val="28"/>
        </w:rPr>
        <w:footnoteReference w:id="10"/>
      </w:r>
      <w:r w:rsidRPr="005E1103">
        <w:rPr>
          <w:rFonts w:cstheme="minorHAnsi"/>
          <w:color w:val="000000"/>
          <w:sz w:val="28"/>
          <w:szCs w:val="28"/>
        </w:rPr>
        <w:t xml:space="preserve"> y del </w:t>
      </w:r>
      <w:r w:rsidRPr="005E1103">
        <w:rPr>
          <w:rFonts w:cstheme="minorHAnsi"/>
          <w:sz w:val="28"/>
          <w:szCs w:val="28"/>
        </w:rPr>
        <w:t>Plan de Acción Tutorial (PAT)</w:t>
      </w:r>
      <w:r w:rsidRPr="005E1103">
        <w:rPr>
          <w:rStyle w:val="Refdenotaalpie"/>
          <w:rFonts w:cstheme="minorHAnsi"/>
          <w:sz w:val="28"/>
          <w:szCs w:val="28"/>
        </w:rPr>
        <w:footnoteReference w:id="11"/>
      </w:r>
      <w:r w:rsidRPr="005E1103">
        <w:rPr>
          <w:rFonts w:cstheme="minorHAnsi"/>
          <w:color w:val="000000"/>
          <w:sz w:val="28"/>
          <w:szCs w:val="28"/>
        </w:rPr>
        <w:t xml:space="preserve"> </w:t>
      </w:r>
      <w:r w:rsidRPr="005E1103">
        <w:rPr>
          <w:rFonts w:cstheme="minorHAnsi"/>
          <w:sz w:val="28"/>
          <w:szCs w:val="28"/>
        </w:rPr>
        <w:t xml:space="preserve">implantado en las universidades españolas, y que constituye un relevante elemento de calidad en el contexto Europeo de Educación Superior al centrar su atención </w:t>
      </w:r>
      <w:r w:rsidRPr="005E1103">
        <w:rPr>
          <w:rFonts w:cstheme="minorHAnsi"/>
          <w:sz w:val="28"/>
          <w:szCs w:val="28"/>
        </w:rPr>
        <w:lastRenderedPageBreak/>
        <w:t xml:space="preserve">en el estudiante (Casado, et al., 2010). También se le posibilita que participe de talleres y seminarios específicos con el fin de que se sienta satisfecho consigo mismos para de este modo conseguir que se enfrente a los retos universitarios de una manera más óptima. No olvidemos que el rendimiento académico está determinado por múltiples variables entre las que destacan el bienestar personal y social (Martínez y Bilbao, 2013). </w:t>
      </w:r>
    </w:p>
    <w:p w:rsidR="00C71AF3" w:rsidRPr="005E1103" w:rsidRDefault="00C71AF3" w:rsidP="00C71AF3">
      <w:pPr>
        <w:pStyle w:val="NormalWeb"/>
        <w:spacing w:before="0" w:beforeAutospacing="0" w:after="120" w:afterAutospacing="0" w:line="360" w:lineRule="auto"/>
        <w:jc w:val="both"/>
        <w:rPr>
          <w:rFonts w:asciiTheme="minorHAnsi" w:hAnsiTheme="minorHAnsi" w:cstheme="minorHAnsi"/>
          <w:sz w:val="28"/>
          <w:szCs w:val="28"/>
        </w:rPr>
      </w:pPr>
      <w:r w:rsidRPr="005E1103">
        <w:rPr>
          <w:rFonts w:asciiTheme="minorHAnsi" w:hAnsiTheme="minorHAnsi" w:cstheme="minorHAnsi"/>
          <w:sz w:val="28"/>
          <w:szCs w:val="28"/>
        </w:rPr>
        <w:t xml:space="preserve">El recurso que Pablo, Fernando, Alejandro, Rubén… consideran que les ha sido de mayor utilidad, es la </w:t>
      </w:r>
      <w:r w:rsidRPr="005E1103">
        <w:rPr>
          <w:rFonts w:asciiTheme="minorHAnsi" w:hAnsiTheme="minorHAnsi" w:cstheme="minorHAnsi"/>
          <w:b/>
          <w:sz w:val="28"/>
          <w:szCs w:val="28"/>
        </w:rPr>
        <w:t>implicación del profesorado</w:t>
      </w:r>
      <w:r w:rsidRPr="005E1103">
        <w:rPr>
          <w:rFonts w:asciiTheme="minorHAnsi" w:hAnsiTheme="minorHAnsi" w:cstheme="minorHAnsi"/>
          <w:sz w:val="28"/>
          <w:szCs w:val="28"/>
        </w:rPr>
        <w:t>, el que comprendan su problemática e intenten ayudarles al máximo. Hacen especial referencia a que dicha implicación es mucho mayor en el profesorado de género femenino, dan importancia a la forma de dar la clase “profesoras que llevaban el control en el aula”, “el que lo supieran los profesores me ha ayudado mucho”. Una de estas ayudas es el ofrecerles adaptaciones curriculares. Todos los estudiantes entrevistados recibieron adaptaciones de acceso al curriculum y adaptaciones no significativas, es decir adaptaciones que no implican modificaciones sustanciales en las competencias básicas, ni en los objetivos y contenidos de las diferentes materias.</w:t>
      </w:r>
    </w:p>
    <w:p w:rsidR="00C71AF3" w:rsidRPr="005E1103" w:rsidRDefault="00C71AF3" w:rsidP="00C71AF3">
      <w:pPr>
        <w:spacing w:after="120" w:line="360" w:lineRule="auto"/>
        <w:jc w:val="both"/>
        <w:rPr>
          <w:rFonts w:cstheme="minorHAnsi"/>
          <w:sz w:val="28"/>
          <w:szCs w:val="28"/>
        </w:rPr>
      </w:pPr>
      <w:r w:rsidRPr="005E1103">
        <w:rPr>
          <w:rFonts w:cstheme="minorHAnsi"/>
          <w:sz w:val="28"/>
          <w:szCs w:val="28"/>
        </w:rPr>
        <w:t xml:space="preserve">Entre las adaptaciones de acceso destacan, según Martínez y Bilbao (2013): </w:t>
      </w:r>
      <w:r w:rsidRPr="005E1103">
        <w:rPr>
          <w:rFonts w:cstheme="minorHAnsi"/>
          <w:i/>
          <w:sz w:val="28"/>
          <w:szCs w:val="28"/>
        </w:rPr>
        <w:t>1. Adaptación de espacios</w:t>
      </w:r>
      <w:r w:rsidRPr="005E1103">
        <w:rPr>
          <w:rFonts w:cstheme="minorHAnsi"/>
          <w:sz w:val="28"/>
          <w:szCs w:val="28"/>
        </w:rPr>
        <w:t xml:space="preserve">: adecuada ubicación en el aula. 2. </w:t>
      </w:r>
      <w:r w:rsidRPr="005E1103">
        <w:rPr>
          <w:rFonts w:cstheme="minorHAnsi"/>
          <w:i/>
          <w:sz w:val="28"/>
          <w:szCs w:val="28"/>
        </w:rPr>
        <w:t>Sistemas de comunicación</w:t>
      </w:r>
      <w:r w:rsidRPr="005E1103">
        <w:rPr>
          <w:rFonts w:cstheme="minorHAnsi"/>
          <w:sz w:val="28"/>
          <w:szCs w:val="28"/>
        </w:rPr>
        <w:t xml:space="preserve">: consignas claras y concretas, ampliación de los tiempos de latencia... 3. </w:t>
      </w:r>
      <w:r w:rsidRPr="005E1103">
        <w:rPr>
          <w:rFonts w:cstheme="minorHAnsi"/>
          <w:i/>
          <w:sz w:val="28"/>
          <w:szCs w:val="28"/>
        </w:rPr>
        <w:t>Recursos:</w:t>
      </w:r>
      <w:r w:rsidRPr="005E1103">
        <w:rPr>
          <w:rFonts w:cstheme="minorHAnsi"/>
          <w:sz w:val="28"/>
          <w:szCs w:val="28"/>
        </w:rPr>
        <w:t xml:space="preserve"> asesoramiento de los recursos humanos especializados, ofrecer los materiales docentes con anticipación; agenda de trabajo; nuevas tecnologías... 4. </w:t>
      </w:r>
      <w:r w:rsidRPr="005E1103">
        <w:rPr>
          <w:rFonts w:cstheme="minorHAnsi"/>
          <w:i/>
          <w:sz w:val="28"/>
          <w:szCs w:val="28"/>
        </w:rPr>
        <w:t>Fomentar un clima de aceptación y respeto en el aula y grupo</w:t>
      </w:r>
      <w:r w:rsidRPr="005E1103">
        <w:rPr>
          <w:rFonts w:cstheme="minorHAnsi"/>
          <w:sz w:val="28"/>
          <w:szCs w:val="28"/>
        </w:rPr>
        <w:t xml:space="preserve">: trabajo en pequeños grupos o </w:t>
      </w:r>
      <w:r w:rsidRPr="005E1103">
        <w:rPr>
          <w:rFonts w:cstheme="minorHAnsi"/>
          <w:color w:val="000000"/>
          <w:sz w:val="28"/>
          <w:szCs w:val="28"/>
        </w:rPr>
        <w:t xml:space="preserve">trabajo de forma independiente; </w:t>
      </w:r>
      <w:r w:rsidRPr="005E1103">
        <w:rPr>
          <w:rFonts w:cstheme="minorHAnsi"/>
          <w:sz w:val="28"/>
          <w:szCs w:val="28"/>
        </w:rPr>
        <w:t xml:space="preserve">informar a los compañeros – si se cree preciso y siempre con el consentimiento del alumno afectado-… </w:t>
      </w:r>
    </w:p>
    <w:p w:rsidR="00C71AF3" w:rsidRPr="005E1103" w:rsidRDefault="00C71AF3" w:rsidP="00C71AF3">
      <w:pPr>
        <w:spacing w:after="120" w:line="360" w:lineRule="auto"/>
        <w:jc w:val="both"/>
        <w:rPr>
          <w:rFonts w:cstheme="minorHAnsi"/>
          <w:sz w:val="28"/>
          <w:szCs w:val="28"/>
        </w:rPr>
      </w:pPr>
      <w:r w:rsidRPr="005E1103">
        <w:rPr>
          <w:rFonts w:cstheme="minorHAnsi"/>
          <w:sz w:val="28"/>
          <w:szCs w:val="28"/>
        </w:rPr>
        <w:t xml:space="preserve">Entre las adaptaciones no significativas, destacamos siguiendo a Martínez y Bilbao (2013): </w:t>
      </w:r>
      <w:r w:rsidRPr="005E1103">
        <w:rPr>
          <w:rFonts w:cstheme="minorHAnsi"/>
          <w:i/>
          <w:sz w:val="28"/>
          <w:szCs w:val="28"/>
        </w:rPr>
        <w:t xml:space="preserve">a) Asignación del alumnado con TDAH a los grupos </w:t>
      </w:r>
      <w:r w:rsidRPr="005E1103">
        <w:rPr>
          <w:rFonts w:cstheme="minorHAnsi"/>
          <w:sz w:val="28"/>
          <w:szCs w:val="28"/>
        </w:rPr>
        <w:t xml:space="preserve">configurados en las distintas asignaturas considerando sus limitaciones atencionales y cognitivas, facilitando un </w:t>
      </w:r>
      <w:r w:rsidRPr="005E1103">
        <w:rPr>
          <w:rFonts w:cstheme="minorHAnsi"/>
          <w:sz w:val="28"/>
          <w:szCs w:val="28"/>
        </w:rPr>
        <w:lastRenderedPageBreak/>
        <w:t>ambiente relajante y motivador. b</w:t>
      </w:r>
      <w:r w:rsidRPr="005E1103">
        <w:rPr>
          <w:rFonts w:cstheme="minorHAnsi"/>
          <w:i/>
          <w:sz w:val="28"/>
          <w:szCs w:val="28"/>
        </w:rPr>
        <w:t>) Estructuración y planificación de la docencia</w:t>
      </w:r>
      <w:r w:rsidRPr="005E1103">
        <w:rPr>
          <w:rFonts w:cstheme="minorHAnsi"/>
          <w:sz w:val="28"/>
          <w:szCs w:val="28"/>
        </w:rPr>
        <w:t xml:space="preserve">: precisión de los objetivos docentes, exposición del índice de los contenidos temáticos, síntesis e introducción explicativa previa al inicio de las clases, </w:t>
      </w:r>
      <w:r w:rsidRPr="005E1103">
        <w:rPr>
          <w:rFonts w:cstheme="minorHAnsi"/>
          <w:color w:val="000000"/>
          <w:sz w:val="28"/>
          <w:szCs w:val="28"/>
        </w:rPr>
        <w:t>ofrecer por adelantado los materiales que serán necesarios para las clases</w:t>
      </w:r>
      <w:r w:rsidRPr="005E1103">
        <w:rPr>
          <w:rFonts w:cstheme="minorHAnsi"/>
          <w:sz w:val="28"/>
          <w:szCs w:val="28"/>
        </w:rPr>
        <w:t xml:space="preserve">; selección de las actividades más significativas,... </w:t>
      </w:r>
      <w:r w:rsidRPr="005E1103">
        <w:rPr>
          <w:rFonts w:cstheme="minorHAnsi"/>
          <w:i/>
          <w:sz w:val="28"/>
          <w:szCs w:val="28"/>
        </w:rPr>
        <w:t xml:space="preserve">c) Adaptación de la evaluación: </w:t>
      </w:r>
      <w:r w:rsidRPr="005E1103">
        <w:rPr>
          <w:rFonts w:cstheme="minorHAnsi"/>
          <w:sz w:val="28"/>
          <w:szCs w:val="28"/>
        </w:rPr>
        <w:t xml:space="preserve">Asegurar la comprensión de los ejercicios o preguntas; estructuración y control del tiempo y tipo de examen; organización de los trabajos... </w:t>
      </w:r>
      <w:r w:rsidRPr="005E1103">
        <w:rPr>
          <w:rFonts w:cstheme="minorHAnsi"/>
          <w:i/>
          <w:sz w:val="28"/>
          <w:szCs w:val="28"/>
        </w:rPr>
        <w:t>d) Tutorías docentes presenciales:</w:t>
      </w:r>
      <w:r w:rsidRPr="005E1103">
        <w:rPr>
          <w:rFonts w:cstheme="minorHAnsi"/>
          <w:sz w:val="28"/>
          <w:szCs w:val="28"/>
        </w:rPr>
        <w:t xml:space="preserve"> individuales encaminadas al seguimiento de hábitos y planificación del trabajo, organización de la materia, esfuerzo…</w:t>
      </w:r>
    </w:p>
    <w:p w:rsidR="00C71AF3" w:rsidRPr="005E1103" w:rsidRDefault="00C71AF3" w:rsidP="00C71AF3">
      <w:pPr>
        <w:spacing w:after="120" w:line="360" w:lineRule="auto"/>
        <w:jc w:val="both"/>
        <w:rPr>
          <w:rFonts w:cstheme="minorHAnsi"/>
          <w:sz w:val="28"/>
          <w:szCs w:val="28"/>
        </w:rPr>
      </w:pPr>
      <w:r w:rsidRPr="005E1103">
        <w:rPr>
          <w:rFonts w:cstheme="minorHAnsi"/>
          <w:sz w:val="28"/>
          <w:szCs w:val="28"/>
        </w:rPr>
        <w:t>Pablo, Fernando, Alejandro refieren que las ayudas y apoyos son necesarias especialmente en los primeros cursos y que los principales apoyos fueron adaptaciones no significativas, relacionadas principalmente con la evaluación (ampliación de tiempo, colocación en puestos delanteros, separación de las preguntas de examen, cambiar el examen de fecha o hacerlo solo, exámenes más cortos o en caso de ser muy largos hacerlos en varios periodos). El periodo de exámenes lo recuerdan como lo peor de esta etapa de estudiante universitario. Los exámenes tipo test les resultaban especialmente complejos, así como contestar a preguntas concretas pues “te enredas y no terminas diciendo lo que realmente quieres decir”.</w:t>
      </w:r>
    </w:p>
    <w:p w:rsidR="00C71AF3" w:rsidRPr="005E1103" w:rsidRDefault="00C71AF3" w:rsidP="00C71AF3">
      <w:pPr>
        <w:spacing w:after="120" w:line="360" w:lineRule="auto"/>
        <w:jc w:val="both"/>
        <w:rPr>
          <w:rFonts w:cstheme="minorHAnsi"/>
          <w:sz w:val="28"/>
          <w:szCs w:val="28"/>
        </w:rPr>
      </w:pPr>
      <w:r w:rsidRPr="005E1103">
        <w:rPr>
          <w:rFonts w:cstheme="minorHAnsi"/>
          <w:sz w:val="28"/>
          <w:szCs w:val="28"/>
        </w:rPr>
        <w:t xml:space="preserve">Fernando y Alejandro han concluido sus estudios universitarios, uno de ellos completó su formación realizando un Máster. Ambos están trabajando. Es en el momento que terminan sus estudios cuando los estudiantes, todos ellos y por tanto también los que presenta TDA/H, pueden recibir apoyo del Servicio de Orientación e Inserción Profesional. Este servicio se plantea: mejorar la ocupabilidad de los titulados universitarios con TDA/H; estimular el aprendizaje de habilidades personales y sociales necesarias para aumentar sus posibilidades de inserción laboral; favorecer su acceso a empleos cualificados y acordes con su capacitación; promover las relaciones Universidad-Empresas a través de prácticas; y fomentar redes de colaboración entre Empresas-Profesionales-Universidades, que posibiliten dotar a las Empresas y empresarios de </w:t>
      </w:r>
      <w:r w:rsidRPr="005E1103">
        <w:rPr>
          <w:rFonts w:cstheme="minorHAnsi"/>
          <w:sz w:val="28"/>
          <w:szCs w:val="28"/>
        </w:rPr>
        <w:lastRenderedPageBreak/>
        <w:t xml:space="preserve">información y formación óptimas sobre las características y competencias asociadas al TDA/H. </w:t>
      </w:r>
    </w:p>
    <w:p w:rsidR="00C71AF3" w:rsidRPr="005E1103" w:rsidRDefault="00C71AF3" w:rsidP="00C71AF3">
      <w:pPr>
        <w:spacing w:after="120" w:line="360" w:lineRule="auto"/>
        <w:jc w:val="both"/>
        <w:rPr>
          <w:rFonts w:cstheme="minorHAnsi"/>
          <w:color w:val="000000"/>
          <w:sz w:val="28"/>
          <w:szCs w:val="28"/>
        </w:rPr>
      </w:pPr>
      <w:r w:rsidRPr="005E1103">
        <w:rPr>
          <w:rFonts w:cstheme="minorHAnsi"/>
          <w:sz w:val="28"/>
          <w:szCs w:val="28"/>
        </w:rPr>
        <w:t xml:space="preserve">Además de los servicios mencionados (la Unidad de Atención a la Diversidad, Servicios de Orientación e Inserción Profesional) las Universidades suelen contar con </w:t>
      </w:r>
      <w:r w:rsidRPr="005E1103">
        <w:rPr>
          <w:rFonts w:cstheme="minorHAnsi"/>
          <w:b/>
          <w:i/>
          <w:sz w:val="28"/>
          <w:szCs w:val="28"/>
        </w:rPr>
        <w:t>Servicios Universitarios de</w:t>
      </w:r>
      <w:r w:rsidRPr="005E1103">
        <w:rPr>
          <w:rFonts w:cstheme="minorHAnsi"/>
          <w:i/>
          <w:sz w:val="28"/>
          <w:szCs w:val="28"/>
        </w:rPr>
        <w:t xml:space="preserve"> </w:t>
      </w:r>
      <w:r w:rsidRPr="005E1103">
        <w:rPr>
          <w:rFonts w:cstheme="minorHAnsi"/>
          <w:b/>
          <w:i/>
          <w:sz w:val="28"/>
          <w:szCs w:val="28"/>
        </w:rPr>
        <w:t>Información y Orientación en</w:t>
      </w:r>
      <w:r w:rsidRPr="005E1103">
        <w:rPr>
          <w:rFonts w:cstheme="minorHAnsi"/>
          <w:i/>
          <w:sz w:val="28"/>
          <w:szCs w:val="28"/>
        </w:rPr>
        <w:t xml:space="preserve"> </w:t>
      </w:r>
      <w:r w:rsidRPr="005E1103">
        <w:rPr>
          <w:rFonts w:cstheme="minorHAnsi"/>
          <w:b/>
          <w:sz w:val="28"/>
          <w:szCs w:val="28"/>
        </w:rPr>
        <w:t>Salud Joven o Servicios de Atención Psicológica</w:t>
      </w:r>
      <w:r w:rsidRPr="005E1103">
        <w:rPr>
          <w:rFonts w:cstheme="minorHAnsi"/>
          <w:b/>
          <w:i/>
          <w:sz w:val="28"/>
          <w:szCs w:val="28"/>
        </w:rPr>
        <w:t xml:space="preserve">. </w:t>
      </w:r>
      <w:r w:rsidRPr="005E1103">
        <w:rPr>
          <w:rFonts w:cstheme="minorHAnsi"/>
          <w:sz w:val="28"/>
          <w:szCs w:val="28"/>
        </w:rPr>
        <w:t xml:space="preserve">Si bien es cierto que nuestros protagonistas no han hecho uso de dicho Servicio, merece la pena señalarlo porque desde estos servicios se debe intentar potenciar la salud psicológica de las personas con TDA/H, no olvidemos que ciertos autores </w:t>
      </w:r>
      <w:r w:rsidRPr="005E1103">
        <w:rPr>
          <w:rFonts w:cstheme="minorHAnsi"/>
          <w:color w:val="000000"/>
          <w:sz w:val="28"/>
          <w:szCs w:val="28"/>
        </w:rPr>
        <w:t>comentan que el 25 al 40% de los estudiantes universitarios que solicitan atención en los servicios de salud mental acuden por dificultades cognitivas (en la atención sostenida, memoria y planificación) (Denckla, 1991 y Du Paul, Schaughency, Weyandt, Tripp, Kiesner, Ota y Stanish, 2001). Dicho servicio se plantea</w:t>
      </w:r>
      <w:r w:rsidRPr="005E1103">
        <w:rPr>
          <w:rFonts w:cstheme="minorHAnsi"/>
          <w:sz w:val="28"/>
          <w:szCs w:val="28"/>
        </w:rPr>
        <w:t xml:space="preserve"> facilitar el diagnóstico en aquellos casos en los que éste no se ha dado; ofrecer asesoramiento, orientación y psicoterapia cuando aparecen dificultades asociadas al TDA/H; asesorar e informar sobre el uso responsable de la medicación; informar sobre los recursos de salud mental existentes; canalizar y derivar al estudiante hacia otros servicios de salud cuando se estime conveniente;…. (</w:t>
      </w:r>
      <w:r w:rsidRPr="005E1103">
        <w:rPr>
          <w:rFonts w:cstheme="minorHAnsi"/>
          <w:color w:val="000000"/>
          <w:sz w:val="28"/>
          <w:szCs w:val="28"/>
        </w:rPr>
        <w:t>Martínez y Bilbao, 2013).</w:t>
      </w:r>
    </w:p>
    <w:p w:rsidR="00C71AF3" w:rsidRPr="005E1103" w:rsidRDefault="00C71AF3" w:rsidP="00C71AF3">
      <w:pPr>
        <w:spacing w:after="120" w:line="360" w:lineRule="auto"/>
        <w:ind w:right="44"/>
        <w:jc w:val="both"/>
        <w:rPr>
          <w:rFonts w:cstheme="minorHAnsi"/>
          <w:b/>
          <w:sz w:val="28"/>
          <w:szCs w:val="28"/>
        </w:rPr>
      </w:pPr>
      <w:r w:rsidRPr="005E1103">
        <w:rPr>
          <w:rFonts w:cstheme="minorHAnsi"/>
          <w:b/>
          <w:sz w:val="28"/>
          <w:szCs w:val="28"/>
        </w:rPr>
        <w:t>LA UNIDAD DE ATENCIÓN A LA DIVERSIDAD DE LA UBU</w:t>
      </w:r>
    </w:p>
    <w:p w:rsidR="00C71AF3" w:rsidRPr="005E1103" w:rsidRDefault="00C71AF3" w:rsidP="00C71AF3">
      <w:pPr>
        <w:spacing w:after="120" w:line="360" w:lineRule="auto"/>
        <w:jc w:val="both"/>
        <w:rPr>
          <w:rFonts w:cstheme="minorHAnsi"/>
          <w:sz w:val="28"/>
          <w:szCs w:val="28"/>
        </w:rPr>
      </w:pPr>
      <w:r w:rsidRPr="005E1103">
        <w:rPr>
          <w:rFonts w:cstheme="minorHAnsi"/>
          <w:sz w:val="28"/>
          <w:szCs w:val="28"/>
        </w:rPr>
        <w:t>A modo de resumen quisiéramos destacar que desde el curso 2009/2010 en el que inició estudios universitarios el primer alumno con TDAH, la Unidad de Apoyo a la Diversidad, ha atendido a 8 alumnos, lo cual queda reflejado en la tabla 1.</w:t>
      </w:r>
    </w:p>
    <w:p w:rsidR="00C71AF3" w:rsidRPr="005E1103" w:rsidRDefault="00C71AF3" w:rsidP="00C71AF3">
      <w:pPr>
        <w:spacing w:line="240" w:lineRule="auto"/>
        <w:jc w:val="center"/>
        <w:rPr>
          <w:rFonts w:cstheme="minorHAnsi"/>
          <w:sz w:val="28"/>
          <w:szCs w:val="28"/>
        </w:rPr>
      </w:pPr>
      <w:r w:rsidRPr="005E1103">
        <w:rPr>
          <w:rFonts w:cstheme="minorHAnsi"/>
          <w:sz w:val="28"/>
          <w:szCs w:val="28"/>
        </w:rPr>
        <w:t>Tabla 1. Alumnado con TDAH que ha sido atendido desde la Unidad de Atención a la Diversidad de la UBU</w:t>
      </w:r>
    </w:p>
    <w:tbl>
      <w:tblPr>
        <w:tblpPr w:leftFromText="141" w:rightFromText="141"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304"/>
        <w:gridCol w:w="7"/>
        <w:gridCol w:w="7"/>
        <w:gridCol w:w="1503"/>
        <w:gridCol w:w="1094"/>
        <w:gridCol w:w="4829"/>
      </w:tblGrid>
      <w:tr w:rsidR="00C71AF3" w:rsidRPr="005E1103" w:rsidTr="00C71AF3">
        <w:trPr>
          <w:trHeight w:val="268"/>
        </w:trPr>
        <w:tc>
          <w:tcPr>
            <w:tcW w:w="1318" w:type="dxa"/>
            <w:gridSpan w:val="3"/>
          </w:tcPr>
          <w:p w:rsidR="00C71AF3" w:rsidRPr="005E1103" w:rsidRDefault="00C71AF3" w:rsidP="00C71AF3">
            <w:pPr>
              <w:spacing w:line="240" w:lineRule="auto"/>
              <w:jc w:val="center"/>
              <w:rPr>
                <w:rFonts w:cstheme="minorHAnsi"/>
                <w:b/>
                <w:sz w:val="28"/>
                <w:szCs w:val="28"/>
              </w:rPr>
            </w:pPr>
            <w:r w:rsidRPr="005E1103">
              <w:rPr>
                <w:rFonts w:cstheme="minorHAnsi"/>
                <w:b/>
                <w:sz w:val="28"/>
                <w:szCs w:val="28"/>
              </w:rPr>
              <w:t>Género</w:t>
            </w:r>
          </w:p>
        </w:tc>
        <w:tc>
          <w:tcPr>
            <w:tcW w:w="1399" w:type="dxa"/>
          </w:tcPr>
          <w:p w:rsidR="00C71AF3" w:rsidRPr="005E1103" w:rsidRDefault="00C71AF3" w:rsidP="00C71AF3">
            <w:pPr>
              <w:spacing w:line="240" w:lineRule="auto"/>
              <w:jc w:val="center"/>
              <w:rPr>
                <w:rFonts w:cstheme="minorHAnsi"/>
                <w:b/>
                <w:sz w:val="28"/>
                <w:szCs w:val="28"/>
              </w:rPr>
            </w:pPr>
            <w:r w:rsidRPr="005E1103">
              <w:rPr>
                <w:rFonts w:cstheme="minorHAnsi"/>
                <w:b/>
                <w:sz w:val="28"/>
                <w:szCs w:val="28"/>
              </w:rPr>
              <w:t>Diagnóstico</w:t>
            </w:r>
          </w:p>
        </w:tc>
        <w:tc>
          <w:tcPr>
            <w:tcW w:w="1094" w:type="dxa"/>
          </w:tcPr>
          <w:p w:rsidR="00C71AF3" w:rsidRPr="005E1103" w:rsidRDefault="00C71AF3" w:rsidP="00C71AF3">
            <w:pPr>
              <w:spacing w:line="240" w:lineRule="auto"/>
              <w:jc w:val="center"/>
              <w:rPr>
                <w:rFonts w:cstheme="minorHAnsi"/>
                <w:b/>
                <w:sz w:val="28"/>
                <w:szCs w:val="28"/>
              </w:rPr>
            </w:pPr>
            <w:r w:rsidRPr="005E1103">
              <w:rPr>
                <w:rFonts w:cstheme="minorHAnsi"/>
                <w:b/>
                <w:sz w:val="28"/>
                <w:szCs w:val="28"/>
              </w:rPr>
              <w:t>Año inicio</w:t>
            </w:r>
          </w:p>
        </w:tc>
        <w:tc>
          <w:tcPr>
            <w:tcW w:w="4829" w:type="dxa"/>
          </w:tcPr>
          <w:p w:rsidR="00C71AF3" w:rsidRPr="005E1103" w:rsidRDefault="00C71AF3" w:rsidP="00C71AF3">
            <w:pPr>
              <w:spacing w:line="240" w:lineRule="auto"/>
              <w:jc w:val="center"/>
              <w:rPr>
                <w:rFonts w:cstheme="minorHAnsi"/>
                <w:b/>
                <w:sz w:val="28"/>
                <w:szCs w:val="28"/>
              </w:rPr>
            </w:pPr>
            <w:r w:rsidRPr="005E1103">
              <w:rPr>
                <w:rFonts w:cstheme="minorHAnsi"/>
                <w:b/>
                <w:sz w:val="28"/>
                <w:szCs w:val="28"/>
              </w:rPr>
              <w:t>Titulación</w:t>
            </w:r>
          </w:p>
        </w:tc>
      </w:tr>
      <w:tr w:rsidR="00C71AF3" w:rsidRPr="005E1103" w:rsidTr="00C71AF3">
        <w:trPr>
          <w:trHeight w:val="264"/>
        </w:trPr>
        <w:tc>
          <w:tcPr>
            <w:tcW w:w="1318" w:type="dxa"/>
            <w:gridSpan w:val="3"/>
          </w:tcPr>
          <w:p w:rsidR="00C71AF3" w:rsidRPr="005E1103" w:rsidRDefault="00C71AF3" w:rsidP="00C71AF3">
            <w:pPr>
              <w:spacing w:line="240" w:lineRule="auto"/>
              <w:jc w:val="center"/>
              <w:rPr>
                <w:rFonts w:cstheme="minorHAnsi"/>
                <w:sz w:val="28"/>
                <w:szCs w:val="28"/>
              </w:rPr>
            </w:pPr>
            <w:r w:rsidRPr="005E1103">
              <w:rPr>
                <w:rFonts w:cstheme="minorHAnsi"/>
                <w:sz w:val="28"/>
                <w:szCs w:val="28"/>
              </w:rPr>
              <w:t>Varón</w:t>
            </w:r>
          </w:p>
        </w:tc>
        <w:tc>
          <w:tcPr>
            <w:tcW w:w="1399" w:type="dxa"/>
          </w:tcPr>
          <w:p w:rsidR="00C71AF3" w:rsidRPr="005E1103" w:rsidRDefault="00C71AF3" w:rsidP="00C71AF3">
            <w:pPr>
              <w:spacing w:line="240" w:lineRule="auto"/>
              <w:jc w:val="center"/>
              <w:rPr>
                <w:rFonts w:cstheme="minorHAnsi"/>
                <w:sz w:val="28"/>
                <w:szCs w:val="28"/>
              </w:rPr>
            </w:pPr>
            <w:r w:rsidRPr="005E1103">
              <w:rPr>
                <w:rFonts w:cstheme="minorHAnsi"/>
                <w:sz w:val="28"/>
                <w:szCs w:val="28"/>
              </w:rPr>
              <w:t>TDA</w:t>
            </w:r>
          </w:p>
        </w:tc>
        <w:tc>
          <w:tcPr>
            <w:tcW w:w="1094" w:type="dxa"/>
          </w:tcPr>
          <w:p w:rsidR="00C71AF3" w:rsidRPr="005E1103" w:rsidRDefault="00C71AF3" w:rsidP="00C71AF3">
            <w:pPr>
              <w:spacing w:line="240" w:lineRule="auto"/>
              <w:jc w:val="center"/>
              <w:rPr>
                <w:rFonts w:cstheme="minorHAnsi"/>
                <w:sz w:val="28"/>
                <w:szCs w:val="28"/>
              </w:rPr>
            </w:pPr>
            <w:r w:rsidRPr="005E1103">
              <w:rPr>
                <w:rFonts w:cstheme="minorHAnsi"/>
                <w:sz w:val="28"/>
                <w:szCs w:val="28"/>
              </w:rPr>
              <w:t>2009</w:t>
            </w:r>
          </w:p>
        </w:tc>
        <w:tc>
          <w:tcPr>
            <w:tcW w:w="4829" w:type="dxa"/>
          </w:tcPr>
          <w:p w:rsidR="00C71AF3" w:rsidRPr="005E1103" w:rsidRDefault="00C71AF3" w:rsidP="00C71AF3">
            <w:pPr>
              <w:spacing w:line="240" w:lineRule="auto"/>
              <w:jc w:val="center"/>
              <w:rPr>
                <w:rFonts w:cstheme="minorHAnsi"/>
                <w:sz w:val="28"/>
                <w:szCs w:val="28"/>
              </w:rPr>
            </w:pPr>
            <w:r w:rsidRPr="005E1103">
              <w:rPr>
                <w:rFonts w:cstheme="minorHAnsi"/>
                <w:sz w:val="28"/>
                <w:szCs w:val="28"/>
              </w:rPr>
              <w:t>Grado en Comunicación Audiovisual</w:t>
            </w:r>
          </w:p>
        </w:tc>
      </w:tr>
      <w:tr w:rsidR="00C71AF3" w:rsidRPr="005E1103" w:rsidTr="00C71AF3">
        <w:trPr>
          <w:trHeight w:val="227"/>
        </w:trPr>
        <w:tc>
          <w:tcPr>
            <w:tcW w:w="1318" w:type="dxa"/>
            <w:gridSpan w:val="3"/>
          </w:tcPr>
          <w:p w:rsidR="00C71AF3" w:rsidRPr="005E1103" w:rsidRDefault="00C71AF3" w:rsidP="00C71AF3">
            <w:pPr>
              <w:spacing w:line="240" w:lineRule="auto"/>
              <w:jc w:val="center"/>
              <w:rPr>
                <w:rFonts w:cstheme="minorHAnsi"/>
                <w:sz w:val="28"/>
                <w:szCs w:val="28"/>
              </w:rPr>
            </w:pPr>
            <w:r w:rsidRPr="005E1103">
              <w:rPr>
                <w:rFonts w:cstheme="minorHAnsi"/>
                <w:sz w:val="28"/>
                <w:szCs w:val="28"/>
              </w:rPr>
              <w:lastRenderedPageBreak/>
              <w:t>Varón</w:t>
            </w:r>
          </w:p>
        </w:tc>
        <w:tc>
          <w:tcPr>
            <w:tcW w:w="1399" w:type="dxa"/>
          </w:tcPr>
          <w:p w:rsidR="00C71AF3" w:rsidRPr="005E1103" w:rsidRDefault="00C71AF3" w:rsidP="00C71AF3">
            <w:pPr>
              <w:spacing w:line="240" w:lineRule="auto"/>
              <w:jc w:val="center"/>
              <w:rPr>
                <w:rFonts w:cstheme="minorHAnsi"/>
                <w:sz w:val="28"/>
                <w:szCs w:val="28"/>
              </w:rPr>
            </w:pPr>
            <w:r w:rsidRPr="005E1103">
              <w:rPr>
                <w:rFonts w:cstheme="minorHAnsi"/>
                <w:sz w:val="28"/>
                <w:szCs w:val="28"/>
              </w:rPr>
              <w:t>TDAH</w:t>
            </w:r>
          </w:p>
        </w:tc>
        <w:tc>
          <w:tcPr>
            <w:tcW w:w="1094" w:type="dxa"/>
          </w:tcPr>
          <w:p w:rsidR="00C71AF3" w:rsidRPr="005E1103" w:rsidRDefault="00C71AF3" w:rsidP="00C71AF3">
            <w:pPr>
              <w:spacing w:line="240" w:lineRule="auto"/>
              <w:jc w:val="center"/>
              <w:rPr>
                <w:rFonts w:cstheme="minorHAnsi"/>
                <w:sz w:val="28"/>
                <w:szCs w:val="28"/>
              </w:rPr>
            </w:pPr>
            <w:r w:rsidRPr="005E1103">
              <w:rPr>
                <w:rFonts w:cstheme="minorHAnsi"/>
                <w:sz w:val="28"/>
                <w:szCs w:val="28"/>
              </w:rPr>
              <w:t>2010</w:t>
            </w:r>
          </w:p>
        </w:tc>
        <w:tc>
          <w:tcPr>
            <w:tcW w:w="4829" w:type="dxa"/>
          </w:tcPr>
          <w:p w:rsidR="00C71AF3" w:rsidRPr="005E1103" w:rsidRDefault="00C71AF3" w:rsidP="00C71AF3">
            <w:pPr>
              <w:spacing w:line="240" w:lineRule="auto"/>
              <w:jc w:val="center"/>
              <w:rPr>
                <w:rFonts w:cstheme="minorHAnsi"/>
                <w:sz w:val="28"/>
                <w:szCs w:val="28"/>
              </w:rPr>
            </w:pPr>
            <w:r w:rsidRPr="005E1103">
              <w:rPr>
                <w:rFonts w:cstheme="minorHAnsi"/>
                <w:sz w:val="28"/>
                <w:szCs w:val="28"/>
              </w:rPr>
              <w:t>Grado en Finanzas y Contabilidad (FICO)</w:t>
            </w:r>
          </w:p>
        </w:tc>
      </w:tr>
      <w:tr w:rsidR="00C71AF3" w:rsidRPr="005E1103" w:rsidTr="00C71AF3">
        <w:trPr>
          <w:trHeight w:val="230"/>
        </w:trPr>
        <w:tc>
          <w:tcPr>
            <w:tcW w:w="1304" w:type="dxa"/>
          </w:tcPr>
          <w:p w:rsidR="00C71AF3" w:rsidRPr="005E1103" w:rsidRDefault="00C71AF3" w:rsidP="00C71AF3">
            <w:pPr>
              <w:spacing w:line="240" w:lineRule="auto"/>
              <w:jc w:val="center"/>
              <w:rPr>
                <w:rFonts w:cstheme="minorHAnsi"/>
                <w:sz w:val="28"/>
                <w:szCs w:val="28"/>
              </w:rPr>
            </w:pPr>
            <w:r w:rsidRPr="005E1103">
              <w:rPr>
                <w:rFonts w:cstheme="minorHAnsi"/>
                <w:sz w:val="28"/>
                <w:szCs w:val="28"/>
              </w:rPr>
              <w:t>Varón</w:t>
            </w:r>
          </w:p>
        </w:tc>
        <w:tc>
          <w:tcPr>
            <w:tcW w:w="1413" w:type="dxa"/>
            <w:gridSpan w:val="3"/>
          </w:tcPr>
          <w:p w:rsidR="00C71AF3" w:rsidRPr="005E1103" w:rsidRDefault="00C71AF3" w:rsidP="00C71AF3">
            <w:pPr>
              <w:spacing w:line="240" w:lineRule="auto"/>
              <w:jc w:val="center"/>
              <w:rPr>
                <w:rFonts w:cstheme="minorHAnsi"/>
                <w:sz w:val="28"/>
                <w:szCs w:val="28"/>
              </w:rPr>
            </w:pPr>
            <w:r w:rsidRPr="005E1103">
              <w:rPr>
                <w:rFonts w:cstheme="minorHAnsi"/>
                <w:sz w:val="28"/>
                <w:szCs w:val="28"/>
              </w:rPr>
              <w:t>TDA</w:t>
            </w:r>
          </w:p>
        </w:tc>
        <w:tc>
          <w:tcPr>
            <w:tcW w:w="1094" w:type="dxa"/>
          </w:tcPr>
          <w:p w:rsidR="00C71AF3" w:rsidRPr="005E1103" w:rsidRDefault="00C71AF3" w:rsidP="00C71AF3">
            <w:pPr>
              <w:spacing w:line="240" w:lineRule="auto"/>
              <w:jc w:val="center"/>
              <w:rPr>
                <w:rFonts w:cstheme="minorHAnsi"/>
                <w:sz w:val="28"/>
                <w:szCs w:val="28"/>
              </w:rPr>
            </w:pPr>
            <w:r w:rsidRPr="005E1103">
              <w:rPr>
                <w:rFonts w:cstheme="minorHAnsi"/>
                <w:sz w:val="28"/>
                <w:szCs w:val="28"/>
              </w:rPr>
              <w:t>2011</w:t>
            </w:r>
          </w:p>
        </w:tc>
        <w:tc>
          <w:tcPr>
            <w:tcW w:w="4829" w:type="dxa"/>
          </w:tcPr>
          <w:p w:rsidR="00C71AF3" w:rsidRPr="005E1103" w:rsidRDefault="00C71AF3" w:rsidP="00C71AF3">
            <w:pPr>
              <w:spacing w:line="240" w:lineRule="auto"/>
              <w:jc w:val="center"/>
              <w:rPr>
                <w:rFonts w:cstheme="minorHAnsi"/>
                <w:sz w:val="28"/>
                <w:szCs w:val="28"/>
              </w:rPr>
            </w:pPr>
            <w:r w:rsidRPr="005E1103">
              <w:rPr>
                <w:rFonts w:cstheme="minorHAnsi"/>
                <w:sz w:val="28"/>
                <w:szCs w:val="28"/>
              </w:rPr>
              <w:t>Grado en Administración y Dirección de Empresas (ADE)</w:t>
            </w:r>
          </w:p>
        </w:tc>
      </w:tr>
      <w:tr w:rsidR="00C71AF3" w:rsidRPr="005E1103" w:rsidTr="00C71AF3">
        <w:trPr>
          <w:trHeight w:val="127"/>
        </w:trPr>
        <w:tc>
          <w:tcPr>
            <w:tcW w:w="1311" w:type="dxa"/>
            <w:gridSpan w:val="2"/>
          </w:tcPr>
          <w:p w:rsidR="00C71AF3" w:rsidRPr="005E1103" w:rsidRDefault="00C71AF3" w:rsidP="00C71AF3">
            <w:pPr>
              <w:spacing w:line="240" w:lineRule="auto"/>
              <w:jc w:val="center"/>
              <w:rPr>
                <w:rFonts w:cstheme="minorHAnsi"/>
                <w:sz w:val="28"/>
                <w:szCs w:val="28"/>
              </w:rPr>
            </w:pPr>
            <w:r w:rsidRPr="005E1103">
              <w:rPr>
                <w:rFonts w:cstheme="minorHAnsi"/>
                <w:sz w:val="28"/>
                <w:szCs w:val="28"/>
              </w:rPr>
              <w:t>Varón</w:t>
            </w:r>
          </w:p>
        </w:tc>
        <w:tc>
          <w:tcPr>
            <w:tcW w:w="1406" w:type="dxa"/>
            <w:gridSpan w:val="2"/>
          </w:tcPr>
          <w:p w:rsidR="00C71AF3" w:rsidRPr="005E1103" w:rsidRDefault="00C71AF3" w:rsidP="00C71AF3">
            <w:pPr>
              <w:spacing w:line="240" w:lineRule="auto"/>
              <w:jc w:val="center"/>
              <w:rPr>
                <w:rFonts w:cstheme="minorHAnsi"/>
                <w:sz w:val="28"/>
                <w:szCs w:val="28"/>
              </w:rPr>
            </w:pPr>
            <w:r w:rsidRPr="005E1103">
              <w:rPr>
                <w:rFonts w:cstheme="minorHAnsi"/>
                <w:sz w:val="28"/>
                <w:szCs w:val="28"/>
              </w:rPr>
              <w:t>TDAH</w:t>
            </w:r>
          </w:p>
        </w:tc>
        <w:tc>
          <w:tcPr>
            <w:tcW w:w="1094" w:type="dxa"/>
          </w:tcPr>
          <w:p w:rsidR="00C71AF3" w:rsidRPr="005E1103" w:rsidRDefault="00C71AF3" w:rsidP="00C71AF3">
            <w:pPr>
              <w:spacing w:line="240" w:lineRule="auto"/>
              <w:jc w:val="center"/>
              <w:rPr>
                <w:rFonts w:cstheme="minorHAnsi"/>
                <w:sz w:val="28"/>
                <w:szCs w:val="28"/>
              </w:rPr>
            </w:pPr>
            <w:r w:rsidRPr="005E1103">
              <w:rPr>
                <w:rFonts w:cstheme="minorHAnsi"/>
                <w:sz w:val="28"/>
                <w:szCs w:val="28"/>
              </w:rPr>
              <w:t>2013</w:t>
            </w:r>
          </w:p>
        </w:tc>
        <w:tc>
          <w:tcPr>
            <w:tcW w:w="4829" w:type="dxa"/>
          </w:tcPr>
          <w:p w:rsidR="00C71AF3" w:rsidRPr="005E1103" w:rsidRDefault="00C71AF3" w:rsidP="00C71AF3">
            <w:pPr>
              <w:spacing w:line="240" w:lineRule="auto"/>
              <w:jc w:val="center"/>
              <w:rPr>
                <w:rFonts w:cstheme="minorHAnsi"/>
                <w:sz w:val="28"/>
                <w:szCs w:val="28"/>
              </w:rPr>
            </w:pPr>
            <w:r w:rsidRPr="005E1103">
              <w:rPr>
                <w:rFonts w:cstheme="minorHAnsi"/>
                <w:sz w:val="28"/>
                <w:szCs w:val="28"/>
              </w:rPr>
              <w:t>Grado en Ingeniería de Tecnologías de Caminos</w:t>
            </w:r>
          </w:p>
        </w:tc>
      </w:tr>
      <w:tr w:rsidR="00C71AF3" w:rsidRPr="005E1103" w:rsidTr="00C71AF3">
        <w:trPr>
          <w:trHeight w:val="227"/>
        </w:trPr>
        <w:tc>
          <w:tcPr>
            <w:tcW w:w="1311" w:type="dxa"/>
            <w:gridSpan w:val="2"/>
          </w:tcPr>
          <w:p w:rsidR="00C71AF3" w:rsidRPr="005E1103" w:rsidRDefault="00C71AF3" w:rsidP="00C71AF3">
            <w:pPr>
              <w:spacing w:line="240" w:lineRule="auto"/>
              <w:jc w:val="center"/>
              <w:rPr>
                <w:rFonts w:cstheme="minorHAnsi"/>
                <w:sz w:val="28"/>
                <w:szCs w:val="28"/>
              </w:rPr>
            </w:pPr>
            <w:r w:rsidRPr="005E1103">
              <w:rPr>
                <w:rFonts w:cstheme="minorHAnsi"/>
                <w:sz w:val="28"/>
                <w:szCs w:val="28"/>
              </w:rPr>
              <w:t>Varón</w:t>
            </w:r>
          </w:p>
        </w:tc>
        <w:tc>
          <w:tcPr>
            <w:tcW w:w="1406" w:type="dxa"/>
            <w:gridSpan w:val="2"/>
          </w:tcPr>
          <w:p w:rsidR="00C71AF3" w:rsidRPr="005E1103" w:rsidRDefault="00C71AF3" w:rsidP="00C71AF3">
            <w:pPr>
              <w:spacing w:line="240" w:lineRule="auto"/>
              <w:jc w:val="center"/>
              <w:rPr>
                <w:rFonts w:cstheme="minorHAnsi"/>
                <w:sz w:val="28"/>
                <w:szCs w:val="28"/>
              </w:rPr>
            </w:pPr>
            <w:r w:rsidRPr="005E1103">
              <w:rPr>
                <w:rFonts w:cstheme="minorHAnsi"/>
                <w:sz w:val="28"/>
                <w:szCs w:val="28"/>
              </w:rPr>
              <w:t>TDA</w:t>
            </w:r>
          </w:p>
        </w:tc>
        <w:tc>
          <w:tcPr>
            <w:tcW w:w="1094" w:type="dxa"/>
          </w:tcPr>
          <w:p w:rsidR="00C71AF3" w:rsidRPr="005E1103" w:rsidRDefault="00C71AF3" w:rsidP="00C71AF3">
            <w:pPr>
              <w:spacing w:line="240" w:lineRule="auto"/>
              <w:jc w:val="center"/>
              <w:rPr>
                <w:rFonts w:cstheme="minorHAnsi"/>
                <w:sz w:val="28"/>
                <w:szCs w:val="28"/>
              </w:rPr>
            </w:pPr>
            <w:r w:rsidRPr="005E1103">
              <w:rPr>
                <w:rFonts w:cstheme="minorHAnsi"/>
                <w:sz w:val="28"/>
                <w:szCs w:val="28"/>
              </w:rPr>
              <w:t>2013</w:t>
            </w:r>
          </w:p>
        </w:tc>
        <w:tc>
          <w:tcPr>
            <w:tcW w:w="4829" w:type="dxa"/>
          </w:tcPr>
          <w:p w:rsidR="00C71AF3" w:rsidRPr="005E1103" w:rsidRDefault="00C71AF3" w:rsidP="00C71AF3">
            <w:pPr>
              <w:spacing w:line="240" w:lineRule="auto"/>
              <w:jc w:val="center"/>
              <w:rPr>
                <w:rFonts w:cstheme="minorHAnsi"/>
                <w:sz w:val="28"/>
                <w:szCs w:val="28"/>
              </w:rPr>
            </w:pPr>
            <w:r w:rsidRPr="005E1103">
              <w:rPr>
                <w:rFonts w:cstheme="minorHAnsi"/>
                <w:sz w:val="28"/>
                <w:szCs w:val="28"/>
              </w:rPr>
              <w:t>Grado en Maestro de Educación Primaria</w:t>
            </w:r>
          </w:p>
        </w:tc>
      </w:tr>
      <w:tr w:rsidR="00C71AF3" w:rsidRPr="005E1103" w:rsidTr="00C71AF3">
        <w:trPr>
          <w:trHeight w:val="227"/>
        </w:trPr>
        <w:tc>
          <w:tcPr>
            <w:tcW w:w="1311" w:type="dxa"/>
            <w:gridSpan w:val="2"/>
          </w:tcPr>
          <w:p w:rsidR="00C71AF3" w:rsidRPr="005E1103" w:rsidRDefault="00C71AF3" w:rsidP="00C71AF3">
            <w:pPr>
              <w:spacing w:line="240" w:lineRule="auto"/>
              <w:jc w:val="center"/>
              <w:rPr>
                <w:rFonts w:cstheme="minorHAnsi"/>
                <w:sz w:val="28"/>
                <w:szCs w:val="28"/>
              </w:rPr>
            </w:pPr>
            <w:r w:rsidRPr="005E1103">
              <w:rPr>
                <w:rFonts w:cstheme="minorHAnsi"/>
                <w:sz w:val="28"/>
                <w:szCs w:val="28"/>
              </w:rPr>
              <w:t>Varón</w:t>
            </w:r>
          </w:p>
        </w:tc>
        <w:tc>
          <w:tcPr>
            <w:tcW w:w="1406" w:type="dxa"/>
            <w:gridSpan w:val="2"/>
          </w:tcPr>
          <w:p w:rsidR="00C71AF3" w:rsidRPr="005E1103" w:rsidRDefault="00C71AF3" w:rsidP="00C71AF3">
            <w:pPr>
              <w:spacing w:line="240" w:lineRule="auto"/>
              <w:jc w:val="center"/>
              <w:rPr>
                <w:rFonts w:cstheme="minorHAnsi"/>
                <w:sz w:val="28"/>
                <w:szCs w:val="28"/>
              </w:rPr>
            </w:pPr>
            <w:r w:rsidRPr="005E1103">
              <w:rPr>
                <w:rFonts w:cstheme="minorHAnsi"/>
                <w:sz w:val="28"/>
                <w:szCs w:val="28"/>
              </w:rPr>
              <w:t>TDAH/ST</w:t>
            </w:r>
            <w:r w:rsidRPr="005E1103">
              <w:rPr>
                <w:rStyle w:val="Refdenotaalpie"/>
                <w:rFonts w:cstheme="minorHAnsi"/>
                <w:sz w:val="28"/>
                <w:szCs w:val="28"/>
              </w:rPr>
              <w:footnoteReference w:id="12"/>
            </w:r>
          </w:p>
        </w:tc>
        <w:tc>
          <w:tcPr>
            <w:tcW w:w="1094" w:type="dxa"/>
          </w:tcPr>
          <w:p w:rsidR="00C71AF3" w:rsidRPr="005E1103" w:rsidRDefault="00C71AF3" w:rsidP="00C71AF3">
            <w:pPr>
              <w:spacing w:line="240" w:lineRule="auto"/>
              <w:jc w:val="center"/>
              <w:rPr>
                <w:rFonts w:cstheme="minorHAnsi"/>
                <w:sz w:val="28"/>
                <w:szCs w:val="28"/>
              </w:rPr>
            </w:pPr>
            <w:r w:rsidRPr="005E1103">
              <w:rPr>
                <w:rFonts w:cstheme="minorHAnsi"/>
                <w:sz w:val="28"/>
                <w:szCs w:val="28"/>
              </w:rPr>
              <w:t>2013</w:t>
            </w:r>
          </w:p>
        </w:tc>
        <w:tc>
          <w:tcPr>
            <w:tcW w:w="4829" w:type="dxa"/>
          </w:tcPr>
          <w:p w:rsidR="00C71AF3" w:rsidRPr="005E1103" w:rsidRDefault="00C71AF3" w:rsidP="00C71AF3">
            <w:pPr>
              <w:spacing w:line="240" w:lineRule="auto"/>
              <w:jc w:val="center"/>
              <w:rPr>
                <w:rFonts w:cstheme="minorHAnsi"/>
                <w:sz w:val="28"/>
                <w:szCs w:val="28"/>
              </w:rPr>
            </w:pPr>
            <w:r w:rsidRPr="005E1103">
              <w:rPr>
                <w:rFonts w:cstheme="minorHAnsi"/>
                <w:sz w:val="28"/>
                <w:szCs w:val="28"/>
              </w:rPr>
              <w:t>Grado en Finanzas y Contabilidad (FICO)</w:t>
            </w:r>
          </w:p>
        </w:tc>
      </w:tr>
      <w:tr w:rsidR="00C71AF3" w:rsidRPr="005E1103" w:rsidTr="00C71AF3">
        <w:trPr>
          <w:trHeight w:val="227"/>
        </w:trPr>
        <w:tc>
          <w:tcPr>
            <w:tcW w:w="1311" w:type="dxa"/>
            <w:gridSpan w:val="2"/>
          </w:tcPr>
          <w:p w:rsidR="00C71AF3" w:rsidRPr="005E1103" w:rsidRDefault="00C71AF3" w:rsidP="00C71AF3">
            <w:pPr>
              <w:spacing w:line="240" w:lineRule="auto"/>
              <w:jc w:val="center"/>
              <w:rPr>
                <w:rFonts w:cstheme="minorHAnsi"/>
                <w:sz w:val="28"/>
                <w:szCs w:val="28"/>
              </w:rPr>
            </w:pPr>
            <w:r w:rsidRPr="005E1103">
              <w:rPr>
                <w:rFonts w:cstheme="minorHAnsi"/>
                <w:sz w:val="28"/>
                <w:szCs w:val="28"/>
              </w:rPr>
              <w:t>Varón</w:t>
            </w:r>
          </w:p>
        </w:tc>
        <w:tc>
          <w:tcPr>
            <w:tcW w:w="1406" w:type="dxa"/>
            <w:gridSpan w:val="2"/>
          </w:tcPr>
          <w:p w:rsidR="00C71AF3" w:rsidRPr="005E1103" w:rsidRDefault="00C71AF3" w:rsidP="00C71AF3">
            <w:pPr>
              <w:spacing w:line="240" w:lineRule="auto"/>
              <w:jc w:val="center"/>
              <w:rPr>
                <w:rFonts w:cstheme="minorHAnsi"/>
                <w:sz w:val="28"/>
                <w:szCs w:val="28"/>
              </w:rPr>
            </w:pPr>
            <w:r w:rsidRPr="005E1103">
              <w:rPr>
                <w:rFonts w:cstheme="minorHAnsi"/>
                <w:sz w:val="28"/>
                <w:szCs w:val="28"/>
              </w:rPr>
              <w:t>TDA</w:t>
            </w:r>
          </w:p>
        </w:tc>
        <w:tc>
          <w:tcPr>
            <w:tcW w:w="1094" w:type="dxa"/>
          </w:tcPr>
          <w:p w:rsidR="00C71AF3" w:rsidRPr="005E1103" w:rsidRDefault="00C71AF3" w:rsidP="00C71AF3">
            <w:pPr>
              <w:spacing w:line="240" w:lineRule="auto"/>
              <w:jc w:val="center"/>
              <w:rPr>
                <w:rFonts w:cstheme="minorHAnsi"/>
                <w:sz w:val="28"/>
                <w:szCs w:val="28"/>
              </w:rPr>
            </w:pPr>
            <w:r w:rsidRPr="005E1103">
              <w:rPr>
                <w:rFonts w:cstheme="minorHAnsi"/>
                <w:sz w:val="28"/>
                <w:szCs w:val="28"/>
              </w:rPr>
              <w:t>2014</w:t>
            </w:r>
          </w:p>
        </w:tc>
        <w:tc>
          <w:tcPr>
            <w:tcW w:w="4829" w:type="dxa"/>
          </w:tcPr>
          <w:p w:rsidR="00C71AF3" w:rsidRPr="005E1103" w:rsidRDefault="00C71AF3" w:rsidP="00C71AF3">
            <w:pPr>
              <w:spacing w:line="240" w:lineRule="auto"/>
              <w:jc w:val="center"/>
              <w:rPr>
                <w:rFonts w:cstheme="minorHAnsi"/>
                <w:sz w:val="28"/>
                <w:szCs w:val="28"/>
              </w:rPr>
            </w:pPr>
            <w:r w:rsidRPr="005E1103">
              <w:rPr>
                <w:rFonts w:cstheme="minorHAnsi"/>
                <w:sz w:val="28"/>
                <w:szCs w:val="28"/>
              </w:rPr>
              <w:t>Grado en Maestro de Educación Primaria</w:t>
            </w:r>
          </w:p>
        </w:tc>
      </w:tr>
      <w:tr w:rsidR="00C71AF3" w:rsidRPr="005E1103" w:rsidTr="00C71AF3">
        <w:trPr>
          <w:trHeight w:val="138"/>
        </w:trPr>
        <w:tc>
          <w:tcPr>
            <w:tcW w:w="1311" w:type="dxa"/>
            <w:gridSpan w:val="2"/>
            <w:tcBorders>
              <w:bottom w:val="single" w:sz="4" w:space="0" w:color="auto"/>
            </w:tcBorders>
          </w:tcPr>
          <w:p w:rsidR="00C71AF3" w:rsidRPr="005E1103" w:rsidRDefault="00C71AF3" w:rsidP="00C71AF3">
            <w:pPr>
              <w:spacing w:line="240" w:lineRule="auto"/>
              <w:jc w:val="center"/>
              <w:rPr>
                <w:rFonts w:cstheme="minorHAnsi"/>
                <w:sz w:val="28"/>
                <w:szCs w:val="28"/>
              </w:rPr>
            </w:pPr>
            <w:r w:rsidRPr="005E1103">
              <w:rPr>
                <w:rFonts w:cstheme="minorHAnsi"/>
                <w:sz w:val="28"/>
                <w:szCs w:val="28"/>
              </w:rPr>
              <w:t>Varón</w:t>
            </w:r>
          </w:p>
        </w:tc>
        <w:tc>
          <w:tcPr>
            <w:tcW w:w="1406" w:type="dxa"/>
            <w:gridSpan w:val="2"/>
          </w:tcPr>
          <w:p w:rsidR="00C71AF3" w:rsidRPr="005E1103" w:rsidRDefault="00C71AF3" w:rsidP="00C71AF3">
            <w:pPr>
              <w:spacing w:line="240" w:lineRule="auto"/>
              <w:jc w:val="center"/>
              <w:rPr>
                <w:rFonts w:cstheme="minorHAnsi"/>
                <w:sz w:val="28"/>
                <w:szCs w:val="28"/>
              </w:rPr>
            </w:pPr>
            <w:r w:rsidRPr="005E1103">
              <w:rPr>
                <w:rFonts w:cstheme="minorHAnsi"/>
                <w:sz w:val="28"/>
                <w:szCs w:val="28"/>
              </w:rPr>
              <w:t>SA</w:t>
            </w:r>
            <w:r w:rsidRPr="005E1103">
              <w:rPr>
                <w:rStyle w:val="Refdenotaalpie"/>
                <w:rFonts w:cstheme="minorHAnsi"/>
                <w:sz w:val="28"/>
                <w:szCs w:val="28"/>
              </w:rPr>
              <w:footnoteReference w:id="13"/>
            </w:r>
            <w:r w:rsidRPr="005E1103">
              <w:rPr>
                <w:rFonts w:cstheme="minorHAnsi"/>
                <w:sz w:val="28"/>
                <w:szCs w:val="28"/>
              </w:rPr>
              <w:t>/TDAH</w:t>
            </w:r>
          </w:p>
        </w:tc>
        <w:tc>
          <w:tcPr>
            <w:tcW w:w="1094" w:type="dxa"/>
          </w:tcPr>
          <w:p w:rsidR="00C71AF3" w:rsidRPr="005E1103" w:rsidRDefault="00C71AF3" w:rsidP="00C71AF3">
            <w:pPr>
              <w:spacing w:line="240" w:lineRule="auto"/>
              <w:jc w:val="center"/>
              <w:rPr>
                <w:rFonts w:cstheme="minorHAnsi"/>
                <w:sz w:val="28"/>
                <w:szCs w:val="28"/>
              </w:rPr>
            </w:pPr>
            <w:r w:rsidRPr="005E1103">
              <w:rPr>
                <w:rFonts w:cstheme="minorHAnsi"/>
                <w:sz w:val="28"/>
                <w:szCs w:val="28"/>
              </w:rPr>
              <w:t>2014</w:t>
            </w:r>
          </w:p>
        </w:tc>
        <w:tc>
          <w:tcPr>
            <w:tcW w:w="4829" w:type="dxa"/>
          </w:tcPr>
          <w:p w:rsidR="00C71AF3" w:rsidRPr="005E1103" w:rsidRDefault="00C71AF3" w:rsidP="00C71AF3">
            <w:pPr>
              <w:spacing w:line="240" w:lineRule="auto"/>
              <w:jc w:val="center"/>
              <w:rPr>
                <w:rFonts w:cstheme="minorHAnsi"/>
                <w:sz w:val="28"/>
                <w:szCs w:val="28"/>
              </w:rPr>
            </w:pPr>
            <w:r w:rsidRPr="005E1103">
              <w:rPr>
                <w:rFonts w:cstheme="minorHAnsi"/>
                <w:sz w:val="28"/>
                <w:szCs w:val="28"/>
              </w:rPr>
              <w:t>Grado en Química</w:t>
            </w:r>
          </w:p>
        </w:tc>
      </w:tr>
    </w:tbl>
    <w:p w:rsidR="00C71AF3" w:rsidRPr="005E1103" w:rsidRDefault="00C71AF3" w:rsidP="00C71AF3">
      <w:pPr>
        <w:spacing w:after="120" w:line="240" w:lineRule="auto"/>
        <w:jc w:val="both"/>
        <w:rPr>
          <w:rFonts w:cstheme="minorHAnsi"/>
          <w:sz w:val="28"/>
          <w:szCs w:val="28"/>
        </w:rPr>
      </w:pPr>
    </w:p>
    <w:p w:rsidR="006A7F21" w:rsidRDefault="006A7F21" w:rsidP="00C71AF3">
      <w:pPr>
        <w:spacing w:after="120" w:line="360" w:lineRule="auto"/>
        <w:jc w:val="both"/>
        <w:rPr>
          <w:rFonts w:cstheme="minorHAnsi"/>
          <w:sz w:val="28"/>
          <w:szCs w:val="28"/>
        </w:rPr>
      </w:pPr>
    </w:p>
    <w:p w:rsidR="006A7F21" w:rsidRDefault="006A7F21" w:rsidP="00C71AF3">
      <w:pPr>
        <w:spacing w:after="120" w:line="360" w:lineRule="auto"/>
        <w:jc w:val="both"/>
        <w:rPr>
          <w:rFonts w:cstheme="minorHAnsi"/>
          <w:sz w:val="28"/>
          <w:szCs w:val="28"/>
        </w:rPr>
      </w:pPr>
    </w:p>
    <w:p w:rsidR="006A7F21" w:rsidRDefault="006A7F21" w:rsidP="00C71AF3">
      <w:pPr>
        <w:spacing w:after="120" w:line="360" w:lineRule="auto"/>
        <w:jc w:val="both"/>
        <w:rPr>
          <w:rFonts w:cstheme="minorHAnsi"/>
          <w:sz w:val="28"/>
          <w:szCs w:val="28"/>
        </w:rPr>
      </w:pPr>
    </w:p>
    <w:p w:rsidR="006A7F21" w:rsidRDefault="006A7F21" w:rsidP="00C71AF3">
      <w:pPr>
        <w:spacing w:after="120" w:line="360" w:lineRule="auto"/>
        <w:jc w:val="both"/>
        <w:rPr>
          <w:rFonts w:cstheme="minorHAnsi"/>
          <w:sz w:val="28"/>
          <w:szCs w:val="28"/>
        </w:rPr>
      </w:pPr>
    </w:p>
    <w:p w:rsidR="00C71AF3" w:rsidRPr="005E1103" w:rsidRDefault="00C71AF3" w:rsidP="00C71AF3">
      <w:pPr>
        <w:spacing w:after="120" w:line="360" w:lineRule="auto"/>
        <w:jc w:val="both"/>
        <w:rPr>
          <w:rFonts w:cstheme="minorHAnsi"/>
          <w:sz w:val="28"/>
          <w:szCs w:val="28"/>
        </w:rPr>
      </w:pPr>
      <w:r w:rsidRPr="005E1103">
        <w:rPr>
          <w:rFonts w:cstheme="minorHAnsi"/>
          <w:sz w:val="28"/>
          <w:szCs w:val="28"/>
        </w:rPr>
        <w:t xml:space="preserve">Lo que se ha podido comprobar es </w:t>
      </w:r>
      <w:r w:rsidR="006A7F21" w:rsidRPr="005E1103">
        <w:rPr>
          <w:rFonts w:cstheme="minorHAnsi"/>
          <w:sz w:val="28"/>
          <w:szCs w:val="28"/>
        </w:rPr>
        <w:t>que,</w:t>
      </w:r>
      <w:r w:rsidRPr="005E1103">
        <w:rPr>
          <w:rFonts w:cstheme="minorHAnsi"/>
          <w:sz w:val="28"/>
          <w:szCs w:val="28"/>
        </w:rPr>
        <w:t xml:space="preserve"> aunque actualmente ha aumentado el número de estudiantes que solicitan adaptaciones en las pruebas de acceso, tal y como se veía en el gráfico 1, una vez se incorporan a la universidad, no se visibilizan, buscan el anonimato.</w:t>
      </w:r>
    </w:p>
    <w:p w:rsidR="00C71AF3" w:rsidRPr="005E1103" w:rsidRDefault="00C71AF3" w:rsidP="00C71AF3">
      <w:pPr>
        <w:spacing w:after="120" w:line="360" w:lineRule="auto"/>
        <w:jc w:val="both"/>
        <w:rPr>
          <w:rFonts w:cstheme="minorHAnsi"/>
          <w:sz w:val="28"/>
          <w:szCs w:val="28"/>
        </w:rPr>
      </w:pPr>
      <w:r w:rsidRPr="005E1103">
        <w:rPr>
          <w:rFonts w:cstheme="minorHAnsi"/>
          <w:sz w:val="28"/>
          <w:szCs w:val="28"/>
        </w:rPr>
        <w:t xml:space="preserve">Los estudiantes con TDAH, han solicitado, principalmente a la Unidad de Atención a la Diversidad: 1. Planificar los exámenes en horario de mañana con una duración no superior a 90 minutos, en caso de ser superior realizarlos en varias sesiones (dos días) separando por ejemplo la parte teórica de la práctica, para conseguir que su capacidad de concentración y rendimiento fuera mayor. 2. Flexibilizar las fechas de los exámenes con el fin de que haya una separación entre ellos de dos días. 3. Ampliación de tiempo de examen, un 25 % adicional (no siempre la han utilizado). 4. Ubicación en el aula: Situar al alumno en la primera fila cerca del profesor, con el fin de reducir distracciones e incluso en determinados exámenes se propuso hacerlos en aula separada con el fin de controlar que los factores ambientales no fueran tan estresantes. 5. Asegurar la comprensión de los ejercicios/preguntas que tiene que desarrollar así como de las instrucciones relacionadas con el examen (tiempo de ejecución, valor de las preguntas….). 6. En uno de los casos las preguntas del examen se dieron por separado con el fin de controlar el tiempo de ejecución y mejorar su rendimiento. 7. Ignorar (no penalizar) aspectos </w:t>
      </w:r>
      <w:r w:rsidRPr="005E1103">
        <w:rPr>
          <w:rFonts w:cstheme="minorHAnsi"/>
          <w:sz w:val="28"/>
          <w:szCs w:val="28"/>
        </w:rPr>
        <w:lastRenderedPageBreak/>
        <w:t xml:space="preserve">gráficos, o una presentación no muy estructurada del examen, valorando el desarrollo de los contenidos o problemas resueltos. 8. En los exámenes tipo test formular las cuestiones de forma clara y precisa. Les cuesta mucho discriminar cuál es la respuesta correcta. 9. Eximir de la parte de exposición oral o sustituir esa actividad por otra que tenga en cuenta dicha circunstancia (en el caso de Síndrome de Tourette). 10. Y con carácter general informar al profesorado de las dificultades de estos alumnos, generando un cambio de actitudes del profesorado. </w:t>
      </w:r>
    </w:p>
    <w:p w:rsidR="00C71AF3" w:rsidRPr="005E1103" w:rsidRDefault="00C71AF3" w:rsidP="00C71AF3">
      <w:pPr>
        <w:spacing w:after="120" w:line="360" w:lineRule="auto"/>
        <w:jc w:val="both"/>
        <w:rPr>
          <w:rFonts w:cstheme="minorHAnsi"/>
          <w:sz w:val="28"/>
          <w:szCs w:val="28"/>
        </w:rPr>
      </w:pPr>
      <w:r w:rsidRPr="005E1103">
        <w:rPr>
          <w:rFonts w:cstheme="minorHAnsi"/>
          <w:sz w:val="28"/>
          <w:szCs w:val="28"/>
        </w:rPr>
        <w:t>La Unidad ha llevado a cabo una mayor implicación en casos de alumnos con diagnóstico tardío (en bachillerato, incluso en la universidad); alumnos que en las etapas educativas anteriores han sido etiquetados (traviesos, maleducados…) y aquellos que no tenían adaptaciones. En todos los casos el esfuerzo y la superación personal ha sido elemento motivador para conseguir finalizar sus estudios y la familia ha constituido un gran apoyo a nivel emocional, educativo (ayudas en las tareas o con profesor particular) y social. En muchos casos los estudiantes han canalizado mucha de su energía a través del deporte, llegando alguno de ellos a ser deportistas destacados.</w:t>
      </w:r>
    </w:p>
    <w:p w:rsidR="00C71AF3" w:rsidRPr="005E1103" w:rsidRDefault="00C71AF3" w:rsidP="00C71AF3">
      <w:pPr>
        <w:spacing w:after="120" w:line="360" w:lineRule="auto"/>
        <w:ind w:right="44"/>
        <w:jc w:val="both"/>
        <w:rPr>
          <w:rFonts w:cstheme="minorHAnsi"/>
          <w:sz w:val="28"/>
          <w:szCs w:val="28"/>
        </w:rPr>
      </w:pPr>
      <w:r w:rsidRPr="005E1103">
        <w:rPr>
          <w:rFonts w:cstheme="minorHAnsi"/>
          <w:b/>
          <w:color w:val="000000"/>
          <w:sz w:val="28"/>
          <w:szCs w:val="28"/>
        </w:rPr>
        <w:t>PARA FINALIZAR</w:t>
      </w:r>
    </w:p>
    <w:p w:rsidR="00C71AF3" w:rsidRPr="005E1103" w:rsidRDefault="00C71AF3" w:rsidP="00C71AF3">
      <w:pPr>
        <w:pStyle w:val="NormalWeb"/>
        <w:spacing w:before="0" w:beforeAutospacing="0" w:after="120" w:afterAutospacing="0" w:line="360" w:lineRule="auto"/>
        <w:jc w:val="both"/>
        <w:rPr>
          <w:rFonts w:asciiTheme="minorHAnsi" w:hAnsiTheme="minorHAnsi" w:cstheme="minorHAnsi"/>
          <w:sz w:val="28"/>
          <w:szCs w:val="28"/>
        </w:rPr>
      </w:pPr>
      <w:r w:rsidRPr="005E1103">
        <w:rPr>
          <w:rFonts w:asciiTheme="minorHAnsi" w:hAnsiTheme="minorHAnsi" w:cstheme="minorHAnsi"/>
          <w:sz w:val="28"/>
          <w:szCs w:val="28"/>
        </w:rPr>
        <w:t>Garantizar el éxito de un estudiante con TDA/H en el nivel universitario no tiene porqué ser complejo si consideramos una serie de aspectos que pueden influir en ello. Aspectos que implican al propio estudiante, a su familia, a la institución universitaria, a los profesionales del ámbito académico de la educación superior y a todos los profesionales del ámbito sanitario y educativo encargados de potenciar la detección, el diagnóstico y el tratamiento adecuados y en edades tempranas. No hay que olvidar que en muchos casos el tratamiento médico junto con las adaptaciones académicas y otros apoyos, constituyen las medidas más útiles para facilitar que los estudiantes con TDA/H muestren su potencial en la universidad.</w:t>
      </w:r>
    </w:p>
    <w:p w:rsidR="00C71AF3" w:rsidRPr="005E1103" w:rsidRDefault="00C71AF3" w:rsidP="00C71AF3">
      <w:pPr>
        <w:pStyle w:val="NormalWeb"/>
        <w:spacing w:before="0" w:beforeAutospacing="0" w:after="120" w:afterAutospacing="0" w:line="360" w:lineRule="auto"/>
        <w:jc w:val="both"/>
        <w:rPr>
          <w:rFonts w:asciiTheme="minorHAnsi" w:hAnsiTheme="minorHAnsi" w:cstheme="minorHAnsi"/>
          <w:sz w:val="28"/>
          <w:szCs w:val="28"/>
          <w:lang w:val="es-ES_tradnl"/>
        </w:rPr>
      </w:pPr>
      <w:r w:rsidRPr="005E1103">
        <w:rPr>
          <w:rFonts w:asciiTheme="minorHAnsi" w:hAnsiTheme="minorHAnsi" w:cstheme="minorHAnsi"/>
          <w:sz w:val="28"/>
          <w:szCs w:val="28"/>
        </w:rPr>
        <w:lastRenderedPageBreak/>
        <w:t xml:space="preserve">Es importante insistir en que </w:t>
      </w:r>
      <w:r w:rsidRPr="005E1103">
        <w:rPr>
          <w:rFonts w:asciiTheme="minorHAnsi" w:hAnsiTheme="minorHAnsi" w:cstheme="minorHAnsi"/>
          <w:sz w:val="28"/>
          <w:szCs w:val="28"/>
          <w:lang w:val="es-ES_tradnl"/>
        </w:rPr>
        <w:t xml:space="preserve">el acceso de los estudiantes con TDA/H a la universidad no es suficiente, es preciso introducir en los planteamientos pedagógicos e institucionales cambios previos que faciliten el uso y la disposición de los recursos tecnológicos y humanos necesarios para garantizar que estos estudiantes tengan igualdad de oportunidades. Se </w:t>
      </w:r>
      <w:r w:rsidR="006A7F21" w:rsidRPr="005E1103">
        <w:rPr>
          <w:rFonts w:asciiTheme="minorHAnsi" w:hAnsiTheme="minorHAnsi" w:cstheme="minorHAnsi"/>
          <w:sz w:val="28"/>
          <w:szCs w:val="28"/>
          <w:lang w:val="es-ES_tradnl"/>
        </w:rPr>
        <w:t>trata,</w:t>
      </w:r>
      <w:r w:rsidRPr="005E1103">
        <w:rPr>
          <w:rFonts w:asciiTheme="minorHAnsi" w:hAnsiTheme="minorHAnsi" w:cstheme="minorHAnsi"/>
          <w:sz w:val="28"/>
          <w:szCs w:val="28"/>
          <w:lang w:val="es-ES_tradnl"/>
        </w:rPr>
        <w:t xml:space="preserve"> por tanto, de eliminar las barreras físicas y sociales, así como todos aquellos obstáculos, que dificultan la inclusión y entorpecen el proceso formativo de los estudiantes con TDA/H. El acceder a materiales y recursos adaptados a sus necesidades y el proporcionar más información sobre el TDA/H, tanto a profesores como a compañeros constituyen aspectos a tener en cuenta en la atención a estudiantes con esta condición.</w:t>
      </w:r>
    </w:p>
    <w:p w:rsidR="00C71AF3" w:rsidRPr="005E1103" w:rsidRDefault="00C71AF3" w:rsidP="00C71AF3">
      <w:pPr>
        <w:pStyle w:val="NormalWeb"/>
        <w:spacing w:before="0" w:beforeAutospacing="0" w:after="120" w:afterAutospacing="0" w:line="360" w:lineRule="auto"/>
        <w:jc w:val="both"/>
        <w:rPr>
          <w:rFonts w:asciiTheme="minorHAnsi" w:hAnsiTheme="minorHAnsi" w:cstheme="minorHAnsi"/>
          <w:sz w:val="28"/>
          <w:szCs w:val="28"/>
        </w:rPr>
      </w:pPr>
      <w:r w:rsidRPr="005E1103">
        <w:rPr>
          <w:rFonts w:asciiTheme="minorHAnsi" w:hAnsiTheme="minorHAnsi" w:cstheme="minorHAnsi"/>
          <w:sz w:val="28"/>
          <w:szCs w:val="28"/>
        </w:rPr>
        <w:t xml:space="preserve">Asimismo </w:t>
      </w:r>
      <w:r w:rsidRPr="005E1103">
        <w:rPr>
          <w:rStyle w:val="not41"/>
          <w:rFonts w:asciiTheme="minorHAnsi" w:eastAsia="Calibri" w:hAnsiTheme="minorHAnsi" w:cstheme="minorHAnsi"/>
          <w:sz w:val="28"/>
          <w:szCs w:val="28"/>
        </w:rPr>
        <w:t xml:space="preserve">debemos intentar conocer con mayor profundidad a los estudiantes con TDA/H para darnos cuenta de que no todo es negativo en ellos sino que muestran una amplia variedad de cualidades que es preciso valorar. </w:t>
      </w:r>
      <w:r w:rsidRPr="005E1103">
        <w:rPr>
          <w:rFonts w:asciiTheme="minorHAnsi" w:hAnsiTheme="minorHAnsi" w:cstheme="minorHAnsi"/>
          <w:sz w:val="28"/>
          <w:szCs w:val="28"/>
        </w:rPr>
        <w:t>Darse cuenta de sus muchas características positivas, que generalmente pasan desapercibidas, ayuda a cambiar la percepción que se pueda temer de los estudiantes con TDA/H, permitiendo al profesorado la posibilidad de potenciarlas y servirse de ellas en su proceso de enseñanza.</w:t>
      </w:r>
    </w:p>
    <w:p w:rsidR="00C71AF3" w:rsidRPr="005E1103" w:rsidRDefault="00C71AF3" w:rsidP="00C71AF3">
      <w:pPr>
        <w:spacing w:after="120" w:line="360" w:lineRule="auto"/>
        <w:jc w:val="both"/>
        <w:rPr>
          <w:rFonts w:cstheme="minorHAnsi"/>
          <w:sz w:val="28"/>
          <w:szCs w:val="28"/>
          <w:lang w:val="es-ES_tradnl"/>
        </w:rPr>
      </w:pPr>
      <w:r w:rsidRPr="005E1103">
        <w:rPr>
          <w:rFonts w:cstheme="minorHAnsi"/>
          <w:sz w:val="28"/>
          <w:szCs w:val="28"/>
          <w:lang w:val="es-ES_tradnl"/>
        </w:rPr>
        <w:t xml:space="preserve">Oigamos a nuestros protagonistas </w:t>
      </w:r>
    </w:p>
    <w:p w:rsidR="00C71AF3" w:rsidRPr="005E1103" w:rsidRDefault="00C71AF3" w:rsidP="00C71AF3">
      <w:pPr>
        <w:spacing w:after="120" w:line="360" w:lineRule="auto"/>
        <w:ind w:left="709" w:right="44"/>
        <w:jc w:val="both"/>
        <w:rPr>
          <w:rFonts w:cstheme="minorHAnsi"/>
          <w:iCs/>
          <w:sz w:val="28"/>
          <w:szCs w:val="28"/>
        </w:rPr>
      </w:pPr>
      <w:r w:rsidRPr="005E1103">
        <w:rPr>
          <w:rFonts w:cstheme="minorHAnsi"/>
          <w:sz w:val="28"/>
          <w:szCs w:val="28"/>
        </w:rPr>
        <w:t>“</w:t>
      </w:r>
      <w:r w:rsidRPr="005E1103">
        <w:rPr>
          <w:rFonts w:cstheme="minorHAnsi"/>
          <w:iCs/>
          <w:sz w:val="28"/>
          <w:szCs w:val="28"/>
        </w:rPr>
        <w:t>La intervención desde la universidad, mientras trascurren los estudios universitarios es necesaria y de gran valor. Desearíamos que se promocionara más la importante labor de la Unidad de Atención a la Diversidad, realizar un curso introductorio antes de empezar los estudios, una especie de jornada de puertas abiertas con el objetivo de que los estudiantes con estas características y, otras, conozcamos los recursos que existen, las ayudas que podemos recibir, los derechos que tenemos,… trabajar con el profesorado para intentar cambiar sus actitudes, sobre todo con los profesores varones, y luchar por que se impliquen más.</w:t>
      </w:r>
    </w:p>
    <w:p w:rsidR="00C71AF3" w:rsidRPr="005E1103" w:rsidRDefault="00C71AF3" w:rsidP="00C71AF3">
      <w:pPr>
        <w:spacing w:after="120" w:line="360" w:lineRule="auto"/>
        <w:ind w:left="709" w:right="44"/>
        <w:jc w:val="both"/>
        <w:rPr>
          <w:rFonts w:cstheme="minorHAnsi"/>
          <w:iCs/>
          <w:sz w:val="28"/>
          <w:szCs w:val="28"/>
        </w:rPr>
      </w:pPr>
      <w:r w:rsidRPr="005E1103">
        <w:rPr>
          <w:rFonts w:cstheme="minorHAnsi"/>
          <w:iCs/>
          <w:sz w:val="28"/>
          <w:szCs w:val="28"/>
        </w:rPr>
        <w:lastRenderedPageBreak/>
        <w:t>La continua dedicación y el apoyo constante de nuestros padres ha sido fundamental, sin ellos no habríamos podido conseguir finalizar estos estudios universitarios.</w:t>
      </w:r>
    </w:p>
    <w:p w:rsidR="00C71AF3" w:rsidRPr="005E1103" w:rsidRDefault="00C71AF3" w:rsidP="00C71AF3">
      <w:pPr>
        <w:spacing w:after="120" w:line="360" w:lineRule="auto"/>
        <w:ind w:left="709" w:right="44"/>
        <w:jc w:val="both"/>
        <w:rPr>
          <w:rFonts w:cstheme="minorHAnsi"/>
          <w:i/>
          <w:iCs/>
          <w:sz w:val="28"/>
          <w:szCs w:val="28"/>
        </w:rPr>
      </w:pPr>
      <w:r w:rsidRPr="005E1103">
        <w:rPr>
          <w:rFonts w:cstheme="minorHAnsi"/>
          <w:iCs/>
          <w:color w:val="080000"/>
          <w:sz w:val="28"/>
          <w:szCs w:val="28"/>
        </w:rPr>
        <w:t>La necesidad constante de actividad, si se orienta correctamente, puede resultar altamente beneficiosa</w:t>
      </w:r>
      <w:r w:rsidRPr="005E1103">
        <w:rPr>
          <w:rFonts w:cstheme="minorHAnsi"/>
          <w:iCs/>
          <w:sz w:val="28"/>
          <w:szCs w:val="28"/>
        </w:rPr>
        <w:t xml:space="preserve">. Desde la universidad hay que intentar cambiar la forma de mirar a los estudiantes con TDA/H, en general somos </w:t>
      </w:r>
      <w:r w:rsidRPr="005E1103">
        <w:rPr>
          <w:rFonts w:cstheme="minorHAnsi"/>
          <w:iCs/>
          <w:color w:val="080000"/>
          <w:sz w:val="28"/>
          <w:szCs w:val="28"/>
        </w:rPr>
        <w:t>personas muy creativas y productivas.</w:t>
      </w:r>
      <w:r w:rsidRPr="005E1103">
        <w:rPr>
          <w:rFonts w:cstheme="minorHAnsi"/>
          <w:iCs/>
          <w:sz w:val="28"/>
          <w:szCs w:val="28"/>
        </w:rPr>
        <w:t xml:space="preserve"> Acudimos a la universidad porque queremos aprender, estamos muy motivados, somos muy activos y nos esforzamos por lograr nuestros sueños</w:t>
      </w:r>
      <w:r w:rsidRPr="005E1103">
        <w:rPr>
          <w:rFonts w:cstheme="minorHAnsi"/>
          <w:i/>
          <w:iCs/>
          <w:sz w:val="28"/>
          <w:szCs w:val="28"/>
        </w:rPr>
        <w:t xml:space="preserve">” </w:t>
      </w:r>
    </w:p>
    <w:p w:rsidR="00C71AF3" w:rsidRPr="005E1103" w:rsidRDefault="00C71AF3" w:rsidP="00C71AF3">
      <w:pPr>
        <w:spacing w:after="120" w:line="360" w:lineRule="auto"/>
        <w:jc w:val="both"/>
        <w:rPr>
          <w:rFonts w:cstheme="minorHAnsi"/>
          <w:sz w:val="28"/>
          <w:szCs w:val="28"/>
          <w:lang w:val="es-ES_tradnl"/>
        </w:rPr>
      </w:pPr>
      <w:r w:rsidRPr="005E1103">
        <w:rPr>
          <w:rFonts w:cstheme="minorHAnsi"/>
          <w:sz w:val="28"/>
          <w:szCs w:val="28"/>
          <w:lang w:val="es-ES_tradnl"/>
        </w:rPr>
        <w:t>Hacer posible que estos alumnos alcancen un nivel académico más coherente con el que les corresponde (en función de su capacidad intelectual y su nivel de comprensión) está en nuestras manos. Tenemos que seguir luchando por hacer más visible este trastorno intentando un acercamiento a la sociedad, y, este congreso constituye una manera óptima de conseguirlo.</w:t>
      </w:r>
    </w:p>
    <w:p w:rsidR="00C71AF3" w:rsidRPr="005E1103" w:rsidRDefault="00C71AF3" w:rsidP="00C71AF3">
      <w:pPr>
        <w:spacing w:after="120" w:line="360" w:lineRule="auto"/>
        <w:jc w:val="both"/>
        <w:rPr>
          <w:rFonts w:cstheme="minorHAnsi"/>
          <w:sz w:val="28"/>
          <w:szCs w:val="28"/>
          <w:lang w:val="es-ES_tradnl"/>
        </w:rPr>
      </w:pPr>
    </w:p>
    <w:p w:rsidR="00C71AF3" w:rsidRPr="005E1103" w:rsidRDefault="00C71AF3" w:rsidP="00C71AF3">
      <w:pPr>
        <w:spacing w:after="120" w:line="360" w:lineRule="auto"/>
        <w:jc w:val="both"/>
        <w:rPr>
          <w:rFonts w:cstheme="minorHAnsi"/>
          <w:b/>
          <w:sz w:val="28"/>
          <w:szCs w:val="28"/>
          <w:lang w:val="en-US"/>
        </w:rPr>
      </w:pPr>
      <w:r w:rsidRPr="005E1103">
        <w:rPr>
          <w:rFonts w:cstheme="minorHAnsi"/>
          <w:b/>
          <w:sz w:val="28"/>
          <w:szCs w:val="28"/>
          <w:lang w:val="en-US"/>
        </w:rPr>
        <w:t>REFERENCIAS BIBLIOGRÁFICAS</w:t>
      </w:r>
    </w:p>
    <w:p w:rsidR="00C71AF3" w:rsidRPr="005E1103" w:rsidRDefault="00C71AF3" w:rsidP="00C71AF3">
      <w:pPr>
        <w:spacing w:after="120" w:line="360" w:lineRule="auto"/>
        <w:jc w:val="both"/>
        <w:rPr>
          <w:rFonts w:cstheme="minorHAnsi"/>
          <w:sz w:val="28"/>
          <w:szCs w:val="28"/>
        </w:rPr>
      </w:pPr>
      <w:r w:rsidRPr="005E1103">
        <w:rPr>
          <w:rFonts w:cstheme="minorHAnsi"/>
          <w:color w:val="000000"/>
          <w:sz w:val="28"/>
          <w:szCs w:val="28"/>
          <w:lang w:val="en-GB"/>
        </w:rPr>
        <w:t xml:space="preserve">Barkley, R., Cook, E., Diamond, A., Zametkin, A., Thapar, A., Teeter, A. et al., (2002). International consensus statement an ADHD. </w:t>
      </w:r>
      <w:r w:rsidRPr="005E1103">
        <w:rPr>
          <w:rFonts w:cstheme="minorHAnsi"/>
          <w:i/>
          <w:color w:val="000000"/>
          <w:sz w:val="28"/>
          <w:szCs w:val="28"/>
        </w:rPr>
        <w:t>Clinical Child and Family Psychology Review, 5 (2),</w:t>
      </w:r>
      <w:r w:rsidRPr="005E1103">
        <w:rPr>
          <w:rFonts w:cstheme="minorHAnsi"/>
          <w:color w:val="000000"/>
          <w:sz w:val="28"/>
          <w:szCs w:val="28"/>
        </w:rPr>
        <w:t xml:space="preserve"> 89-111</w:t>
      </w:r>
    </w:p>
    <w:p w:rsidR="00C71AF3" w:rsidRPr="005E1103" w:rsidRDefault="00C71AF3" w:rsidP="00C71AF3">
      <w:pPr>
        <w:spacing w:after="120" w:line="360" w:lineRule="auto"/>
        <w:jc w:val="both"/>
        <w:rPr>
          <w:rFonts w:cstheme="minorHAnsi"/>
          <w:color w:val="000000"/>
          <w:sz w:val="28"/>
          <w:szCs w:val="28"/>
        </w:rPr>
      </w:pPr>
      <w:r w:rsidRPr="005E1103">
        <w:rPr>
          <w:rFonts w:cstheme="minorHAnsi"/>
          <w:sz w:val="28"/>
          <w:szCs w:val="28"/>
        </w:rPr>
        <w:t>Beltran, M. (2008</w:t>
      </w:r>
      <w:r w:rsidRPr="005E1103">
        <w:rPr>
          <w:rFonts w:cstheme="minorHAnsi"/>
          <w:i/>
          <w:sz w:val="28"/>
          <w:szCs w:val="28"/>
        </w:rPr>
        <w:t xml:space="preserve">). </w:t>
      </w:r>
      <w:r w:rsidRPr="005E1103">
        <w:rPr>
          <w:rFonts w:cstheme="minorHAnsi"/>
          <w:i/>
          <w:color w:val="000000"/>
          <w:sz w:val="28"/>
          <w:szCs w:val="28"/>
        </w:rPr>
        <w:t>Selectividad más acta para hiperactivos. Los exámenes empiezan a tener en cuenta el TDAH</w:t>
      </w:r>
      <w:r w:rsidRPr="005E1103">
        <w:rPr>
          <w:rFonts w:cstheme="minorHAnsi"/>
          <w:color w:val="000000"/>
          <w:sz w:val="28"/>
          <w:szCs w:val="28"/>
        </w:rPr>
        <w:t xml:space="preserve">. Diario La Vanguardia. Recuperado de </w:t>
      </w:r>
      <w:hyperlink r:id="rId48" w:history="1">
        <w:r w:rsidRPr="005E1103">
          <w:rPr>
            <w:rStyle w:val="Hipervnculo"/>
            <w:rFonts w:cstheme="minorHAnsi"/>
            <w:sz w:val="28"/>
            <w:szCs w:val="28"/>
          </w:rPr>
          <w:t>http://www.lavanguardia.com/vida/20080513/53462730158/selectividad-mas-apta-para hiperactivos.html</w:t>
        </w:r>
      </w:hyperlink>
    </w:p>
    <w:p w:rsidR="00C71AF3" w:rsidRPr="005E1103" w:rsidRDefault="00C71AF3" w:rsidP="00C71AF3">
      <w:pPr>
        <w:pStyle w:val="Default"/>
        <w:spacing w:after="120" w:line="360" w:lineRule="auto"/>
        <w:jc w:val="both"/>
        <w:rPr>
          <w:rFonts w:asciiTheme="minorHAnsi" w:hAnsiTheme="minorHAnsi" w:cstheme="minorHAnsi"/>
          <w:sz w:val="28"/>
          <w:szCs w:val="28"/>
        </w:rPr>
      </w:pPr>
      <w:r w:rsidRPr="005E1103">
        <w:rPr>
          <w:rFonts w:asciiTheme="minorHAnsi" w:hAnsiTheme="minorHAnsi" w:cstheme="minorHAnsi"/>
          <w:sz w:val="28"/>
          <w:szCs w:val="28"/>
        </w:rPr>
        <w:t xml:space="preserve">Casado, R., Collado, M., Greca, I., Lara, A.M., López, P. y Tricio, V. (2010). </w:t>
      </w:r>
      <w:r w:rsidRPr="005E1103">
        <w:rPr>
          <w:rFonts w:asciiTheme="minorHAnsi" w:hAnsiTheme="minorHAnsi" w:cstheme="minorHAnsi"/>
          <w:i/>
          <w:sz w:val="28"/>
          <w:szCs w:val="28"/>
        </w:rPr>
        <w:t>Guía de apoyo a los tutores</w:t>
      </w:r>
      <w:r w:rsidRPr="005E1103">
        <w:rPr>
          <w:rFonts w:asciiTheme="minorHAnsi" w:hAnsiTheme="minorHAnsi" w:cstheme="minorHAnsi"/>
          <w:sz w:val="28"/>
          <w:szCs w:val="28"/>
        </w:rPr>
        <w:t>. Burgos: Servicio de Publicaciones e Imagen Institucional de la UBU.</w:t>
      </w:r>
    </w:p>
    <w:p w:rsidR="00C71AF3" w:rsidRPr="005E1103" w:rsidRDefault="00C71AF3" w:rsidP="00C71AF3">
      <w:pPr>
        <w:spacing w:after="120" w:line="360" w:lineRule="auto"/>
        <w:jc w:val="both"/>
        <w:rPr>
          <w:rFonts w:cstheme="minorHAnsi"/>
          <w:sz w:val="28"/>
          <w:szCs w:val="28"/>
        </w:rPr>
      </w:pPr>
      <w:r w:rsidRPr="005E1103">
        <w:rPr>
          <w:rFonts w:cstheme="minorHAnsi"/>
          <w:sz w:val="28"/>
          <w:szCs w:val="28"/>
        </w:rPr>
        <w:lastRenderedPageBreak/>
        <w:t xml:space="preserve">Ceruti, V., de la Barrera, M. L. y Donolo, D. (2008). ¿Desatentos? ¿Desatendidos?: Una mirada psicopedagógica en estudiantes universitarios. </w:t>
      </w:r>
      <w:r w:rsidRPr="005E1103">
        <w:rPr>
          <w:rFonts w:cstheme="minorHAnsi"/>
          <w:i/>
          <w:sz w:val="28"/>
          <w:szCs w:val="28"/>
        </w:rPr>
        <w:t>Revista Chilena de Neuropsicología, 3 (2)</w:t>
      </w:r>
      <w:r w:rsidRPr="005E1103">
        <w:rPr>
          <w:rFonts w:cstheme="minorHAnsi"/>
          <w:sz w:val="28"/>
          <w:szCs w:val="28"/>
        </w:rPr>
        <w:t>, 4-13. Recuperado de: http://www.neurociencia.cl/dinamicos/articulos/18.pdf</w:t>
      </w:r>
    </w:p>
    <w:p w:rsidR="00C71AF3" w:rsidRPr="005E1103" w:rsidRDefault="00C71AF3" w:rsidP="00C71AF3">
      <w:pPr>
        <w:spacing w:after="120" w:line="360" w:lineRule="auto"/>
        <w:jc w:val="both"/>
        <w:rPr>
          <w:rFonts w:cstheme="minorHAnsi"/>
          <w:color w:val="000000"/>
          <w:sz w:val="28"/>
          <w:szCs w:val="28"/>
          <w:lang w:val="en-GB"/>
        </w:rPr>
      </w:pPr>
      <w:r w:rsidRPr="005E1103">
        <w:rPr>
          <w:rFonts w:cstheme="minorHAnsi"/>
          <w:color w:val="000000"/>
          <w:sz w:val="28"/>
          <w:szCs w:val="28"/>
          <w:lang w:val="en-US"/>
        </w:rPr>
        <w:t xml:space="preserve">Denckla, M. B. (1991). </w:t>
      </w:r>
      <w:r w:rsidRPr="005E1103">
        <w:rPr>
          <w:rFonts w:cstheme="minorHAnsi"/>
          <w:color w:val="000000"/>
          <w:sz w:val="28"/>
          <w:szCs w:val="28"/>
          <w:lang w:val="en-GB"/>
        </w:rPr>
        <w:t xml:space="preserve">Attention déficit disorder-residual type. </w:t>
      </w:r>
      <w:r w:rsidRPr="005E1103">
        <w:rPr>
          <w:rFonts w:cstheme="minorHAnsi"/>
          <w:i/>
          <w:color w:val="000000"/>
          <w:sz w:val="28"/>
          <w:szCs w:val="28"/>
          <w:lang w:val="en-GB"/>
        </w:rPr>
        <w:t>Journal of Child Neurology, supplement</w:t>
      </w:r>
      <w:r w:rsidRPr="005E1103">
        <w:rPr>
          <w:rFonts w:cstheme="minorHAnsi"/>
          <w:color w:val="000000"/>
          <w:sz w:val="28"/>
          <w:szCs w:val="28"/>
          <w:lang w:val="en-GB"/>
        </w:rPr>
        <w:t>, 44-55.</w:t>
      </w:r>
    </w:p>
    <w:p w:rsidR="00C71AF3" w:rsidRPr="005E1103" w:rsidRDefault="00C71AF3" w:rsidP="00C71AF3">
      <w:pPr>
        <w:spacing w:after="120" w:line="360" w:lineRule="auto"/>
        <w:jc w:val="both"/>
        <w:rPr>
          <w:rFonts w:cstheme="minorHAnsi"/>
          <w:color w:val="000000"/>
          <w:sz w:val="28"/>
          <w:szCs w:val="28"/>
        </w:rPr>
      </w:pPr>
      <w:r w:rsidRPr="005E1103">
        <w:rPr>
          <w:rFonts w:cstheme="minorHAnsi"/>
          <w:color w:val="000000"/>
          <w:sz w:val="28"/>
          <w:szCs w:val="28"/>
          <w:lang w:val="en-GB"/>
        </w:rPr>
        <w:t xml:space="preserve">Du Paul, G., Schaughency, E., Weyandt, L., Tripp, G., Kiesner, J., Ota, K. y Stanish, H. (2001). Self report of ADHD symptoms in university students: Cross-gender and cross-national prevalence. </w:t>
      </w:r>
      <w:r w:rsidRPr="005E1103">
        <w:rPr>
          <w:rFonts w:cstheme="minorHAnsi"/>
          <w:i/>
          <w:color w:val="000000"/>
          <w:sz w:val="28"/>
          <w:szCs w:val="28"/>
        </w:rPr>
        <w:t>Journal of Learning Disabilities, 34,</w:t>
      </w:r>
      <w:r w:rsidRPr="005E1103">
        <w:rPr>
          <w:rFonts w:cstheme="minorHAnsi"/>
          <w:color w:val="000000"/>
          <w:sz w:val="28"/>
          <w:szCs w:val="28"/>
        </w:rPr>
        <w:t xml:space="preserve"> 370-380.</w:t>
      </w:r>
    </w:p>
    <w:p w:rsidR="00C71AF3" w:rsidRPr="005E1103" w:rsidRDefault="00C71AF3" w:rsidP="00C71AF3">
      <w:pPr>
        <w:spacing w:after="120" w:line="360" w:lineRule="auto"/>
        <w:jc w:val="both"/>
        <w:rPr>
          <w:rStyle w:val="Hipervnculo"/>
          <w:rFonts w:cstheme="minorHAnsi"/>
          <w:sz w:val="28"/>
          <w:szCs w:val="28"/>
        </w:rPr>
      </w:pPr>
      <w:r w:rsidRPr="005E1103">
        <w:rPr>
          <w:rFonts w:cstheme="minorHAnsi"/>
          <w:color w:val="000000"/>
          <w:sz w:val="28"/>
          <w:szCs w:val="28"/>
        </w:rPr>
        <w:t xml:space="preserve">Guerrero, J. F. (2011). El alumnado con TDAH (hiperactividad) como colectivo de riesgo de exclusion social: propuestas de acción y de mejora. Revista RUEDES, 1 (2), 37-59. Recuperado de </w:t>
      </w:r>
      <w:hyperlink r:id="rId49" w:history="1">
        <w:r w:rsidRPr="005E1103">
          <w:rPr>
            <w:rStyle w:val="Hipervnculo"/>
            <w:rFonts w:cstheme="minorHAnsi"/>
            <w:sz w:val="28"/>
            <w:szCs w:val="28"/>
          </w:rPr>
          <w:t>http://bdigital.uncu.edu.ar/objetos_digitales/3933/guerrerogalanruedes2.pdf</w:t>
        </w:r>
      </w:hyperlink>
    </w:p>
    <w:p w:rsidR="00C71AF3" w:rsidRPr="005E1103" w:rsidRDefault="00C71AF3" w:rsidP="00C71AF3">
      <w:pPr>
        <w:spacing w:after="120" w:line="360" w:lineRule="auto"/>
        <w:ind w:right="44"/>
        <w:jc w:val="both"/>
        <w:rPr>
          <w:rFonts w:cstheme="minorHAnsi"/>
          <w:color w:val="000000"/>
          <w:sz w:val="28"/>
          <w:szCs w:val="28"/>
        </w:rPr>
      </w:pPr>
      <w:r w:rsidRPr="005E1103">
        <w:rPr>
          <w:rFonts w:cstheme="minorHAnsi"/>
          <w:color w:val="000000"/>
          <w:sz w:val="28"/>
          <w:szCs w:val="28"/>
        </w:rPr>
        <w:t xml:space="preserve">Martínez, M. A. y Bilbao, M. C. (2009). Estudiando en la Universidad. En  M.A. Martínez y H. Conde (Coords.) </w:t>
      </w:r>
      <w:r w:rsidRPr="005E1103">
        <w:rPr>
          <w:rFonts w:cstheme="minorHAnsi"/>
          <w:i/>
          <w:color w:val="000000"/>
          <w:sz w:val="28"/>
          <w:szCs w:val="28"/>
        </w:rPr>
        <w:t xml:space="preserve">Trabajar con personas con TDAH, una labor de equipo </w:t>
      </w:r>
      <w:r w:rsidRPr="005E1103">
        <w:rPr>
          <w:rFonts w:cstheme="minorHAnsi"/>
          <w:color w:val="000000"/>
          <w:sz w:val="28"/>
          <w:szCs w:val="28"/>
        </w:rPr>
        <w:t>(pp. 125-136). Burgos: Servicio de publicaciones de la UBU.</w:t>
      </w:r>
    </w:p>
    <w:p w:rsidR="00C71AF3" w:rsidRPr="005E1103" w:rsidRDefault="00C71AF3" w:rsidP="00C71AF3">
      <w:pPr>
        <w:spacing w:after="120" w:line="360" w:lineRule="auto"/>
        <w:ind w:right="44"/>
        <w:jc w:val="both"/>
        <w:rPr>
          <w:rFonts w:cstheme="minorHAnsi"/>
          <w:sz w:val="28"/>
          <w:szCs w:val="28"/>
        </w:rPr>
      </w:pPr>
      <w:r w:rsidRPr="005E1103">
        <w:rPr>
          <w:rFonts w:cstheme="minorHAnsi"/>
          <w:sz w:val="28"/>
          <w:szCs w:val="28"/>
        </w:rPr>
        <w:t xml:space="preserve">Martínez, M. A. y Bilbao, M. C. (2013). Los estudiantes con TDAH en la universidad. Un colectivo a tener en cuenta. En M. A. Martínez (Coord.) </w:t>
      </w:r>
      <w:r w:rsidRPr="005E1103">
        <w:rPr>
          <w:rFonts w:cstheme="minorHAnsi"/>
          <w:i/>
          <w:sz w:val="28"/>
          <w:szCs w:val="28"/>
        </w:rPr>
        <w:t>Todo sobre el TDAH. Guía para la vida diaria. Avances y mejoras como labor de equipo</w:t>
      </w:r>
      <w:r w:rsidRPr="005E1103">
        <w:rPr>
          <w:rFonts w:cstheme="minorHAnsi"/>
          <w:sz w:val="28"/>
          <w:szCs w:val="28"/>
        </w:rPr>
        <w:t xml:space="preserve"> (pp. 279-304). Tarragona: Altaria.</w:t>
      </w:r>
    </w:p>
    <w:p w:rsidR="00C71AF3" w:rsidRPr="005E1103" w:rsidRDefault="00C71AF3" w:rsidP="00C71AF3">
      <w:pPr>
        <w:spacing w:after="120" w:line="360" w:lineRule="auto"/>
        <w:jc w:val="both"/>
        <w:rPr>
          <w:rStyle w:val="Hipervnculo"/>
          <w:rFonts w:cstheme="minorHAnsi"/>
          <w:sz w:val="28"/>
          <w:szCs w:val="28"/>
        </w:rPr>
      </w:pPr>
      <w:r w:rsidRPr="005E1103">
        <w:rPr>
          <w:rFonts w:cstheme="minorHAnsi"/>
          <w:sz w:val="28"/>
          <w:szCs w:val="28"/>
        </w:rPr>
        <w:t xml:space="preserve">Moreno, I. (2011). Problemática del alumno universitario con TDAH. Implicaciones y adaptaciones a la enseñanza universitaria. Recuperado de </w:t>
      </w:r>
      <w:hyperlink r:id="rId50" w:history="1">
        <w:r w:rsidRPr="005E1103">
          <w:rPr>
            <w:rStyle w:val="Hipervnculo"/>
            <w:rFonts w:cstheme="minorHAnsi"/>
            <w:sz w:val="28"/>
            <w:szCs w:val="28"/>
          </w:rPr>
          <w:t>http://www.infocp.es/view_article.asp?id=3538&amp;cat=38</w:t>
        </w:r>
      </w:hyperlink>
    </w:p>
    <w:p w:rsidR="00C71AF3" w:rsidRPr="005E1103" w:rsidRDefault="00C71AF3" w:rsidP="00C71AF3">
      <w:pPr>
        <w:pStyle w:val="Default"/>
        <w:spacing w:after="120" w:line="360" w:lineRule="auto"/>
        <w:jc w:val="both"/>
        <w:rPr>
          <w:rStyle w:val="Hipervnculo"/>
          <w:rFonts w:asciiTheme="minorHAnsi" w:hAnsiTheme="minorHAnsi" w:cstheme="minorHAnsi"/>
          <w:sz w:val="28"/>
          <w:szCs w:val="28"/>
        </w:rPr>
      </w:pPr>
      <w:r w:rsidRPr="005E1103">
        <w:rPr>
          <w:rFonts w:asciiTheme="minorHAnsi" w:hAnsiTheme="minorHAnsi" w:cstheme="minorHAnsi"/>
          <w:sz w:val="28"/>
          <w:szCs w:val="28"/>
        </w:rPr>
        <w:t xml:space="preserve">Mulas, F. C., Etchepareborda, L., Abad-Mas, A., Díaz-Lucero, S., Hernández, A., de la Osa, J., Pascuale y R. Ruiz-Andrés (2006). Trastornos Neuropsicológicos de los Adolescentes </w:t>
      </w:r>
      <w:r w:rsidRPr="005E1103">
        <w:rPr>
          <w:rFonts w:asciiTheme="minorHAnsi" w:hAnsiTheme="minorHAnsi" w:cstheme="minorHAnsi"/>
          <w:sz w:val="28"/>
          <w:szCs w:val="28"/>
        </w:rPr>
        <w:lastRenderedPageBreak/>
        <w:t xml:space="preserve">Afectos de Trastorno por Déficit de Atención con Hiperactividad. </w:t>
      </w:r>
      <w:r w:rsidRPr="005E1103">
        <w:rPr>
          <w:rFonts w:asciiTheme="minorHAnsi" w:hAnsiTheme="minorHAnsi" w:cstheme="minorHAnsi"/>
          <w:i/>
          <w:sz w:val="28"/>
          <w:szCs w:val="28"/>
        </w:rPr>
        <w:t>Revista de Neurología 43, (1</w:t>
      </w:r>
      <w:r w:rsidRPr="005E1103">
        <w:rPr>
          <w:rFonts w:asciiTheme="minorHAnsi" w:hAnsiTheme="minorHAnsi" w:cstheme="minorHAnsi"/>
          <w:sz w:val="28"/>
          <w:szCs w:val="28"/>
        </w:rPr>
        <w:t xml:space="preserve">) 71-81. </w:t>
      </w:r>
    </w:p>
    <w:p w:rsidR="00C71AF3" w:rsidRPr="005E1103" w:rsidRDefault="00C71AF3" w:rsidP="00C71AF3">
      <w:pPr>
        <w:spacing w:after="120" w:line="360" w:lineRule="auto"/>
        <w:jc w:val="both"/>
        <w:rPr>
          <w:rFonts w:cstheme="minorHAnsi"/>
          <w:sz w:val="28"/>
          <w:szCs w:val="28"/>
        </w:rPr>
      </w:pPr>
      <w:r w:rsidRPr="005E1103">
        <w:rPr>
          <w:rFonts w:cstheme="minorHAnsi"/>
          <w:sz w:val="28"/>
          <w:szCs w:val="28"/>
        </w:rPr>
        <w:t xml:space="preserve">Ortiz, L. S. y Jaimes, M. A. L. (2007). El trastorno por déficit d atención e hiperactividad en estudiantes universitarios. </w:t>
      </w:r>
      <w:r w:rsidRPr="005E1103">
        <w:rPr>
          <w:rFonts w:cstheme="minorHAnsi"/>
          <w:i/>
          <w:sz w:val="28"/>
          <w:szCs w:val="28"/>
        </w:rPr>
        <w:t>Revista de la Facultad de Medicina UNAM, 50 (3),</w:t>
      </w:r>
      <w:r w:rsidRPr="005E1103">
        <w:rPr>
          <w:rFonts w:cstheme="minorHAnsi"/>
          <w:sz w:val="28"/>
          <w:szCs w:val="28"/>
        </w:rPr>
        <w:t xml:space="preserve"> 125-127.</w:t>
      </w:r>
    </w:p>
    <w:p w:rsidR="00C71AF3" w:rsidRPr="005E1103" w:rsidRDefault="00C71AF3" w:rsidP="00C71AF3">
      <w:pPr>
        <w:pStyle w:val="NormalWeb"/>
        <w:spacing w:before="0" w:beforeAutospacing="0" w:after="120" w:afterAutospacing="0" w:line="360" w:lineRule="auto"/>
        <w:jc w:val="both"/>
        <w:rPr>
          <w:rFonts w:asciiTheme="minorHAnsi" w:hAnsiTheme="minorHAnsi" w:cstheme="minorHAnsi"/>
          <w:sz w:val="28"/>
          <w:szCs w:val="28"/>
        </w:rPr>
      </w:pPr>
      <w:r w:rsidRPr="005E1103">
        <w:rPr>
          <w:rFonts w:asciiTheme="minorHAnsi" w:hAnsiTheme="minorHAnsi" w:cstheme="minorHAnsi"/>
          <w:sz w:val="28"/>
          <w:szCs w:val="28"/>
        </w:rPr>
        <w:t xml:space="preserve">Ramos-Quiroga, J. A, Bosch-Munso, R., Castells-Cervello, X., Nogueira-Morais, M., García-Giménez, E. y Casas-Brugue, M. (2006). </w:t>
      </w:r>
      <w:r w:rsidRPr="005E1103">
        <w:rPr>
          <w:rFonts w:asciiTheme="minorHAnsi" w:hAnsiTheme="minorHAnsi" w:cstheme="minorHAnsi"/>
          <w:color w:val="000000"/>
          <w:sz w:val="28"/>
          <w:szCs w:val="28"/>
        </w:rPr>
        <w:t>Trastorno por déficit de atención con hiperactividad en adultos: caracterización clínica y terapéutica</w:t>
      </w:r>
      <w:r w:rsidRPr="005E1103">
        <w:rPr>
          <w:rFonts w:asciiTheme="minorHAnsi" w:hAnsiTheme="minorHAnsi" w:cstheme="minorHAnsi"/>
          <w:sz w:val="28"/>
          <w:szCs w:val="28"/>
        </w:rPr>
        <w:t xml:space="preserve">. </w:t>
      </w:r>
      <w:r w:rsidRPr="005E1103">
        <w:rPr>
          <w:rFonts w:asciiTheme="minorHAnsi" w:hAnsiTheme="minorHAnsi" w:cstheme="minorHAnsi"/>
          <w:i/>
          <w:sz w:val="28"/>
          <w:szCs w:val="28"/>
        </w:rPr>
        <w:t>Revista de Neurología</w:t>
      </w:r>
      <w:r w:rsidRPr="005E1103">
        <w:rPr>
          <w:rFonts w:asciiTheme="minorHAnsi" w:hAnsiTheme="minorHAnsi" w:cstheme="minorHAnsi"/>
          <w:sz w:val="28"/>
          <w:szCs w:val="28"/>
        </w:rPr>
        <w:t xml:space="preserve">, </w:t>
      </w:r>
      <w:r w:rsidRPr="005E1103">
        <w:rPr>
          <w:rFonts w:asciiTheme="minorHAnsi" w:hAnsiTheme="minorHAnsi" w:cstheme="minorHAnsi"/>
          <w:i/>
          <w:sz w:val="28"/>
          <w:szCs w:val="28"/>
        </w:rPr>
        <w:t>42, (10),</w:t>
      </w:r>
      <w:r w:rsidRPr="005E1103">
        <w:rPr>
          <w:rFonts w:asciiTheme="minorHAnsi" w:hAnsiTheme="minorHAnsi" w:cstheme="minorHAnsi"/>
          <w:sz w:val="28"/>
          <w:szCs w:val="28"/>
        </w:rPr>
        <w:t xml:space="preserve"> 600-606.</w:t>
      </w:r>
    </w:p>
    <w:p w:rsidR="00C71AF3" w:rsidRPr="005E1103" w:rsidRDefault="00C71AF3" w:rsidP="00C71AF3">
      <w:pPr>
        <w:spacing w:after="120" w:line="360" w:lineRule="auto"/>
        <w:ind w:right="44"/>
        <w:jc w:val="both"/>
        <w:rPr>
          <w:rFonts w:cstheme="minorHAnsi"/>
          <w:color w:val="000000"/>
          <w:sz w:val="28"/>
          <w:szCs w:val="28"/>
        </w:rPr>
      </w:pPr>
      <w:r w:rsidRPr="005E1103">
        <w:rPr>
          <w:rFonts w:cstheme="minorHAnsi"/>
          <w:sz w:val="28"/>
          <w:szCs w:val="28"/>
        </w:rPr>
        <w:t xml:space="preserve">Ramos-Quiroga, J. A., Bosch-Munso, R., Casas- Brugue, M. (2009). TDAH en adultos: situación actual. </w:t>
      </w:r>
      <w:r w:rsidRPr="005E1103">
        <w:rPr>
          <w:rFonts w:cstheme="minorHAnsi"/>
          <w:color w:val="000000"/>
          <w:sz w:val="28"/>
          <w:szCs w:val="28"/>
        </w:rPr>
        <w:t xml:space="preserve">En M.A. Martínez y H. Conde (Coords.) </w:t>
      </w:r>
      <w:r w:rsidRPr="005E1103">
        <w:rPr>
          <w:rFonts w:cstheme="minorHAnsi"/>
          <w:i/>
          <w:color w:val="000000"/>
          <w:sz w:val="28"/>
          <w:szCs w:val="28"/>
        </w:rPr>
        <w:t xml:space="preserve">Trabajar con personas con TDAH, una labor de equipo </w:t>
      </w:r>
      <w:r w:rsidRPr="005E1103">
        <w:rPr>
          <w:rFonts w:cstheme="minorHAnsi"/>
          <w:color w:val="000000"/>
          <w:sz w:val="28"/>
          <w:szCs w:val="28"/>
        </w:rPr>
        <w:t>(pp. 97-109). Burgos: Servicio de publicaciones de la UBU.</w:t>
      </w:r>
    </w:p>
    <w:p w:rsidR="00C71AF3" w:rsidRPr="005E1103" w:rsidRDefault="00C71AF3" w:rsidP="00C71AF3">
      <w:pPr>
        <w:pStyle w:val="NormalWeb"/>
        <w:spacing w:before="0" w:beforeAutospacing="0" w:after="120" w:afterAutospacing="0" w:line="360" w:lineRule="auto"/>
        <w:jc w:val="both"/>
        <w:rPr>
          <w:rFonts w:asciiTheme="minorHAnsi" w:hAnsiTheme="minorHAnsi" w:cstheme="minorHAnsi"/>
          <w:sz w:val="28"/>
          <w:szCs w:val="28"/>
        </w:rPr>
      </w:pPr>
      <w:r w:rsidRPr="005E1103">
        <w:rPr>
          <w:rFonts w:asciiTheme="minorHAnsi" w:hAnsiTheme="minorHAnsi" w:cstheme="minorHAnsi"/>
          <w:sz w:val="28"/>
          <w:szCs w:val="28"/>
        </w:rPr>
        <w:t xml:space="preserve">Staufer, W. B. y Greydanus, D. E. (2005).Trastorno por déficit de atención con hiperactividad: psicofarmacología para los estudiantes universitarios. </w:t>
      </w:r>
      <w:r w:rsidRPr="005E1103">
        <w:rPr>
          <w:rFonts w:asciiTheme="minorHAnsi" w:hAnsiTheme="minorHAnsi" w:cstheme="minorHAnsi"/>
          <w:i/>
          <w:sz w:val="28"/>
          <w:szCs w:val="28"/>
        </w:rPr>
        <w:t>Pediatric clinics of North America, 52</w:t>
      </w:r>
      <w:r w:rsidRPr="005E1103">
        <w:rPr>
          <w:rFonts w:asciiTheme="minorHAnsi" w:hAnsiTheme="minorHAnsi" w:cstheme="minorHAnsi"/>
          <w:sz w:val="28"/>
          <w:szCs w:val="28"/>
        </w:rPr>
        <w:t>, 71-84. Recuperado de http://www.elsevier.es/sites/default/files/elsevier/pdf/501/1v052n0001a00151.pdf</w:t>
      </w:r>
    </w:p>
    <w:p w:rsidR="00C71AF3" w:rsidRPr="005E1103" w:rsidRDefault="00C71AF3" w:rsidP="00C71AF3">
      <w:pPr>
        <w:spacing w:line="360" w:lineRule="auto"/>
        <w:jc w:val="center"/>
        <w:rPr>
          <w:rFonts w:cstheme="minorHAnsi"/>
          <w:color w:val="000000"/>
          <w:sz w:val="28"/>
          <w:szCs w:val="28"/>
          <w:lang w:val="en-GB"/>
        </w:rPr>
      </w:pPr>
      <w:r w:rsidRPr="005E1103">
        <w:rPr>
          <w:rFonts w:cstheme="minorHAnsi"/>
          <w:color w:val="000000"/>
          <w:sz w:val="28"/>
          <w:szCs w:val="28"/>
        </w:rPr>
        <w:t xml:space="preserve">Wolf, L. E. (2001). </w:t>
      </w:r>
      <w:r w:rsidRPr="005E1103">
        <w:rPr>
          <w:rFonts w:cstheme="minorHAnsi"/>
          <w:color w:val="000000"/>
          <w:sz w:val="28"/>
          <w:szCs w:val="28"/>
          <w:lang w:val="en-GB"/>
        </w:rPr>
        <w:t xml:space="preserve">College students with ADHD and other hidden disabilities.  Outcomes and interventions. </w:t>
      </w:r>
      <w:r w:rsidRPr="005E1103">
        <w:rPr>
          <w:rFonts w:cstheme="minorHAnsi"/>
          <w:i/>
          <w:color w:val="000000"/>
          <w:sz w:val="28"/>
          <w:szCs w:val="28"/>
          <w:lang w:val="en-GB"/>
        </w:rPr>
        <w:t>Annals New York Academy of Sciences, 931</w:t>
      </w:r>
      <w:r w:rsidRPr="005E1103">
        <w:rPr>
          <w:rFonts w:cstheme="minorHAnsi"/>
          <w:color w:val="000000"/>
          <w:sz w:val="28"/>
          <w:szCs w:val="28"/>
          <w:lang w:val="en-GB"/>
        </w:rPr>
        <w:t>, 385-395.</w:t>
      </w:r>
    </w:p>
    <w:p w:rsidR="00C71AF3" w:rsidRPr="005E1103" w:rsidRDefault="00C71AF3">
      <w:pPr>
        <w:rPr>
          <w:rFonts w:cstheme="minorHAnsi"/>
          <w:color w:val="000000"/>
          <w:sz w:val="28"/>
          <w:szCs w:val="28"/>
          <w:lang w:val="en-GB"/>
        </w:rPr>
      </w:pPr>
      <w:r w:rsidRPr="005E1103">
        <w:rPr>
          <w:rFonts w:cstheme="minorHAnsi"/>
          <w:color w:val="000000"/>
          <w:sz w:val="28"/>
          <w:szCs w:val="28"/>
          <w:lang w:val="en-GB"/>
        </w:rPr>
        <w:br w:type="page"/>
      </w:r>
    </w:p>
    <w:p w:rsidR="00C71AF3" w:rsidRPr="005E1103" w:rsidRDefault="00C71AF3" w:rsidP="00C71AF3">
      <w:pPr>
        <w:spacing w:line="360" w:lineRule="auto"/>
        <w:jc w:val="center"/>
        <w:rPr>
          <w:rFonts w:cstheme="minorHAnsi"/>
          <w:b/>
          <w:sz w:val="28"/>
          <w:szCs w:val="28"/>
          <w:lang w:val="en-US"/>
        </w:rPr>
      </w:pPr>
      <w:r w:rsidRPr="005E1103">
        <w:rPr>
          <w:rFonts w:cstheme="minorHAnsi"/>
          <w:b/>
          <w:sz w:val="28"/>
          <w:szCs w:val="28"/>
          <w:lang w:val="en-US"/>
        </w:rPr>
        <w:lastRenderedPageBreak/>
        <w:t>COMUNICACIÓN 10</w:t>
      </w:r>
    </w:p>
    <w:p w:rsidR="00C71AF3" w:rsidRPr="005E1103" w:rsidRDefault="00C71AF3" w:rsidP="00011A19">
      <w:pPr>
        <w:pBdr>
          <w:top w:val="single" w:sz="4" w:space="1" w:color="auto"/>
          <w:left w:val="single" w:sz="4" w:space="4" w:color="auto"/>
          <w:bottom w:val="single" w:sz="4" w:space="1" w:color="auto"/>
          <w:right w:val="single" w:sz="4" w:space="4" w:color="auto"/>
        </w:pBdr>
        <w:spacing w:after="0" w:line="240" w:lineRule="auto"/>
        <w:jc w:val="center"/>
        <w:rPr>
          <w:rFonts w:cstheme="minorHAnsi"/>
          <w:b/>
          <w:sz w:val="28"/>
          <w:szCs w:val="28"/>
        </w:rPr>
      </w:pPr>
      <w:r w:rsidRPr="005E1103">
        <w:rPr>
          <w:rFonts w:cstheme="minorHAnsi"/>
          <w:b/>
          <w:sz w:val="28"/>
          <w:szCs w:val="28"/>
        </w:rPr>
        <w:t>Velocidad y comprensión lectora en personas ciegas</w:t>
      </w:r>
    </w:p>
    <w:p w:rsidR="00C71AF3" w:rsidRPr="005E1103" w:rsidRDefault="00C71AF3" w:rsidP="00011A19">
      <w:pPr>
        <w:pBdr>
          <w:top w:val="single" w:sz="4" w:space="1" w:color="auto"/>
          <w:left w:val="single" w:sz="4" w:space="4" w:color="auto"/>
          <w:bottom w:val="single" w:sz="4" w:space="1" w:color="auto"/>
          <w:right w:val="single" w:sz="4" w:space="4" w:color="auto"/>
        </w:pBdr>
        <w:spacing w:after="0" w:line="240" w:lineRule="auto"/>
        <w:jc w:val="center"/>
        <w:rPr>
          <w:rFonts w:cstheme="minorHAnsi"/>
          <w:b/>
          <w:sz w:val="28"/>
          <w:szCs w:val="28"/>
        </w:rPr>
      </w:pPr>
      <w:r w:rsidRPr="005E1103">
        <w:rPr>
          <w:rFonts w:cstheme="minorHAnsi"/>
          <w:b/>
          <w:sz w:val="28"/>
          <w:szCs w:val="28"/>
        </w:rPr>
        <w:t>tituladas en bachillerato y tituladas universitarias</w:t>
      </w:r>
    </w:p>
    <w:p w:rsidR="00C71AF3" w:rsidRPr="005E1103" w:rsidRDefault="00C71AF3" w:rsidP="00C71AF3">
      <w:pPr>
        <w:spacing w:line="360" w:lineRule="auto"/>
        <w:jc w:val="both"/>
        <w:rPr>
          <w:rFonts w:cstheme="minorHAnsi"/>
          <w:b/>
          <w:sz w:val="28"/>
          <w:szCs w:val="28"/>
        </w:rPr>
      </w:pPr>
    </w:p>
    <w:p w:rsidR="00C71AF3" w:rsidRPr="005E1103" w:rsidRDefault="00C71AF3" w:rsidP="00C71AF3">
      <w:pPr>
        <w:spacing w:line="360" w:lineRule="auto"/>
        <w:jc w:val="both"/>
        <w:rPr>
          <w:rFonts w:cstheme="minorHAnsi"/>
          <w:sz w:val="28"/>
          <w:szCs w:val="28"/>
        </w:rPr>
      </w:pPr>
      <w:r w:rsidRPr="005E1103">
        <w:rPr>
          <w:rFonts w:cstheme="minorHAnsi"/>
          <w:sz w:val="28"/>
          <w:szCs w:val="28"/>
        </w:rPr>
        <w:t>Luis González-García</w:t>
      </w:r>
    </w:p>
    <w:p w:rsidR="00C71AF3" w:rsidRPr="005E1103" w:rsidRDefault="00C71AF3" w:rsidP="00C71AF3">
      <w:pPr>
        <w:spacing w:line="360" w:lineRule="auto"/>
        <w:jc w:val="both"/>
        <w:rPr>
          <w:rFonts w:cstheme="minorHAnsi"/>
          <w:sz w:val="28"/>
          <w:szCs w:val="28"/>
        </w:rPr>
      </w:pPr>
      <w:r w:rsidRPr="005E1103">
        <w:rPr>
          <w:rFonts w:cstheme="minorHAnsi"/>
          <w:sz w:val="28"/>
          <w:szCs w:val="28"/>
        </w:rPr>
        <w:t>Psicólogo</w:t>
      </w:r>
    </w:p>
    <w:p w:rsidR="00C71AF3" w:rsidRPr="005E1103" w:rsidRDefault="00C71AF3" w:rsidP="00C71AF3">
      <w:pPr>
        <w:spacing w:line="360" w:lineRule="auto"/>
        <w:jc w:val="both"/>
        <w:rPr>
          <w:rFonts w:cstheme="minorHAnsi"/>
          <w:sz w:val="28"/>
          <w:szCs w:val="28"/>
        </w:rPr>
      </w:pPr>
      <w:r w:rsidRPr="005E1103">
        <w:rPr>
          <w:rFonts w:cstheme="minorHAnsi"/>
          <w:sz w:val="28"/>
          <w:szCs w:val="28"/>
        </w:rPr>
        <w:t>Organización Nacional de Ciegos Españoles (ONCE)</w:t>
      </w:r>
    </w:p>
    <w:p w:rsidR="00C71AF3" w:rsidRPr="005E1103" w:rsidRDefault="00C71AF3" w:rsidP="00C71AF3">
      <w:pPr>
        <w:spacing w:line="360" w:lineRule="auto"/>
        <w:jc w:val="both"/>
        <w:rPr>
          <w:rFonts w:cstheme="minorHAnsi"/>
          <w:sz w:val="28"/>
          <w:szCs w:val="28"/>
        </w:rPr>
      </w:pPr>
    </w:p>
    <w:p w:rsidR="00C71AF3" w:rsidRPr="005E1103" w:rsidRDefault="00C71AF3" w:rsidP="00C71AF3">
      <w:pPr>
        <w:spacing w:line="360" w:lineRule="auto"/>
        <w:jc w:val="both"/>
        <w:rPr>
          <w:rFonts w:cstheme="minorHAnsi"/>
          <w:sz w:val="28"/>
          <w:szCs w:val="28"/>
        </w:rPr>
      </w:pPr>
      <w:r w:rsidRPr="005E1103">
        <w:rPr>
          <w:rFonts w:cstheme="minorHAnsi"/>
          <w:b/>
          <w:bCs/>
          <w:sz w:val="28"/>
          <w:szCs w:val="28"/>
        </w:rPr>
        <w:t>Abstract</w:t>
      </w:r>
    </w:p>
    <w:p w:rsidR="00C71AF3" w:rsidRPr="005E1103" w:rsidRDefault="00C71AF3" w:rsidP="00C71AF3">
      <w:pPr>
        <w:spacing w:line="360" w:lineRule="auto"/>
        <w:jc w:val="both"/>
        <w:rPr>
          <w:rFonts w:cstheme="minorHAnsi"/>
          <w:sz w:val="28"/>
          <w:szCs w:val="28"/>
        </w:rPr>
      </w:pPr>
      <w:r w:rsidRPr="005E1103">
        <w:rPr>
          <w:rFonts w:cstheme="minorHAnsi"/>
          <w:sz w:val="28"/>
          <w:szCs w:val="28"/>
        </w:rPr>
        <w:t>Se presentan los resultados de un estudio comparativo de los rendimientos en velocidad y comprensión lectora, tanto literal como inferencial, de un grupo de 59 personas ciegas y otro grupo de 57 personas videntes, utilizando textos impresos en braille y en tinta, respectivamente. Los sujetos eran titulados en bachillerato (26 personas ciegas, 31 videntes) y titulados universitarios (33 personas ciegas, 26 videntes).</w:t>
      </w:r>
    </w:p>
    <w:p w:rsidR="00C71AF3" w:rsidRPr="005E1103" w:rsidRDefault="00C71AF3" w:rsidP="00C71AF3">
      <w:pPr>
        <w:spacing w:line="360" w:lineRule="auto"/>
        <w:jc w:val="both"/>
        <w:rPr>
          <w:rFonts w:cstheme="minorHAnsi"/>
          <w:sz w:val="28"/>
          <w:szCs w:val="28"/>
        </w:rPr>
      </w:pPr>
      <w:r w:rsidRPr="005E1103">
        <w:rPr>
          <w:rFonts w:cstheme="minorHAnsi"/>
          <w:sz w:val="28"/>
          <w:szCs w:val="28"/>
        </w:rPr>
        <w:t>La velocidad lectora del grupo de personas ciegas representa menos de la mitad de la velocidad lectora del grupo de personas videntes. Aún así, sus niveles de comprensión lectora son similares.</w:t>
      </w:r>
    </w:p>
    <w:p w:rsidR="00C71AF3" w:rsidRPr="005E1103" w:rsidRDefault="00C71AF3" w:rsidP="00C71AF3">
      <w:pPr>
        <w:spacing w:line="360" w:lineRule="auto"/>
        <w:jc w:val="both"/>
        <w:rPr>
          <w:rFonts w:cstheme="minorHAnsi"/>
          <w:sz w:val="28"/>
          <w:szCs w:val="28"/>
        </w:rPr>
      </w:pPr>
      <w:r w:rsidRPr="005E1103">
        <w:rPr>
          <w:rFonts w:cstheme="minorHAnsi"/>
          <w:sz w:val="28"/>
          <w:szCs w:val="28"/>
        </w:rPr>
        <w:t xml:space="preserve">En el grupo de personas ciegas se analizó la influencia, tanto en la velocidad como en la comprensión lectora, de diversos factores (género, nivel de titulación, momento de inicio de la ceguera, años de experiencia como lectores en braille y patrón de movimiento de las manos al leer en braille). El género en ningún caso afecta a los resultados. De los demás factores, únicamente el momento de inicio de la ceguera y el patrón de movimiento de las manos tienen una influencia significativa en la velocidad lectora, explicando una parte importante de su varianza. Sin embargo, solamente el patrón de </w:t>
      </w:r>
      <w:r w:rsidRPr="005E1103">
        <w:rPr>
          <w:rFonts w:cstheme="minorHAnsi"/>
          <w:sz w:val="28"/>
          <w:szCs w:val="28"/>
        </w:rPr>
        <w:lastRenderedPageBreak/>
        <w:t>movimiento de las manos influye de modo significativo en la comprensión lectora, y lo hace explicando sólo una pequeña parte de su varianza.</w:t>
      </w:r>
    </w:p>
    <w:p w:rsidR="00C71AF3" w:rsidRPr="005E1103" w:rsidRDefault="00C71AF3" w:rsidP="00C71AF3">
      <w:pPr>
        <w:spacing w:line="360" w:lineRule="auto"/>
        <w:jc w:val="both"/>
        <w:rPr>
          <w:rFonts w:cstheme="minorHAnsi"/>
          <w:sz w:val="28"/>
          <w:szCs w:val="28"/>
        </w:rPr>
      </w:pPr>
      <w:r w:rsidRPr="005E1103">
        <w:rPr>
          <w:rFonts w:cstheme="minorHAnsi"/>
          <w:sz w:val="28"/>
          <w:szCs w:val="28"/>
        </w:rPr>
        <w:t>Este estudio aporta conclusiones muy interesantes, tanto desde un punto de vista teórico como aplicado. En lo teórico, dando soporte a constructos teóricos como el de memoria de trabajo, que está en la base de algunos modelos cognitivos de la lectura. En lo aplicado, orientando sobre a qué aspectos de la lectura en braille se debe prestar especial atención, y ayudando a determinar los tiempos extra que los estudiantes de preuniversitarios y universitarios pueden necesitar, por ejemplo, para realizar sus exámenes.</w:t>
      </w:r>
    </w:p>
    <w:p w:rsidR="00C71AF3" w:rsidRPr="005E1103" w:rsidRDefault="00C71AF3" w:rsidP="00C71AF3">
      <w:pPr>
        <w:spacing w:line="360" w:lineRule="auto"/>
        <w:jc w:val="both"/>
        <w:rPr>
          <w:rStyle w:val="Textoennegrita"/>
          <w:rFonts w:cstheme="minorHAnsi"/>
          <w:sz w:val="28"/>
          <w:szCs w:val="28"/>
        </w:rPr>
      </w:pPr>
      <w:r w:rsidRPr="005E1103">
        <w:rPr>
          <w:rStyle w:val="Textoennegrita"/>
          <w:rFonts w:cstheme="minorHAnsi"/>
          <w:sz w:val="28"/>
          <w:szCs w:val="28"/>
        </w:rPr>
        <w:t>Palabras clave:</w:t>
      </w:r>
    </w:p>
    <w:p w:rsidR="00C71AF3" w:rsidRPr="005E1103" w:rsidRDefault="00C71AF3" w:rsidP="00C71AF3">
      <w:pPr>
        <w:spacing w:line="360" w:lineRule="auto"/>
        <w:jc w:val="both"/>
        <w:rPr>
          <w:rFonts w:cstheme="minorHAnsi"/>
          <w:sz w:val="28"/>
          <w:szCs w:val="28"/>
        </w:rPr>
      </w:pPr>
      <w:r w:rsidRPr="005E1103">
        <w:rPr>
          <w:rFonts w:cstheme="minorHAnsi"/>
          <w:sz w:val="28"/>
          <w:szCs w:val="28"/>
        </w:rPr>
        <w:t>braille, tinta; personas ciegas, personas videntes; velocidad lectora, comprensión lectora</w:t>
      </w:r>
    </w:p>
    <w:p w:rsidR="00C71AF3" w:rsidRPr="005E1103" w:rsidRDefault="00C71AF3" w:rsidP="00C71AF3">
      <w:pPr>
        <w:spacing w:line="360" w:lineRule="auto"/>
        <w:jc w:val="both"/>
        <w:rPr>
          <w:rFonts w:cstheme="minorHAnsi"/>
          <w:b/>
          <w:bCs/>
          <w:sz w:val="28"/>
          <w:szCs w:val="28"/>
        </w:rPr>
      </w:pPr>
      <w:r w:rsidRPr="005E1103">
        <w:rPr>
          <w:rFonts w:cstheme="minorHAnsi"/>
          <w:b/>
          <w:bCs/>
          <w:sz w:val="28"/>
          <w:szCs w:val="28"/>
        </w:rPr>
        <w:t>INTRODUCCIÓN</w:t>
      </w:r>
    </w:p>
    <w:p w:rsidR="00C71AF3" w:rsidRPr="005E1103" w:rsidRDefault="00C71AF3" w:rsidP="00C71AF3">
      <w:pPr>
        <w:spacing w:line="360" w:lineRule="auto"/>
        <w:jc w:val="both"/>
        <w:rPr>
          <w:rFonts w:cstheme="minorHAnsi"/>
          <w:sz w:val="28"/>
          <w:szCs w:val="28"/>
        </w:rPr>
      </w:pPr>
      <w:r w:rsidRPr="005E1103">
        <w:rPr>
          <w:rFonts w:cstheme="minorHAnsi"/>
          <w:sz w:val="28"/>
          <w:szCs w:val="28"/>
        </w:rPr>
        <w:t>Mientras que la mayoría de la población accede a la información escrita utilizando textos impresos en tinta, las personas ciegas lo hacen utilizando textos impresos en braille, y utilizando, de modo complementario o alternativo al braille, textos grabados por lectores o emitidos mediante sistemas de síntesis de voz. El trabajo que aquí se expone se centró en comparar los rendimientos en velocidad y comprensión lectora de dos grupos de personas que utilizan las dos primeras de esas vías de acceso a la información: los textos impresos en tinta y en braille.</w:t>
      </w:r>
    </w:p>
    <w:p w:rsidR="00C71AF3" w:rsidRPr="005E1103" w:rsidRDefault="00C71AF3" w:rsidP="00C71AF3">
      <w:pPr>
        <w:spacing w:line="360" w:lineRule="auto"/>
        <w:jc w:val="both"/>
        <w:rPr>
          <w:rFonts w:cstheme="minorHAnsi"/>
          <w:sz w:val="28"/>
          <w:szCs w:val="28"/>
        </w:rPr>
      </w:pPr>
      <w:r w:rsidRPr="005E1103">
        <w:rPr>
          <w:rFonts w:cstheme="minorHAnsi"/>
          <w:sz w:val="28"/>
          <w:szCs w:val="28"/>
        </w:rPr>
        <w:t xml:space="preserve">Cada uno de los canales sensoriales que está detrás de las tres vías de acceso a la información mencionadas (vista, tacto y oído), supone un momento inicial distinto de los demás, no sólo por el tipo de estímulo sensorial a descodificar, sino también por la velocidad de procesamiento que cada uno implica, lo que afecta a factores como la discriminación sensorial, la precisión, la fatiga, la atención y la concentración... y, con ellos, a la velocidad lectora. Todo ello podría afectar, además, a la comprensión lectora, </w:t>
      </w:r>
      <w:r w:rsidRPr="005E1103">
        <w:rPr>
          <w:rFonts w:cstheme="minorHAnsi"/>
          <w:sz w:val="28"/>
          <w:szCs w:val="28"/>
        </w:rPr>
        <w:lastRenderedPageBreak/>
        <w:t>puesto que los procesos psicológicos que regulan el funcionamiento cognitivo no siguen un patrón único, de modo que necesidades y recursos diferentes originan procesos neuropsicológicos distintos (Danks y End, 1987).</w:t>
      </w:r>
    </w:p>
    <w:p w:rsidR="00C71AF3" w:rsidRPr="005E1103" w:rsidRDefault="00C71AF3" w:rsidP="00C71AF3">
      <w:pPr>
        <w:spacing w:line="360" w:lineRule="auto"/>
        <w:jc w:val="both"/>
        <w:rPr>
          <w:rStyle w:val="apple-converted-space"/>
          <w:rFonts w:cstheme="minorHAnsi"/>
          <w:sz w:val="28"/>
          <w:szCs w:val="28"/>
          <w:shd w:val="clear" w:color="auto" w:fill="FFFFFF"/>
        </w:rPr>
      </w:pPr>
      <w:r w:rsidRPr="005E1103">
        <w:rPr>
          <w:rFonts w:cstheme="minorHAnsi"/>
          <w:sz w:val="28"/>
          <w:szCs w:val="28"/>
        </w:rPr>
        <w:t>Los estudiantes preuniversitarios y universitarios son un colectivo con altas demandas cognitivas en sus procesos de acceso a la información, puesto que los textos a los que deben hacer frente para aumentar sus conocimientos se caracterizan tanto por su extensión como por su complejidad. Si a estas características le unimos que los estudiantes ciegos acceden a la información utilizando un sistema de lectoescritura significativamente más lento que el que usan sus pares videntes, y/o utilizando vías auditivas alternativas, podríamos encontrarnos con que su comprensión lectora se viera resentida. Así, creemos que los resultados empíricos que aquí se presentan son de gran relevancia, puesto que aportan información muy relevante sobre cómo es la velocidad y la comprensión lectora, tanto literal como inferencial, en braille, permitiéndonos también comparar sus rendimientos con los de sus pares videntes. Ello nos ayudará a de tomar decisiones equitativas de cara a su desarrollo personal y a su i</w:t>
      </w:r>
      <w:r w:rsidRPr="005E1103">
        <w:rPr>
          <w:rFonts w:cstheme="minorHAnsi"/>
          <w:sz w:val="28"/>
          <w:szCs w:val="28"/>
          <w:shd w:val="clear" w:color="auto" w:fill="FFFFFF"/>
        </w:rPr>
        <w:t>nclusión educativa y social, lo que contribuirá a garantizar los derechos y la igualdad de oportunidades de todas las personas</w:t>
      </w:r>
      <w:r w:rsidRPr="005E1103">
        <w:rPr>
          <w:rStyle w:val="apple-converted-space"/>
          <w:rFonts w:cstheme="minorHAnsi"/>
          <w:sz w:val="28"/>
          <w:szCs w:val="28"/>
          <w:shd w:val="clear" w:color="auto" w:fill="FFFFFF"/>
        </w:rPr>
        <w:t>.</w:t>
      </w:r>
    </w:p>
    <w:p w:rsidR="00C71AF3" w:rsidRPr="005E1103" w:rsidRDefault="00C71AF3" w:rsidP="00C71AF3">
      <w:pPr>
        <w:spacing w:line="360" w:lineRule="auto"/>
        <w:jc w:val="both"/>
        <w:rPr>
          <w:rFonts w:cstheme="minorHAnsi"/>
          <w:sz w:val="28"/>
          <w:szCs w:val="28"/>
        </w:rPr>
      </w:pPr>
      <w:r w:rsidRPr="005E1103">
        <w:rPr>
          <w:rFonts w:cstheme="minorHAnsi"/>
          <w:sz w:val="28"/>
          <w:szCs w:val="28"/>
          <w:shd w:val="clear" w:color="auto" w:fill="FFFFFF"/>
        </w:rPr>
        <w:t xml:space="preserve">En relación con la comprensión del lenguaje y, por ende, con la comprensión lectora, la división clásica identifica tres niveles de comprensión: comprensión literal, comprensión inferencial y comprensión crítica. En este trabajo se abordan únicamente los dos primeros niveles. La comprensión lectora literal es la forma más común y sencilla de comprensión. Tiene un carácter directo, de modo que el lector simplemente entiende lo que se expone explícitamente, no teniendo que hacer inferencias o elaborar lo leído o escuchado. Pero en muchas ocasiones el texto no indica explícitamente las relaciones de sus proposiciones, de modo que el lector debe hacer inferencias, es decir, obtener nueva información tomando como base la información explícita, activando sus conocimientos </w:t>
      </w:r>
      <w:r w:rsidRPr="005E1103">
        <w:rPr>
          <w:rFonts w:cstheme="minorHAnsi"/>
          <w:sz w:val="28"/>
          <w:szCs w:val="28"/>
          <w:shd w:val="clear" w:color="auto" w:fill="FFFFFF"/>
        </w:rPr>
        <w:lastRenderedPageBreak/>
        <w:t>previos y sus experiencias personales, y utilizando indicios para formular hipótesis sobre el contenido del texto, estableciendo nuevas proposiciones, que se irán verificando o no (Sainz, 1991).</w:t>
      </w:r>
    </w:p>
    <w:p w:rsidR="00C71AF3" w:rsidRPr="005E1103" w:rsidRDefault="00C71AF3" w:rsidP="00C71AF3">
      <w:pPr>
        <w:spacing w:line="360" w:lineRule="auto"/>
        <w:jc w:val="both"/>
        <w:rPr>
          <w:rStyle w:val="apple-converted-space"/>
          <w:rFonts w:cstheme="minorHAnsi"/>
          <w:sz w:val="28"/>
          <w:szCs w:val="28"/>
          <w:shd w:val="clear" w:color="auto" w:fill="FFFFFF"/>
        </w:rPr>
      </w:pPr>
    </w:p>
    <w:p w:rsidR="00C71AF3" w:rsidRPr="005E1103" w:rsidRDefault="00C71AF3" w:rsidP="00C71AF3">
      <w:pPr>
        <w:spacing w:line="360" w:lineRule="auto"/>
        <w:jc w:val="both"/>
        <w:rPr>
          <w:rFonts w:cstheme="minorHAnsi"/>
          <w:b/>
          <w:bCs/>
          <w:sz w:val="28"/>
          <w:szCs w:val="28"/>
        </w:rPr>
      </w:pPr>
      <w:r w:rsidRPr="005E1103">
        <w:rPr>
          <w:rFonts w:cstheme="minorHAnsi"/>
          <w:b/>
          <w:bCs/>
          <w:sz w:val="28"/>
          <w:szCs w:val="28"/>
        </w:rPr>
        <w:t>MÉTODO</w:t>
      </w:r>
    </w:p>
    <w:p w:rsidR="00C71AF3" w:rsidRPr="005E1103" w:rsidRDefault="00C71AF3" w:rsidP="00C71AF3">
      <w:pPr>
        <w:spacing w:line="360" w:lineRule="auto"/>
        <w:jc w:val="both"/>
        <w:rPr>
          <w:rFonts w:cstheme="minorHAnsi"/>
          <w:sz w:val="28"/>
          <w:szCs w:val="28"/>
        </w:rPr>
      </w:pPr>
      <w:r w:rsidRPr="005E1103">
        <w:rPr>
          <w:rFonts w:cstheme="minorHAnsi"/>
          <w:sz w:val="28"/>
          <w:szCs w:val="28"/>
        </w:rPr>
        <w:t>Este estudio forma parte de un estudio más amplio, sobre comprensión de textos en personas ciegas (González-García, 2016), en el que se analizaron y compararon los rendimientos en velocidad y en comprensión lectora (en braille y en tinta), y en comprensión oral (usando grabaciones de voz natural y sistemas de síntesis de voz) de personas ciegas y videntes. En el estudio que aquí se presenta nos ocuparemos de la velocidad y la compresión lectora en braille, y exclusivamente en personas que han finalizado el bachillerato y en titulados universitarios.</w:t>
      </w:r>
    </w:p>
    <w:p w:rsidR="00C71AF3" w:rsidRPr="005E1103" w:rsidRDefault="00C71AF3" w:rsidP="00C71AF3">
      <w:pPr>
        <w:spacing w:line="360" w:lineRule="auto"/>
        <w:jc w:val="both"/>
        <w:rPr>
          <w:rFonts w:cstheme="minorHAnsi"/>
          <w:b/>
          <w:sz w:val="28"/>
          <w:szCs w:val="28"/>
        </w:rPr>
      </w:pPr>
      <w:r w:rsidRPr="005E1103">
        <w:rPr>
          <w:rFonts w:cstheme="minorHAnsi"/>
          <w:b/>
          <w:sz w:val="28"/>
          <w:szCs w:val="28"/>
        </w:rPr>
        <w:t>Sujetos</w:t>
      </w:r>
    </w:p>
    <w:p w:rsidR="00C71AF3" w:rsidRPr="005E1103" w:rsidRDefault="00C71AF3" w:rsidP="00C71AF3">
      <w:pPr>
        <w:spacing w:line="360" w:lineRule="auto"/>
        <w:jc w:val="both"/>
        <w:rPr>
          <w:rFonts w:cstheme="minorHAnsi"/>
          <w:sz w:val="28"/>
          <w:szCs w:val="28"/>
        </w:rPr>
      </w:pPr>
      <w:r w:rsidRPr="005E1103">
        <w:rPr>
          <w:rFonts w:cstheme="minorHAnsi"/>
          <w:sz w:val="28"/>
          <w:szCs w:val="28"/>
        </w:rPr>
        <w:t>Se seleccionaron dos grupos, compuestos por 59 personas ciegas y 57 personas videntes. El grupo de personas ciegas lo componían 26 titulados en bachillerato (11 mujeres y 15 hombres; edad media = 44 años) y 33 titulados universitarios (19 mujeres y 14 hombres; edad media = 43 años), mientras que el grupo de personas videntes los componían 31 titulados en bachillerato (22 mujeres y 9 hombres; edad media = 16 años) y 26 titulados universitarios (22 mujeres y 4 hombres; edad media = 22 años).</w:t>
      </w:r>
    </w:p>
    <w:p w:rsidR="00C71AF3" w:rsidRPr="005E1103" w:rsidRDefault="00C71AF3" w:rsidP="00C71AF3">
      <w:pPr>
        <w:spacing w:line="360" w:lineRule="auto"/>
        <w:jc w:val="both"/>
        <w:rPr>
          <w:rFonts w:cstheme="minorHAnsi"/>
          <w:b/>
          <w:sz w:val="28"/>
          <w:szCs w:val="28"/>
        </w:rPr>
      </w:pPr>
      <w:r w:rsidRPr="005E1103">
        <w:rPr>
          <w:rFonts w:cstheme="minorHAnsi"/>
          <w:b/>
          <w:sz w:val="28"/>
          <w:szCs w:val="28"/>
        </w:rPr>
        <w:t>Material</w:t>
      </w:r>
    </w:p>
    <w:p w:rsidR="00C71AF3" w:rsidRPr="005E1103" w:rsidRDefault="00C71AF3" w:rsidP="00C71AF3">
      <w:pPr>
        <w:spacing w:line="360" w:lineRule="auto"/>
        <w:jc w:val="both"/>
        <w:rPr>
          <w:rFonts w:cstheme="minorHAnsi"/>
          <w:sz w:val="28"/>
          <w:szCs w:val="28"/>
        </w:rPr>
      </w:pPr>
      <w:r w:rsidRPr="005E1103">
        <w:rPr>
          <w:rFonts w:cstheme="minorHAnsi"/>
          <w:sz w:val="28"/>
          <w:szCs w:val="28"/>
        </w:rPr>
        <w:t xml:space="preserve">Para medir la comprensión lectora se empleó una prueba estandarizada, de uso común en España: la prueba 5 del PROLEC-SE (Ramos y Cuetos, 1999), compuesta por dos textos expositivos. Sobre cada uno de ellos se realizan 10 preguntas, cinco de las cuales se corresponden de modo literal con el contenido del texto (comprensión literal), mientras que las otras cinco se responden realizando inferencias sobre material leído </w:t>
      </w:r>
      <w:r w:rsidRPr="005E1103">
        <w:rPr>
          <w:rFonts w:cstheme="minorHAnsi"/>
          <w:sz w:val="28"/>
          <w:szCs w:val="28"/>
        </w:rPr>
        <w:lastRenderedPageBreak/>
        <w:t>(comprensión inferencial). Con las personas videntes se utilizó el material original del PROLEC-SE, mientras que con las personas ciegas se utilizó el mismo material, trascrito al braille.</w:t>
      </w:r>
    </w:p>
    <w:p w:rsidR="00C71AF3" w:rsidRPr="005E1103" w:rsidRDefault="00C71AF3" w:rsidP="00C71AF3">
      <w:pPr>
        <w:spacing w:line="360" w:lineRule="auto"/>
        <w:jc w:val="both"/>
        <w:rPr>
          <w:rFonts w:cstheme="minorHAnsi"/>
          <w:sz w:val="28"/>
          <w:szCs w:val="28"/>
        </w:rPr>
      </w:pPr>
      <w:r w:rsidRPr="005E1103">
        <w:rPr>
          <w:rFonts w:cstheme="minorHAnsi"/>
          <w:sz w:val="28"/>
          <w:szCs w:val="28"/>
        </w:rPr>
        <w:t>Para medir la velocidad lectora se creó un texto nuevo, similar tanto en extensión como en estructura a los originales del PROLEC-SE.</w:t>
      </w:r>
    </w:p>
    <w:p w:rsidR="00C71AF3" w:rsidRPr="005E1103" w:rsidRDefault="00C71AF3" w:rsidP="00C71AF3">
      <w:pPr>
        <w:spacing w:line="360" w:lineRule="auto"/>
        <w:jc w:val="both"/>
        <w:rPr>
          <w:rFonts w:cstheme="minorHAnsi"/>
          <w:b/>
          <w:sz w:val="28"/>
          <w:szCs w:val="28"/>
        </w:rPr>
      </w:pPr>
      <w:r w:rsidRPr="005E1103">
        <w:rPr>
          <w:rFonts w:cstheme="minorHAnsi"/>
          <w:b/>
          <w:sz w:val="28"/>
          <w:szCs w:val="28"/>
        </w:rPr>
        <w:t>Procedimiento</w:t>
      </w:r>
    </w:p>
    <w:p w:rsidR="00C71AF3" w:rsidRPr="005E1103" w:rsidRDefault="00C71AF3" w:rsidP="00C71AF3">
      <w:pPr>
        <w:spacing w:line="360" w:lineRule="auto"/>
        <w:jc w:val="both"/>
        <w:rPr>
          <w:rFonts w:cstheme="minorHAnsi"/>
          <w:sz w:val="28"/>
          <w:szCs w:val="28"/>
        </w:rPr>
      </w:pPr>
      <w:r w:rsidRPr="005E1103">
        <w:rPr>
          <w:rFonts w:cstheme="minorHAnsi"/>
          <w:sz w:val="28"/>
          <w:szCs w:val="28"/>
        </w:rPr>
        <w:t>La evaluación de la velocidad lectora se realizó, tanto en el caso de las personas ciegas como en el de las personas videntes, de modo individual, leyendo cada sujeto, en voz alta, el texto creado al efecto. Trascurrido un minuto de lectura, se pedía al sujeto que dejara de leer, y se anotaba el número de palabras leídas en ese tiempo (palabras por minuto, ppm).</w:t>
      </w:r>
    </w:p>
    <w:p w:rsidR="00C71AF3" w:rsidRPr="005E1103" w:rsidRDefault="00C71AF3" w:rsidP="00C71AF3">
      <w:pPr>
        <w:spacing w:line="360" w:lineRule="auto"/>
        <w:jc w:val="both"/>
        <w:rPr>
          <w:rFonts w:cstheme="minorHAnsi"/>
          <w:sz w:val="28"/>
          <w:szCs w:val="28"/>
        </w:rPr>
      </w:pPr>
      <w:r w:rsidRPr="005E1103">
        <w:rPr>
          <w:rFonts w:cstheme="minorHAnsi"/>
          <w:sz w:val="28"/>
          <w:szCs w:val="28"/>
        </w:rPr>
        <w:t>La evaluación de la comprensión lectora de las personas videntes se realizó según se establece en el manual de instrucciones del PROLEC-SE, en grupos reducidos de 10-15 personas. Cada sujeto leía cada uno de los dos textos a su ritmo y, una vez terminaba de leer cada uno, cerraba el cuadernillo que contenía el texto, y comenzaba a contestar a las preguntas por escrito, anotando en la hoja de respuestas. En el caso de las personas ciegas esta evaluación se realizó de modo individual. Cada sujeto leía cada uno de los dos textos a su ritmo y, una vez terminaba de leer cada uno, se le retiraba el cuadernillo que contenía el texto, y el examinador le formulaba oralmente, de una en una, las preguntas correspondientes, anotando el propio examinador las contestaciones en la hoja de respuestas. La prueba fue corregida conforme establece su manual, atribuyendo un punto a dada respuesta correcta (puntuación máxima = 20 puntos).</w:t>
      </w:r>
    </w:p>
    <w:p w:rsidR="00C71AF3" w:rsidRPr="005E1103" w:rsidRDefault="00C71AF3" w:rsidP="00C71AF3">
      <w:pPr>
        <w:spacing w:line="360" w:lineRule="auto"/>
        <w:jc w:val="both"/>
        <w:rPr>
          <w:rFonts w:cstheme="minorHAnsi"/>
          <w:sz w:val="28"/>
          <w:szCs w:val="28"/>
        </w:rPr>
      </w:pPr>
      <w:r w:rsidRPr="005E1103">
        <w:rPr>
          <w:rFonts w:cstheme="minorHAnsi"/>
          <w:sz w:val="28"/>
          <w:szCs w:val="28"/>
        </w:rPr>
        <w:t xml:space="preserve">Con el fin de determinar su peso como variables predictoras, en ambos grupos se controlaron las variables “Género” (hombres y mujeres) y “Nivel de titulación” (titulados </w:t>
      </w:r>
      <w:r w:rsidRPr="005E1103">
        <w:rPr>
          <w:rFonts w:cstheme="minorHAnsi"/>
          <w:sz w:val="28"/>
          <w:szCs w:val="28"/>
        </w:rPr>
        <w:lastRenderedPageBreak/>
        <w:t>en bachillerato y titulados universitarios). Además, en el grupo de personas ciegas, se controlaron también:</w:t>
      </w:r>
    </w:p>
    <w:p w:rsidR="00C71AF3" w:rsidRPr="005E1103" w:rsidRDefault="00C71AF3" w:rsidP="00C71AF3">
      <w:pPr>
        <w:pStyle w:val="Prrafodelista"/>
        <w:numPr>
          <w:ilvl w:val="0"/>
          <w:numId w:val="11"/>
        </w:numPr>
        <w:spacing w:before="0" w:line="360" w:lineRule="auto"/>
        <w:ind w:left="567" w:hanging="283"/>
        <w:jc w:val="both"/>
        <w:rPr>
          <w:rFonts w:asciiTheme="minorHAnsi" w:hAnsiTheme="minorHAnsi" w:cstheme="minorHAnsi"/>
          <w:sz w:val="28"/>
          <w:szCs w:val="28"/>
        </w:rPr>
      </w:pPr>
      <w:r w:rsidRPr="005E1103">
        <w:rPr>
          <w:rFonts w:asciiTheme="minorHAnsi" w:hAnsiTheme="minorHAnsi" w:cstheme="minorHAnsi"/>
          <w:sz w:val="28"/>
          <w:szCs w:val="28"/>
        </w:rPr>
        <w:t>El momento de inicio de la ceguera: Ceguera temprana, cuando la aparición de la ceguera su produjo entre el nacimiento y los 6 años (antes de aprender a leer); ceguera en la infancia, cuando la ceguera fue apareció entre los 6 y los 14 años (una vez empezado el proceso de aprendizaje de a lectura); y ceguera tardía, cuando la ceguera apareció después de los 14 años (una vez consolidados los procesos lectores).</w:t>
      </w:r>
    </w:p>
    <w:p w:rsidR="00C71AF3" w:rsidRPr="005E1103" w:rsidRDefault="00C71AF3" w:rsidP="00C71AF3">
      <w:pPr>
        <w:pStyle w:val="Prrafodelista"/>
        <w:numPr>
          <w:ilvl w:val="0"/>
          <w:numId w:val="11"/>
        </w:numPr>
        <w:spacing w:before="0" w:line="360" w:lineRule="auto"/>
        <w:ind w:left="567" w:hanging="283"/>
        <w:jc w:val="both"/>
        <w:rPr>
          <w:rFonts w:asciiTheme="minorHAnsi" w:hAnsiTheme="minorHAnsi" w:cstheme="minorHAnsi"/>
          <w:sz w:val="28"/>
          <w:szCs w:val="28"/>
        </w:rPr>
      </w:pPr>
      <w:r w:rsidRPr="005E1103">
        <w:rPr>
          <w:rFonts w:asciiTheme="minorHAnsi" w:hAnsiTheme="minorHAnsi" w:cstheme="minorHAnsi"/>
          <w:sz w:val="28"/>
          <w:szCs w:val="28"/>
        </w:rPr>
        <w:t>El patrón de movimiento de las manos leyendo braille, conforme la taxonomía de Kusajima (1974): unimanual (con una sola mano), conjunto (con una mano junto a la  otra, tocándose los dedos índice de cada una de ellas), mixto (la primera parte de la línea con una mano, la parte central de la línea con ambas manos, una pegada a la otra, y la parte final de la línea con la mano contraria a aquella con la que había leído la parte inicial de la línea), disjunto sucesivo (un fragmento de una línea con una mano, y otro fragmento de esa misma línea con la otra mano, sucesivamente) y disjunto simultáneo (un fragmento de una línea con una mano, y otro fragmento de esa misma línea con la otra mano, simultáneamente).</w:t>
      </w:r>
    </w:p>
    <w:p w:rsidR="00C71AF3" w:rsidRPr="005E1103" w:rsidRDefault="00C71AF3" w:rsidP="00C71AF3">
      <w:pPr>
        <w:pStyle w:val="Prrafodelista"/>
        <w:numPr>
          <w:ilvl w:val="0"/>
          <w:numId w:val="11"/>
        </w:numPr>
        <w:spacing w:before="0" w:line="360" w:lineRule="auto"/>
        <w:ind w:left="567" w:hanging="283"/>
        <w:jc w:val="both"/>
        <w:rPr>
          <w:rFonts w:asciiTheme="minorHAnsi" w:hAnsiTheme="minorHAnsi" w:cstheme="minorHAnsi"/>
          <w:sz w:val="28"/>
          <w:szCs w:val="28"/>
        </w:rPr>
      </w:pPr>
      <w:r w:rsidRPr="005E1103">
        <w:rPr>
          <w:rFonts w:asciiTheme="minorHAnsi" w:hAnsiTheme="minorHAnsi" w:cstheme="minorHAnsi"/>
          <w:sz w:val="28"/>
          <w:szCs w:val="28"/>
        </w:rPr>
        <w:t>Los años de experiencia de lectura en braille: Entre 0 y 7 años (su alfabetización en braille es básica); entre 8 y 23 años (su dominio del braille es alto); y 24 o más años (han leído braille “toda su vida”).</w:t>
      </w:r>
    </w:p>
    <w:p w:rsidR="00C71AF3" w:rsidRPr="005E1103" w:rsidRDefault="00C71AF3" w:rsidP="00C71AF3">
      <w:pPr>
        <w:spacing w:line="360" w:lineRule="auto"/>
        <w:jc w:val="both"/>
        <w:rPr>
          <w:rFonts w:cstheme="minorHAnsi"/>
          <w:sz w:val="28"/>
          <w:szCs w:val="28"/>
        </w:rPr>
      </w:pPr>
      <w:r w:rsidRPr="005E1103">
        <w:rPr>
          <w:rFonts w:cstheme="minorHAnsi"/>
          <w:sz w:val="28"/>
          <w:szCs w:val="28"/>
        </w:rPr>
        <w:t>Los resultados obtenidos nos permitirán comparar los rendimientos en velocidad y comprensión lectora de las personas ciegas con los de las personas videntes, lo que haremos analizando varias pruebas t para muestras independientes. También nos permitirán, analizando ya sólo los resultados del grupo de personas ciegas, conocer en qué medida la velocidad y la comprensión lectora dependen de los factores anteriormente mencionados, lo que haremos mediante regresiones lineal jerárquicas.</w:t>
      </w:r>
    </w:p>
    <w:p w:rsidR="00C71AF3" w:rsidRPr="005E1103" w:rsidRDefault="00C71AF3" w:rsidP="00C71AF3">
      <w:pPr>
        <w:spacing w:line="360" w:lineRule="auto"/>
        <w:jc w:val="both"/>
        <w:rPr>
          <w:rFonts w:cstheme="minorHAnsi"/>
          <w:sz w:val="28"/>
          <w:szCs w:val="28"/>
        </w:rPr>
      </w:pPr>
    </w:p>
    <w:p w:rsidR="000D037B" w:rsidRDefault="000D037B">
      <w:pPr>
        <w:rPr>
          <w:rFonts w:cstheme="minorHAnsi"/>
          <w:b/>
          <w:bCs/>
          <w:sz w:val="28"/>
          <w:szCs w:val="28"/>
        </w:rPr>
      </w:pPr>
      <w:r>
        <w:rPr>
          <w:rFonts w:cstheme="minorHAnsi"/>
          <w:b/>
          <w:bCs/>
          <w:sz w:val="28"/>
          <w:szCs w:val="28"/>
        </w:rPr>
        <w:br w:type="page"/>
      </w:r>
    </w:p>
    <w:p w:rsidR="00C71AF3" w:rsidRPr="005E1103" w:rsidRDefault="00C71AF3" w:rsidP="00C71AF3">
      <w:pPr>
        <w:spacing w:line="360" w:lineRule="auto"/>
        <w:jc w:val="both"/>
        <w:rPr>
          <w:rFonts w:cstheme="minorHAnsi"/>
          <w:b/>
          <w:bCs/>
          <w:sz w:val="28"/>
          <w:szCs w:val="28"/>
        </w:rPr>
      </w:pPr>
      <w:r w:rsidRPr="005E1103">
        <w:rPr>
          <w:rFonts w:cstheme="minorHAnsi"/>
          <w:b/>
          <w:bCs/>
          <w:sz w:val="28"/>
          <w:szCs w:val="28"/>
        </w:rPr>
        <w:lastRenderedPageBreak/>
        <w:t>RESULTADOS</w:t>
      </w:r>
    </w:p>
    <w:p w:rsidR="00C71AF3" w:rsidRPr="005E1103" w:rsidRDefault="00C71AF3" w:rsidP="00C71AF3">
      <w:pPr>
        <w:spacing w:line="360" w:lineRule="auto"/>
        <w:jc w:val="both"/>
        <w:rPr>
          <w:rFonts w:cstheme="minorHAnsi"/>
          <w:b/>
          <w:sz w:val="28"/>
          <w:szCs w:val="28"/>
        </w:rPr>
      </w:pPr>
      <w:r w:rsidRPr="005E1103">
        <w:rPr>
          <w:rFonts w:cstheme="minorHAnsi"/>
          <w:b/>
          <w:sz w:val="28"/>
          <w:szCs w:val="28"/>
        </w:rPr>
        <w:t>Velocidad lectora: comparación personas ciegas / personas videntes</w:t>
      </w:r>
    </w:p>
    <w:p w:rsidR="00C71AF3" w:rsidRPr="005E1103" w:rsidRDefault="00C71AF3" w:rsidP="00C71AF3">
      <w:pPr>
        <w:spacing w:line="360" w:lineRule="auto"/>
        <w:jc w:val="both"/>
        <w:rPr>
          <w:rFonts w:cstheme="minorHAnsi"/>
          <w:sz w:val="28"/>
          <w:szCs w:val="28"/>
        </w:rPr>
      </w:pPr>
      <w:r w:rsidRPr="005E1103">
        <w:rPr>
          <w:rFonts w:cstheme="minorHAnsi"/>
          <w:sz w:val="28"/>
          <w:szCs w:val="28"/>
        </w:rPr>
        <w:t>Empezamos constatando que hombres y mujeres, tanto en el grupo de personas ciegas (t</w:t>
      </w:r>
      <w:r w:rsidRPr="005E1103">
        <w:rPr>
          <w:rFonts w:cstheme="minorHAnsi"/>
          <w:sz w:val="28"/>
          <w:szCs w:val="28"/>
          <w:vertAlign w:val="subscript"/>
        </w:rPr>
        <w:t>(57)</w:t>
      </w:r>
      <w:r w:rsidRPr="005E1103">
        <w:rPr>
          <w:rFonts w:cstheme="minorHAnsi"/>
          <w:sz w:val="28"/>
          <w:szCs w:val="28"/>
        </w:rPr>
        <w:t>=,774; p=,442) como en el grupo de personas videntes (t</w:t>
      </w:r>
      <w:r w:rsidRPr="005E1103">
        <w:rPr>
          <w:rFonts w:cstheme="minorHAnsi"/>
          <w:sz w:val="28"/>
          <w:szCs w:val="28"/>
          <w:vertAlign w:val="subscript"/>
        </w:rPr>
        <w:t>(55)</w:t>
      </w:r>
      <w:r w:rsidRPr="005E1103">
        <w:rPr>
          <w:rFonts w:cstheme="minorHAnsi"/>
          <w:sz w:val="28"/>
          <w:szCs w:val="28"/>
        </w:rPr>
        <w:t>=,592; p=,556), presentaban niveles de velocidad lectora similares.</w:t>
      </w:r>
    </w:p>
    <w:p w:rsidR="00C71AF3" w:rsidRPr="005E1103" w:rsidRDefault="00C71AF3" w:rsidP="00C71AF3">
      <w:pPr>
        <w:spacing w:line="360" w:lineRule="auto"/>
        <w:jc w:val="both"/>
        <w:rPr>
          <w:rFonts w:cstheme="minorHAnsi"/>
          <w:sz w:val="28"/>
          <w:szCs w:val="28"/>
        </w:rPr>
      </w:pPr>
      <w:r w:rsidRPr="005E1103">
        <w:rPr>
          <w:rFonts w:cstheme="minorHAnsi"/>
          <w:sz w:val="28"/>
          <w:szCs w:val="28"/>
        </w:rPr>
        <w:t>El paso siguiente fue comparar la velocidad lectora del grupo de personas ciegas con la del grupo de personas videntes. De modo global, es decir, sin tener en cuenta los niveles académicos, observamos que la velocidad lectora media de las personas ciegas es de 77,41 ppm, mientras que la velocidad lectora media de las personas videntes es de 175,02 ppm, es decir, que la velocidad lectora de los primeros es menos de la mitad de la de los segundos. Esta diferencia es significativa (t</w:t>
      </w:r>
      <w:r w:rsidRPr="005E1103">
        <w:rPr>
          <w:rFonts w:cstheme="minorHAnsi"/>
          <w:sz w:val="28"/>
          <w:szCs w:val="28"/>
          <w:vertAlign w:val="subscript"/>
        </w:rPr>
        <w:t>(114)</w:t>
      </w:r>
      <w:r w:rsidRPr="005E1103">
        <w:rPr>
          <w:rFonts w:cstheme="minorHAnsi"/>
          <w:sz w:val="28"/>
          <w:szCs w:val="28"/>
        </w:rPr>
        <w:t>=12,436; p&lt;,000). Bajando más al detalle, si comparamos la velocidad lectora de personas con título de bachillerato de ambos grupos, observamos que las personas que presentan ceguera leen a una velocidad significativamente menor que sus pares videntes: 70,27 ppm frente a 199,56 ppm (t</w:t>
      </w:r>
      <w:r w:rsidRPr="005E1103">
        <w:rPr>
          <w:rFonts w:cstheme="minorHAnsi"/>
          <w:sz w:val="28"/>
          <w:szCs w:val="28"/>
          <w:vertAlign w:val="subscript"/>
        </w:rPr>
        <w:t>(55)</w:t>
      </w:r>
      <w:r w:rsidRPr="005E1103">
        <w:rPr>
          <w:rFonts w:cstheme="minorHAnsi"/>
          <w:sz w:val="28"/>
          <w:szCs w:val="28"/>
        </w:rPr>
        <w:t>=13,555; p&lt;,000). Lo mismo sucede entre los titulados universitarios: los ciegos leen a una velocidad media de 83,03 ppm, frente a las 145,73 ppm de los videntes (t</w:t>
      </w:r>
      <w:r w:rsidRPr="005E1103">
        <w:rPr>
          <w:rFonts w:cstheme="minorHAnsi"/>
          <w:sz w:val="28"/>
          <w:szCs w:val="28"/>
          <w:vertAlign w:val="subscript"/>
        </w:rPr>
        <w:t>(57)</w:t>
      </w:r>
      <w:r w:rsidRPr="005E1103">
        <w:rPr>
          <w:rFonts w:cstheme="minorHAnsi"/>
          <w:sz w:val="28"/>
          <w:szCs w:val="28"/>
        </w:rPr>
        <w:t>=6,035; p&lt;,000).</w:t>
      </w:r>
    </w:p>
    <w:p w:rsidR="00C71AF3" w:rsidRPr="005E1103" w:rsidRDefault="00C71AF3" w:rsidP="00C71AF3">
      <w:pPr>
        <w:spacing w:line="360" w:lineRule="auto"/>
        <w:jc w:val="both"/>
        <w:rPr>
          <w:rFonts w:cstheme="minorHAnsi"/>
          <w:b/>
          <w:sz w:val="28"/>
          <w:szCs w:val="28"/>
        </w:rPr>
      </w:pPr>
      <w:r w:rsidRPr="005E1103">
        <w:rPr>
          <w:rFonts w:cstheme="minorHAnsi"/>
          <w:b/>
          <w:sz w:val="28"/>
          <w:szCs w:val="28"/>
        </w:rPr>
        <w:t>Comprensión lectora: comparación persona ciegas / personas videntes</w:t>
      </w:r>
    </w:p>
    <w:p w:rsidR="00C71AF3" w:rsidRPr="005E1103" w:rsidRDefault="00C71AF3" w:rsidP="00C71AF3">
      <w:pPr>
        <w:spacing w:line="360" w:lineRule="auto"/>
        <w:jc w:val="both"/>
        <w:rPr>
          <w:rFonts w:cstheme="minorHAnsi"/>
          <w:sz w:val="28"/>
          <w:szCs w:val="28"/>
        </w:rPr>
      </w:pPr>
      <w:r w:rsidRPr="005E1103">
        <w:rPr>
          <w:rFonts w:cstheme="minorHAnsi"/>
          <w:sz w:val="28"/>
          <w:szCs w:val="28"/>
        </w:rPr>
        <w:t>De nuevo iniciamos los análisis constatando, que hombres y mujeres, tanto ciegos como videntes, presentaban niveles de comprensión lectora, tanto literal como inferencial, similares, como se puede ver en la tabla 1.</w:t>
      </w:r>
    </w:p>
    <w:p w:rsidR="00C71AF3" w:rsidRPr="005E1103" w:rsidRDefault="00C71AF3" w:rsidP="00C71AF3">
      <w:pPr>
        <w:spacing w:line="360" w:lineRule="auto"/>
        <w:jc w:val="both"/>
        <w:rPr>
          <w:rFonts w:cstheme="minorHAnsi"/>
          <w:sz w:val="28"/>
          <w:szCs w:val="28"/>
        </w:rPr>
      </w:pPr>
    </w:p>
    <w:p w:rsidR="00C71AF3" w:rsidRPr="005E1103" w:rsidRDefault="00C71AF3" w:rsidP="00C71AF3">
      <w:pPr>
        <w:spacing w:line="360" w:lineRule="auto"/>
        <w:jc w:val="both"/>
        <w:rPr>
          <w:rFonts w:cstheme="minorHAnsi"/>
          <w:sz w:val="28"/>
          <w:szCs w:val="28"/>
        </w:rPr>
      </w:pPr>
    </w:p>
    <w:p w:rsidR="000D037B" w:rsidRDefault="000D037B">
      <w:pPr>
        <w:rPr>
          <w:rFonts w:cstheme="minorHAnsi"/>
          <w:sz w:val="28"/>
          <w:szCs w:val="28"/>
        </w:rPr>
      </w:pPr>
      <w:r>
        <w:rPr>
          <w:rFonts w:cstheme="minorHAnsi"/>
          <w:sz w:val="28"/>
          <w:szCs w:val="28"/>
        </w:rPr>
        <w:br w:type="page"/>
      </w:r>
    </w:p>
    <w:p w:rsidR="00C71AF3" w:rsidRPr="005E1103" w:rsidRDefault="000D037B" w:rsidP="00C71AF3">
      <w:pPr>
        <w:spacing w:line="360" w:lineRule="auto"/>
        <w:jc w:val="both"/>
        <w:rPr>
          <w:rFonts w:cstheme="minorHAnsi"/>
          <w:sz w:val="28"/>
          <w:szCs w:val="28"/>
        </w:rPr>
      </w:pPr>
      <w:r>
        <w:rPr>
          <w:rFonts w:cstheme="minorHAnsi"/>
          <w:sz w:val="28"/>
          <w:szCs w:val="28"/>
        </w:rPr>
        <w:lastRenderedPageBreak/>
        <w:t>T</w:t>
      </w:r>
      <w:r w:rsidR="00C71AF3" w:rsidRPr="005E1103">
        <w:rPr>
          <w:rFonts w:cstheme="minorHAnsi"/>
          <w:sz w:val="28"/>
          <w:szCs w:val="28"/>
        </w:rPr>
        <w:t>abla 1. Comparación de medias en comprensión lectora de hombres y mujeres, según grupo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2268"/>
        <w:gridCol w:w="2268"/>
      </w:tblGrid>
      <w:tr w:rsidR="00C71AF3" w:rsidRPr="005E1103" w:rsidTr="00C71AF3">
        <w:trPr>
          <w:trHeight w:hRule="exact" w:val="340"/>
          <w:jc w:val="center"/>
        </w:trPr>
        <w:tc>
          <w:tcPr>
            <w:tcW w:w="2835" w:type="dxa"/>
            <w:vAlign w:val="center"/>
          </w:tcPr>
          <w:p w:rsidR="00C71AF3" w:rsidRPr="005E1103" w:rsidRDefault="00C71AF3" w:rsidP="00C71AF3">
            <w:pPr>
              <w:jc w:val="both"/>
              <w:rPr>
                <w:rFonts w:cstheme="minorHAnsi"/>
                <w:sz w:val="28"/>
                <w:szCs w:val="28"/>
              </w:rPr>
            </w:pPr>
          </w:p>
        </w:tc>
        <w:tc>
          <w:tcPr>
            <w:tcW w:w="2268" w:type="dxa"/>
            <w:vAlign w:val="center"/>
          </w:tcPr>
          <w:p w:rsidR="00C71AF3" w:rsidRPr="005E1103" w:rsidRDefault="00C71AF3" w:rsidP="00C71AF3">
            <w:pPr>
              <w:jc w:val="both"/>
              <w:rPr>
                <w:rFonts w:cstheme="minorHAnsi"/>
                <w:sz w:val="28"/>
                <w:szCs w:val="28"/>
              </w:rPr>
            </w:pPr>
            <w:r w:rsidRPr="005E1103">
              <w:rPr>
                <w:rFonts w:cstheme="minorHAnsi"/>
                <w:sz w:val="28"/>
                <w:szCs w:val="28"/>
              </w:rPr>
              <w:t>Ciegos</w:t>
            </w:r>
          </w:p>
        </w:tc>
        <w:tc>
          <w:tcPr>
            <w:tcW w:w="2268" w:type="dxa"/>
            <w:vAlign w:val="center"/>
          </w:tcPr>
          <w:p w:rsidR="00C71AF3" w:rsidRPr="005E1103" w:rsidRDefault="00C71AF3" w:rsidP="00C71AF3">
            <w:pPr>
              <w:jc w:val="both"/>
              <w:rPr>
                <w:rFonts w:cstheme="minorHAnsi"/>
                <w:sz w:val="28"/>
                <w:szCs w:val="28"/>
              </w:rPr>
            </w:pPr>
            <w:r w:rsidRPr="005E1103">
              <w:rPr>
                <w:rFonts w:cstheme="minorHAnsi"/>
                <w:sz w:val="28"/>
                <w:szCs w:val="28"/>
              </w:rPr>
              <w:t>Videntes</w:t>
            </w:r>
          </w:p>
        </w:tc>
      </w:tr>
      <w:tr w:rsidR="00C71AF3" w:rsidRPr="005E1103" w:rsidTr="00C71AF3">
        <w:trPr>
          <w:trHeight w:hRule="exact" w:val="340"/>
          <w:jc w:val="center"/>
        </w:trPr>
        <w:tc>
          <w:tcPr>
            <w:tcW w:w="2835" w:type="dxa"/>
            <w:vAlign w:val="center"/>
          </w:tcPr>
          <w:p w:rsidR="00C71AF3" w:rsidRPr="005E1103" w:rsidRDefault="00C71AF3" w:rsidP="00C71AF3">
            <w:pPr>
              <w:jc w:val="both"/>
              <w:rPr>
                <w:rFonts w:cstheme="minorHAnsi"/>
                <w:sz w:val="28"/>
                <w:szCs w:val="28"/>
              </w:rPr>
            </w:pPr>
            <w:r w:rsidRPr="005E1103">
              <w:rPr>
                <w:rFonts w:cstheme="minorHAnsi"/>
                <w:sz w:val="28"/>
                <w:szCs w:val="28"/>
              </w:rPr>
              <w:t>Comprensión lectora literal</w:t>
            </w:r>
          </w:p>
        </w:tc>
        <w:tc>
          <w:tcPr>
            <w:tcW w:w="2268" w:type="dxa"/>
            <w:vAlign w:val="center"/>
          </w:tcPr>
          <w:p w:rsidR="00C71AF3" w:rsidRPr="005E1103" w:rsidRDefault="00C71AF3" w:rsidP="00C71AF3">
            <w:pPr>
              <w:jc w:val="both"/>
              <w:rPr>
                <w:rFonts w:cstheme="minorHAnsi"/>
                <w:sz w:val="28"/>
                <w:szCs w:val="28"/>
              </w:rPr>
            </w:pPr>
            <w:r w:rsidRPr="005E1103">
              <w:rPr>
                <w:rFonts w:cstheme="minorHAnsi"/>
                <w:sz w:val="28"/>
                <w:szCs w:val="28"/>
              </w:rPr>
              <w:t>t</w:t>
            </w:r>
            <w:r w:rsidRPr="005E1103">
              <w:rPr>
                <w:rFonts w:cstheme="minorHAnsi"/>
                <w:sz w:val="28"/>
                <w:szCs w:val="28"/>
                <w:vertAlign w:val="subscript"/>
              </w:rPr>
              <w:t>(57)</w:t>
            </w:r>
            <w:r w:rsidRPr="005E1103">
              <w:rPr>
                <w:rFonts w:cstheme="minorHAnsi"/>
                <w:sz w:val="28"/>
                <w:szCs w:val="28"/>
              </w:rPr>
              <w:t>=,541; p=,591</w:t>
            </w:r>
          </w:p>
        </w:tc>
        <w:tc>
          <w:tcPr>
            <w:tcW w:w="2268" w:type="dxa"/>
            <w:vAlign w:val="center"/>
          </w:tcPr>
          <w:p w:rsidR="00C71AF3" w:rsidRPr="005E1103" w:rsidRDefault="00C71AF3" w:rsidP="00C71AF3">
            <w:pPr>
              <w:jc w:val="both"/>
              <w:rPr>
                <w:rFonts w:cstheme="minorHAnsi"/>
                <w:sz w:val="28"/>
                <w:szCs w:val="28"/>
              </w:rPr>
            </w:pPr>
            <w:r w:rsidRPr="005E1103">
              <w:rPr>
                <w:rFonts w:cstheme="minorHAnsi"/>
                <w:sz w:val="28"/>
                <w:szCs w:val="28"/>
              </w:rPr>
              <w:t>t</w:t>
            </w:r>
            <w:r w:rsidRPr="005E1103">
              <w:rPr>
                <w:rFonts w:cstheme="minorHAnsi"/>
                <w:sz w:val="28"/>
                <w:szCs w:val="28"/>
                <w:vertAlign w:val="subscript"/>
              </w:rPr>
              <w:t>(55)</w:t>
            </w:r>
            <w:r w:rsidRPr="005E1103">
              <w:rPr>
                <w:rFonts w:cstheme="minorHAnsi"/>
                <w:sz w:val="28"/>
                <w:szCs w:val="28"/>
              </w:rPr>
              <w:t>=,153; p=,879</w:t>
            </w:r>
          </w:p>
        </w:tc>
      </w:tr>
      <w:tr w:rsidR="00C71AF3" w:rsidRPr="005E1103" w:rsidTr="00C71AF3">
        <w:trPr>
          <w:trHeight w:hRule="exact" w:val="340"/>
          <w:jc w:val="center"/>
        </w:trPr>
        <w:tc>
          <w:tcPr>
            <w:tcW w:w="2835" w:type="dxa"/>
            <w:vAlign w:val="center"/>
          </w:tcPr>
          <w:p w:rsidR="00C71AF3" w:rsidRPr="005E1103" w:rsidRDefault="00C71AF3" w:rsidP="00C71AF3">
            <w:pPr>
              <w:jc w:val="both"/>
              <w:rPr>
                <w:rFonts w:cstheme="minorHAnsi"/>
                <w:sz w:val="28"/>
                <w:szCs w:val="28"/>
              </w:rPr>
            </w:pPr>
            <w:r w:rsidRPr="005E1103">
              <w:rPr>
                <w:rFonts w:cstheme="minorHAnsi"/>
                <w:sz w:val="28"/>
                <w:szCs w:val="28"/>
              </w:rPr>
              <w:t>Comprensión lectora inferencial</w:t>
            </w:r>
          </w:p>
        </w:tc>
        <w:tc>
          <w:tcPr>
            <w:tcW w:w="2268" w:type="dxa"/>
            <w:vAlign w:val="center"/>
          </w:tcPr>
          <w:p w:rsidR="00C71AF3" w:rsidRPr="005E1103" w:rsidRDefault="00C71AF3" w:rsidP="00C71AF3">
            <w:pPr>
              <w:jc w:val="both"/>
              <w:rPr>
                <w:rFonts w:cstheme="minorHAnsi"/>
                <w:sz w:val="28"/>
                <w:szCs w:val="28"/>
              </w:rPr>
            </w:pPr>
            <w:r w:rsidRPr="005E1103">
              <w:rPr>
                <w:rFonts w:cstheme="minorHAnsi"/>
                <w:sz w:val="28"/>
                <w:szCs w:val="28"/>
              </w:rPr>
              <w:t>t</w:t>
            </w:r>
            <w:r w:rsidRPr="005E1103">
              <w:rPr>
                <w:rFonts w:cstheme="minorHAnsi"/>
                <w:sz w:val="28"/>
                <w:szCs w:val="28"/>
                <w:vertAlign w:val="subscript"/>
              </w:rPr>
              <w:t>(557</w:t>
            </w:r>
            <w:r w:rsidRPr="005E1103">
              <w:rPr>
                <w:rFonts w:cstheme="minorHAnsi"/>
                <w:sz w:val="28"/>
                <w:szCs w:val="28"/>
              </w:rPr>
              <w:t>=,826; p=,412</w:t>
            </w:r>
          </w:p>
        </w:tc>
        <w:tc>
          <w:tcPr>
            <w:tcW w:w="2268" w:type="dxa"/>
            <w:vAlign w:val="center"/>
          </w:tcPr>
          <w:p w:rsidR="00C71AF3" w:rsidRPr="005E1103" w:rsidRDefault="00C71AF3" w:rsidP="00C71AF3">
            <w:pPr>
              <w:jc w:val="both"/>
              <w:rPr>
                <w:rFonts w:cstheme="minorHAnsi"/>
                <w:sz w:val="28"/>
                <w:szCs w:val="28"/>
              </w:rPr>
            </w:pPr>
            <w:r w:rsidRPr="005E1103">
              <w:rPr>
                <w:rFonts w:cstheme="minorHAnsi"/>
                <w:sz w:val="28"/>
                <w:szCs w:val="28"/>
              </w:rPr>
              <w:t>t</w:t>
            </w:r>
            <w:r w:rsidRPr="005E1103">
              <w:rPr>
                <w:rFonts w:cstheme="minorHAnsi"/>
                <w:sz w:val="28"/>
                <w:szCs w:val="28"/>
                <w:vertAlign w:val="subscript"/>
              </w:rPr>
              <w:t>(55)</w:t>
            </w:r>
            <w:r w:rsidRPr="005E1103">
              <w:rPr>
                <w:rFonts w:cstheme="minorHAnsi"/>
                <w:sz w:val="28"/>
                <w:szCs w:val="28"/>
              </w:rPr>
              <w:t>=,160; p=,874</w:t>
            </w:r>
          </w:p>
        </w:tc>
      </w:tr>
    </w:tbl>
    <w:p w:rsidR="000D037B" w:rsidRDefault="000D037B" w:rsidP="00C71AF3">
      <w:pPr>
        <w:spacing w:before="120" w:line="360" w:lineRule="auto"/>
        <w:jc w:val="both"/>
        <w:rPr>
          <w:rFonts w:cstheme="minorHAnsi"/>
          <w:sz w:val="28"/>
          <w:szCs w:val="28"/>
        </w:rPr>
      </w:pPr>
    </w:p>
    <w:p w:rsidR="00C71AF3" w:rsidRPr="005E1103" w:rsidRDefault="00C71AF3" w:rsidP="00C71AF3">
      <w:pPr>
        <w:spacing w:before="120" w:line="360" w:lineRule="auto"/>
        <w:jc w:val="both"/>
        <w:rPr>
          <w:rFonts w:cstheme="minorHAnsi"/>
          <w:sz w:val="28"/>
          <w:szCs w:val="28"/>
        </w:rPr>
      </w:pPr>
      <w:r w:rsidRPr="005E1103">
        <w:rPr>
          <w:rFonts w:cstheme="minorHAnsi"/>
          <w:sz w:val="28"/>
          <w:szCs w:val="28"/>
        </w:rPr>
        <w:t>Al contrario de lo que sucede con la velocidad lectora, la cual, como acabamos de señalar, es significativamente más lenta entre los lectores ciegos que leen en braille, en el caso de la comprensión lectora apenas hay diferencias entre los dos grupos estudiados, y ello independientemente tanto de su nivel de titulación (bachillerato/universidad) como del tipo de comprensión lectora. Si se comparan estas medias de comprensión lectora, se observa que ninguna de esas comparaciones es significativa, de modo que las diferencias entre personas ciegas y videntes no son significativas, como podemos ver en la tabla 2.</w:t>
      </w:r>
    </w:p>
    <w:p w:rsidR="00C71AF3" w:rsidRPr="005E1103" w:rsidRDefault="00C71AF3" w:rsidP="00C71AF3">
      <w:pPr>
        <w:spacing w:line="360" w:lineRule="auto"/>
        <w:jc w:val="both"/>
        <w:rPr>
          <w:rFonts w:cstheme="minorHAnsi"/>
          <w:sz w:val="28"/>
          <w:szCs w:val="28"/>
        </w:rPr>
      </w:pPr>
      <w:r w:rsidRPr="005E1103">
        <w:rPr>
          <w:rFonts w:cstheme="minorHAnsi"/>
          <w:sz w:val="28"/>
          <w:szCs w:val="28"/>
        </w:rPr>
        <w:t>Tabla 2. Comprensión lectora (medias), según titulación y condición visual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5"/>
        <w:gridCol w:w="1134"/>
        <w:gridCol w:w="1134"/>
        <w:gridCol w:w="1134"/>
        <w:gridCol w:w="1134"/>
      </w:tblGrid>
      <w:tr w:rsidR="00C71AF3" w:rsidRPr="005E1103" w:rsidTr="00C71AF3">
        <w:trPr>
          <w:trHeight w:hRule="exact" w:val="340"/>
          <w:jc w:val="center"/>
        </w:trPr>
        <w:tc>
          <w:tcPr>
            <w:tcW w:w="2835" w:type="dxa"/>
            <w:vMerge w:val="restart"/>
            <w:vAlign w:val="center"/>
          </w:tcPr>
          <w:p w:rsidR="00C71AF3" w:rsidRPr="005E1103" w:rsidRDefault="00C71AF3" w:rsidP="00C71AF3">
            <w:pPr>
              <w:jc w:val="both"/>
              <w:rPr>
                <w:rFonts w:cstheme="minorHAnsi"/>
                <w:sz w:val="28"/>
                <w:szCs w:val="28"/>
              </w:rPr>
            </w:pPr>
          </w:p>
        </w:tc>
        <w:tc>
          <w:tcPr>
            <w:tcW w:w="2268" w:type="dxa"/>
            <w:gridSpan w:val="2"/>
            <w:vAlign w:val="center"/>
          </w:tcPr>
          <w:p w:rsidR="00C71AF3" w:rsidRPr="005E1103" w:rsidRDefault="00C71AF3" w:rsidP="00C71AF3">
            <w:pPr>
              <w:jc w:val="both"/>
              <w:rPr>
                <w:rFonts w:cstheme="minorHAnsi"/>
                <w:sz w:val="28"/>
                <w:szCs w:val="28"/>
              </w:rPr>
            </w:pPr>
            <w:r w:rsidRPr="005E1103">
              <w:rPr>
                <w:rFonts w:cstheme="minorHAnsi"/>
                <w:sz w:val="28"/>
                <w:szCs w:val="28"/>
              </w:rPr>
              <w:t>Bachillerato</w:t>
            </w:r>
          </w:p>
        </w:tc>
        <w:tc>
          <w:tcPr>
            <w:tcW w:w="2268" w:type="dxa"/>
            <w:gridSpan w:val="2"/>
            <w:vAlign w:val="center"/>
          </w:tcPr>
          <w:p w:rsidR="00C71AF3" w:rsidRPr="005E1103" w:rsidRDefault="00C71AF3" w:rsidP="00C71AF3">
            <w:pPr>
              <w:jc w:val="both"/>
              <w:rPr>
                <w:rFonts w:cstheme="minorHAnsi"/>
                <w:sz w:val="28"/>
                <w:szCs w:val="28"/>
              </w:rPr>
            </w:pPr>
            <w:r w:rsidRPr="005E1103">
              <w:rPr>
                <w:rFonts w:cstheme="minorHAnsi"/>
                <w:sz w:val="28"/>
                <w:szCs w:val="28"/>
              </w:rPr>
              <w:t>Universidad</w:t>
            </w:r>
          </w:p>
        </w:tc>
      </w:tr>
      <w:tr w:rsidR="00C71AF3" w:rsidRPr="005E1103" w:rsidTr="00C71AF3">
        <w:trPr>
          <w:trHeight w:hRule="exact" w:val="340"/>
          <w:jc w:val="center"/>
        </w:trPr>
        <w:tc>
          <w:tcPr>
            <w:tcW w:w="2835" w:type="dxa"/>
            <w:vMerge/>
            <w:vAlign w:val="center"/>
          </w:tcPr>
          <w:p w:rsidR="00C71AF3" w:rsidRPr="005E1103" w:rsidRDefault="00C71AF3" w:rsidP="00C71AF3">
            <w:pPr>
              <w:jc w:val="both"/>
              <w:rPr>
                <w:rFonts w:cstheme="minorHAnsi"/>
                <w:sz w:val="28"/>
                <w:szCs w:val="28"/>
              </w:rPr>
            </w:pPr>
          </w:p>
        </w:tc>
        <w:tc>
          <w:tcPr>
            <w:tcW w:w="1134" w:type="dxa"/>
            <w:vAlign w:val="center"/>
          </w:tcPr>
          <w:p w:rsidR="00C71AF3" w:rsidRPr="005E1103" w:rsidRDefault="00C71AF3" w:rsidP="00C71AF3">
            <w:pPr>
              <w:jc w:val="both"/>
              <w:rPr>
                <w:rFonts w:cstheme="minorHAnsi"/>
                <w:sz w:val="28"/>
                <w:szCs w:val="28"/>
              </w:rPr>
            </w:pPr>
            <w:r w:rsidRPr="005E1103">
              <w:rPr>
                <w:rFonts w:cstheme="minorHAnsi"/>
                <w:sz w:val="28"/>
                <w:szCs w:val="28"/>
              </w:rPr>
              <w:t>Ciegos</w:t>
            </w:r>
          </w:p>
        </w:tc>
        <w:tc>
          <w:tcPr>
            <w:tcW w:w="1134" w:type="dxa"/>
            <w:vAlign w:val="center"/>
          </w:tcPr>
          <w:p w:rsidR="00C71AF3" w:rsidRPr="005E1103" w:rsidRDefault="00C71AF3" w:rsidP="00C71AF3">
            <w:pPr>
              <w:jc w:val="both"/>
              <w:rPr>
                <w:rFonts w:cstheme="minorHAnsi"/>
                <w:sz w:val="28"/>
                <w:szCs w:val="28"/>
              </w:rPr>
            </w:pPr>
            <w:r w:rsidRPr="005E1103">
              <w:rPr>
                <w:rFonts w:cstheme="minorHAnsi"/>
                <w:sz w:val="28"/>
                <w:szCs w:val="28"/>
              </w:rPr>
              <w:t>Videntes</w:t>
            </w:r>
          </w:p>
        </w:tc>
        <w:tc>
          <w:tcPr>
            <w:tcW w:w="1134" w:type="dxa"/>
            <w:vAlign w:val="center"/>
          </w:tcPr>
          <w:p w:rsidR="00C71AF3" w:rsidRPr="005E1103" w:rsidRDefault="00C71AF3" w:rsidP="00C71AF3">
            <w:pPr>
              <w:jc w:val="both"/>
              <w:rPr>
                <w:rFonts w:cstheme="minorHAnsi"/>
                <w:sz w:val="28"/>
                <w:szCs w:val="28"/>
              </w:rPr>
            </w:pPr>
            <w:r w:rsidRPr="005E1103">
              <w:rPr>
                <w:rFonts w:cstheme="minorHAnsi"/>
                <w:sz w:val="28"/>
                <w:szCs w:val="28"/>
              </w:rPr>
              <w:t>Ciegos</w:t>
            </w:r>
          </w:p>
        </w:tc>
        <w:tc>
          <w:tcPr>
            <w:tcW w:w="1134" w:type="dxa"/>
            <w:vAlign w:val="center"/>
          </w:tcPr>
          <w:p w:rsidR="00C71AF3" w:rsidRPr="005E1103" w:rsidRDefault="00C71AF3" w:rsidP="00C71AF3">
            <w:pPr>
              <w:jc w:val="both"/>
              <w:rPr>
                <w:rFonts w:cstheme="minorHAnsi"/>
                <w:sz w:val="28"/>
                <w:szCs w:val="28"/>
              </w:rPr>
            </w:pPr>
            <w:r w:rsidRPr="005E1103">
              <w:rPr>
                <w:rFonts w:cstheme="minorHAnsi"/>
                <w:sz w:val="28"/>
                <w:szCs w:val="28"/>
              </w:rPr>
              <w:t>Videntes</w:t>
            </w:r>
          </w:p>
        </w:tc>
      </w:tr>
      <w:tr w:rsidR="00C71AF3" w:rsidRPr="005E1103" w:rsidTr="00C71AF3">
        <w:trPr>
          <w:trHeight w:hRule="exact" w:val="340"/>
          <w:jc w:val="center"/>
        </w:trPr>
        <w:tc>
          <w:tcPr>
            <w:tcW w:w="2835" w:type="dxa"/>
            <w:vMerge w:val="restart"/>
            <w:vAlign w:val="center"/>
          </w:tcPr>
          <w:p w:rsidR="00C71AF3" w:rsidRPr="005E1103" w:rsidRDefault="00C71AF3" w:rsidP="00C71AF3">
            <w:pPr>
              <w:jc w:val="both"/>
              <w:rPr>
                <w:rFonts w:cstheme="minorHAnsi"/>
                <w:sz w:val="28"/>
                <w:szCs w:val="28"/>
              </w:rPr>
            </w:pPr>
            <w:r w:rsidRPr="005E1103">
              <w:rPr>
                <w:rFonts w:cstheme="minorHAnsi"/>
                <w:sz w:val="28"/>
                <w:szCs w:val="28"/>
              </w:rPr>
              <w:t>Comprensión lectora literal</w:t>
            </w:r>
          </w:p>
        </w:tc>
        <w:tc>
          <w:tcPr>
            <w:tcW w:w="1134" w:type="dxa"/>
            <w:vAlign w:val="center"/>
          </w:tcPr>
          <w:p w:rsidR="00C71AF3" w:rsidRPr="005E1103" w:rsidRDefault="00C71AF3" w:rsidP="00C71AF3">
            <w:pPr>
              <w:jc w:val="both"/>
              <w:rPr>
                <w:rFonts w:cstheme="minorHAnsi"/>
                <w:sz w:val="28"/>
                <w:szCs w:val="28"/>
              </w:rPr>
            </w:pPr>
            <w:r w:rsidRPr="005E1103">
              <w:rPr>
                <w:rFonts w:cstheme="minorHAnsi"/>
                <w:sz w:val="28"/>
                <w:szCs w:val="28"/>
              </w:rPr>
              <w:t>7,35</w:t>
            </w:r>
          </w:p>
        </w:tc>
        <w:tc>
          <w:tcPr>
            <w:tcW w:w="1134" w:type="dxa"/>
            <w:vAlign w:val="center"/>
          </w:tcPr>
          <w:p w:rsidR="00C71AF3" w:rsidRPr="005E1103" w:rsidRDefault="00C71AF3" w:rsidP="00C71AF3">
            <w:pPr>
              <w:jc w:val="both"/>
              <w:rPr>
                <w:rFonts w:cstheme="minorHAnsi"/>
                <w:sz w:val="28"/>
                <w:szCs w:val="28"/>
              </w:rPr>
            </w:pPr>
            <w:r w:rsidRPr="005E1103">
              <w:rPr>
                <w:rFonts w:cstheme="minorHAnsi"/>
                <w:sz w:val="28"/>
                <w:szCs w:val="28"/>
              </w:rPr>
              <w:t>7,29</w:t>
            </w:r>
          </w:p>
        </w:tc>
        <w:tc>
          <w:tcPr>
            <w:tcW w:w="1134" w:type="dxa"/>
            <w:vAlign w:val="center"/>
          </w:tcPr>
          <w:p w:rsidR="00C71AF3" w:rsidRPr="005E1103" w:rsidRDefault="00C71AF3" w:rsidP="00C71AF3">
            <w:pPr>
              <w:jc w:val="both"/>
              <w:rPr>
                <w:rFonts w:cstheme="minorHAnsi"/>
                <w:sz w:val="28"/>
                <w:szCs w:val="28"/>
              </w:rPr>
            </w:pPr>
            <w:r w:rsidRPr="005E1103">
              <w:rPr>
                <w:rFonts w:cstheme="minorHAnsi"/>
                <w:sz w:val="28"/>
                <w:szCs w:val="28"/>
              </w:rPr>
              <w:t>7,88</w:t>
            </w:r>
          </w:p>
        </w:tc>
        <w:tc>
          <w:tcPr>
            <w:tcW w:w="1134" w:type="dxa"/>
            <w:vAlign w:val="center"/>
          </w:tcPr>
          <w:p w:rsidR="00C71AF3" w:rsidRPr="005E1103" w:rsidRDefault="00C71AF3" w:rsidP="00C71AF3">
            <w:pPr>
              <w:jc w:val="both"/>
              <w:rPr>
                <w:rFonts w:cstheme="minorHAnsi"/>
                <w:sz w:val="28"/>
                <w:szCs w:val="28"/>
              </w:rPr>
            </w:pPr>
            <w:r w:rsidRPr="005E1103">
              <w:rPr>
                <w:rFonts w:cstheme="minorHAnsi"/>
                <w:sz w:val="28"/>
                <w:szCs w:val="28"/>
              </w:rPr>
              <w:t>8,31</w:t>
            </w:r>
          </w:p>
        </w:tc>
      </w:tr>
      <w:tr w:rsidR="00C71AF3" w:rsidRPr="005E1103" w:rsidTr="00C71AF3">
        <w:trPr>
          <w:trHeight w:hRule="exact" w:val="340"/>
          <w:jc w:val="center"/>
        </w:trPr>
        <w:tc>
          <w:tcPr>
            <w:tcW w:w="2835" w:type="dxa"/>
            <w:vMerge/>
            <w:vAlign w:val="center"/>
          </w:tcPr>
          <w:p w:rsidR="00C71AF3" w:rsidRPr="005E1103" w:rsidRDefault="00C71AF3" w:rsidP="00C71AF3">
            <w:pPr>
              <w:jc w:val="both"/>
              <w:rPr>
                <w:rFonts w:cstheme="minorHAnsi"/>
                <w:sz w:val="28"/>
                <w:szCs w:val="28"/>
              </w:rPr>
            </w:pPr>
          </w:p>
        </w:tc>
        <w:tc>
          <w:tcPr>
            <w:tcW w:w="2268" w:type="dxa"/>
            <w:gridSpan w:val="2"/>
            <w:vAlign w:val="center"/>
          </w:tcPr>
          <w:p w:rsidR="00C71AF3" w:rsidRPr="005E1103" w:rsidRDefault="00C71AF3" w:rsidP="00C71AF3">
            <w:pPr>
              <w:jc w:val="both"/>
              <w:rPr>
                <w:rFonts w:cstheme="minorHAnsi"/>
                <w:sz w:val="28"/>
                <w:szCs w:val="28"/>
              </w:rPr>
            </w:pPr>
            <w:r w:rsidRPr="005E1103">
              <w:rPr>
                <w:rFonts w:cstheme="minorHAnsi"/>
                <w:sz w:val="28"/>
                <w:szCs w:val="28"/>
              </w:rPr>
              <w:t>t</w:t>
            </w:r>
            <w:r w:rsidRPr="005E1103">
              <w:rPr>
                <w:rFonts w:cstheme="minorHAnsi"/>
                <w:sz w:val="28"/>
                <w:szCs w:val="28"/>
                <w:vertAlign w:val="subscript"/>
              </w:rPr>
              <w:t>(55)</w:t>
            </w:r>
            <w:r w:rsidRPr="005E1103">
              <w:rPr>
                <w:rFonts w:cstheme="minorHAnsi"/>
                <w:sz w:val="28"/>
                <w:szCs w:val="28"/>
              </w:rPr>
              <w:t>=,119; p=,906</w:t>
            </w:r>
          </w:p>
        </w:tc>
        <w:tc>
          <w:tcPr>
            <w:tcW w:w="2268" w:type="dxa"/>
            <w:gridSpan w:val="2"/>
            <w:vAlign w:val="center"/>
          </w:tcPr>
          <w:p w:rsidR="00C71AF3" w:rsidRPr="005E1103" w:rsidRDefault="00C71AF3" w:rsidP="00C71AF3">
            <w:pPr>
              <w:jc w:val="both"/>
              <w:rPr>
                <w:rFonts w:cstheme="minorHAnsi"/>
                <w:sz w:val="28"/>
                <w:szCs w:val="28"/>
              </w:rPr>
            </w:pPr>
            <w:r w:rsidRPr="005E1103">
              <w:rPr>
                <w:rFonts w:cstheme="minorHAnsi"/>
                <w:sz w:val="28"/>
                <w:szCs w:val="28"/>
              </w:rPr>
              <w:t>t</w:t>
            </w:r>
            <w:r w:rsidRPr="005E1103">
              <w:rPr>
                <w:rFonts w:cstheme="minorHAnsi"/>
                <w:sz w:val="28"/>
                <w:szCs w:val="28"/>
                <w:vertAlign w:val="subscript"/>
              </w:rPr>
              <w:t>(57)</w:t>
            </w:r>
            <w:r w:rsidRPr="005E1103">
              <w:rPr>
                <w:rFonts w:cstheme="minorHAnsi"/>
                <w:sz w:val="28"/>
                <w:szCs w:val="28"/>
              </w:rPr>
              <w:t>=1,040; p=,303</w:t>
            </w:r>
          </w:p>
        </w:tc>
      </w:tr>
      <w:tr w:rsidR="00C71AF3" w:rsidRPr="005E1103" w:rsidTr="00C71AF3">
        <w:trPr>
          <w:trHeight w:hRule="exact" w:val="340"/>
          <w:jc w:val="center"/>
        </w:trPr>
        <w:tc>
          <w:tcPr>
            <w:tcW w:w="2835" w:type="dxa"/>
            <w:vMerge w:val="restart"/>
            <w:vAlign w:val="center"/>
          </w:tcPr>
          <w:p w:rsidR="00C71AF3" w:rsidRPr="005E1103" w:rsidRDefault="00C71AF3" w:rsidP="00C71AF3">
            <w:pPr>
              <w:jc w:val="both"/>
              <w:rPr>
                <w:rFonts w:cstheme="minorHAnsi"/>
                <w:sz w:val="28"/>
                <w:szCs w:val="28"/>
              </w:rPr>
            </w:pPr>
            <w:r w:rsidRPr="005E1103">
              <w:rPr>
                <w:rFonts w:cstheme="minorHAnsi"/>
                <w:sz w:val="28"/>
                <w:szCs w:val="28"/>
              </w:rPr>
              <w:t>Comprensión lectora inferencial</w:t>
            </w:r>
          </w:p>
        </w:tc>
        <w:tc>
          <w:tcPr>
            <w:tcW w:w="1134" w:type="dxa"/>
            <w:vAlign w:val="center"/>
          </w:tcPr>
          <w:p w:rsidR="00C71AF3" w:rsidRPr="005E1103" w:rsidRDefault="00C71AF3" w:rsidP="00C71AF3">
            <w:pPr>
              <w:jc w:val="both"/>
              <w:rPr>
                <w:rFonts w:cstheme="minorHAnsi"/>
                <w:sz w:val="28"/>
                <w:szCs w:val="28"/>
              </w:rPr>
            </w:pPr>
            <w:r w:rsidRPr="005E1103">
              <w:rPr>
                <w:rFonts w:cstheme="minorHAnsi"/>
                <w:sz w:val="28"/>
                <w:szCs w:val="28"/>
              </w:rPr>
              <w:t>7,73</w:t>
            </w:r>
          </w:p>
        </w:tc>
        <w:tc>
          <w:tcPr>
            <w:tcW w:w="1134" w:type="dxa"/>
            <w:vAlign w:val="center"/>
          </w:tcPr>
          <w:p w:rsidR="00C71AF3" w:rsidRPr="005E1103" w:rsidRDefault="00C71AF3" w:rsidP="00C71AF3">
            <w:pPr>
              <w:jc w:val="both"/>
              <w:rPr>
                <w:rFonts w:cstheme="minorHAnsi"/>
                <w:sz w:val="28"/>
                <w:szCs w:val="28"/>
              </w:rPr>
            </w:pPr>
            <w:r w:rsidRPr="005E1103">
              <w:rPr>
                <w:rFonts w:cstheme="minorHAnsi"/>
                <w:sz w:val="28"/>
                <w:szCs w:val="28"/>
              </w:rPr>
              <w:t>7,19</w:t>
            </w:r>
          </w:p>
        </w:tc>
        <w:tc>
          <w:tcPr>
            <w:tcW w:w="1134" w:type="dxa"/>
            <w:vAlign w:val="center"/>
          </w:tcPr>
          <w:p w:rsidR="00C71AF3" w:rsidRPr="005E1103" w:rsidRDefault="00C71AF3" w:rsidP="00C71AF3">
            <w:pPr>
              <w:jc w:val="both"/>
              <w:rPr>
                <w:rFonts w:cstheme="minorHAnsi"/>
                <w:sz w:val="28"/>
                <w:szCs w:val="28"/>
              </w:rPr>
            </w:pPr>
            <w:r w:rsidRPr="005E1103">
              <w:rPr>
                <w:rFonts w:cstheme="minorHAnsi"/>
                <w:sz w:val="28"/>
                <w:szCs w:val="28"/>
              </w:rPr>
              <w:t>7,73</w:t>
            </w:r>
          </w:p>
        </w:tc>
        <w:tc>
          <w:tcPr>
            <w:tcW w:w="1134" w:type="dxa"/>
            <w:vAlign w:val="center"/>
          </w:tcPr>
          <w:p w:rsidR="00C71AF3" w:rsidRPr="005E1103" w:rsidRDefault="00C71AF3" w:rsidP="00C71AF3">
            <w:pPr>
              <w:jc w:val="both"/>
              <w:rPr>
                <w:rFonts w:cstheme="minorHAnsi"/>
                <w:sz w:val="28"/>
                <w:szCs w:val="28"/>
              </w:rPr>
            </w:pPr>
            <w:r w:rsidRPr="005E1103">
              <w:rPr>
                <w:rFonts w:cstheme="minorHAnsi"/>
                <w:sz w:val="28"/>
                <w:szCs w:val="28"/>
              </w:rPr>
              <w:t>7,27</w:t>
            </w:r>
          </w:p>
        </w:tc>
      </w:tr>
      <w:tr w:rsidR="00C71AF3" w:rsidRPr="005E1103" w:rsidTr="00C71AF3">
        <w:trPr>
          <w:trHeight w:hRule="exact" w:val="340"/>
          <w:jc w:val="center"/>
        </w:trPr>
        <w:tc>
          <w:tcPr>
            <w:tcW w:w="2835" w:type="dxa"/>
            <w:vMerge/>
            <w:vAlign w:val="center"/>
          </w:tcPr>
          <w:p w:rsidR="00C71AF3" w:rsidRPr="005E1103" w:rsidRDefault="00C71AF3" w:rsidP="00C71AF3">
            <w:pPr>
              <w:jc w:val="both"/>
              <w:rPr>
                <w:rFonts w:cstheme="minorHAnsi"/>
                <w:sz w:val="28"/>
                <w:szCs w:val="28"/>
              </w:rPr>
            </w:pPr>
          </w:p>
        </w:tc>
        <w:tc>
          <w:tcPr>
            <w:tcW w:w="2268" w:type="dxa"/>
            <w:gridSpan w:val="2"/>
            <w:vAlign w:val="center"/>
          </w:tcPr>
          <w:p w:rsidR="00C71AF3" w:rsidRPr="005E1103" w:rsidRDefault="00C71AF3" w:rsidP="00C71AF3">
            <w:pPr>
              <w:jc w:val="both"/>
              <w:rPr>
                <w:rFonts w:cstheme="minorHAnsi"/>
                <w:sz w:val="28"/>
                <w:szCs w:val="28"/>
              </w:rPr>
            </w:pPr>
            <w:r w:rsidRPr="005E1103">
              <w:rPr>
                <w:rFonts w:cstheme="minorHAnsi"/>
                <w:sz w:val="28"/>
                <w:szCs w:val="28"/>
              </w:rPr>
              <w:t>t</w:t>
            </w:r>
            <w:r w:rsidRPr="005E1103">
              <w:rPr>
                <w:rFonts w:cstheme="minorHAnsi"/>
                <w:sz w:val="28"/>
                <w:szCs w:val="28"/>
                <w:vertAlign w:val="subscript"/>
              </w:rPr>
              <w:t>(55)</w:t>
            </w:r>
            <w:r w:rsidRPr="005E1103">
              <w:rPr>
                <w:rFonts w:cstheme="minorHAnsi"/>
                <w:sz w:val="28"/>
                <w:szCs w:val="28"/>
              </w:rPr>
              <w:t>=1,177; p=,244</w:t>
            </w:r>
          </w:p>
        </w:tc>
        <w:tc>
          <w:tcPr>
            <w:tcW w:w="2268" w:type="dxa"/>
            <w:gridSpan w:val="2"/>
            <w:vAlign w:val="center"/>
          </w:tcPr>
          <w:p w:rsidR="00C71AF3" w:rsidRPr="005E1103" w:rsidRDefault="00C71AF3" w:rsidP="00C71AF3">
            <w:pPr>
              <w:jc w:val="both"/>
              <w:rPr>
                <w:rFonts w:cstheme="minorHAnsi"/>
                <w:sz w:val="28"/>
                <w:szCs w:val="28"/>
              </w:rPr>
            </w:pPr>
            <w:r w:rsidRPr="005E1103">
              <w:rPr>
                <w:rFonts w:cstheme="minorHAnsi"/>
                <w:sz w:val="28"/>
                <w:szCs w:val="28"/>
              </w:rPr>
              <w:t>t</w:t>
            </w:r>
            <w:r w:rsidRPr="005E1103">
              <w:rPr>
                <w:rFonts w:cstheme="minorHAnsi"/>
                <w:sz w:val="28"/>
                <w:szCs w:val="28"/>
                <w:vertAlign w:val="subscript"/>
              </w:rPr>
              <w:t>(57)</w:t>
            </w:r>
            <w:r w:rsidRPr="005E1103">
              <w:rPr>
                <w:rFonts w:cstheme="minorHAnsi"/>
                <w:sz w:val="28"/>
                <w:szCs w:val="28"/>
              </w:rPr>
              <w:t>=1,001; p=,321</w:t>
            </w:r>
          </w:p>
        </w:tc>
      </w:tr>
    </w:tbl>
    <w:p w:rsidR="00C71AF3" w:rsidRPr="005E1103" w:rsidRDefault="00C71AF3" w:rsidP="00C71AF3">
      <w:pPr>
        <w:spacing w:before="120" w:line="360" w:lineRule="auto"/>
        <w:jc w:val="both"/>
        <w:rPr>
          <w:rFonts w:cstheme="minorHAnsi"/>
          <w:b/>
          <w:sz w:val="28"/>
          <w:szCs w:val="28"/>
        </w:rPr>
      </w:pPr>
      <w:r w:rsidRPr="005E1103">
        <w:rPr>
          <w:rFonts w:cstheme="minorHAnsi"/>
          <w:b/>
          <w:sz w:val="28"/>
          <w:szCs w:val="28"/>
        </w:rPr>
        <w:t>Peso de las variables predictoras en la velocidad y la comprensión lectora de las personas ciegas</w:t>
      </w:r>
    </w:p>
    <w:p w:rsidR="00C71AF3" w:rsidRPr="005E1103" w:rsidRDefault="00C71AF3" w:rsidP="00C71AF3">
      <w:pPr>
        <w:spacing w:line="360" w:lineRule="auto"/>
        <w:jc w:val="both"/>
        <w:rPr>
          <w:rFonts w:cstheme="minorHAnsi"/>
          <w:sz w:val="28"/>
          <w:szCs w:val="28"/>
        </w:rPr>
      </w:pPr>
      <w:r w:rsidRPr="005E1103">
        <w:rPr>
          <w:rFonts w:cstheme="minorHAnsi"/>
          <w:sz w:val="28"/>
          <w:szCs w:val="28"/>
        </w:rPr>
        <w:t>Como señalábamos, se controlaron las variables “Momento de inicio de la ceguera”, “Patrón de movimiento de las manos leyendo braille” y “Años de lectura en braille”, todas ellas con una implicación directa con la pérdida visual y con el proceso de lectura en braille, además del “Nivel de titulación”.</w:t>
      </w:r>
    </w:p>
    <w:p w:rsidR="00C71AF3" w:rsidRPr="005E1103" w:rsidRDefault="00C71AF3" w:rsidP="00C71AF3">
      <w:pPr>
        <w:spacing w:line="360" w:lineRule="auto"/>
        <w:jc w:val="both"/>
        <w:rPr>
          <w:rFonts w:cstheme="minorHAnsi"/>
          <w:sz w:val="28"/>
          <w:szCs w:val="28"/>
        </w:rPr>
      </w:pPr>
      <w:r w:rsidRPr="005E1103">
        <w:rPr>
          <w:rFonts w:cstheme="minorHAnsi"/>
          <w:sz w:val="28"/>
          <w:szCs w:val="28"/>
        </w:rPr>
        <w:t xml:space="preserve">Con esas variables, observamos que únicamente el efecto combinado del momento de inicio de la ceguera y el patrón de movimiento de las manos al leer en braille tienen una </w:t>
      </w:r>
      <w:r w:rsidRPr="005E1103">
        <w:rPr>
          <w:rFonts w:cstheme="minorHAnsi"/>
          <w:sz w:val="28"/>
          <w:szCs w:val="28"/>
        </w:rPr>
        <w:lastRenderedPageBreak/>
        <w:t>aportación significativa a los cambios en la velocidad lectora, explicando una parte importante de la varianza (el 39%), como se puede ver en la tabla 3.</w:t>
      </w:r>
    </w:p>
    <w:p w:rsidR="00C71AF3" w:rsidRPr="005E1103" w:rsidRDefault="00C71AF3" w:rsidP="00C71AF3">
      <w:pPr>
        <w:spacing w:line="360" w:lineRule="auto"/>
        <w:jc w:val="both"/>
        <w:rPr>
          <w:rFonts w:cstheme="minorHAnsi"/>
          <w:sz w:val="28"/>
          <w:szCs w:val="28"/>
        </w:rPr>
      </w:pPr>
      <w:r w:rsidRPr="005E1103">
        <w:rPr>
          <w:rFonts w:cstheme="minorHAnsi"/>
          <w:sz w:val="28"/>
          <w:szCs w:val="28"/>
        </w:rPr>
        <w:t>Tabla 3. Regresión lineal jerárquica de las variables predictoras de la velocidad lectora</w:t>
      </w:r>
    </w:p>
    <w:tbl>
      <w:tblPr>
        <w:tblW w:w="76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7"/>
        <w:gridCol w:w="712"/>
        <w:gridCol w:w="1283"/>
        <w:gridCol w:w="1086"/>
        <w:gridCol w:w="712"/>
        <w:gridCol w:w="1083"/>
        <w:gridCol w:w="1052"/>
      </w:tblGrid>
      <w:tr w:rsidR="00C71AF3" w:rsidRPr="005E1103" w:rsidTr="000D037B">
        <w:trPr>
          <w:trHeight w:hRule="exact" w:val="847"/>
          <w:jc w:val="center"/>
        </w:trPr>
        <w:tc>
          <w:tcPr>
            <w:tcW w:w="1727" w:type="dxa"/>
            <w:vAlign w:val="center"/>
          </w:tcPr>
          <w:p w:rsidR="00C71AF3" w:rsidRPr="005E1103" w:rsidRDefault="00C71AF3" w:rsidP="00C71AF3">
            <w:pPr>
              <w:jc w:val="both"/>
              <w:rPr>
                <w:rFonts w:cstheme="minorHAnsi"/>
                <w:sz w:val="28"/>
                <w:szCs w:val="28"/>
              </w:rPr>
            </w:pPr>
            <w:r w:rsidRPr="005E1103">
              <w:rPr>
                <w:rFonts w:cstheme="minorHAnsi"/>
                <w:sz w:val="28"/>
                <w:szCs w:val="28"/>
              </w:rPr>
              <w:t>Variables predictoras</w:t>
            </w:r>
          </w:p>
        </w:tc>
        <w:tc>
          <w:tcPr>
            <w:tcW w:w="712" w:type="dxa"/>
            <w:vAlign w:val="center"/>
          </w:tcPr>
          <w:p w:rsidR="00C71AF3" w:rsidRPr="005E1103" w:rsidRDefault="00C71AF3" w:rsidP="00C71AF3">
            <w:pPr>
              <w:jc w:val="both"/>
              <w:rPr>
                <w:rFonts w:cstheme="minorHAnsi"/>
                <w:sz w:val="28"/>
                <w:szCs w:val="28"/>
              </w:rPr>
            </w:pPr>
            <w:r w:rsidRPr="005E1103">
              <w:rPr>
                <w:rFonts w:cstheme="minorHAnsi"/>
                <w:sz w:val="28"/>
                <w:szCs w:val="28"/>
              </w:rPr>
              <w:t>R</w:t>
            </w:r>
            <w:r w:rsidRPr="005E1103">
              <w:rPr>
                <w:rFonts w:cstheme="minorHAnsi"/>
                <w:sz w:val="28"/>
                <w:szCs w:val="28"/>
                <w:vertAlign w:val="superscript"/>
              </w:rPr>
              <w:t>2</w:t>
            </w:r>
          </w:p>
        </w:tc>
        <w:tc>
          <w:tcPr>
            <w:tcW w:w="1283" w:type="dxa"/>
            <w:vAlign w:val="center"/>
          </w:tcPr>
          <w:p w:rsidR="00C71AF3" w:rsidRPr="005E1103" w:rsidRDefault="00C71AF3" w:rsidP="00C71AF3">
            <w:pPr>
              <w:jc w:val="both"/>
              <w:rPr>
                <w:rFonts w:cstheme="minorHAnsi"/>
                <w:sz w:val="28"/>
                <w:szCs w:val="28"/>
              </w:rPr>
            </w:pPr>
            <w:r w:rsidRPr="005E1103">
              <w:rPr>
                <w:rFonts w:cstheme="minorHAnsi"/>
                <w:sz w:val="28"/>
                <w:szCs w:val="28"/>
              </w:rPr>
              <w:t>β tipificado</w:t>
            </w:r>
          </w:p>
        </w:tc>
        <w:tc>
          <w:tcPr>
            <w:tcW w:w="1086" w:type="dxa"/>
            <w:vAlign w:val="center"/>
          </w:tcPr>
          <w:p w:rsidR="00C71AF3" w:rsidRPr="005E1103" w:rsidRDefault="00C71AF3" w:rsidP="00C71AF3">
            <w:pPr>
              <w:jc w:val="both"/>
              <w:rPr>
                <w:rFonts w:cstheme="minorHAnsi"/>
                <w:sz w:val="28"/>
                <w:szCs w:val="28"/>
              </w:rPr>
            </w:pPr>
            <w:r w:rsidRPr="005E1103">
              <w:rPr>
                <w:rFonts w:cstheme="minorHAnsi"/>
                <w:sz w:val="28"/>
                <w:szCs w:val="28"/>
              </w:rPr>
              <w:t>F del ANOVA</w:t>
            </w:r>
          </w:p>
        </w:tc>
        <w:tc>
          <w:tcPr>
            <w:tcW w:w="712" w:type="dxa"/>
            <w:vAlign w:val="center"/>
          </w:tcPr>
          <w:p w:rsidR="00C71AF3" w:rsidRPr="005E1103" w:rsidRDefault="00C71AF3" w:rsidP="00C71AF3">
            <w:pPr>
              <w:jc w:val="both"/>
              <w:rPr>
                <w:rFonts w:cstheme="minorHAnsi"/>
                <w:sz w:val="28"/>
                <w:szCs w:val="28"/>
              </w:rPr>
            </w:pPr>
            <w:r w:rsidRPr="005E1103">
              <w:rPr>
                <w:rFonts w:cstheme="minorHAnsi"/>
                <w:sz w:val="28"/>
                <w:szCs w:val="28"/>
              </w:rPr>
              <w:t>gl</w:t>
            </w:r>
          </w:p>
        </w:tc>
        <w:tc>
          <w:tcPr>
            <w:tcW w:w="1083" w:type="dxa"/>
            <w:vAlign w:val="center"/>
          </w:tcPr>
          <w:p w:rsidR="00C71AF3" w:rsidRPr="005E1103" w:rsidRDefault="00C71AF3" w:rsidP="00C71AF3">
            <w:pPr>
              <w:jc w:val="both"/>
              <w:rPr>
                <w:rFonts w:cstheme="minorHAnsi"/>
                <w:sz w:val="28"/>
                <w:szCs w:val="28"/>
              </w:rPr>
            </w:pPr>
            <w:r w:rsidRPr="005E1103">
              <w:rPr>
                <w:rFonts w:cstheme="minorHAnsi"/>
                <w:sz w:val="28"/>
                <w:szCs w:val="28"/>
              </w:rPr>
              <w:t>Cambio en F</w:t>
            </w:r>
          </w:p>
        </w:tc>
        <w:tc>
          <w:tcPr>
            <w:tcW w:w="1052" w:type="dxa"/>
            <w:vAlign w:val="center"/>
          </w:tcPr>
          <w:p w:rsidR="00C71AF3" w:rsidRPr="005E1103" w:rsidRDefault="00C71AF3" w:rsidP="00C71AF3">
            <w:pPr>
              <w:jc w:val="both"/>
              <w:rPr>
                <w:rFonts w:cstheme="minorHAnsi"/>
                <w:sz w:val="28"/>
                <w:szCs w:val="28"/>
              </w:rPr>
            </w:pPr>
            <w:r w:rsidRPr="005E1103">
              <w:rPr>
                <w:rFonts w:cstheme="minorHAnsi"/>
                <w:sz w:val="28"/>
                <w:szCs w:val="28"/>
              </w:rPr>
              <w:t>p. cambio en F</w:t>
            </w:r>
          </w:p>
        </w:tc>
      </w:tr>
      <w:tr w:rsidR="00C71AF3" w:rsidRPr="005E1103" w:rsidTr="000D037B">
        <w:trPr>
          <w:trHeight w:hRule="exact" w:val="844"/>
          <w:jc w:val="center"/>
        </w:trPr>
        <w:tc>
          <w:tcPr>
            <w:tcW w:w="1727" w:type="dxa"/>
          </w:tcPr>
          <w:p w:rsidR="00C71AF3" w:rsidRPr="005E1103" w:rsidRDefault="00C71AF3" w:rsidP="00C71AF3">
            <w:pPr>
              <w:jc w:val="both"/>
              <w:rPr>
                <w:rFonts w:cstheme="minorHAnsi"/>
                <w:sz w:val="28"/>
                <w:szCs w:val="28"/>
              </w:rPr>
            </w:pPr>
            <w:r w:rsidRPr="005E1103">
              <w:rPr>
                <w:rFonts w:cstheme="minorHAnsi"/>
                <w:sz w:val="28"/>
                <w:szCs w:val="28"/>
              </w:rPr>
              <w:t>Momento inicio ceguera</w:t>
            </w:r>
          </w:p>
          <w:p w:rsidR="00C71AF3" w:rsidRPr="005E1103" w:rsidRDefault="00C71AF3" w:rsidP="00C71AF3">
            <w:pPr>
              <w:jc w:val="both"/>
              <w:rPr>
                <w:rFonts w:cstheme="minorHAnsi"/>
                <w:sz w:val="28"/>
                <w:szCs w:val="28"/>
              </w:rPr>
            </w:pPr>
            <w:r w:rsidRPr="005E1103">
              <w:rPr>
                <w:rFonts w:cstheme="minorHAnsi"/>
                <w:sz w:val="28"/>
                <w:szCs w:val="28"/>
              </w:rPr>
              <w:t>Patrón lectura</w:t>
            </w:r>
          </w:p>
        </w:tc>
        <w:tc>
          <w:tcPr>
            <w:tcW w:w="712" w:type="dxa"/>
          </w:tcPr>
          <w:p w:rsidR="00C71AF3" w:rsidRPr="005E1103" w:rsidRDefault="00C71AF3" w:rsidP="00C71AF3">
            <w:pPr>
              <w:jc w:val="both"/>
              <w:rPr>
                <w:rFonts w:cstheme="minorHAnsi"/>
                <w:sz w:val="28"/>
                <w:szCs w:val="28"/>
              </w:rPr>
            </w:pPr>
            <w:r w:rsidRPr="005E1103">
              <w:rPr>
                <w:rFonts w:cstheme="minorHAnsi"/>
                <w:sz w:val="28"/>
                <w:szCs w:val="28"/>
              </w:rPr>
              <w:t>,393</w:t>
            </w:r>
          </w:p>
        </w:tc>
        <w:tc>
          <w:tcPr>
            <w:tcW w:w="1283" w:type="dxa"/>
          </w:tcPr>
          <w:p w:rsidR="00C71AF3" w:rsidRPr="005E1103" w:rsidRDefault="00C71AF3" w:rsidP="00C71AF3">
            <w:pPr>
              <w:jc w:val="both"/>
              <w:rPr>
                <w:rFonts w:cstheme="minorHAnsi"/>
                <w:sz w:val="28"/>
                <w:szCs w:val="28"/>
              </w:rPr>
            </w:pPr>
            <w:r w:rsidRPr="005E1103">
              <w:rPr>
                <w:rFonts w:cstheme="minorHAnsi"/>
                <w:sz w:val="28"/>
                <w:szCs w:val="28"/>
              </w:rPr>
              <w:t>-,509</w:t>
            </w:r>
          </w:p>
          <w:p w:rsidR="00C71AF3" w:rsidRPr="005E1103" w:rsidRDefault="00C71AF3" w:rsidP="00C71AF3">
            <w:pPr>
              <w:jc w:val="both"/>
              <w:rPr>
                <w:rFonts w:cstheme="minorHAnsi"/>
                <w:sz w:val="28"/>
                <w:szCs w:val="28"/>
              </w:rPr>
            </w:pPr>
            <w:r w:rsidRPr="005E1103">
              <w:rPr>
                <w:rFonts w:cstheme="minorHAnsi"/>
                <w:sz w:val="28"/>
                <w:szCs w:val="28"/>
              </w:rPr>
              <w:t>,256</w:t>
            </w:r>
          </w:p>
        </w:tc>
        <w:tc>
          <w:tcPr>
            <w:tcW w:w="1086" w:type="dxa"/>
          </w:tcPr>
          <w:p w:rsidR="00C71AF3" w:rsidRPr="005E1103" w:rsidRDefault="00C71AF3" w:rsidP="00C71AF3">
            <w:pPr>
              <w:jc w:val="both"/>
              <w:rPr>
                <w:rFonts w:cstheme="minorHAnsi"/>
                <w:sz w:val="28"/>
                <w:szCs w:val="28"/>
              </w:rPr>
            </w:pPr>
            <w:r w:rsidRPr="005E1103">
              <w:rPr>
                <w:rFonts w:cstheme="minorHAnsi"/>
                <w:sz w:val="28"/>
                <w:szCs w:val="28"/>
              </w:rPr>
              <w:t>18,123</w:t>
            </w:r>
          </w:p>
        </w:tc>
        <w:tc>
          <w:tcPr>
            <w:tcW w:w="712" w:type="dxa"/>
          </w:tcPr>
          <w:p w:rsidR="00C71AF3" w:rsidRPr="005E1103" w:rsidRDefault="00C71AF3" w:rsidP="00C71AF3">
            <w:pPr>
              <w:jc w:val="both"/>
              <w:rPr>
                <w:rFonts w:cstheme="minorHAnsi"/>
                <w:sz w:val="28"/>
                <w:szCs w:val="28"/>
              </w:rPr>
            </w:pPr>
            <w:r w:rsidRPr="005E1103">
              <w:rPr>
                <w:rFonts w:cstheme="minorHAnsi"/>
                <w:sz w:val="28"/>
                <w:szCs w:val="28"/>
              </w:rPr>
              <w:t>2,56</w:t>
            </w:r>
          </w:p>
        </w:tc>
        <w:tc>
          <w:tcPr>
            <w:tcW w:w="1083" w:type="dxa"/>
          </w:tcPr>
          <w:p w:rsidR="00C71AF3" w:rsidRPr="005E1103" w:rsidRDefault="00C71AF3" w:rsidP="00C71AF3">
            <w:pPr>
              <w:jc w:val="both"/>
              <w:rPr>
                <w:rFonts w:cstheme="minorHAnsi"/>
                <w:sz w:val="28"/>
                <w:szCs w:val="28"/>
              </w:rPr>
            </w:pPr>
            <w:r w:rsidRPr="005E1103">
              <w:rPr>
                <w:rFonts w:cstheme="minorHAnsi"/>
                <w:sz w:val="28"/>
                <w:szCs w:val="28"/>
              </w:rPr>
              <w:t>18,123</w:t>
            </w:r>
          </w:p>
        </w:tc>
        <w:tc>
          <w:tcPr>
            <w:tcW w:w="1052" w:type="dxa"/>
          </w:tcPr>
          <w:p w:rsidR="00C71AF3" w:rsidRPr="005E1103" w:rsidRDefault="00C71AF3" w:rsidP="00C71AF3">
            <w:pPr>
              <w:jc w:val="both"/>
              <w:rPr>
                <w:rFonts w:cstheme="minorHAnsi"/>
                <w:sz w:val="28"/>
                <w:szCs w:val="28"/>
              </w:rPr>
            </w:pPr>
            <w:r w:rsidRPr="005E1103">
              <w:rPr>
                <w:rFonts w:cstheme="minorHAnsi"/>
                <w:sz w:val="28"/>
                <w:szCs w:val="28"/>
              </w:rPr>
              <w:t>,000</w:t>
            </w:r>
          </w:p>
        </w:tc>
      </w:tr>
      <w:tr w:rsidR="00C71AF3" w:rsidRPr="005E1103" w:rsidTr="000D037B">
        <w:trPr>
          <w:trHeight w:hRule="exact" w:val="3975"/>
          <w:jc w:val="center"/>
        </w:trPr>
        <w:tc>
          <w:tcPr>
            <w:tcW w:w="1727" w:type="dxa"/>
          </w:tcPr>
          <w:p w:rsidR="00C71AF3" w:rsidRPr="005E1103" w:rsidRDefault="00C71AF3" w:rsidP="00C71AF3">
            <w:pPr>
              <w:jc w:val="both"/>
              <w:rPr>
                <w:rFonts w:cstheme="minorHAnsi"/>
                <w:sz w:val="28"/>
                <w:szCs w:val="28"/>
              </w:rPr>
            </w:pPr>
            <w:r w:rsidRPr="005E1103">
              <w:rPr>
                <w:rFonts w:cstheme="minorHAnsi"/>
                <w:sz w:val="28"/>
                <w:szCs w:val="28"/>
              </w:rPr>
              <w:t>Momento inicio ceguera</w:t>
            </w:r>
          </w:p>
          <w:p w:rsidR="00C71AF3" w:rsidRPr="005E1103" w:rsidRDefault="00C71AF3" w:rsidP="00C71AF3">
            <w:pPr>
              <w:jc w:val="both"/>
              <w:rPr>
                <w:rFonts w:cstheme="minorHAnsi"/>
                <w:sz w:val="28"/>
                <w:szCs w:val="28"/>
              </w:rPr>
            </w:pPr>
            <w:r w:rsidRPr="005E1103">
              <w:rPr>
                <w:rFonts w:cstheme="minorHAnsi"/>
                <w:sz w:val="28"/>
                <w:szCs w:val="28"/>
              </w:rPr>
              <w:t>Patrón lectura</w:t>
            </w:r>
          </w:p>
          <w:p w:rsidR="00C71AF3" w:rsidRPr="005E1103" w:rsidRDefault="00C71AF3" w:rsidP="00C71AF3">
            <w:pPr>
              <w:jc w:val="both"/>
              <w:rPr>
                <w:rFonts w:cstheme="minorHAnsi"/>
                <w:sz w:val="28"/>
                <w:szCs w:val="28"/>
              </w:rPr>
            </w:pPr>
            <w:r w:rsidRPr="005E1103">
              <w:rPr>
                <w:rFonts w:cstheme="minorHAnsi"/>
                <w:sz w:val="28"/>
                <w:szCs w:val="28"/>
              </w:rPr>
              <w:t>Años lectura braille</w:t>
            </w:r>
          </w:p>
          <w:p w:rsidR="00C71AF3" w:rsidRPr="005E1103" w:rsidRDefault="00C71AF3" w:rsidP="00C71AF3">
            <w:pPr>
              <w:jc w:val="both"/>
              <w:rPr>
                <w:rFonts w:cstheme="minorHAnsi"/>
                <w:sz w:val="28"/>
                <w:szCs w:val="28"/>
              </w:rPr>
            </w:pPr>
            <w:r w:rsidRPr="005E1103">
              <w:rPr>
                <w:rFonts w:cstheme="minorHAnsi"/>
                <w:sz w:val="28"/>
                <w:szCs w:val="28"/>
              </w:rPr>
              <w:t>Nivel titulación</w:t>
            </w:r>
          </w:p>
        </w:tc>
        <w:tc>
          <w:tcPr>
            <w:tcW w:w="712" w:type="dxa"/>
          </w:tcPr>
          <w:p w:rsidR="00C71AF3" w:rsidRPr="005E1103" w:rsidRDefault="00C71AF3" w:rsidP="00C71AF3">
            <w:pPr>
              <w:jc w:val="both"/>
              <w:rPr>
                <w:rFonts w:cstheme="minorHAnsi"/>
                <w:sz w:val="28"/>
                <w:szCs w:val="28"/>
              </w:rPr>
            </w:pPr>
            <w:r w:rsidRPr="005E1103">
              <w:rPr>
                <w:rFonts w:cstheme="minorHAnsi"/>
                <w:sz w:val="28"/>
                <w:szCs w:val="28"/>
              </w:rPr>
              <w:t>,423</w:t>
            </w:r>
          </w:p>
        </w:tc>
        <w:tc>
          <w:tcPr>
            <w:tcW w:w="1283" w:type="dxa"/>
          </w:tcPr>
          <w:p w:rsidR="00C71AF3" w:rsidRPr="005E1103" w:rsidRDefault="00C71AF3" w:rsidP="00C71AF3">
            <w:pPr>
              <w:jc w:val="both"/>
              <w:rPr>
                <w:rFonts w:cstheme="minorHAnsi"/>
                <w:sz w:val="28"/>
                <w:szCs w:val="28"/>
              </w:rPr>
            </w:pPr>
            <w:r w:rsidRPr="005E1103">
              <w:rPr>
                <w:rFonts w:cstheme="minorHAnsi"/>
                <w:sz w:val="28"/>
                <w:szCs w:val="28"/>
              </w:rPr>
              <w:t>-,409</w:t>
            </w:r>
          </w:p>
          <w:p w:rsidR="00C71AF3" w:rsidRPr="005E1103" w:rsidRDefault="00C71AF3" w:rsidP="00C71AF3">
            <w:pPr>
              <w:jc w:val="both"/>
              <w:rPr>
                <w:rFonts w:cstheme="minorHAnsi"/>
                <w:sz w:val="28"/>
                <w:szCs w:val="28"/>
              </w:rPr>
            </w:pPr>
            <w:r w:rsidRPr="005E1103">
              <w:rPr>
                <w:rFonts w:cstheme="minorHAnsi"/>
                <w:sz w:val="28"/>
                <w:szCs w:val="28"/>
              </w:rPr>
              <w:t>,230</w:t>
            </w:r>
          </w:p>
          <w:p w:rsidR="00C71AF3" w:rsidRPr="005E1103" w:rsidRDefault="00C71AF3" w:rsidP="00C71AF3">
            <w:pPr>
              <w:jc w:val="both"/>
              <w:rPr>
                <w:rFonts w:cstheme="minorHAnsi"/>
                <w:sz w:val="28"/>
                <w:szCs w:val="28"/>
              </w:rPr>
            </w:pPr>
            <w:r w:rsidRPr="005E1103">
              <w:rPr>
                <w:rFonts w:cstheme="minorHAnsi"/>
                <w:sz w:val="28"/>
                <w:szCs w:val="28"/>
              </w:rPr>
              <w:t>,157</w:t>
            </w:r>
          </w:p>
          <w:p w:rsidR="00C71AF3" w:rsidRPr="005E1103" w:rsidRDefault="00C71AF3" w:rsidP="00C71AF3">
            <w:pPr>
              <w:jc w:val="both"/>
              <w:rPr>
                <w:rFonts w:cstheme="minorHAnsi"/>
                <w:sz w:val="28"/>
                <w:szCs w:val="28"/>
              </w:rPr>
            </w:pPr>
            <w:r w:rsidRPr="005E1103">
              <w:rPr>
                <w:rFonts w:cstheme="minorHAnsi"/>
                <w:sz w:val="28"/>
                <w:szCs w:val="28"/>
              </w:rPr>
              <w:t>,135</w:t>
            </w:r>
          </w:p>
        </w:tc>
        <w:tc>
          <w:tcPr>
            <w:tcW w:w="1086" w:type="dxa"/>
          </w:tcPr>
          <w:p w:rsidR="00C71AF3" w:rsidRPr="005E1103" w:rsidRDefault="00C71AF3" w:rsidP="00C71AF3">
            <w:pPr>
              <w:jc w:val="both"/>
              <w:rPr>
                <w:rFonts w:cstheme="minorHAnsi"/>
                <w:sz w:val="28"/>
                <w:szCs w:val="28"/>
              </w:rPr>
            </w:pPr>
            <w:r w:rsidRPr="005E1103">
              <w:rPr>
                <w:rFonts w:cstheme="minorHAnsi"/>
                <w:sz w:val="28"/>
                <w:szCs w:val="28"/>
              </w:rPr>
              <w:t>9,890</w:t>
            </w:r>
          </w:p>
        </w:tc>
        <w:tc>
          <w:tcPr>
            <w:tcW w:w="712" w:type="dxa"/>
          </w:tcPr>
          <w:p w:rsidR="00C71AF3" w:rsidRPr="005E1103" w:rsidRDefault="00C71AF3" w:rsidP="00C71AF3">
            <w:pPr>
              <w:jc w:val="both"/>
              <w:rPr>
                <w:rFonts w:cstheme="minorHAnsi"/>
                <w:sz w:val="28"/>
                <w:szCs w:val="28"/>
              </w:rPr>
            </w:pPr>
            <w:r w:rsidRPr="005E1103">
              <w:rPr>
                <w:rFonts w:cstheme="minorHAnsi"/>
                <w:sz w:val="28"/>
                <w:szCs w:val="28"/>
              </w:rPr>
              <w:t>4,54</w:t>
            </w:r>
          </w:p>
        </w:tc>
        <w:tc>
          <w:tcPr>
            <w:tcW w:w="1083" w:type="dxa"/>
          </w:tcPr>
          <w:p w:rsidR="00C71AF3" w:rsidRPr="005E1103" w:rsidRDefault="00C71AF3" w:rsidP="00C71AF3">
            <w:pPr>
              <w:jc w:val="both"/>
              <w:rPr>
                <w:rFonts w:cstheme="minorHAnsi"/>
                <w:sz w:val="28"/>
                <w:szCs w:val="28"/>
              </w:rPr>
            </w:pPr>
            <w:r w:rsidRPr="005E1103">
              <w:rPr>
                <w:rFonts w:cstheme="minorHAnsi"/>
                <w:sz w:val="28"/>
                <w:szCs w:val="28"/>
              </w:rPr>
              <w:t>1,400</w:t>
            </w:r>
          </w:p>
        </w:tc>
        <w:tc>
          <w:tcPr>
            <w:tcW w:w="1052" w:type="dxa"/>
          </w:tcPr>
          <w:p w:rsidR="00C71AF3" w:rsidRPr="005E1103" w:rsidRDefault="00C71AF3" w:rsidP="00C71AF3">
            <w:pPr>
              <w:jc w:val="both"/>
              <w:rPr>
                <w:rFonts w:cstheme="minorHAnsi"/>
                <w:sz w:val="28"/>
                <w:szCs w:val="28"/>
              </w:rPr>
            </w:pPr>
            <w:r w:rsidRPr="005E1103">
              <w:rPr>
                <w:rFonts w:cstheme="minorHAnsi"/>
                <w:sz w:val="28"/>
                <w:szCs w:val="28"/>
              </w:rPr>
              <w:t>,256</w:t>
            </w:r>
          </w:p>
        </w:tc>
      </w:tr>
    </w:tbl>
    <w:p w:rsidR="00C71AF3" w:rsidRPr="005E1103" w:rsidRDefault="00C71AF3" w:rsidP="00C71AF3">
      <w:pPr>
        <w:spacing w:before="120" w:line="360" w:lineRule="auto"/>
        <w:jc w:val="both"/>
        <w:rPr>
          <w:rFonts w:cstheme="minorHAnsi"/>
          <w:sz w:val="28"/>
          <w:szCs w:val="28"/>
        </w:rPr>
      </w:pPr>
      <w:r w:rsidRPr="005E1103">
        <w:rPr>
          <w:rFonts w:cstheme="minorHAnsi"/>
          <w:sz w:val="28"/>
          <w:szCs w:val="28"/>
        </w:rPr>
        <w:t>Se procedió del mismo modo con cada uno de los tipos de comprensión lectora (literal e inferencial). Observamos que únicamente la variable “Patrón de lectura en braille” tienen una aportación significativa a los cambios en la comprensión lectora (en el caso de la literal, para ser rigurosos, no llega a ser estadísticamente significativa por siete milésimas), si bien esa variable no explica más que un exiguo 6% de los cambios en la comprensión literal y un 11% en la inferencial. De hecho, el efecto conjunto de las cuatro variables analizadas no explica más que un 10% y un 12% de sus respectivas varianzas (ver tablas 4 y 5).</w:t>
      </w:r>
    </w:p>
    <w:p w:rsidR="000D037B" w:rsidRDefault="000D037B">
      <w:pPr>
        <w:rPr>
          <w:rFonts w:cstheme="minorHAnsi"/>
          <w:sz w:val="28"/>
          <w:szCs w:val="28"/>
        </w:rPr>
      </w:pPr>
      <w:r>
        <w:rPr>
          <w:rFonts w:cstheme="minorHAnsi"/>
          <w:sz w:val="28"/>
          <w:szCs w:val="28"/>
        </w:rPr>
        <w:br w:type="page"/>
      </w:r>
    </w:p>
    <w:p w:rsidR="00C71AF3" w:rsidRPr="005E1103" w:rsidRDefault="00C71AF3" w:rsidP="00C71AF3">
      <w:pPr>
        <w:spacing w:line="360" w:lineRule="auto"/>
        <w:jc w:val="both"/>
        <w:rPr>
          <w:rFonts w:cstheme="minorHAnsi"/>
          <w:sz w:val="28"/>
          <w:szCs w:val="28"/>
        </w:rPr>
      </w:pPr>
      <w:r w:rsidRPr="005E1103">
        <w:rPr>
          <w:rFonts w:cstheme="minorHAnsi"/>
          <w:sz w:val="28"/>
          <w:szCs w:val="28"/>
        </w:rPr>
        <w:lastRenderedPageBreak/>
        <w:t>Tabla 4. Regresión lineal jerárquica de las variables predictoras de la comprensión lectora literal</w:t>
      </w:r>
    </w:p>
    <w:p w:rsidR="00F76679" w:rsidRPr="005E1103" w:rsidRDefault="00F76679" w:rsidP="00C71AF3">
      <w:pPr>
        <w:spacing w:line="360" w:lineRule="auto"/>
        <w:jc w:val="both"/>
        <w:rPr>
          <w:rFonts w:cstheme="minorHAnsi"/>
          <w:sz w:val="28"/>
          <w:szCs w:val="28"/>
        </w:rPr>
      </w:pPr>
    </w:p>
    <w:tbl>
      <w:tblPr>
        <w:tblW w:w="76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7"/>
        <w:gridCol w:w="712"/>
        <w:gridCol w:w="1283"/>
        <w:gridCol w:w="1086"/>
        <w:gridCol w:w="712"/>
        <w:gridCol w:w="1083"/>
        <w:gridCol w:w="1052"/>
      </w:tblGrid>
      <w:tr w:rsidR="00C71AF3" w:rsidRPr="005E1103" w:rsidTr="00F76679">
        <w:trPr>
          <w:trHeight w:hRule="exact" w:val="711"/>
          <w:jc w:val="center"/>
        </w:trPr>
        <w:tc>
          <w:tcPr>
            <w:tcW w:w="1919" w:type="dxa"/>
            <w:vAlign w:val="center"/>
          </w:tcPr>
          <w:p w:rsidR="00C71AF3" w:rsidRPr="005E1103" w:rsidRDefault="00C71AF3" w:rsidP="00C71AF3">
            <w:pPr>
              <w:jc w:val="both"/>
              <w:rPr>
                <w:rFonts w:cstheme="minorHAnsi"/>
                <w:sz w:val="28"/>
                <w:szCs w:val="28"/>
              </w:rPr>
            </w:pPr>
            <w:r w:rsidRPr="005E1103">
              <w:rPr>
                <w:rFonts w:cstheme="minorHAnsi"/>
                <w:sz w:val="28"/>
                <w:szCs w:val="28"/>
              </w:rPr>
              <w:t>Variables predictoras</w:t>
            </w:r>
          </w:p>
        </w:tc>
        <w:tc>
          <w:tcPr>
            <w:tcW w:w="684" w:type="dxa"/>
            <w:vAlign w:val="center"/>
          </w:tcPr>
          <w:p w:rsidR="00C71AF3" w:rsidRPr="005E1103" w:rsidRDefault="00C71AF3" w:rsidP="00C71AF3">
            <w:pPr>
              <w:jc w:val="both"/>
              <w:rPr>
                <w:rFonts w:cstheme="minorHAnsi"/>
                <w:sz w:val="28"/>
                <w:szCs w:val="28"/>
              </w:rPr>
            </w:pPr>
            <w:r w:rsidRPr="005E1103">
              <w:rPr>
                <w:rFonts w:cstheme="minorHAnsi"/>
                <w:sz w:val="28"/>
                <w:szCs w:val="28"/>
              </w:rPr>
              <w:t>R</w:t>
            </w:r>
            <w:r w:rsidRPr="005E1103">
              <w:rPr>
                <w:rFonts w:cstheme="minorHAnsi"/>
                <w:sz w:val="28"/>
                <w:szCs w:val="28"/>
                <w:vertAlign w:val="superscript"/>
              </w:rPr>
              <w:t>2</w:t>
            </w:r>
          </w:p>
        </w:tc>
        <w:tc>
          <w:tcPr>
            <w:tcW w:w="1214" w:type="dxa"/>
            <w:vAlign w:val="center"/>
          </w:tcPr>
          <w:p w:rsidR="00C71AF3" w:rsidRPr="005E1103" w:rsidRDefault="00C71AF3" w:rsidP="00C71AF3">
            <w:pPr>
              <w:jc w:val="both"/>
              <w:rPr>
                <w:rFonts w:cstheme="minorHAnsi"/>
                <w:sz w:val="28"/>
                <w:szCs w:val="28"/>
              </w:rPr>
            </w:pPr>
            <w:r w:rsidRPr="005E1103">
              <w:rPr>
                <w:rFonts w:cstheme="minorHAnsi"/>
                <w:sz w:val="28"/>
                <w:szCs w:val="28"/>
              </w:rPr>
              <w:t>β tipificado</w:t>
            </w:r>
          </w:p>
        </w:tc>
        <w:tc>
          <w:tcPr>
            <w:tcW w:w="1103" w:type="dxa"/>
            <w:vAlign w:val="center"/>
          </w:tcPr>
          <w:p w:rsidR="00C71AF3" w:rsidRPr="005E1103" w:rsidRDefault="00C71AF3" w:rsidP="00C71AF3">
            <w:pPr>
              <w:jc w:val="both"/>
              <w:rPr>
                <w:rFonts w:cstheme="minorHAnsi"/>
                <w:sz w:val="28"/>
                <w:szCs w:val="28"/>
              </w:rPr>
            </w:pPr>
            <w:r w:rsidRPr="005E1103">
              <w:rPr>
                <w:rFonts w:cstheme="minorHAnsi"/>
                <w:sz w:val="28"/>
                <w:szCs w:val="28"/>
              </w:rPr>
              <w:t>F del ANOVA</w:t>
            </w:r>
          </w:p>
        </w:tc>
        <w:tc>
          <w:tcPr>
            <w:tcW w:w="684" w:type="dxa"/>
            <w:vAlign w:val="center"/>
          </w:tcPr>
          <w:p w:rsidR="00C71AF3" w:rsidRPr="005E1103" w:rsidRDefault="00C71AF3" w:rsidP="00C71AF3">
            <w:pPr>
              <w:jc w:val="both"/>
              <w:rPr>
                <w:rFonts w:cstheme="minorHAnsi"/>
                <w:sz w:val="28"/>
                <w:szCs w:val="28"/>
              </w:rPr>
            </w:pPr>
            <w:r w:rsidRPr="005E1103">
              <w:rPr>
                <w:rFonts w:cstheme="minorHAnsi"/>
                <w:sz w:val="28"/>
                <w:szCs w:val="28"/>
              </w:rPr>
              <w:t>gl</w:t>
            </w:r>
          </w:p>
        </w:tc>
        <w:tc>
          <w:tcPr>
            <w:tcW w:w="1043" w:type="dxa"/>
            <w:vAlign w:val="center"/>
          </w:tcPr>
          <w:p w:rsidR="00C71AF3" w:rsidRPr="005E1103" w:rsidRDefault="00C71AF3" w:rsidP="00C71AF3">
            <w:pPr>
              <w:jc w:val="both"/>
              <w:rPr>
                <w:rFonts w:cstheme="minorHAnsi"/>
                <w:sz w:val="28"/>
                <w:szCs w:val="28"/>
              </w:rPr>
            </w:pPr>
            <w:r w:rsidRPr="005E1103">
              <w:rPr>
                <w:rFonts w:cstheme="minorHAnsi"/>
                <w:sz w:val="28"/>
                <w:szCs w:val="28"/>
              </w:rPr>
              <w:t>Cambio en F</w:t>
            </w:r>
          </w:p>
        </w:tc>
        <w:tc>
          <w:tcPr>
            <w:tcW w:w="1008" w:type="dxa"/>
            <w:vAlign w:val="center"/>
          </w:tcPr>
          <w:p w:rsidR="00C71AF3" w:rsidRPr="005E1103" w:rsidRDefault="00C71AF3" w:rsidP="00C71AF3">
            <w:pPr>
              <w:jc w:val="both"/>
              <w:rPr>
                <w:rFonts w:cstheme="minorHAnsi"/>
                <w:sz w:val="28"/>
                <w:szCs w:val="28"/>
              </w:rPr>
            </w:pPr>
            <w:r w:rsidRPr="005E1103">
              <w:rPr>
                <w:rFonts w:cstheme="minorHAnsi"/>
                <w:sz w:val="28"/>
                <w:szCs w:val="28"/>
              </w:rPr>
              <w:t>p. cambio en F</w:t>
            </w:r>
          </w:p>
        </w:tc>
      </w:tr>
      <w:tr w:rsidR="00C71AF3" w:rsidRPr="005E1103" w:rsidTr="00F76679">
        <w:trPr>
          <w:trHeight w:hRule="exact" w:val="340"/>
          <w:jc w:val="center"/>
        </w:trPr>
        <w:tc>
          <w:tcPr>
            <w:tcW w:w="1919" w:type="dxa"/>
            <w:vAlign w:val="center"/>
          </w:tcPr>
          <w:p w:rsidR="00C71AF3" w:rsidRPr="005E1103" w:rsidRDefault="00C71AF3" w:rsidP="00C71AF3">
            <w:pPr>
              <w:jc w:val="both"/>
              <w:rPr>
                <w:rFonts w:cstheme="minorHAnsi"/>
                <w:sz w:val="28"/>
                <w:szCs w:val="28"/>
              </w:rPr>
            </w:pPr>
            <w:r w:rsidRPr="005E1103">
              <w:rPr>
                <w:rFonts w:cstheme="minorHAnsi"/>
                <w:sz w:val="28"/>
                <w:szCs w:val="28"/>
              </w:rPr>
              <w:t>Patrón lectura</w:t>
            </w:r>
          </w:p>
        </w:tc>
        <w:tc>
          <w:tcPr>
            <w:tcW w:w="684" w:type="dxa"/>
            <w:vAlign w:val="center"/>
          </w:tcPr>
          <w:p w:rsidR="00C71AF3" w:rsidRPr="005E1103" w:rsidRDefault="00C71AF3" w:rsidP="00C71AF3">
            <w:pPr>
              <w:jc w:val="both"/>
              <w:rPr>
                <w:rFonts w:cstheme="minorHAnsi"/>
                <w:sz w:val="28"/>
                <w:szCs w:val="28"/>
              </w:rPr>
            </w:pPr>
            <w:r w:rsidRPr="005E1103">
              <w:rPr>
                <w:rFonts w:cstheme="minorHAnsi"/>
                <w:sz w:val="28"/>
                <w:szCs w:val="28"/>
              </w:rPr>
              <w:t>,062</w:t>
            </w:r>
          </w:p>
        </w:tc>
        <w:tc>
          <w:tcPr>
            <w:tcW w:w="1214" w:type="dxa"/>
            <w:vAlign w:val="center"/>
          </w:tcPr>
          <w:p w:rsidR="00C71AF3" w:rsidRPr="005E1103" w:rsidRDefault="00C71AF3" w:rsidP="00C71AF3">
            <w:pPr>
              <w:jc w:val="both"/>
              <w:rPr>
                <w:rFonts w:cstheme="minorHAnsi"/>
                <w:sz w:val="28"/>
                <w:szCs w:val="28"/>
              </w:rPr>
            </w:pPr>
            <w:r w:rsidRPr="005E1103">
              <w:rPr>
                <w:rFonts w:cstheme="minorHAnsi"/>
                <w:sz w:val="28"/>
                <w:szCs w:val="28"/>
              </w:rPr>
              <w:t>-,249</w:t>
            </w:r>
          </w:p>
        </w:tc>
        <w:tc>
          <w:tcPr>
            <w:tcW w:w="1103" w:type="dxa"/>
            <w:vAlign w:val="center"/>
          </w:tcPr>
          <w:p w:rsidR="00C71AF3" w:rsidRPr="005E1103" w:rsidRDefault="00C71AF3" w:rsidP="00C71AF3">
            <w:pPr>
              <w:jc w:val="both"/>
              <w:rPr>
                <w:rFonts w:cstheme="minorHAnsi"/>
                <w:sz w:val="28"/>
                <w:szCs w:val="28"/>
              </w:rPr>
            </w:pPr>
            <w:r w:rsidRPr="005E1103">
              <w:rPr>
                <w:rFonts w:cstheme="minorHAnsi"/>
                <w:sz w:val="28"/>
                <w:szCs w:val="28"/>
              </w:rPr>
              <w:t>3,766</w:t>
            </w:r>
          </w:p>
        </w:tc>
        <w:tc>
          <w:tcPr>
            <w:tcW w:w="684" w:type="dxa"/>
            <w:vAlign w:val="center"/>
          </w:tcPr>
          <w:p w:rsidR="00C71AF3" w:rsidRPr="005E1103" w:rsidRDefault="00C71AF3" w:rsidP="00C71AF3">
            <w:pPr>
              <w:jc w:val="both"/>
              <w:rPr>
                <w:rFonts w:cstheme="minorHAnsi"/>
                <w:sz w:val="28"/>
                <w:szCs w:val="28"/>
              </w:rPr>
            </w:pPr>
            <w:r w:rsidRPr="005E1103">
              <w:rPr>
                <w:rFonts w:cstheme="minorHAnsi"/>
                <w:sz w:val="28"/>
                <w:szCs w:val="28"/>
              </w:rPr>
              <w:t>1,57</w:t>
            </w:r>
          </w:p>
        </w:tc>
        <w:tc>
          <w:tcPr>
            <w:tcW w:w="1043" w:type="dxa"/>
            <w:vAlign w:val="center"/>
          </w:tcPr>
          <w:p w:rsidR="00C71AF3" w:rsidRPr="005E1103" w:rsidRDefault="00C71AF3" w:rsidP="00C71AF3">
            <w:pPr>
              <w:jc w:val="both"/>
              <w:rPr>
                <w:rFonts w:cstheme="minorHAnsi"/>
                <w:sz w:val="28"/>
                <w:szCs w:val="28"/>
              </w:rPr>
            </w:pPr>
            <w:r w:rsidRPr="005E1103">
              <w:rPr>
                <w:rFonts w:cstheme="minorHAnsi"/>
                <w:sz w:val="28"/>
                <w:szCs w:val="28"/>
              </w:rPr>
              <w:t>3,766</w:t>
            </w:r>
          </w:p>
        </w:tc>
        <w:tc>
          <w:tcPr>
            <w:tcW w:w="1008" w:type="dxa"/>
            <w:vAlign w:val="center"/>
          </w:tcPr>
          <w:p w:rsidR="00C71AF3" w:rsidRPr="005E1103" w:rsidRDefault="00C71AF3" w:rsidP="00C71AF3">
            <w:pPr>
              <w:jc w:val="both"/>
              <w:rPr>
                <w:rFonts w:cstheme="minorHAnsi"/>
                <w:sz w:val="28"/>
                <w:szCs w:val="28"/>
              </w:rPr>
            </w:pPr>
            <w:r w:rsidRPr="005E1103">
              <w:rPr>
                <w:rFonts w:cstheme="minorHAnsi"/>
                <w:sz w:val="28"/>
                <w:szCs w:val="28"/>
              </w:rPr>
              <w:t>,057</w:t>
            </w:r>
          </w:p>
        </w:tc>
      </w:tr>
      <w:tr w:rsidR="00C71AF3" w:rsidRPr="005E1103" w:rsidTr="00F76679">
        <w:trPr>
          <w:trHeight w:hRule="exact" w:val="2350"/>
          <w:jc w:val="center"/>
        </w:trPr>
        <w:tc>
          <w:tcPr>
            <w:tcW w:w="1919" w:type="dxa"/>
          </w:tcPr>
          <w:p w:rsidR="00C71AF3" w:rsidRPr="005E1103" w:rsidRDefault="00C71AF3" w:rsidP="00C71AF3">
            <w:pPr>
              <w:jc w:val="both"/>
              <w:rPr>
                <w:rFonts w:cstheme="minorHAnsi"/>
                <w:sz w:val="28"/>
                <w:szCs w:val="28"/>
              </w:rPr>
            </w:pPr>
            <w:r w:rsidRPr="005E1103">
              <w:rPr>
                <w:rFonts w:cstheme="minorHAnsi"/>
                <w:sz w:val="28"/>
                <w:szCs w:val="28"/>
              </w:rPr>
              <w:t>Momento inicio ceguera</w:t>
            </w:r>
          </w:p>
          <w:p w:rsidR="00C71AF3" w:rsidRPr="005E1103" w:rsidRDefault="00C71AF3" w:rsidP="00C71AF3">
            <w:pPr>
              <w:jc w:val="both"/>
              <w:rPr>
                <w:rFonts w:cstheme="minorHAnsi"/>
                <w:sz w:val="28"/>
                <w:szCs w:val="28"/>
              </w:rPr>
            </w:pPr>
            <w:r w:rsidRPr="005E1103">
              <w:rPr>
                <w:rFonts w:cstheme="minorHAnsi"/>
                <w:sz w:val="28"/>
                <w:szCs w:val="28"/>
              </w:rPr>
              <w:t>Patrón lectura</w:t>
            </w:r>
          </w:p>
          <w:p w:rsidR="00C71AF3" w:rsidRPr="005E1103" w:rsidRDefault="00C71AF3" w:rsidP="00C71AF3">
            <w:pPr>
              <w:jc w:val="both"/>
              <w:rPr>
                <w:rFonts w:cstheme="minorHAnsi"/>
                <w:sz w:val="28"/>
                <w:szCs w:val="28"/>
              </w:rPr>
            </w:pPr>
            <w:r w:rsidRPr="005E1103">
              <w:rPr>
                <w:rFonts w:cstheme="minorHAnsi"/>
                <w:sz w:val="28"/>
                <w:szCs w:val="28"/>
              </w:rPr>
              <w:t>Años lectura braille</w:t>
            </w:r>
          </w:p>
          <w:p w:rsidR="00C71AF3" w:rsidRPr="005E1103" w:rsidRDefault="00C71AF3" w:rsidP="00C71AF3">
            <w:pPr>
              <w:jc w:val="both"/>
              <w:rPr>
                <w:rFonts w:cstheme="minorHAnsi"/>
                <w:sz w:val="28"/>
                <w:szCs w:val="28"/>
              </w:rPr>
            </w:pPr>
            <w:r w:rsidRPr="005E1103">
              <w:rPr>
                <w:rFonts w:cstheme="minorHAnsi"/>
                <w:sz w:val="28"/>
                <w:szCs w:val="28"/>
              </w:rPr>
              <w:t>Nivel titulación</w:t>
            </w:r>
          </w:p>
        </w:tc>
        <w:tc>
          <w:tcPr>
            <w:tcW w:w="684" w:type="dxa"/>
          </w:tcPr>
          <w:p w:rsidR="00C71AF3" w:rsidRPr="005E1103" w:rsidRDefault="00C71AF3" w:rsidP="00C71AF3">
            <w:pPr>
              <w:jc w:val="both"/>
              <w:rPr>
                <w:rFonts w:cstheme="minorHAnsi"/>
                <w:sz w:val="28"/>
                <w:szCs w:val="28"/>
              </w:rPr>
            </w:pPr>
            <w:r w:rsidRPr="005E1103">
              <w:rPr>
                <w:rFonts w:cstheme="minorHAnsi"/>
                <w:sz w:val="28"/>
                <w:szCs w:val="28"/>
              </w:rPr>
              <w:t>,103</w:t>
            </w:r>
          </w:p>
        </w:tc>
        <w:tc>
          <w:tcPr>
            <w:tcW w:w="1214" w:type="dxa"/>
          </w:tcPr>
          <w:p w:rsidR="00C71AF3" w:rsidRPr="005E1103" w:rsidRDefault="00C71AF3" w:rsidP="00C71AF3">
            <w:pPr>
              <w:jc w:val="both"/>
              <w:rPr>
                <w:rFonts w:cstheme="minorHAnsi"/>
                <w:sz w:val="28"/>
                <w:szCs w:val="28"/>
              </w:rPr>
            </w:pPr>
            <w:r w:rsidRPr="005E1103">
              <w:rPr>
                <w:rFonts w:cstheme="minorHAnsi"/>
                <w:sz w:val="28"/>
                <w:szCs w:val="28"/>
              </w:rPr>
              <w:t>-,280</w:t>
            </w:r>
          </w:p>
          <w:p w:rsidR="00C71AF3" w:rsidRPr="005E1103" w:rsidRDefault="00C71AF3" w:rsidP="00C71AF3">
            <w:pPr>
              <w:jc w:val="both"/>
              <w:rPr>
                <w:rFonts w:cstheme="minorHAnsi"/>
                <w:sz w:val="28"/>
                <w:szCs w:val="28"/>
              </w:rPr>
            </w:pPr>
            <w:r w:rsidRPr="005E1103">
              <w:rPr>
                <w:rFonts w:cstheme="minorHAnsi"/>
                <w:sz w:val="28"/>
                <w:szCs w:val="28"/>
              </w:rPr>
              <w:t>,081</w:t>
            </w:r>
          </w:p>
          <w:p w:rsidR="00C71AF3" w:rsidRPr="005E1103" w:rsidRDefault="00C71AF3" w:rsidP="00C71AF3">
            <w:pPr>
              <w:jc w:val="both"/>
              <w:rPr>
                <w:rFonts w:cstheme="minorHAnsi"/>
                <w:sz w:val="28"/>
                <w:szCs w:val="28"/>
              </w:rPr>
            </w:pPr>
            <w:r w:rsidRPr="005E1103">
              <w:rPr>
                <w:rFonts w:cstheme="minorHAnsi"/>
                <w:sz w:val="28"/>
                <w:szCs w:val="28"/>
              </w:rPr>
              <w:t>,153</w:t>
            </w:r>
          </w:p>
          <w:p w:rsidR="00C71AF3" w:rsidRPr="005E1103" w:rsidRDefault="00C71AF3" w:rsidP="00C71AF3">
            <w:pPr>
              <w:jc w:val="both"/>
              <w:rPr>
                <w:rFonts w:cstheme="minorHAnsi"/>
                <w:sz w:val="28"/>
                <w:szCs w:val="28"/>
              </w:rPr>
            </w:pPr>
            <w:r w:rsidRPr="005E1103">
              <w:rPr>
                <w:rFonts w:cstheme="minorHAnsi"/>
                <w:sz w:val="28"/>
                <w:szCs w:val="28"/>
              </w:rPr>
              <w:t>,179</w:t>
            </w:r>
          </w:p>
        </w:tc>
        <w:tc>
          <w:tcPr>
            <w:tcW w:w="1103" w:type="dxa"/>
          </w:tcPr>
          <w:p w:rsidR="00C71AF3" w:rsidRPr="005E1103" w:rsidRDefault="00C71AF3" w:rsidP="00C71AF3">
            <w:pPr>
              <w:jc w:val="both"/>
              <w:rPr>
                <w:rFonts w:cstheme="minorHAnsi"/>
                <w:sz w:val="28"/>
                <w:szCs w:val="28"/>
              </w:rPr>
            </w:pPr>
            <w:r w:rsidRPr="005E1103">
              <w:rPr>
                <w:rFonts w:cstheme="minorHAnsi"/>
                <w:sz w:val="28"/>
                <w:szCs w:val="28"/>
              </w:rPr>
              <w:t>1,558</w:t>
            </w:r>
          </w:p>
        </w:tc>
        <w:tc>
          <w:tcPr>
            <w:tcW w:w="684" w:type="dxa"/>
          </w:tcPr>
          <w:p w:rsidR="00C71AF3" w:rsidRPr="005E1103" w:rsidRDefault="00C71AF3" w:rsidP="00C71AF3">
            <w:pPr>
              <w:jc w:val="both"/>
              <w:rPr>
                <w:rFonts w:cstheme="minorHAnsi"/>
                <w:sz w:val="28"/>
                <w:szCs w:val="28"/>
              </w:rPr>
            </w:pPr>
            <w:r w:rsidRPr="005E1103">
              <w:rPr>
                <w:rFonts w:cstheme="minorHAnsi"/>
                <w:sz w:val="28"/>
                <w:szCs w:val="28"/>
              </w:rPr>
              <w:t>4,54</w:t>
            </w:r>
          </w:p>
        </w:tc>
        <w:tc>
          <w:tcPr>
            <w:tcW w:w="1043" w:type="dxa"/>
          </w:tcPr>
          <w:p w:rsidR="00C71AF3" w:rsidRPr="005E1103" w:rsidRDefault="00C71AF3" w:rsidP="00C71AF3">
            <w:pPr>
              <w:jc w:val="both"/>
              <w:rPr>
                <w:rFonts w:cstheme="minorHAnsi"/>
                <w:sz w:val="28"/>
                <w:szCs w:val="28"/>
              </w:rPr>
            </w:pPr>
            <w:r w:rsidRPr="005E1103">
              <w:rPr>
                <w:rFonts w:cstheme="minorHAnsi"/>
                <w:sz w:val="28"/>
                <w:szCs w:val="28"/>
              </w:rPr>
              <w:t>,833</w:t>
            </w:r>
          </w:p>
        </w:tc>
        <w:tc>
          <w:tcPr>
            <w:tcW w:w="1008" w:type="dxa"/>
          </w:tcPr>
          <w:p w:rsidR="00C71AF3" w:rsidRPr="005E1103" w:rsidRDefault="00C71AF3" w:rsidP="00C71AF3">
            <w:pPr>
              <w:jc w:val="both"/>
              <w:rPr>
                <w:rFonts w:cstheme="minorHAnsi"/>
                <w:sz w:val="28"/>
                <w:szCs w:val="28"/>
              </w:rPr>
            </w:pPr>
            <w:r w:rsidRPr="005E1103">
              <w:rPr>
                <w:rFonts w:cstheme="minorHAnsi"/>
                <w:sz w:val="28"/>
                <w:szCs w:val="28"/>
              </w:rPr>
              <w:t>,482</w:t>
            </w:r>
          </w:p>
        </w:tc>
      </w:tr>
    </w:tbl>
    <w:p w:rsidR="00C71AF3" w:rsidRPr="005E1103" w:rsidRDefault="00C71AF3" w:rsidP="00C71AF3">
      <w:pPr>
        <w:spacing w:before="120" w:line="360" w:lineRule="auto"/>
        <w:jc w:val="both"/>
        <w:rPr>
          <w:rFonts w:cstheme="minorHAnsi"/>
          <w:sz w:val="28"/>
          <w:szCs w:val="28"/>
        </w:rPr>
      </w:pPr>
      <w:r w:rsidRPr="005E1103">
        <w:rPr>
          <w:rFonts w:cstheme="minorHAnsi"/>
          <w:sz w:val="28"/>
          <w:szCs w:val="28"/>
        </w:rPr>
        <w:t>Tabla 5. Regresión lineal jerárquica de las variables predictoras de la comprensión lectora inferencial</w:t>
      </w:r>
    </w:p>
    <w:tbl>
      <w:tblPr>
        <w:tblW w:w="76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8"/>
        <w:gridCol w:w="712"/>
        <w:gridCol w:w="1283"/>
        <w:gridCol w:w="1085"/>
        <w:gridCol w:w="712"/>
        <w:gridCol w:w="1083"/>
        <w:gridCol w:w="1052"/>
      </w:tblGrid>
      <w:tr w:rsidR="00C71AF3" w:rsidRPr="005E1103" w:rsidTr="00E10A46">
        <w:trPr>
          <w:trHeight w:hRule="exact" w:val="722"/>
          <w:jc w:val="center"/>
        </w:trPr>
        <w:tc>
          <w:tcPr>
            <w:tcW w:w="1728" w:type="dxa"/>
            <w:vAlign w:val="center"/>
          </w:tcPr>
          <w:p w:rsidR="00C71AF3" w:rsidRPr="005E1103" w:rsidRDefault="00C71AF3" w:rsidP="00C71AF3">
            <w:pPr>
              <w:jc w:val="both"/>
              <w:rPr>
                <w:rFonts w:cstheme="minorHAnsi"/>
                <w:sz w:val="28"/>
                <w:szCs w:val="28"/>
              </w:rPr>
            </w:pPr>
            <w:r w:rsidRPr="005E1103">
              <w:rPr>
                <w:rFonts w:cstheme="minorHAnsi"/>
                <w:sz w:val="28"/>
                <w:szCs w:val="28"/>
              </w:rPr>
              <w:t>Variables predictoras</w:t>
            </w:r>
          </w:p>
        </w:tc>
        <w:tc>
          <w:tcPr>
            <w:tcW w:w="712" w:type="dxa"/>
            <w:vAlign w:val="center"/>
          </w:tcPr>
          <w:p w:rsidR="00C71AF3" w:rsidRPr="005E1103" w:rsidRDefault="00C71AF3" w:rsidP="00C71AF3">
            <w:pPr>
              <w:jc w:val="both"/>
              <w:rPr>
                <w:rFonts w:cstheme="minorHAnsi"/>
                <w:sz w:val="28"/>
                <w:szCs w:val="28"/>
              </w:rPr>
            </w:pPr>
            <w:r w:rsidRPr="005E1103">
              <w:rPr>
                <w:rFonts w:cstheme="minorHAnsi"/>
                <w:sz w:val="28"/>
                <w:szCs w:val="28"/>
              </w:rPr>
              <w:t>R</w:t>
            </w:r>
            <w:r w:rsidRPr="005E1103">
              <w:rPr>
                <w:rFonts w:cstheme="minorHAnsi"/>
                <w:sz w:val="28"/>
                <w:szCs w:val="28"/>
                <w:vertAlign w:val="superscript"/>
              </w:rPr>
              <w:t>2</w:t>
            </w:r>
          </w:p>
        </w:tc>
        <w:tc>
          <w:tcPr>
            <w:tcW w:w="1283" w:type="dxa"/>
            <w:vAlign w:val="center"/>
          </w:tcPr>
          <w:p w:rsidR="00C71AF3" w:rsidRPr="005E1103" w:rsidRDefault="00C71AF3" w:rsidP="00C71AF3">
            <w:pPr>
              <w:jc w:val="both"/>
              <w:rPr>
                <w:rFonts w:cstheme="minorHAnsi"/>
                <w:sz w:val="28"/>
                <w:szCs w:val="28"/>
              </w:rPr>
            </w:pPr>
            <w:r w:rsidRPr="005E1103">
              <w:rPr>
                <w:rFonts w:cstheme="minorHAnsi"/>
                <w:sz w:val="28"/>
                <w:szCs w:val="28"/>
              </w:rPr>
              <w:t>β tipificado</w:t>
            </w:r>
          </w:p>
        </w:tc>
        <w:tc>
          <w:tcPr>
            <w:tcW w:w="1085" w:type="dxa"/>
            <w:vAlign w:val="center"/>
          </w:tcPr>
          <w:p w:rsidR="00C71AF3" w:rsidRPr="005E1103" w:rsidRDefault="00C71AF3" w:rsidP="00C71AF3">
            <w:pPr>
              <w:jc w:val="both"/>
              <w:rPr>
                <w:rFonts w:cstheme="minorHAnsi"/>
                <w:sz w:val="28"/>
                <w:szCs w:val="28"/>
              </w:rPr>
            </w:pPr>
            <w:r w:rsidRPr="005E1103">
              <w:rPr>
                <w:rFonts w:cstheme="minorHAnsi"/>
                <w:sz w:val="28"/>
                <w:szCs w:val="28"/>
              </w:rPr>
              <w:t>F del ANOVA</w:t>
            </w:r>
          </w:p>
        </w:tc>
        <w:tc>
          <w:tcPr>
            <w:tcW w:w="712" w:type="dxa"/>
            <w:vAlign w:val="center"/>
          </w:tcPr>
          <w:p w:rsidR="00C71AF3" w:rsidRPr="005E1103" w:rsidRDefault="00C71AF3" w:rsidP="00C71AF3">
            <w:pPr>
              <w:jc w:val="both"/>
              <w:rPr>
                <w:rFonts w:cstheme="minorHAnsi"/>
                <w:sz w:val="28"/>
                <w:szCs w:val="28"/>
              </w:rPr>
            </w:pPr>
            <w:r w:rsidRPr="005E1103">
              <w:rPr>
                <w:rFonts w:cstheme="minorHAnsi"/>
                <w:sz w:val="28"/>
                <w:szCs w:val="28"/>
              </w:rPr>
              <w:t>gl</w:t>
            </w:r>
          </w:p>
        </w:tc>
        <w:tc>
          <w:tcPr>
            <w:tcW w:w="1083" w:type="dxa"/>
            <w:vAlign w:val="center"/>
          </w:tcPr>
          <w:p w:rsidR="00C71AF3" w:rsidRPr="005E1103" w:rsidRDefault="00C71AF3" w:rsidP="00C71AF3">
            <w:pPr>
              <w:jc w:val="both"/>
              <w:rPr>
                <w:rFonts w:cstheme="minorHAnsi"/>
                <w:sz w:val="28"/>
                <w:szCs w:val="28"/>
              </w:rPr>
            </w:pPr>
            <w:r w:rsidRPr="005E1103">
              <w:rPr>
                <w:rFonts w:cstheme="minorHAnsi"/>
                <w:sz w:val="28"/>
                <w:szCs w:val="28"/>
              </w:rPr>
              <w:t>Cambio en F</w:t>
            </w:r>
          </w:p>
        </w:tc>
        <w:tc>
          <w:tcPr>
            <w:tcW w:w="1052" w:type="dxa"/>
            <w:vAlign w:val="center"/>
          </w:tcPr>
          <w:p w:rsidR="00C71AF3" w:rsidRPr="005E1103" w:rsidRDefault="00C71AF3" w:rsidP="00C71AF3">
            <w:pPr>
              <w:jc w:val="both"/>
              <w:rPr>
                <w:rFonts w:cstheme="minorHAnsi"/>
                <w:sz w:val="28"/>
                <w:szCs w:val="28"/>
              </w:rPr>
            </w:pPr>
            <w:r w:rsidRPr="005E1103">
              <w:rPr>
                <w:rFonts w:cstheme="minorHAnsi"/>
                <w:sz w:val="28"/>
                <w:szCs w:val="28"/>
              </w:rPr>
              <w:t>p. cambio en F</w:t>
            </w:r>
          </w:p>
        </w:tc>
      </w:tr>
      <w:tr w:rsidR="00C71AF3" w:rsidRPr="005E1103" w:rsidTr="00E10A46">
        <w:trPr>
          <w:trHeight w:hRule="exact" w:val="340"/>
          <w:jc w:val="center"/>
        </w:trPr>
        <w:tc>
          <w:tcPr>
            <w:tcW w:w="1728" w:type="dxa"/>
            <w:vAlign w:val="center"/>
          </w:tcPr>
          <w:p w:rsidR="00C71AF3" w:rsidRPr="005E1103" w:rsidRDefault="00C71AF3" w:rsidP="00C71AF3">
            <w:pPr>
              <w:jc w:val="both"/>
              <w:rPr>
                <w:rFonts w:cstheme="minorHAnsi"/>
                <w:sz w:val="28"/>
                <w:szCs w:val="28"/>
              </w:rPr>
            </w:pPr>
            <w:r w:rsidRPr="005E1103">
              <w:rPr>
                <w:rFonts w:cstheme="minorHAnsi"/>
                <w:sz w:val="28"/>
                <w:szCs w:val="28"/>
              </w:rPr>
              <w:t>Patrón lectura</w:t>
            </w:r>
          </w:p>
        </w:tc>
        <w:tc>
          <w:tcPr>
            <w:tcW w:w="712" w:type="dxa"/>
            <w:vAlign w:val="center"/>
          </w:tcPr>
          <w:p w:rsidR="00C71AF3" w:rsidRPr="005E1103" w:rsidRDefault="00C71AF3" w:rsidP="00C71AF3">
            <w:pPr>
              <w:jc w:val="both"/>
              <w:rPr>
                <w:rFonts w:cstheme="minorHAnsi"/>
                <w:sz w:val="28"/>
                <w:szCs w:val="28"/>
              </w:rPr>
            </w:pPr>
            <w:r w:rsidRPr="005E1103">
              <w:rPr>
                <w:rFonts w:cstheme="minorHAnsi"/>
                <w:sz w:val="28"/>
                <w:szCs w:val="28"/>
              </w:rPr>
              <w:t>,108</w:t>
            </w:r>
          </w:p>
        </w:tc>
        <w:tc>
          <w:tcPr>
            <w:tcW w:w="1283" w:type="dxa"/>
            <w:vAlign w:val="center"/>
          </w:tcPr>
          <w:p w:rsidR="00C71AF3" w:rsidRPr="005E1103" w:rsidRDefault="00C71AF3" w:rsidP="00C71AF3">
            <w:pPr>
              <w:jc w:val="both"/>
              <w:rPr>
                <w:rFonts w:cstheme="minorHAnsi"/>
                <w:sz w:val="28"/>
                <w:szCs w:val="28"/>
              </w:rPr>
            </w:pPr>
            <w:r w:rsidRPr="005E1103">
              <w:rPr>
                <w:rFonts w:cstheme="minorHAnsi"/>
                <w:sz w:val="28"/>
                <w:szCs w:val="28"/>
              </w:rPr>
              <w:t>-,328</w:t>
            </w:r>
          </w:p>
        </w:tc>
        <w:tc>
          <w:tcPr>
            <w:tcW w:w="1085" w:type="dxa"/>
            <w:vAlign w:val="center"/>
          </w:tcPr>
          <w:p w:rsidR="00C71AF3" w:rsidRPr="005E1103" w:rsidRDefault="00C71AF3" w:rsidP="00C71AF3">
            <w:pPr>
              <w:jc w:val="both"/>
              <w:rPr>
                <w:rFonts w:cstheme="minorHAnsi"/>
                <w:sz w:val="28"/>
                <w:szCs w:val="28"/>
              </w:rPr>
            </w:pPr>
            <w:r w:rsidRPr="005E1103">
              <w:rPr>
                <w:rFonts w:cstheme="minorHAnsi"/>
                <w:sz w:val="28"/>
                <w:szCs w:val="28"/>
              </w:rPr>
              <w:t>6,891</w:t>
            </w:r>
          </w:p>
        </w:tc>
        <w:tc>
          <w:tcPr>
            <w:tcW w:w="712" w:type="dxa"/>
            <w:vAlign w:val="center"/>
          </w:tcPr>
          <w:p w:rsidR="00C71AF3" w:rsidRPr="005E1103" w:rsidRDefault="00C71AF3" w:rsidP="00C71AF3">
            <w:pPr>
              <w:jc w:val="both"/>
              <w:rPr>
                <w:rFonts w:cstheme="minorHAnsi"/>
                <w:sz w:val="28"/>
                <w:szCs w:val="28"/>
              </w:rPr>
            </w:pPr>
            <w:r w:rsidRPr="005E1103">
              <w:rPr>
                <w:rFonts w:cstheme="minorHAnsi"/>
                <w:sz w:val="28"/>
                <w:szCs w:val="28"/>
              </w:rPr>
              <w:t>1,57</w:t>
            </w:r>
          </w:p>
        </w:tc>
        <w:tc>
          <w:tcPr>
            <w:tcW w:w="1083" w:type="dxa"/>
            <w:vAlign w:val="center"/>
          </w:tcPr>
          <w:p w:rsidR="00C71AF3" w:rsidRPr="005E1103" w:rsidRDefault="00C71AF3" w:rsidP="00C71AF3">
            <w:pPr>
              <w:jc w:val="both"/>
              <w:rPr>
                <w:rFonts w:cstheme="minorHAnsi"/>
                <w:sz w:val="28"/>
                <w:szCs w:val="28"/>
              </w:rPr>
            </w:pPr>
            <w:r w:rsidRPr="005E1103">
              <w:rPr>
                <w:rFonts w:cstheme="minorHAnsi"/>
                <w:sz w:val="28"/>
                <w:szCs w:val="28"/>
              </w:rPr>
              <w:t>6,891</w:t>
            </w:r>
          </w:p>
        </w:tc>
        <w:tc>
          <w:tcPr>
            <w:tcW w:w="1052" w:type="dxa"/>
            <w:vAlign w:val="center"/>
          </w:tcPr>
          <w:p w:rsidR="00C71AF3" w:rsidRPr="005E1103" w:rsidRDefault="00C71AF3" w:rsidP="00C71AF3">
            <w:pPr>
              <w:jc w:val="both"/>
              <w:rPr>
                <w:rFonts w:cstheme="minorHAnsi"/>
                <w:sz w:val="28"/>
                <w:szCs w:val="28"/>
              </w:rPr>
            </w:pPr>
            <w:r w:rsidRPr="005E1103">
              <w:rPr>
                <w:rFonts w:cstheme="minorHAnsi"/>
                <w:sz w:val="28"/>
                <w:szCs w:val="28"/>
              </w:rPr>
              <w:t>,011</w:t>
            </w:r>
          </w:p>
        </w:tc>
      </w:tr>
      <w:tr w:rsidR="00C71AF3" w:rsidRPr="005E1103" w:rsidTr="00E10A46">
        <w:trPr>
          <w:trHeight w:hRule="exact" w:val="2481"/>
          <w:jc w:val="center"/>
        </w:trPr>
        <w:tc>
          <w:tcPr>
            <w:tcW w:w="1728" w:type="dxa"/>
          </w:tcPr>
          <w:p w:rsidR="00C71AF3" w:rsidRPr="005E1103" w:rsidRDefault="00C71AF3" w:rsidP="00C71AF3">
            <w:pPr>
              <w:jc w:val="both"/>
              <w:rPr>
                <w:rFonts w:cstheme="minorHAnsi"/>
                <w:sz w:val="28"/>
                <w:szCs w:val="28"/>
              </w:rPr>
            </w:pPr>
            <w:r w:rsidRPr="005E1103">
              <w:rPr>
                <w:rFonts w:cstheme="minorHAnsi"/>
                <w:sz w:val="28"/>
                <w:szCs w:val="28"/>
              </w:rPr>
              <w:t>Momento inicio ceguera</w:t>
            </w:r>
          </w:p>
          <w:p w:rsidR="00C71AF3" w:rsidRPr="005E1103" w:rsidRDefault="00C71AF3" w:rsidP="00C71AF3">
            <w:pPr>
              <w:jc w:val="both"/>
              <w:rPr>
                <w:rFonts w:cstheme="minorHAnsi"/>
                <w:sz w:val="28"/>
                <w:szCs w:val="28"/>
              </w:rPr>
            </w:pPr>
            <w:r w:rsidRPr="005E1103">
              <w:rPr>
                <w:rFonts w:cstheme="minorHAnsi"/>
                <w:sz w:val="28"/>
                <w:szCs w:val="28"/>
              </w:rPr>
              <w:t>Patrón lectura</w:t>
            </w:r>
          </w:p>
          <w:p w:rsidR="00C71AF3" w:rsidRPr="005E1103" w:rsidRDefault="00C71AF3" w:rsidP="00C71AF3">
            <w:pPr>
              <w:jc w:val="both"/>
              <w:rPr>
                <w:rFonts w:cstheme="minorHAnsi"/>
                <w:sz w:val="28"/>
                <w:szCs w:val="28"/>
              </w:rPr>
            </w:pPr>
            <w:r w:rsidRPr="005E1103">
              <w:rPr>
                <w:rFonts w:cstheme="minorHAnsi"/>
                <w:sz w:val="28"/>
                <w:szCs w:val="28"/>
              </w:rPr>
              <w:t>Años lectura braille</w:t>
            </w:r>
          </w:p>
          <w:p w:rsidR="00C71AF3" w:rsidRPr="005E1103" w:rsidRDefault="00C71AF3" w:rsidP="00C71AF3">
            <w:pPr>
              <w:jc w:val="both"/>
              <w:rPr>
                <w:rFonts w:cstheme="minorHAnsi"/>
                <w:sz w:val="28"/>
                <w:szCs w:val="28"/>
              </w:rPr>
            </w:pPr>
            <w:r w:rsidRPr="005E1103">
              <w:rPr>
                <w:rFonts w:cstheme="minorHAnsi"/>
                <w:sz w:val="28"/>
                <w:szCs w:val="28"/>
              </w:rPr>
              <w:t>Nivel titulación</w:t>
            </w:r>
          </w:p>
        </w:tc>
        <w:tc>
          <w:tcPr>
            <w:tcW w:w="712" w:type="dxa"/>
          </w:tcPr>
          <w:p w:rsidR="00C71AF3" w:rsidRPr="005E1103" w:rsidRDefault="00C71AF3" w:rsidP="00C71AF3">
            <w:pPr>
              <w:jc w:val="both"/>
              <w:rPr>
                <w:rFonts w:cstheme="minorHAnsi"/>
                <w:sz w:val="28"/>
                <w:szCs w:val="28"/>
              </w:rPr>
            </w:pPr>
            <w:r w:rsidRPr="005E1103">
              <w:rPr>
                <w:rFonts w:cstheme="minorHAnsi"/>
                <w:sz w:val="28"/>
                <w:szCs w:val="28"/>
              </w:rPr>
              <w:t>,125</w:t>
            </w:r>
          </w:p>
        </w:tc>
        <w:tc>
          <w:tcPr>
            <w:tcW w:w="1283" w:type="dxa"/>
          </w:tcPr>
          <w:p w:rsidR="00C71AF3" w:rsidRPr="005E1103" w:rsidRDefault="00C71AF3" w:rsidP="00C71AF3">
            <w:pPr>
              <w:jc w:val="both"/>
              <w:rPr>
                <w:rFonts w:cstheme="minorHAnsi"/>
                <w:sz w:val="28"/>
                <w:szCs w:val="28"/>
              </w:rPr>
            </w:pPr>
            <w:r w:rsidRPr="005E1103">
              <w:rPr>
                <w:rFonts w:cstheme="minorHAnsi"/>
                <w:sz w:val="28"/>
                <w:szCs w:val="28"/>
              </w:rPr>
              <w:t>-,342</w:t>
            </w:r>
          </w:p>
          <w:p w:rsidR="00C71AF3" w:rsidRPr="005E1103" w:rsidRDefault="00C71AF3" w:rsidP="00C71AF3">
            <w:pPr>
              <w:jc w:val="both"/>
              <w:rPr>
                <w:rFonts w:cstheme="minorHAnsi"/>
                <w:sz w:val="28"/>
                <w:szCs w:val="28"/>
              </w:rPr>
            </w:pPr>
            <w:r w:rsidRPr="005E1103">
              <w:rPr>
                <w:rFonts w:cstheme="minorHAnsi"/>
                <w:sz w:val="28"/>
                <w:szCs w:val="28"/>
              </w:rPr>
              <w:t>,124</w:t>
            </w:r>
          </w:p>
          <w:p w:rsidR="00C71AF3" w:rsidRPr="005E1103" w:rsidRDefault="00C71AF3" w:rsidP="00C71AF3">
            <w:pPr>
              <w:jc w:val="both"/>
              <w:rPr>
                <w:rFonts w:cstheme="minorHAnsi"/>
                <w:sz w:val="28"/>
                <w:szCs w:val="28"/>
              </w:rPr>
            </w:pPr>
            <w:r w:rsidRPr="005E1103">
              <w:rPr>
                <w:rFonts w:cstheme="minorHAnsi"/>
                <w:sz w:val="28"/>
                <w:szCs w:val="28"/>
              </w:rPr>
              <w:t>,147</w:t>
            </w:r>
          </w:p>
          <w:p w:rsidR="00C71AF3" w:rsidRPr="005E1103" w:rsidRDefault="00C71AF3" w:rsidP="00C71AF3">
            <w:pPr>
              <w:jc w:val="both"/>
              <w:rPr>
                <w:rFonts w:cstheme="minorHAnsi"/>
                <w:sz w:val="28"/>
                <w:szCs w:val="28"/>
              </w:rPr>
            </w:pPr>
            <w:r w:rsidRPr="005E1103">
              <w:rPr>
                <w:rFonts w:cstheme="minorHAnsi"/>
                <w:sz w:val="28"/>
                <w:szCs w:val="28"/>
              </w:rPr>
              <w:t>,036</w:t>
            </w:r>
          </w:p>
        </w:tc>
        <w:tc>
          <w:tcPr>
            <w:tcW w:w="1085" w:type="dxa"/>
          </w:tcPr>
          <w:p w:rsidR="00C71AF3" w:rsidRPr="005E1103" w:rsidRDefault="00C71AF3" w:rsidP="00C71AF3">
            <w:pPr>
              <w:jc w:val="both"/>
              <w:rPr>
                <w:rFonts w:cstheme="minorHAnsi"/>
                <w:sz w:val="28"/>
                <w:szCs w:val="28"/>
              </w:rPr>
            </w:pPr>
            <w:r w:rsidRPr="005E1103">
              <w:rPr>
                <w:rFonts w:cstheme="minorHAnsi"/>
                <w:sz w:val="28"/>
                <w:szCs w:val="28"/>
              </w:rPr>
              <w:t>1,936</w:t>
            </w:r>
          </w:p>
        </w:tc>
        <w:tc>
          <w:tcPr>
            <w:tcW w:w="712" w:type="dxa"/>
          </w:tcPr>
          <w:p w:rsidR="00C71AF3" w:rsidRPr="005E1103" w:rsidRDefault="00C71AF3" w:rsidP="00C71AF3">
            <w:pPr>
              <w:jc w:val="both"/>
              <w:rPr>
                <w:rFonts w:cstheme="minorHAnsi"/>
                <w:sz w:val="28"/>
                <w:szCs w:val="28"/>
              </w:rPr>
            </w:pPr>
            <w:r w:rsidRPr="005E1103">
              <w:rPr>
                <w:rFonts w:cstheme="minorHAnsi"/>
                <w:sz w:val="28"/>
                <w:szCs w:val="28"/>
              </w:rPr>
              <w:t>4,54</w:t>
            </w:r>
          </w:p>
        </w:tc>
        <w:tc>
          <w:tcPr>
            <w:tcW w:w="1083" w:type="dxa"/>
          </w:tcPr>
          <w:p w:rsidR="00C71AF3" w:rsidRPr="005E1103" w:rsidRDefault="00C71AF3" w:rsidP="00C71AF3">
            <w:pPr>
              <w:jc w:val="both"/>
              <w:rPr>
                <w:rFonts w:cstheme="minorHAnsi"/>
                <w:sz w:val="28"/>
                <w:szCs w:val="28"/>
              </w:rPr>
            </w:pPr>
            <w:r w:rsidRPr="005E1103">
              <w:rPr>
                <w:rFonts w:cstheme="minorHAnsi"/>
                <w:sz w:val="28"/>
                <w:szCs w:val="28"/>
              </w:rPr>
              <w:t>,361</w:t>
            </w:r>
          </w:p>
        </w:tc>
        <w:tc>
          <w:tcPr>
            <w:tcW w:w="1052" w:type="dxa"/>
          </w:tcPr>
          <w:p w:rsidR="00C71AF3" w:rsidRPr="005E1103" w:rsidRDefault="00C71AF3" w:rsidP="00C71AF3">
            <w:pPr>
              <w:jc w:val="both"/>
              <w:rPr>
                <w:rFonts w:cstheme="minorHAnsi"/>
                <w:sz w:val="28"/>
                <w:szCs w:val="28"/>
              </w:rPr>
            </w:pPr>
            <w:r w:rsidRPr="005E1103">
              <w:rPr>
                <w:rFonts w:cstheme="minorHAnsi"/>
                <w:sz w:val="28"/>
                <w:szCs w:val="28"/>
              </w:rPr>
              <w:t>,781</w:t>
            </w:r>
          </w:p>
        </w:tc>
      </w:tr>
    </w:tbl>
    <w:p w:rsidR="00C71AF3" w:rsidRPr="005E1103" w:rsidRDefault="00C71AF3" w:rsidP="00C71AF3">
      <w:pPr>
        <w:spacing w:line="360" w:lineRule="auto"/>
        <w:rPr>
          <w:rFonts w:cstheme="minorHAnsi"/>
          <w:color w:val="000000"/>
          <w:sz w:val="28"/>
          <w:szCs w:val="28"/>
          <w:lang w:val="en-GB"/>
        </w:rPr>
      </w:pPr>
    </w:p>
    <w:p w:rsidR="00F76679" w:rsidRPr="005E1103" w:rsidRDefault="00F76679" w:rsidP="00F76679">
      <w:pPr>
        <w:spacing w:line="360" w:lineRule="auto"/>
        <w:jc w:val="both"/>
        <w:rPr>
          <w:rFonts w:cstheme="minorHAnsi"/>
          <w:b/>
          <w:bCs/>
          <w:sz w:val="28"/>
          <w:szCs w:val="28"/>
        </w:rPr>
      </w:pPr>
      <w:r w:rsidRPr="005E1103">
        <w:rPr>
          <w:rFonts w:cstheme="minorHAnsi"/>
          <w:b/>
          <w:bCs/>
          <w:sz w:val="28"/>
          <w:szCs w:val="28"/>
        </w:rPr>
        <w:t>DISCUSIÓN</w:t>
      </w:r>
    </w:p>
    <w:p w:rsidR="00F76679" w:rsidRPr="005E1103" w:rsidRDefault="00F76679" w:rsidP="00F76679">
      <w:pPr>
        <w:spacing w:line="360" w:lineRule="auto"/>
        <w:jc w:val="both"/>
        <w:rPr>
          <w:rFonts w:cstheme="minorHAnsi"/>
          <w:sz w:val="28"/>
          <w:szCs w:val="28"/>
        </w:rPr>
      </w:pPr>
      <w:r w:rsidRPr="005E1103">
        <w:rPr>
          <w:rFonts w:cstheme="minorHAnsi"/>
          <w:sz w:val="28"/>
          <w:szCs w:val="28"/>
        </w:rPr>
        <w:t xml:space="preserve">Lo primero que debemos señalar es que la velocidad lectora media de las personas ciegas con un nivel de titulación igual o superior al bachillerato es de 77 palabras por minuto, mientras que la de las de las personas videntes de iguales niveles de formación es de 175 palabras por minuto, siendo esta diferencia significativa. Estos resultados son coincidentes con la literatura científica anterior, tanto la referida a población española </w:t>
      </w:r>
      <w:r w:rsidRPr="005E1103">
        <w:rPr>
          <w:rFonts w:cstheme="minorHAnsi"/>
          <w:sz w:val="28"/>
          <w:szCs w:val="28"/>
        </w:rPr>
        <w:lastRenderedPageBreak/>
        <w:t>(Ochaita et al., 1988; Simón, 1994) como a población anglosajona (Hill, Long, Douglas, Tobin y Grimley, 2005; Legge, Madison y Mansfield, 1999).</w:t>
      </w:r>
    </w:p>
    <w:p w:rsidR="00F76679" w:rsidRPr="005E1103" w:rsidRDefault="00F76679" w:rsidP="00F76679">
      <w:pPr>
        <w:spacing w:line="360" w:lineRule="auto"/>
        <w:jc w:val="both"/>
        <w:rPr>
          <w:rFonts w:cstheme="minorHAnsi"/>
          <w:sz w:val="28"/>
          <w:szCs w:val="28"/>
        </w:rPr>
      </w:pPr>
      <w:r w:rsidRPr="005E1103">
        <w:rPr>
          <w:rFonts w:cstheme="minorHAnsi"/>
          <w:sz w:val="28"/>
          <w:szCs w:val="28"/>
        </w:rPr>
        <w:t>Esa baja velocidad lectora de las personas ciegas, sin embargo, no afecta a los niveles de comprensión lectora, siendo estos similares a los de las personas videntes. Estos resultados están en línea con los resultados de otros estudios llevados a cabo con niños ciegos de Educación Primaria y Secundaria leyendo en braille (Edmonds y Pring, 2006; González-García, 2016; Tobin y Hill, 2015), así como con los resultados de otros estudios realizados con niños con baja visión (Douglas, Grimley, Hill, Long y Tobin, 2002; Gompel, van Bon y Schreuder, 2004), y evidenciarían que las personas ciegas y las videntes alcanzan niveles de comprensión lectora semejantes, independientemente de que los procesos de decodificación en la lectura en braille y en tinta sean distintos, y aunque la propia naturaleza del sistema braille implique una notable disminución de la velocidad lectora, debida, fundamentalmente, a la naturaleza secuencial y a las restricciones sensoriales de la percepción táctil (Daneman, 1988; Foulke, 1982; Simón, 1994).</w:t>
      </w:r>
    </w:p>
    <w:p w:rsidR="00F76679" w:rsidRPr="005E1103" w:rsidRDefault="00F76679" w:rsidP="00F76679">
      <w:pPr>
        <w:spacing w:line="360" w:lineRule="auto"/>
        <w:jc w:val="both"/>
        <w:rPr>
          <w:rFonts w:cstheme="minorHAnsi"/>
          <w:sz w:val="28"/>
          <w:szCs w:val="28"/>
        </w:rPr>
      </w:pPr>
      <w:r w:rsidRPr="005E1103">
        <w:rPr>
          <w:rFonts w:cstheme="minorHAnsi"/>
          <w:sz w:val="28"/>
          <w:szCs w:val="28"/>
        </w:rPr>
        <w:t>En cuanto a los factores de los que depende la velocidad lectora, nuestros resultados señalan que depende, fundamentalmente, del momento de inicio de la ceguera y del patrón de movimiento de las manos al leer en braille. En esa misma línea apuntan los trabajos de Bertelson, Mousty y D'Alimonte (1985), González-García (2016), Mousty y Bertelson (1985), Simón (1994), Trent y Truan (1997) y Wormsley (1996).</w:t>
      </w:r>
    </w:p>
    <w:p w:rsidR="00F76679" w:rsidRPr="005E1103" w:rsidRDefault="00F76679" w:rsidP="00F76679">
      <w:pPr>
        <w:spacing w:line="360" w:lineRule="auto"/>
        <w:jc w:val="both"/>
        <w:rPr>
          <w:rFonts w:cstheme="minorHAnsi"/>
          <w:sz w:val="28"/>
          <w:szCs w:val="28"/>
        </w:rPr>
      </w:pPr>
      <w:r w:rsidRPr="005E1103">
        <w:rPr>
          <w:rFonts w:cstheme="minorHAnsi"/>
          <w:sz w:val="28"/>
          <w:szCs w:val="28"/>
        </w:rPr>
        <w:t xml:space="preserve">En lo que se refiere a la comprensión lectora, de los resultados alcanzados se desprende que tiene una relación directa únicamente con el patrón de movimiento de las manos al leer en braille, si bien su aportación a los cambios en la varianza es muy escasa. Es interesante destacar que, en etapas educativas anteriores (primaria y secundaria obligatoria), el factor del que más depende la comprensión lectora es del nivel académico (González-García, 2016). Así, cabe suponer que la comprensión lectora, en etapas educativas superiores, depende de otros factores, no analizados, comunes a ciegos y </w:t>
      </w:r>
      <w:r w:rsidRPr="005E1103">
        <w:rPr>
          <w:rFonts w:cstheme="minorHAnsi"/>
          <w:sz w:val="28"/>
          <w:szCs w:val="28"/>
        </w:rPr>
        <w:lastRenderedPageBreak/>
        <w:t>videntes. En este sentido, numerosas investigaciones apuntan a que el principal factor es la capacidad de memoria de trabajo (Cain, Oakhill y Bryant, 2004; Caplan y Waters, 1999; García-Madruga, Elosúa, Gutiérrez-Martínez, Luque y Gárate, 1999; Just y Carpenter, 1992).</w:t>
      </w:r>
    </w:p>
    <w:p w:rsidR="00F76679" w:rsidRPr="005E1103" w:rsidRDefault="00F76679" w:rsidP="00F76679">
      <w:pPr>
        <w:spacing w:line="360" w:lineRule="auto"/>
        <w:jc w:val="both"/>
        <w:rPr>
          <w:rFonts w:cstheme="minorHAnsi"/>
          <w:b/>
          <w:sz w:val="28"/>
          <w:szCs w:val="28"/>
        </w:rPr>
      </w:pPr>
    </w:p>
    <w:p w:rsidR="00F76679" w:rsidRPr="005E1103" w:rsidRDefault="00F76679" w:rsidP="00F76679">
      <w:pPr>
        <w:spacing w:line="360" w:lineRule="auto"/>
        <w:jc w:val="both"/>
        <w:rPr>
          <w:rFonts w:cstheme="minorHAnsi"/>
          <w:b/>
          <w:bCs/>
          <w:sz w:val="28"/>
          <w:szCs w:val="28"/>
        </w:rPr>
      </w:pPr>
      <w:r w:rsidRPr="005E1103">
        <w:rPr>
          <w:rFonts w:cstheme="minorHAnsi"/>
          <w:b/>
          <w:bCs/>
          <w:sz w:val="28"/>
          <w:szCs w:val="28"/>
        </w:rPr>
        <w:t>CONCLUSIONES</w:t>
      </w:r>
    </w:p>
    <w:p w:rsidR="00F76679" w:rsidRPr="005E1103" w:rsidRDefault="00F76679" w:rsidP="00F76679">
      <w:pPr>
        <w:spacing w:line="360" w:lineRule="auto"/>
        <w:jc w:val="both"/>
        <w:rPr>
          <w:rFonts w:cstheme="minorHAnsi"/>
          <w:sz w:val="28"/>
          <w:szCs w:val="28"/>
        </w:rPr>
      </w:pPr>
      <w:r w:rsidRPr="005E1103">
        <w:rPr>
          <w:rFonts w:cstheme="minorHAnsi"/>
          <w:sz w:val="28"/>
          <w:szCs w:val="28"/>
        </w:rPr>
        <w:t>Los titulados en bachillerato y los titulados universitarios que leen en braille lo hacen a una velocidad notablemente inferior a la de sus pares videntes, debido no tanto a factores personales, sino a la propia naturaleza de la lectura en braille. En cambio, sus niveles de comprensión lectora son semejantes, no dependiendo de la vía de acceso a la información. Por ello, se debería evitar que esa baja velocidad lectora les penalizase, por lo que, con el fin de garantizar la igualdad de condiciones, por ejemplo, en los exámenes, deberían contar, según sus preferencias, con tiempo extra lectura (que podría llegar a ser del doble), o se les debería facilitar la información en otros soportes (orales). Ello redundaría, además, en una mejoría de la propia calidad educativa, al garantizar la igualdad de oportunidades.</w:t>
      </w:r>
    </w:p>
    <w:p w:rsidR="00F76679" w:rsidRPr="005E1103" w:rsidRDefault="00F76679" w:rsidP="00F76679">
      <w:pPr>
        <w:spacing w:line="360" w:lineRule="auto"/>
        <w:jc w:val="both"/>
        <w:rPr>
          <w:rFonts w:cstheme="minorHAnsi"/>
          <w:sz w:val="28"/>
          <w:szCs w:val="28"/>
        </w:rPr>
      </w:pPr>
      <w:r w:rsidRPr="005E1103">
        <w:rPr>
          <w:rFonts w:cstheme="minorHAnsi"/>
          <w:sz w:val="28"/>
          <w:szCs w:val="28"/>
        </w:rPr>
        <w:t>Por otro lado, y a la vista de que, en estos niveles educativos, el factor relacionado con la lectura braille que más peso tiene es el patrón de movimiento de las manos al leer en braille, sería de sumo interés que cada persona trabajase en su desarrollo y perfeccionamiento, de cara a conseguir progresos tanto en velocidad como en comprensión lectora.</w:t>
      </w:r>
    </w:p>
    <w:p w:rsidR="00F76679" w:rsidRPr="005E1103" w:rsidRDefault="00F76679" w:rsidP="00F76679">
      <w:pPr>
        <w:spacing w:line="360" w:lineRule="auto"/>
        <w:jc w:val="both"/>
        <w:rPr>
          <w:rFonts w:cstheme="minorHAnsi"/>
          <w:b/>
          <w:bCs/>
          <w:sz w:val="28"/>
          <w:szCs w:val="28"/>
        </w:rPr>
      </w:pPr>
      <w:r w:rsidRPr="005E1103">
        <w:rPr>
          <w:rFonts w:cstheme="minorHAnsi"/>
          <w:b/>
          <w:bCs/>
          <w:sz w:val="28"/>
          <w:szCs w:val="28"/>
        </w:rPr>
        <w:t>REFERENCIAS</w:t>
      </w:r>
    </w:p>
    <w:p w:rsidR="00F76679" w:rsidRPr="005E1103" w:rsidRDefault="00F76679" w:rsidP="00F76679">
      <w:pPr>
        <w:spacing w:line="360" w:lineRule="auto"/>
        <w:ind w:left="284" w:hanging="284"/>
        <w:jc w:val="both"/>
        <w:rPr>
          <w:rFonts w:cstheme="minorHAnsi"/>
          <w:sz w:val="28"/>
          <w:szCs w:val="28"/>
          <w:lang w:val="en-GB"/>
        </w:rPr>
      </w:pPr>
      <w:r w:rsidRPr="005E1103">
        <w:rPr>
          <w:rFonts w:cstheme="minorHAnsi"/>
          <w:sz w:val="28"/>
          <w:szCs w:val="28"/>
        </w:rPr>
        <w:t xml:space="preserve">Bertelson, P.; Mousty, P.; y D'Alimonte, G. (1985). </w:t>
      </w:r>
      <w:r w:rsidRPr="005E1103">
        <w:rPr>
          <w:rFonts w:cstheme="minorHAnsi"/>
          <w:sz w:val="28"/>
          <w:szCs w:val="28"/>
          <w:lang w:val="en-GB"/>
        </w:rPr>
        <w:t xml:space="preserve">A study of braille reading, 2: Patterns of hand activity in one-handed and two-handed reading. </w:t>
      </w:r>
      <w:r w:rsidRPr="005E1103">
        <w:rPr>
          <w:rFonts w:cstheme="minorHAnsi"/>
          <w:i/>
          <w:sz w:val="28"/>
          <w:szCs w:val="28"/>
          <w:lang w:val="en-GB"/>
        </w:rPr>
        <w:t>Quarterly Journal of Experimental Psychology, 37</w:t>
      </w:r>
      <w:r w:rsidR="00E10A46" w:rsidRPr="005E1103">
        <w:rPr>
          <w:rFonts w:cstheme="minorHAnsi"/>
          <w:i/>
          <w:sz w:val="28"/>
          <w:szCs w:val="28"/>
          <w:lang w:val="en-GB"/>
        </w:rPr>
        <w:t>A (</w:t>
      </w:r>
      <w:r w:rsidRPr="005E1103">
        <w:rPr>
          <w:rFonts w:cstheme="minorHAnsi"/>
          <w:i/>
          <w:sz w:val="28"/>
          <w:szCs w:val="28"/>
          <w:lang w:val="en-GB"/>
        </w:rPr>
        <w:t xml:space="preserve">2), </w:t>
      </w:r>
      <w:r w:rsidRPr="005E1103">
        <w:rPr>
          <w:rFonts w:cstheme="minorHAnsi"/>
          <w:sz w:val="28"/>
          <w:szCs w:val="28"/>
          <w:lang w:val="en-GB"/>
        </w:rPr>
        <w:t xml:space="preserve">235-256. </w:t>
      </w:r>
      <w:r w:rsidRPr="005E1103">
        <w:rPr>
          <w:rFonts w:cstheme="minorHAnsi"/>
          <w:sz w:val="28"/>
          <w:szCs w:val="28"/>
          <w:lang w:val="en-US"/>
        </w:rPr>
        <w:t xml:space="preserve">doi </w:t>
      </w:r>
      <w:r w:rsidRPr="005E1103">
        <w:rPr>
          <w:rFonts w:cstheme="minorHAnsi"/>
          <w:sz w:val="28"/>
          <w:szCs w:val="28"/>
          <w:lang w:val="en-GB"/>
        </w:rPr>
        <w:t>10.1080/14640748508400931.</w:t>
      </w:r>
    </w:p>
    <w:p w:rsidR="00F76679" w:rsidRPr="005E1103" w:rsidRDefault="00F76679" w:rsidP="00F76679">
      <w:pPr>
        <w:spacing w:line="360" w:lineRule="auto"/>
        <w:ind w:left="284" w:hanging="284"/>
        <w:jc w:val="both"/>
        <w:rPr>
          <w:rFonts w:cstheme="minorHAnsi"/>
          <w:sz w:val="28"/>
          <w:szCs w:val="28"/>
          <w:lang w:val="en-GB"/>
        </w:rPr>
      </w:pPr>
      <w:r w:rsidRPr="005E1103">
        <w:rPr>
          <w:rFonts w:cstheme="minorHAnsi"/>
          <w:sz w:val="28"/>
          <w:szCs w:val="28"/>
          <w:lang w:val="en-GB"/>
        </w:rPr>
        <w:lastRenderedPageBreak/>
        <w:t xml:space="preserve">Cain, K.; Oakhill, J.V.; y Bryant, P. (2004). Children's reading comprehension ability: Concurrent prediction by working memory, verbal ability, and component skills. </w:t>
      </w:r>
      <w:r w:rsidRPr="005E1103">
        <w:rPr>
          <w:rFonts w:cstheme="minorHAnsi"/>
          <w:i/>
          <w:sz w:val="28"/>
          <w:szCs w:val="28"/>
          <w:lang w:val="en-GB"/>
        </w:rPr>
        <w:t xml:space="preserve">Journal of Educational Psychology, 96(1), </w:t>
      </w:r>
      <w:r w:rsidRPr="005E1103">
        <w:rPr>
          <w:rFonts w:cstheme="minorHAnsi"/>
          <w:sz w:val="28"/>
          <w:szCs w:val="28"/>
          <w:lang w:val="en-GB"/>
        </w:rPr>
        <w:t>31-41. doi 10.1037/0022-0663.96.1.31.</w:t>
      </w:r>
    </w:p>
    <w:p w:rsidR="00F76679" w:rsidRPr="005E1103" w:rsidRDefault="00F76679" w:rsidP="00F76679">
      <w:pPr>
        <w:spacing w:line="360" w:lineRule="auto"/>
        <w:ind w:left="284" w:hanging="284"/>
        <w:jc w:val="both"/>
        <w:rPr>
          <w:rFonts w:cstheme="minorHAnsi"/>
          <w:sz w:val="28"/>
          <w:szCs w:val="28"/>
          <w:lang w:val="en-GB"/>
        </w:rPr>
      </w:pPr>
      <w:r w:rsidRPr="005E1103">
        <w:rPr>
          <w:rFonts w:cstheme="minorHAnsi"/>
          <w:sz w:val="28"/>
          <w:szCs w:val="28"/>
          <w:lang w:val="en-GB"/>
        </w:rPr>
        <w:t xml:space="preserve">Caplan, D.; y Waters, G.S. (1999). Verbal working memory and sentence comprehension. </w:t>
      </w:r>
      <w:r w:rsidRPr="005E1103">
        <w:rPr>
          <w:rFonts w:cstheme="minorHAnsi"/>
          <w:i/>
          <w:sz w:val="28"/>
          <w:szCs w:val="28"/>
          <w:lang w:val="en-GB"/>
        </w:rPr>
        <w:t>Behavioral and Brain Sciences, 22(1),</w:t>
      </w:r>
      <w:r w:rsidRPr="005E1103">
        <w:rPr>
          <w:rFonts w:cstheme="minorHAnsi"/>
          <w:sz w:val="28"/>
          <w:szCs w:val="28"/>
          <w:lang w:val="en-GB"/>
        </w:rPr>
        <w:t xml:space="preserve"> 77-126.</w:t>
      </w:r>
    </w:p>
    <w:p w:rsidR="00F76679" w:rsidRPr="005E1103" w:rsidRDefault="00F76679" w:rsidP="00F76679">
      <w:pPr>
        <w:spacing w:line="360" w:lineRule="auto"/>
        <w:ind w:left="284" w:hanging="284"/>
        <w:jc w:val="both"/>
        <w:rPr>
          <w:rFonts w:cstheme="minorHAnsi"/>
          <w:sz w:val="28"/>
          <w:szCs w:val="28"/>
          <w:lang w:val="en-US"/>
        </w:rPr>
      </w:pPr>
      <w:r w:rsidRPr="005E1103">
        <w:rPr>
          <w:rFonts w:cstheme="minorHAnsi"/>
          <w:sz w:val="28"/>
          <w:szCs w:val="28"/>
          <w:lang w:val="en-GB"/>
        </w:rPr>
        <w:t xml:space="preserve">Daneman, M. (1988). </w:t>
      </w:r>
      <w:r w:rsidRPr="005E1103">
        <w:rPr>
          <w:rFonts w:cstheme="minorHAnsi"/>
          <w:sz w:val="28"/>
          <w:szCs w:val="28"/>
          <w:lang w:val="en-US"/>
        </w:rPr>
        <w:t xml:space="preserve">How reading braille is both like and unlike reading print. </w:t>
      </w:r>
      <w:r w:rsidRPr="005E1103">
        <w:rPr>
          <w:rFonts w:cstheme="minorHAnsi"/>
          <w:i/>
          <w:sz w:val="28"/>
          <w:szCs w:val="28"/>
          <w:lang w:val="en-US"/>
        </w:rPr>
        <w:t>Memory and Cognition, 16(6),</w:t>
      </w:r>
      <w:r w:rsidRPr="005E1103">
        <w:rPr>
          <w:rFonts w:cstheme="minorHAnsi"/>
          <w:sz w:val="28"/>
          <w:szCs w:val="28"/>
          <w:lang w:val="en-US"/>
        </w:rPr>
        <w:t xml:space="preserve"> 497-504. doi 10.13140/RG.2.2.13559.42403.</w:t>
      </w:r>
    </w:p>
    <w:p w:rsidR="00F76679" w:rsidRPr="005E1103" w:rsidRDefault="00F76679" w:rsidP="00F76679">
      <w:pPr>
        <w:spacing w:line="360" w:lineRule="auto"/>
        <w:ind w:left="284" w:hanging="284"/>
        <w:jc w:val="both"/>
        <w:rPr>
          <w:rFonts w:cstheme="minorHAnsi"/>
          <w:sz w:val="28"/>
          <w:szCs w:val="28"/>
          <w:lang w:val="en-GB"/>
        </w:rPr>
      </w:pPr>
      <w:r w:rsidRPr="005E1103">
        <w:rPr>
          <w:rFonts w:cstheme="minorHAnsi"/>
          <w:sz w:val="28"/>
          <w:szCs w:val="28"/>
          <w:lang w:val="en-GB"/>
        </w:rPr>
        <w:t xml:space="preserve">Danks, J.H.; y End, L.J. (1987). Processing strategies for reading and listening. En R. Horowitz y S.J. Samuels (Eds.), </w:t>
      </w:r>
      <w:r w:rsidRPr="005E1103">
        <w:rPr>
          <w:rFonts w:cstheme="minorHAnsi"/>
          <w:i/>
          <w:sz w:val="28"/>
          <w:szCs w:val="28"/>
          <w:lang w:val="en-GB"/>
        </w:rPr>
        <w:t>Comprehending oral and written language</w:t>
      </w:r>
      <w:r w:rsidRPr="005E1103">
        <w:rPr>
          <w:rFonts w:cstheme="minorHAnsi"/>
          <w:sz w:val="28"/>
          <w:szCs w:val="28"/>
          <w:lang w:val="en-GB"/>
        </w:rPr>
        <w:t xml:space="preserve"> (pp. 271-294). San Diego: Academic Press.</w:t>
      </w:r>
    </w:p>
    <w:p w:rsidR="00F76679" w:rsidRPr="005E1103" w:rsidRDefault="00F76679" w:rsidP="00F76679">
      <w:pPr>
        <w:spacing w:line="360" w:lineRule="auto"/>
        <w:ind w:left="284" w:hanging="284"/>
        <w:jc w:val="both"/>
        <w:rPr>
          <w:rFonts w:cstheme="minorHAnsi"/>
          <w:sz w:val="28"/>
          <w:szCs w:val="28"/>
          <w:lang w:val="en-GB"/>
        </w:rPr>
      </w:pPr>
      <w:r w:rsidRPr="005E1103">
        <w:rPr>
          <w:rFonts w:cstheme="minorHAnsi"/>
          <w:sz w:val="28"/>
          <w:szCs w:val="28"/>
          <w:lang w:val="en-GB"/>
        </w:rPr>
        <w:t xml:space="preserve">Douglas, G.; Grimley, M.; Hill, E.W.; Long, R.; y Tobin, M.J. (2002). The use of the NARA for assessing the reading ability of children with low vision. </w:t>
      </w:r>
      <w:r w:rsidRPr="005E1103">
        <w:rPr>
          <w:rFonts w:cstheme="minorHAnsi"/>
          <w:i/>
          <w:sz w:val="28"/>
          <w:szCs w:val="28"/>
          <w:lang w:val="en-GB"/>
        </w:rPr>
        <w:t xml:space="preserve">The British Journal of Visual Impairment, 20(2), </w:t>
      </w:r>
      <w:r w:rsidRPr="005E1103">
        <w:rPr>
          <w:rFonts w:cstheme="minorHAnsi"/>
          <w:sz w:val="28"/>
          <w:szCs w:val="28"/>
          <w:lang w:val="en-GB"/>
        </w:rPr>
        <w:t>68-75. doi 10.1177/026461960202000204.</w:t>
      </w:r>
    </w:p>
    <w:p w:rsidR="00F76679" w:rsidRPr="005E1103" w:rsidRDefault="00F76679" w:rsidP="00F76679">
      <w:pPr>
        <w:spacing w:line="360" w:lineRule="auto"/>
        <w:ind w:left="284" w:hanging="284"/>
        <w:jc w:val="both"/>
        <w:rPr>
          <w:rFonts w:cstheme="minorHAnsi"/>
          <w:sz w:val="28"/>
          <w:szCs w:val="28"/>
          <w:lang w:val="en-GB"/>
        </w:rPr>
      </w:pPr>
      <w:r w:rsidRPr="005E1103">
        <w:rPr>
          <w:rFonts w:cstheme="minorHAnsi"/>
          <w:sz w:val="28"/>
          <w:szCs w:val="28"/>
          <w:lang w:val="en-GB"/>
        </w:rPr>
        <w:t xml:space="preserve">Edmonds, C.J.; y Pring, L. (2006). Generating inferences from written and spoken language: A comparison of children with visual impairment and children with sight. </w:t>
      </w:r>
      <w:r w:rsidRPr="005E1103">
        <w:rPr>
          <w:rFonts w:cstheme="minorHAnsi"/>
          <w:i/>
          <w:sz w:val="28"/>
          <w:szCs w:val="28"/>
          <w:lang w:val="en-GB"/>
        </w:rPr>
        <w:t xml:space="preserve">British Journal of Developmental Psychology, 24(2), </w:t>
      </w:r>
      <w:r w:rsidRPr="005E1103">
        <w:rPr>
          <w:rFonts w:cstheme="minorHAnsi"/>
          <w:sz w:val="28"/>
          <w:szCs w:val="28"/>
          <w:lang w:val="en-GB"/>
        </w:rPr>
        <w:t>337-351. doi 10.1348/026151005X35994.</w:t>
      </w:r>
    </w:p>
    <w:p w:rsidR="00F76679" w:rsidRPr="005E1103" w:rsidRDefault="00F76679" w:rsidP="00F76679">
      <w:pPr>
        <w:spacing w:line="360" w:lineRule="auto"/>
        <w:ind w:left="284" w:hanging="284"/>
        <w:jc w:val="both"/>
        <w:rPr>
          <w:rFonts w:cstheme="minorHAnsi"/>
          <w:sz w:val="28"/>
          <w:szCs w:val="28"/>
        </w:rPr>
      </w:pPr>
      <w:r w:rsidRPr="005E1103">
        <w:rPr>
          <w:rFonts w:cstheme="minorHAnsi"/>
          <w:sz w:val="28"/>
          <w:szCs w:val="28"/>
          <w:lang w:val="en-US"/>
        </w:rPr>
        <w:t xml:space="preserve">Foulke, E. (1982). Reading braille. En W. Schiff y E. Foulke (Eds.), </w:t>
      </w:r>
      <w:r w:rsidRPr="005E1103">
        <w:rPr>
          <w:rFonts w:cstheme="minorHAnsi"/>
          <w:i/>
          <w:sz w:val="28"/>
          <w:szCs w:val="28"/>
          <w:lang w:val="en-US"/>
        </w:rPr>
        <w:t>Tactual perception. A source book</w:t>
      </w:r>
      <w:r w:rsidRPr="005E1103">
        <w:rPr>
          <w:rFonts w:cstheme="minorHAnsi"/>
          <w:sz w:val="28"/>
          <w:szCs w:val="28"/>
          <w:lang w:val="en-US"/>
        </w:rPr>
        <w:t xml:space="preserve"> (pp. 168-208). </w:t>
      </w:r>
      <w:r w:rsidRPr="005E1103">
        <w:rPr>
          <w:rFonts w:cstheme="minorHAnsi"/>
          <w:sz w:val="28"/>
          <w:szCs w:val="28"/>
        </w:rPr>
        <w:t>Cambridge: Cambridge University Press.</w:t>
      </w:r>
    </w:p>
    <w:p w:rsidR="00F76679" w:rsidRPr="005E1103" w:rsidRDefault="00F76679" w:rsidP="00F76679">
      <w:pPr>
        <w:spacing w:line="360" w:lineRule="auto"/>
        <w:ind w:left="284" w:hanging="284"/>
        <w:jc w:val="both"/>
        <w:rPr>
          <w:rFonts w:cstheme="minorHAnsi"/>
          <w:sz w:val="28"/>
          <w:szCs w:val="28"/>
        </w:rPr>
      </w:pPr>
      <w:r w:rsidRPr="005E1103">
        <w:rPr>
          <w:rFonts w:cstheme="minorHAnsi"/>
          <w:sz w:val="28"/>
          <w:szCs w:val="28"/>
        </w:rPr>
        <w:t xml:space="preserve">García-Madruga, J.A.; Elosúa, M.R.; Gutiérrez-Martínez, F.; Luque, J.L.; y Gárate, M. (1999). </w:t>
      </w:r>
      <w:r w:rsidRPr="005E1103">
        <w:rPr>
          <w:rFonts w:cstheme="minorHAnsi"/>
          <w:i/>
          <w:sz w:val="28"/>
          <w:szCs w:val="28"/>
        </w:rPr>
        <w:t>Comprensión lectora y memoria operativa. Aspectos evolutivos e instruccionales.</w:t>
      </w:r>
      <w:r w:rsidRPr="005E1103">
        <w:rPr>
          <w:rFonts w:cstheme="minorHAnsi"/>
          <w:sz w:val="28"/>
          <w:szCs w:val="28"/>
        </w:rPr>
        <w:t xml:space="preserve"> Barcelona: Paidós.</w:t>
      </w:r>
    </w:p>
    <w:p w:rsidR="00F76679" w:rsidRPr="005E1103" w:rsidRDefault="00F76679" w:rsidP="00F76679">
      <w:pPr>
        <w:spacing w:line="360" w:lineRule="auto"/>
        <w:ind w:left="284" w:hanging="284"/>
        <w:jc w:val="both"/>
        <w:rPr>
          <w:rFonts w:cstheme="minorHAnsi"/>
          <w:sz w:val="28"/>
          <w:szCs w:val="28"/>
        </w:rPr>
      </w:pPr>
      <w:r w:rsidRPr="005E1103">
        <w:rPr>
          <w:rFonts w:cstheme="minorHAnsi"/>
          <w:sz w:val="28"/>
          <w:szCs w:val="28"/>
        </w:rPr>
        <w:t xml:space="preserve">Gompel, M.; van Bon, W.H.J.; y Schreuder, R. (2004). </w:t>
      </w:r>
      <w:r w:rsidRPr="005E1103">
        <w:rPr>
          <w:rFonts w:cstheme="minorHAnsi"/>
          <w:sz w:val="28"/>
          <w:szCs w:val="28"/>
          <w:lang w:val="en-GB"/>
        </w:rPr>
        <w:t xml:space="preserve">Reading by children with low vision. </w:t>
      </w:r>
      <w:r w:rsidRPr="005E1103">
        <w:rPr>
          <w:rFonts w:cstheme="minorHAnsi"/>
          <w:i/>
          <w:sz w:val="28"/>
          <w:szCs w:val="28"/>
        </w:rPr>
        <w:t>Journal of Visual Impairment and Blindness, 98(2),</w:t>
      </w:r>
      <w:r w:rsidRPr="005E1103">
        <w:rPr>
          <w:rFonts w:cstheme="minorHAnsi"/>
          <w:sz w:val="28"/>
          <w:szCs w:val="28"/>
        </w:rPr>
        <w:t xml:space="preserve"> 77-89.</w:t>
      </w:r>
    </w:p>
    <w:p w:rsidR="00F76679" w:rsidRPr="005E1103" w:rsidRDefault="00F76679" w:rsidP="00F76679">
      <w:pPr>
        <w:spacing w:line="360" w:lineRule="auto"/>
        <w:ind w:left="284" w:hanging="284"/>
        <w:jc w:val="both"/>
        <w:rPr>
          <w:rFonts w:cstheme="minorHAnsi"/>
          <w:sz w:val="28"/>
          <w:szCs w:val="28"/>
        </w:rPr>
      </w:pPr>
      <w:r w:rsidRPr="005E1103">
        <w:rPr>
          <w:rFonts w:cstheme="minorHAnsi"/>
          <w:sz w:val="28"/>
          <w:szCs w:val="28"/>
        </w:rPr>
        <w:lastRenderedPageBreak/>
        <w:t xml:space="preserve">González-García, L. (2016). </w:t>
      </w:r>
      <w:r w:rsidRPr="005E1103">
        <w:rPr>
          <w:rFonts w:cstheme="minorHAnsi"/>
          <w:i/>
          <w:sz w:val="28"/>
          <w:szCs w:val="28"/>
        </w:rPr>
        <w:t>Comprensión de textos en personas ciegas.</w:t>
      </w:r>
      <w:r w:rsidRPr="005E1103">
        <w:rPr>
          <w:rFonts w:cstheme="minorHAnsi"/>
          <w:sz w:val="28"/>
          <w:szCs w:val="28"/>
        </w:rPr>
        <w:t xml:space="preserve"> (Tesis doctoral inédita</w:t>
      </w:r>
      <w:r w:rsidRPr="005E1103">
        <w:rPr>
          <w:rStyle w:val="Refdenotaalpie"/>
          <w:rFonts w:cstheme="minorHAnsi"/>
          <w:sz w:val="28"/>
          <w:szCs w:val="28"/>
        </w:rPr>
        <w:footnoteReference w:id="14"/>
      </w:r>
      <w:r w:rsidRPr="005E1103">
        <w:rPr>
          <w:rFonts w:cstheme="minorHAnsi"/>
          <w:sz w:val="28"/>
          <w:szCs w:val="28"/>
        </w:rPr>
        <w:t>). Santiago de Compostela, Departamento de Psicología Evolutiva y de la Educación, Universidad de Santiago de Compostela.</w:t>
      </w:r>
    </w:p>
    <w:p w:rsidR="00F76679" w:rsidRPr="005E1103" w:rsidRDefault="00F76679" w:rsidP="00F76679">
      <w:pPr>
        <w:spacing w:line="360" w:lineRule="auto"/>
        <w:ind w:left="284" w:hanging="284"/>
        <w:jc w:val="both"/>
        <w:rPr>
          <w:rFonts w:cstheme="minorHAnsi"/>
          <w:sz w:val="28"/>
          <w:szCs w:val="28"/>
          <w:lang w:val="en-GB"/>
        </w:rPr>
      </w:pPr>
      <w:r w:rsidRPr="005E1103">
        <w:rPr>
          <w:rFonts w:cstheme="minorHAnsi"/>
          <w:sz w:val="28"/>
          <w:szCs w:val="28"/>
          <w:lang w:val="en-GB"/>
        </w:rPr>
        <w:t xml:space="preserve">Hill, E.W.; Long, R.; Douglas, G., Tobin, M.J.; y Grimley, M. (2005). </w:t>
      </w:r>
      <w:r w:rsidRPr="005E1103">
        <w:rPr>
          <w:rFonts w:cstheme="minorHAnsi"/>
          <w:i/>
          <w:sz w:val="28"/>
          <w:szCs w:val="28"/>
          <w:lang w:val="en-GB"/>
        </w:rPr>
        <w:t>Neale Analysis of Reading Ability for readers with low vision.</w:t>
      </w:r>
      <w:r w:rsidRPr="005E1103">
        <w:rPr>
          <w:rFonts w:cstheme="minorHAnsi"/>
          <w:sz w:val="28"/>
          <w:szCs w:val="28"/>
          <w:lang w:val="en-GB"/>
        </w:rPr>
        <w:t xml:space="preserve"> Birmingham: University of Birmingham.</w:t>
      </w:r>
    </w:p>
    <w:p w:rsidR="00F76679" w:rsidRPr="005E1103" w:rsidRDefault="00F76679" w:rsidP="00F76679">
      <w:pPr>
        <w:spacing w:line="360" w:lineRule="auto"/>
        <w:ind w:left="284" w:hanging="284"/>
        <w:jc w:val="both"/>
        <w:rPr>
          <w:rFonts w:cstheme="minorHAnsi"/>
          <w:sz w:val="28"/>
          <w:szCs w:val="28"/>
          <w:lang w:val="en-GB"/>
        </w:rPr>
      </w:pPr>
      <w:r w:rsidRPr="005E1103">
        <w:rPr>
          <w:rFonts w:cstheme="minorHAnsi"/>
          <w:sz w:val="28"/>
          <w:szCs w:val="28"/>
          <w:lang w:val="en-GB"/>
        </w:rPr>
        <w:t xml:space="preserve">Just, M.A.; y Carpenter, P.A. (1992). A capacity theory of comprehension: Individual differences in working memory. </w:t>
      </w:r>
      <w:r w:rsidRPr="005E1103">
        <w:rPr>
          <w:rFonts w:cstheme="minorHAnsi"/>
          <w:i/>
          <w:sz w:val="28"/>
          <w:szCs w:val="28"/>
          <w:lang w:val="en-GB"/>
        </w:rPr>
        <w:t xml:space="preserve">Psychological Review, 99(1), </w:t>
      </w:r>
      <w:r w:rsidRPr="005E1103">
        <w:rPr>
          <w:rFonts w:cstheme="minorHAnsi"/>
          <w:sz w:val="28"/>
          <w:szCs w:val="28"/>
          <w:lang w:val="en-GB"/>
        </w:rPr>
        <w:t>122-149. doi 10.1037/0033-295X.99.1.122.</w:t>
      </w:r>
    </w:p>
    <w:p w:rsidR="00F76679" w:rsidRPr="005E1103" w:rsidRDefault="00F76679" w:rsidP="00F76679">
      <w:pPr>
        <w:spacing w:line="360" w:lineRule="auto"/>
        <w:ind w:left="284" w:hanging="284"/>
        <w:jc w:val="both"/>
        <w:rPr>
          <w:rFonts w:cstheme="minorHAnsi"/>
          <w:sz w:val="28"/>
          <w:szCs w:val="28"/>
          <w:lang w:val="en-US"/>
        </w:rPr>
      </w:pPr>
      <w:r w:rsidRPr="005E1103">
        <w:rPr>
          <w:rFonts w:cstheme="minorHAnsi"/>
          <w:sz w:val="28"/>
          <w:szCs w:val="28"/>
          <w:lang w:val="en-US"/>
        </w:rPr>
        <w:t xml:space="preserve">Kusajima, T. (1974). </w:t>
      </w:r>
      <w:r w:rsidRPr="005E1103">
        <w:rPr>
          <w:rFonts w:cstheme="minorHAnsi"/>
          <w:i/>
          <w:sz w:val="28"/>
          <w:szCs w:val="28"/>
          <w:lang w:val="en-US"/>
        </w:rPr>
        <w:t xml:space="preserve">Visual reading and braille reading. An experimental investigation of the physiology and psychology of visual and tactual reading. </w:t>
      </w:r>
      <w:r w:rsidRPr="005E1103">
        <w:rPr>
          <w:rFonts w:cstheme="minorHAnsi"/>
          <w:sz w:val="28"/>
          <w:szCs w:val="28"/>
          <w:lang w:val="en-US"/>
        </w:rPr>
        <w:t>New York: American Foundation for the Blind Press.</w:t>
      </w:r>
    </w:p>
    <w:p w:rsidR="00F76679" w:rsidRPr="005E1103" w:rsidRDefault="00F76679" w:rsidP="00F76679">
      <w:pPr>
        <w:spacing w:line="360" w:lineRule="auto"/>
        <w:ind w:left="284" w:hanging="284"/>
        <w:jc w:val="both"/>
        <w:rPr>
          <w:rFonts w:cstheme="minorHAnsi"/>
          <w:sz w:val="28"/>
          <w:szCs w:val="28"/>
          <w:lang w:val="en-GB"/>
        </w:rPr>
      </w:pPr>
      <w:r w:rsidRPr="005E1103">
        <w:rPr>
          <w:rFonts w:cstheme="minorHAnsi"/>
          <w:sz w:val="28"/>
          <w:szCs w:val="28"/>
          <w:lang w:val="en-US"/>
        </w:rPr>
        <w:t xml:space="preserve">Legge, G.E.; Madison, C.; y Mansfield, J.S. (1999). Measuring braille reading speed with the MNREAD test. </w:t>
      </w:r>
      <w:r w:rsidRPr="005E1103">
        <w:rPr>
          <w:rFonts w:cstheme="minorHAnsi"/>
          <w:i/>
          <w:sz w:val="28"/>
          <w:szCs w:val="28"/>
          <w:lang w:val="en-GB"/>
        </w:rPr>
        <w:t>Visual Impairment Research, 1(3),</w:t>
      </w:r>
      <w:r w:rsidRPr="005E1103">
        <w:rPr>
          <w:rFonts w:cstheme="minorHAnsi"/>
          <w:sz w:val="28"/>
          <w:szCs w:val="28"/>
          <w:lang w:val="en-GB"/>
        </w:rPr>
        <w:t xml:space="preserve"> 131-145. doi: 10.1076/vimr.1.3.131.4438.</w:t>
      </w:r>
    </w:p>
    <w:p w:rsidR="00F76679" w:rsidRPr="005E1103" w:rsidRDefault="00F76679" w:rsidP="00F76679">
      <w:pPr>
        <w:spacing w:line="360" w:lineRule="auto"/>
        <w:ind w:left="284" w:hanging="284"/>
        <w:jc w:val="both"/>
        <w:rPr>
          <w:rFonts w:cstheme="minorHAnsi"/>
          <w:sz w:val="28"/>
          <w:szCs w:val="28"/>
        </w:rPr>
      </w:pPr>
      <w:r w:rsidRPr="005E1103">
        <w:rPr>
          <w:rFonts w:cstheme="minorHAnsi"/>
          <w:sz w:val="28"/>
          <w:szCs w:val="28"/>
          <w:lang w:val="en-US"/>
        </w:rPr>
        <w:t xml:space="preserve">Mousty, P.; y Bertelson, P. (1985). A study of braille reading, 1: Reading speed as a function of hand usage and context. </w:t>
      </w:r>
      <w:r w:rsidRPr="005E1103">
        <w:rPr>
          <w:rFonts w:cstheme="minorHAnsi"/>
          <w:i/>
          <w:sz w:val="28"/>
          <w:szCs w:val="28"/>
        </w:rPr>
        <w:t>Quarterly Journal of Experimental Psychology, 37A(2),</w:t>
      </w:r>
      <w:r w:rsidRPr="005E1103">
        <w:rPr>
          <w:rFonts w:cstheme="minorHAnsi"/>
          <w:sz w:val="28"/>
          <w:szCs w:val="28"/>
        </w:rPr>
        <w:t xml:space="preserve"> 217-233. doi 10.1080/14640748508400932.</w:t>
      </w:r>
    </w:p>
    <w:p w:rsidR="00F76679" w:rsidRPr="005E1103" w:rsidRDefault="00F76679" w:rsidP="00F76679">
      <w:pPr>
        <w:spacing w:line="360" w:lineRule="auto"/>
        <w:ind w:left="284" w:hanging="284"/>
        <w:jc w:val="both"/>
        <w:rPr>
          <w:rFonts w:cstheme="minorHAnsi"/>
          <w:sz w:val="28"/>
          <w:szCs w:val="28"/>
        </w:rPr>
      </w:pPr>
      <w:r w:rsidRPr="005E1103">
        <w:rPr>
          <w:rFonts w:cstheme="minorHAnsi"/>
          <w:sz w:val="28"/>
          <w:szCs w:val="28"/>
        </w:rPr>
        <w:t xml:space="preserve">Ochaita, E.; Rosa, A.; Huertas, J.A.; Fernández-Lagunilla, E.; Asensio, M.; Pozo, J.I.; y Martínez de Aragón, C. (1988). </w:t>
      </w:r>
      <w:r w:rsidRPr="005E1103">
        <w:rPr>
          <w:rFonts w:cstheme="minorHAnsi"/>
          <w:i/>
          <w:sz w:val="28"/>
          <w:szCs w:val="28"/>
        </w:rPr>
        <w:t xml:space="preserve">Aspectos cognitivos del desarrollo psicológico de los ciegos (II). </w:t>
      </w:r>
      <w:r w:rsidRPr="005E1103">
        <w:rPr>
          <w:rFonts w:cstheme="minorHAnsi"/>
          <w:sz w:val="28"/>
          <w:szCs w:val="28"/>
        </w:rPr>
        <w:t>Madrid: Ministerio de Educación y Ciencia / Centro de Investigación y Documentación Educativa.</w:t>
      </w:r>
    </w:p>
    <w:p w:rsidR="00F76679" w:rsidRPr="005E1103" w:rsidRDefault="00F76679" w:rsidP="00F76679">
      <w:pPr>
        <w:spacing w:line="360" w:lineRule="auto"/>
        <w:ind w:left="284" w:hanging="284"/>
        <w:jc w:val="both"/>
        <w:rPr>
          <w:rFonts w:cstheme="minorHAnsi"/>
          <w:sz w:val="28"/>
          <w:szCs w:val="28"/>
        </w:rPr>
      </w:pPr>
      <w:r w:rsidRPr="005E1103">
        <w:rPr>
          <w:rFonts w:cstheme="minorHAnsi"/>
          <w:sz w:val="28"/>
          <w:szCs w:val="28"/>
        </w:rPr>
        <w:t xml:space="preserve">Ramos, J.L. y Cuetos, F. (1999). </w:t>
      </w:r>
      <w:r w:rsidRPr="005E1103">
        <w:rPr>
          <w:rFonts w:cstheme="minorHAnsi"/>
          <w:i/>
          <w:iCs/>
          <w:sz w:val="28"/>
          <w:szCs w:val="28"/>
        </w:rPr>
        <w:t xml:space="preserve">Batería de evaluación de los procesos lectores en alumnos del tercer ciclo de Educación Primaria y Educación Secundaria Obligatoria - PROLEC-SE. </w:t>
      </w:r>
      <w:r w:rsidRPr="005E1103">
        <w:rPr>
          <w:rFonts w:cstheme="minorHAnsi"/>
          <w:sz w:val="28"/>
          <w:szCs w:val="28"/>
        </w:rPr>
        <w:t>Madrid, TEA Ediciones.</w:t>
      </w:r>
    </w:p>
    <w:p w:rsidR="00F76679" w:rsidRPr="005E1103" w:rsidRDefault="00F76679" w:rsidP="00F76679">
      <w:pPr>
        <w:spacing w:line="360" w:lineRule="auto"/>
        <w:ind w:left="284" w:hanging="284"/>
        <w:jc w:val="both"/>
        <w:rPr>
          <w:rFonts w:cstheme="minorHAnsi"/>
          <w:sz w:val="28"/>
          <w:szCs w:val="28"/>
        </w:rPr>
      </w:pPr>
      <w:r w:rsidRPr="005E1103">
        <w:rPr>
          <w:rFonts w:cstheme="minorHAnsi"/>
          <w:sz w:val="28"/>
          <w:szCs w:val="28"/>
        </w:rPr>
        <w:lastRenderedPageBreak/>
        <w:t xml:space="preserve">Sainz, F.J. (1991). Procesos de lectura y comprensión del lenguaje. En M. Martín y M. Siguán (Eds.), </w:t>
      </w:r>
      <w:r w:rsidRPr="005E1103">
        <w:rPr>
          <w:rFonts w:cstheme="minorHAnsi"/>
          <w:i/>
          <w:sz w:val="28"/>
          <w:szCs w:val="28"/>
        </w:rPr>
        <w:t>Tratado de psicología general. Vol. 6: Comunicación y lenguaje</w:t>
      </w:r>
      <w:r w:rsidRPr="005E1103">
        <w:rPr>
          <w:rFonts w:cstheme="minorHAnsi"/>
          <w:sz w:val="28"/>
          <w:szCs w:val="28"/>
        </w:rPr>
        <w:t xml:space="preserve"> (pp. 641-738). Madrid: Alhambra Universidad.</w:t>
      </w:r>
    </w:p>
    <w:p w:rsidR="00F76679" w:rsidRPr="005E1103" w:rsidRDefault="00F76679" w:rsidP="00F76679">
      <w:pPr>
        <w:spacing w:line="360" w:lineRule="auto"/>
        <w:ind w:left="284" w:hanging="284"/>
        <w:jc w:val="both"/>
        <w:rPr>
          <w:rFonts w:cstheme="minorHAnsi"/>
          <w:sz w:val="28"/>
          <w:szCs w:val="28"/>
        </w:rPr>
      </w:pPr>
      <w:r w:rsidRPr="005E1103">
        <w:rPr>
          <w:rFonts w:cstheme="minorHAnsi"/>
          <w:sz w:val="28"/>
          <w:szCs w:val="28"/>
        </w:rPr>
        <w:t xml:space="preserve">Simón, C. (1994). </w:t>
      </w:r>
      <w:r w:rsidRPr="005E1103">
        <w:rPr>
          <w:rFonts w:cstheme="minorHAnsi"/>
          <w:i/>
          <w:sz w:val="28"/>
          <w:szCs w:val="28"/>
        </w:rPr>
        <w:t>El desarrollo de los procesos básicos en la lectura braille.</w:t>
      </w:r>
      <w:r w:rsidRPr="005E1103">
        <w:rPr>
          <w:rFonts w:cstheme="minorHAnsi"/>
          <w:sz w:val="28"/>
          <w:szCs w:val="28"/>
        </w:rPr>
        <w:t xml:space="preserve"> Madrid: Organización Nacional de Ciegos Españoles.</w:t>
      </w:r>
    </w:p>
    <w:p w:rsidR="00F76679" w:rsidRPr="005E1103" w:rsidRDefault="00F76679" w:rsidP="00F76679">
      <w:pPr>
        <w:spacing w:line="360" w:lineRule="auto"/>
        <w:ind w:left="284" w:hanging="284"/>
        <w:jc w:val="both"/>
        <w:rPr>
          <w:rFonts w:cstheme="minorHAnsi"/>
          <w:sz w:val="28"/>
          <w:szCs w:val="28"/>
          <w:lang w:val="en-US"/>
        </w:rPr>
      </w:pPr>
      <w:r w:rsidRPr="005E1103">
        <w:rPr>
          <w:rFonts w:cstheme="minorHAnsi"/>
          <w:sz w:val="28"/>
          <w:szCs w:val="28"/>
        </w:rPr>
        <w:t xml:space="preserve">Tobin, M.J.; y Hill, E.W. (2015). </w:t>
      </w:r>
      <w:r w:rsidRPr="005E1103">
        <w:rPr>
          <w:rFonts w:cstheme="minorHAnsi"/>
          <w:sz w:val="28"/>
          <w:szCs w:val="28"/>
          <w:lang w:val="en-US"/>
        </w:rPr>
        <w:t xml:space="preserve">Is literacy for blind people under threat? Does braille have a future? </w:t>
      </w:r>
      <w:r w:rsidRPr="005E1103">
        <w:rPr>
          <w:rFonts w:cstheme="minorHAnsi"/>
          <w:i/>
          <w:sz w:val="28"/>
          <w:szCs w:val="28"/>
          <w:lang w:val="en-US"/>
        </w:rPr>
        <w:t>The British Journal of Visual Impairment, 33(3),</w:t>
      </w:r>
      <w:r w:rsidRPr="005E1103">
        <w:rPr>
          <w:rFonts w:cstheme="minorHAnsi"/>
          <w:sz w:val="28"/>
          <w:szCs w:val="28"/>
          <w:lang w:val="en-US"/>
        </w:rPr>
        <w:t xml:space="preserve"> 239-250. doi 10.1177/0264619615591866.</w:t>
      </w:r>
    </w:p>
    <w:p w:rsidR="00F76679" w:rsidRPr="005E1103" w:rsidRDefault="00F76679" w:rsidP="00F76679">
      <w:pPr>
        <w:spacing w:line="360" w:lineRule="auto"/>
        <w:ind w:left="284" w:hanging="284"/>
        <w:jc w:val="both"/>
        <w:rPr>
          <w:rFonts w:cstheme="minorHAnsi"/>
          <w:sz w:val="28"/>
          <w:szCs w:val="28"/>
          <w:lang w:val="en-US"/>
        </w:rPr>
      </w:pPr>
      <w:r w:rsidRPr="005E1103">
        <w:rPr>
          <w:rFonts w:cstheme="minorHAnsi"/>
          <w:sz w:val="28"/>
          <w:szCs w:val="28"/>
        </w:rPr>
        <w:t xml:space="preserve">Trent, S.D.; y Truan, M.B. (1997). </w:t>
      </w:r>
      <w:r w:rsidRPr="005E1103">
        <w:rPr>
          <w:rFonts w:cstheme="minorHAnsi"/>
          <w:sz w:val="28"/>
          <w:szCs w:val="28"/>
          <w:lang w:val="en-US"/>
        </w:rPr>
        <w:t xml:space="preserve">Speed, accuracy and comprehension of adolescent braille readers in a specialized school. </w:t>
      </w:r>
      <w:r w:rsidRPr="005E1103">
        <w:rPr>
          <w:rFonts w:cstheme="minorHAnsi"/>
          <w:i/>
          <w:sz w:val="28"/>
          <w:szCs w:val="28"/>
          <w:lang w:val="en-US"/>
        </w:rPr>
        <w:t>Journal of Visual Impairment and Blindness, 91(5),</w:t>
      </w:r>
      <w:r w:rsidRPr="005E1103">
        <w:rPr>
          <w:rFonts w:cstheme="minorHAnsi"/>
          <w:sz w:val="28"/>
          <w:szCs w:val="28"/>
          <w:lang w:val="en-US"/>
        </w:rPr>
        <w:t xml:space="preserve"> 494-500.</w:t>
      </w:r>
    </w:p>
    <w:p w:rsidR="00F76679" w:rsidRPr="005E1103" w:rsidRDefault="00F76679" w:rsidP="00F76679">
      <w:pPr>
        <w:spacing w:line="360" w:lineRule="auto"/>
        <w:ind w:left="284" w:hanging="284"/>
        <w:jc w:val="both"/>
        <w:rPr>
          <w:rFonts w:cstheme="minorHAnsi"/>
          <w:sz w:val="28"/>
          <w:szCs w:val="28"/>
        </w:rPr>
      </w:pPr>
      <w:r w:rsidRPr="005E1103">
        <w:rPr>
          <w:rFonts w:cstheme="minorHAnsi"/>
          <w:sz w:val="28"/>
          <w:szCs w:val="28"/>
          <w:lang w:val="en-US"/>
        </w:rPr>
        <w:t xml:space="preserve">Wormsley, D.P. (1996). Reading rates of young braille-reading children. </w:t>
      </w:r>
      <w:r w:rsidRPr="005E1103">
        <w:rPr>
          <w:rFonts w:cstheme="minorHAnsi"/>
          <w:i/>
          <w:sz w:val="28"/>
          <w:szCs w:val="28"/>
        </w:rPr>
        <w:t>Journal of Visual Impairment and Blindness, 90(3),</w:t>
      </w:r>
      <w:r w:rsidRPr="005E1103">
        <w:rPr>
          <w:rFonts w:cstheme="minorHAnsi"/>
          <w:sz w:val="28"/>
          <w:szCs w:val="28"/>
        </w:rPr>
        <w:t xml:space="preserve"> 278-282.</w:t>
      </w:r>
    </w:p>
    <w:p w:rsidR="00F76679" w:rsidRPr="005E1103" w:rsidRDefault="00F76679" w:rsidP="00F76679">
      <w:pPr>
        <w:pStyle w:val="Textonotapie"/>
        <w:ind w:left="284" w:hanging="284"/>
        <w:jc w:val="both"/>
        <w:rPr>
          <w:rFonts w:asciiTheme="minorHAnsi" w:hAnsiTheme="minorHAnsi" w:cstheme="minorHAnsi"/>
          <w:sz w:val="28"/>
          <w:szCs w:val="28"/>
        </w:rPr>
      </w:pPr>
      <w:r w:rsidRPr="005E1103">
        <w:rPr>
          <w:rFonts w:asciiTheme="minorHAnsi" w:hAnsiTheme="minorHAnsi" w:cstheme="minorHAnsi"/>
          <w:sz w:val="28"/>
          <w:szCs w:val="28"/>
        </w:rPr>
        <w:t xml:space="preserve">Parcialmente accesible, en forma de artículos, en </w:t>
      </w:r>
      <w:hyperlink r:id="rId51" w:history="1">
        <w:r w:rsidRPr="005E1103">
          <w:rPr>
            <w:rStyle w:val="Hipervnculo"/>
            <w:rFonts w:asciiTheme="minorHAnsi" w:eastAsia="Calibri" w:hAnsiTheme="minorHAnsi" w:cstheme="minorHAnsi"/>
            <w:sz w:val="28"/>
            <w:szCs w:val="28"/>
          </w:rPr>
          <w:t>https://www.researchgate.net/profile/Luis_Gonzalez-Garcia</w:t>
        </w:r>
      </w:hyperlink>
      <w:r w:rsidRPr="005E1103">
        <w:rPr>
          <w:rFonts w:asciiTheme="minorHAnsi" w:hAnsiTheme="minorHAnsi" w:cstheme="minorHAnsi"/>
          <w:sz w:val="28"/>
          <w:szCs w:val="28"/>
        </w:rPr>
        <w:t>.</w:t>
      </w:r>
    </w:p>
    <w:p w:rsidR="00F76679" w:rsidRPr="005E1103" w:rsidRDefault="00F76679">
      <w:pPr>
        <w:rPr>
          <w:rFonts w:eastAsia="Times New Roman" w:cstheme="minorHAnsi"/>
          <w:kern w:val="3"/>
          <w:sz w:val="28"/>
          <w:szCs w:val="28"/>
          <w:lang w:eastAsia="es-ES"/>
        </w:rPr>
      </w:pPr>
      <w:r w:rsidRPr="005E1103">
        <w:rPr>
          <w:rFonts w:cstheme="minorHAnsi"/>
          <w:sz w:val="28"/>
          <w:szCs w:val="28"/>
        </w:rPr>
        <w:br w:type="page"/>
      </w:r>
    </w:p>
    <w:p w:rsidR="00F76679" w:rsidRPr="005E1103" w:rsidRDefault="00F76679" w:rsidP="00F76679">
      <w:pPr>
        <w:spacing w:line="360" w:lineRule="auto"/>
        <w:jc w:val="center"/>
        <w:rPr>
          <w:rFonts w:cstheme="minorHAnsi"/>
          <w:b/>
          <w:sz w:val="28"/>
          <w:szCs w:val="28"/>
        </w:rPr>
      </w:pPr>
      <w:r w:rsidRPr="005E1103">
        <w:rPr>
          <w:rFonts w:cstheme="minorHAnsi"/>
          <w:b/>
          <w:sz w:val="28"/>
          <w:szCs w:val="28"/>
        </w:rPr>
        <w:lastRenderedPageBreak/>
        <w:t>COMUNICACIÓN 11</w:t>
      </w:r>
    </w:p>
    <w:p w:rsidR="00F76679" w:rsidRPr="00E10A46" w:rsidRDefault="00F76679" w:rsidP="00F76679">
      <w:pPr>
        <w:pBdr>
          <w:top w:val="single" w:sz="4" w:space="1" w:color="auto"/>
          <w:left w:val="single" w:sz="4" w:space="4" w:color="auto"/>
          <w:bottom w:val="single" w:sz="4" w:space="1" w:color="auto"/>
          <w:right w:val="single" w:sz="4" w:space="4" w:color="auto"/>
        </w:pBdr>
        <w:jc w:val="center"/>
        <w:rPr>
          <w:rFonts w:cstheme="minorHAnsi"/>
          <w:b/>
          <w:i/>
          <w:sz w:val="28"/>
          <w:szCs w:val="28"/>
        </w:rPr>
      </w:pPr>
      <w:r w:rsidRPr="00E10A46">
        <w:rPr>
          <w:rFonts w:cstheme="minorHAnsi"/>
          <w:b/>
          <w:i/>
          <w:sz w:val="28"/>
          <w:szCs w:val="28"/>
        </w:rPr>
        <w:t>Educación no Formal desde la Universidad: la importancia de la Divulgación Científica Inclusiva</w:t>
      </w:r>
    </w:p>
    <w:p w:rsidR="00F76679" w:rsidRPr="005E1103" w:rsidRDefault="00F76679" w:rsidP="00F76679">
      <w:pPr>
        <w:spacing w:line="360" w:lineRule="auto"/>
        <w:jc w:val="center"/>
        <w:rPr>
          <w:rFonts w:cstheme="minorHAnsi"/>
          <w:b/>
          <w:sz w:val="28"/>
          <w:szCs w:val="28"/>
        </w:rPr>
      </w:pPr>
    </w:p>
    <w:p w:rsidR="00F76679" w:rsidRPr="005E1103" w:rsidRDefault="00F76679" w:rsidP="00F76679">
      <w:pPr>
        <w:spacing w:line="360" w:lineRule="auto"/>
        <w:jc w:val="right"/>
        <w:rPr>
          <w:rFonts w:cstheme="minorHAnsi"/>
          <w:sz w:val="28"/>
          <w:szCs w:val="28"/>
        </w:rPr>
      </w:pPr>
      <w:r w:rsidRPr="005E1103">
        <w:rPr>
          <w:rFonts w:cstheme="minorHAnsi"/>
          <w:sz w:val="28"/>
          <w:szCs w:val="28"/>
        </w:rPr>
        <w:t>Alejandra García-Frank</w:t>
      </w:r>
    </w:p>
    <w:p w:rsidR="00F76679" w:rsidRPr="005E1103" w:rsidRDefault="00F76679" w:rsidP="00F76679">
      <w:pPr>
        <w:spacing w:line="360" w:lineRule="auto"/>
        <w:jc w:val="right"/>
        <w:rPr>
          <w:rFonts w:cstheme="minorHAnsi"/>
          <w:sz w:val="28"/>
          <w:szCs w:val="28"/>
        </w:rPr>
      </w:pPr>
      <w:r w:rsidRPr="005E1103">
        <w:rPr>
          <w:rFonts w:cstheme="minorHAnsi"/>
          <w:sz w:val="28"/>
          <w:szCs w:val="28"/>
        </w:rPr>
        <w:t>Profesora Fac. C.C. Geológicas, Vicepresidenta Ciencia sin Barreras</w:t>
      </w:r>
    </w:p>
    <w:p w:rsidR="00F76679" w:rsidRPr="005E1103" w:rsidRDefault="00F76679" w:rsidP="00F76679">
      <w:pPr>
        <w:spacing w:line="360" w:lineRule="auto"/>
        <w:jc w:val="right"/>
        <w:rPr>
          <w:rFonts w:cstheme="minorHAnsi"/>
          <w:sz w:val="28"/>
          <w:szCs w:val="28"/>
        </w:rPr>
      </w:pPr>
      <w:r w:rsidRPr="005E1103">
        <w:rPr>
          <w:rFonts w:cstheme="minorHAnsi"/>
          <w:sz w:val="28"/>
          <w:szCs w:val="28"/>
        </w:rPr>
        <w:t>Universidad Complutense de Madrid</w:t>
      </w:r>
    </w:p>
    <w:p w:rsidR="00F76679" w:rsidRPr="005E1103" w:rsidRDefault="00F76679" w:rsidP="00F76679">
      <w:pPr>
        <w:spacing w:line="360" w:lineRule="auto"/>
        <w:jc w:val="right"/>
        <w:rPr>
          <w:rFonts w:cstheme="minorHAnsi"/>
          <w:sz w:val="28"/>
          <w:szCs w:val="28"/>
        </w:rPr>
      </w:pPr>
    </w:p>
    <w:p w:rsidR="00F76679" w:rsidRPr="005E1103" w:rsidRDefault="00F76679" w:rsidP="00F76679">
      <w:pPr>
        <w:spacing w:line="360" w:lineRule="auto"/>
        <w:jc w:val="right"/>
        <w:rPr>
          <w:rFonts w:cstheme="minorHAnsi"/>
          <w:sz w:val="28"/>
          <w:szCs w:val="28"/>
        </w:rPr>
      </w:pPr>
      <w:r w:rsidRPr="005E1103">
        <w:rPr>
          <w:rFonts w:cstheme="minorHAnsi"/>
          <w:sz w:val="28"/>
          <w:szCs w:val="28"/>
        </w:rPr>
        <w:t>Mª Luisa Canales Fernández</w:t>
      </w:r>
    </w:p>
    <w:p w:rsidR="00F76679" w:rsidRPr="005E1103" w:rsidRDefault="00F76679" w:rsidP="00F76679">
      <w:pPr>
        <w:spacing w:line="360" w:lineRule="auto"/>
        <w:jc w:val="right"/>
        <w:rPr>
          <w:rFonts w:cstheme="minorHAnsi"/>
          <w:sz w:val="28"/>
          <w:szCs w:val="28"/>
        </w:rPr>
      </w:pPr>
      <w:r w:rsidRPr="005E1103">
        <w:rPr>
          <w:rFonts w:cstheme="minorHAnsi"/>
          <w:sz w:val="28"/>
          <w:szCs w:val="28"/>
        </w:rPr>
        <w:t>Profesora Fac. C.C. Geológicas, Vicedecana de Posgrado y Relaciones Institucionales</w:t>
      </w:r>
    </w:p>
    <w:p w:rsidR="00F76679" w:rsidRPr="005E1103" w:rsidRDefault="00F76679" w:rsidP="00F76679">
      <w:pPr>
        <w:spacing w:line="360" w:lineRule="auto"/>
        <w:jc w:val="right"/>
        <w:rPr>
          <w:rFonts w:cstheme="minorHAnsi"/>
          <w:sz w:val="28"/>
          <w:szCs w:val="28"/>
        </w:rPr>
      </w:pPr>
      <w:r w:rsidRPr="005E1103">
        <w:rPr>
          <w:rFonts w:cstheme="minorHAnsi"/>
          <w:sz w:val="28"/>
          <w:szCs w:val="28"/>
        </w:rPr>
        <w:t>Universidad Complutense de Madrid</w:t>
      </w:r>
    </w:p>
    <w:p w:rsidR="00F76679" w:rsidRPr="005E1103" w:rsidRDefault="00F76679" w:rsidP="00F76679">
      <w:pPr>
        <w:spacing w:line="360" w:lineRule="auto"/>
        <w:jc w:val="right"/>
        <w:rPr>
          <w:rFonts w:cstheme="minorHAnsi"/>
          <w:sz w:val="28"/>
          <w:szCs w:val="28"/>
        </w:rPr>
      </w:pPr>
    </w:p>
    <w:p w:rsidR="00F76679" w:rsidRPr="005E1103" w:rsidRDefault="00F76679" w:rsidP="00F76679">
      <w:pPr>
        <w:spacing w:line="360" w:lineRule="auto"/>
        <w:jc w:val="right"/>
        <w:rPr>
          <w:rFonts w:cstheme="minorHAnsi"/>
          <w:sz w:val="28"/>
          <w:szCs w:val="28"/>
        </w:rPr>
      </w:pPr>
      <w:r w:rsidRPr="005E1103">
        <w:rPr>
          <w:rFonts w:cstheme="minorHAnsi"/>
          <w:sz w:val="28"/>
          <w:szCs w:val="28"/>
        </w:rPr>
        <w:t>Miguel Gomez-Heras</w:t>
      </w:r>
    </w:p>
    <w:p w:rsidR="00F76679" w:rsidRPr="005E1103" w:rsidRDefault="00F76679" w:rsidP="00F76679">
      <w:pPr>
        <w:spacing w:line="360" w:lineRule="auto"/>
        <w:jc w:val="right"/>
        <w:rPr>
          <w:rFonts w:cstheme="minorHAnsi"/>
          <w:sz w:val="28"/>
          <w:szCs w:val="28"/>
        </w:rPr>
      </w:pPr>
      <w:r w:rsidRPr="005E1103">
        <w:rPr>
          <w:rFonts w:cstheme="minorHAnsi"/>
          <w:sz w:val="28"/>
          <w:szCs w:val="28"/>
        </w:rPr>
        <w:t>Investigador CSIC; Presidente Ciencia sin Barreras</w:t>
      </w:r>
    </w:p>
    <w:p w:rsidR="00F76679" w:rsidRPr="005E1103" w:rsidRDefault="00F76679" w:rsidP="00F76679">
      <w:pPr>
        <w:spacing w:line="360" w:lineRule="auto"/>
        <w:jc w:val="right"/>
        <w:rPr>
          <w:rFonts w:cstheme="minorHAnsi"/>
          <w:sz w:val="28"/>
          <w:szCs w:val="28"/>
        </w:rPr>
      </w:pPr>
    </w:p>
    <w:p w:rsidR="00F76679" w:rsidRPr="005E1103" w:rsidRDefault="00F76679" w:rsidP="00F76679">
      <w:pPr>
        <w:spacing w:line="360" w:lineRule="auto"/>
        <w:jc w:val="right"/>
        <w:rPr>
          <w:rFonts w:cstheme="minorHAnsi"/>
          <w:sz w:val="28"/>
          <w:szCs w:val="28"/>
        </w:rPr>
      </w:pPr>
      <w:r w:rsidRPr="005E1103">
        <w:rPr>
          <w:rFonts w:cstheme="minorHAnsi"/>
          <w:sz w:val="28"/>
          <w:szCs w:val="28"/>
        </w:rPr>
        <w:t>Santiago Herrero Domínguez</w:t>
      </w:r>
    </w:p>
    <w:p w:rsidR="00F76679" w:rsidRPr="005E1103" w:rsidRDefault="00F76679" w:rsidP="00F76679">
      <w:pPr>
        <w:spacing w:line="360" w:lineRule="auto"/>
        <w:jc w:val="right"/>
        <w:rPr>
          <w:rFonts w:cstheme="minorHAnsi"/>
          <w:sz w:val="28"/>
          <w:szCs w:val="28"/>
        </w:rPr>
      </w:pPr>
      <w:r w:rsidRPr="005E1103">
        <w:rPr>
          <w:rFonts w:cstheme="minorHAnsi"/>
          <w:sz w:val="28"/>
          <w:szCs w:val="28"/>
        </w:rPr>
        <w:t>Profesor Fac. C.C. Químicas, Vocal Ciencia sin Barreras</w:t>
      </w:r>
    </w:p>
    <w:p w:rsidR="00F76679" w:rsidRPr="005E1103" w:rsidRDefault="00F76679" w:rsidP="00F76679">
      <w:pPr>
        <w:spacing w:line="360" w:lineRule="auto"/>
        <w:jc w:val="right"/>
        <w:rPr>
          <w:rFonts w:cstheme="minorHAnsi"/>
          <w:sz w:val="28"/>
          <w:szCs w:val="28"/>
        </w:rPr>
      </w:pPr>
      <w:r w:rsidRPr="005E1103">
        <w:rPr>
          <w:rFonts w:cstheme="minorHAnsi"/>
          <w:sz w:val="28"/>
          <w:szCs w:val="28"/>
        </w:rPr>
        <w:t>Universidad Complutense de Madrid</w:t>
      </w:r>
    </w:p>
    <w:p w:rsidR="00F76679" w:rsidRPr="005E1103" w:rsidRDefault="00F76679" w:rsidP="00F76679">
      <w:pPr>
        <w:pStyle w:val="Ttulo1"/>
        <w:rPr>
          <w:rFonts w:asciiTheme="minorHAnsi" w:hAnsiTheme="minorHAnsi" w:cstheme="minorHAnsi"/>
        </w:rPr>
      </w:pPr>
      <w:r w:rsidRPr="005E1103">
        <w:rPr>
          <w:rFonts w:asciiTheme="minorHAnsi" w:hAnsiTheme="minorHAnsi" w:cstheme="minorHAnsi"/>
        </w:rPr>
        <w:t>1. Introducción</w:t>
      </w:r>
    </w:p>
    <w:p w:rsidR="00F76679" w:rsidRPr="005E1103" w:rsidRDefault="00F76679" w:rsidP="00F76679">
      <w:pPr>
        <w:spacing w:line="360" w:lineRule="auto"/>
        <w:jc w:val="both"/>
        <w:rPr>
          <w:rFonts w:cstheme="minorHAnsi"/>
          <w:sz w:val="28"/>
          <w:szCs w:val="28"/>
        </w:rPr>
      </w:pPr>
      <w:r w:rsidRPr="005E1103">
        <w:rPr>
          <w:rFonts w:cstheme="minorHAnsi"/>
          <w:sz w:val="28"/>
          <w:szCs w:val="28"/>
        </w:rPr>
        <w:t xml:space="preserve">La Universidad, especialmente la Pública, es una entidad que debe facilitar la transmisión del conocimiento a la sociedad. Dentro de las formas de transmitir este saber, la educación no formal (ENF) constituye un método muy importante y eficaz de llegar a la </w:t>
      </w:r>
      <w:r w:rsidRPr="005E1103">
        <w:rPr>
          <w:rFonts w:cstheme="minorHAnsi"/>
          <w:sz w:val="28"/>
          <w:szCs w:val="28"/>
        </w:rPr>
        <w:lastRenderedPageBreak/>
        <w:t xml:space="preserve">ciudadanía. La UNESCO define como educación no formal “toda actividad organizada y duradera que no se sitúa exactamente en el marco de los sistemas educativos formales integrados por las escuelas primarias, los centros de enseñanza secundaria, las universidades y otras instituciones educativas formalmente establecidas”. Una de las mejores formas de hacer esta labor por parte de las Universidades es mediante la Divulgación Científica Inclusiva, </w:t>
      </w:r>
      <w:r w:rsidR="00C94FAA" w:rsidRPr="005E1103">
        <w:rPr>
          <w:rFonts w:cstheme="minorHAnsi"/>
          <w:sz w:val="28"/>
          <w:szCs w:val="28"/>
        </w:rPr>
        <w:t>que,</w:t>
      </w:r>
      <w:r w:rsidRPr="005E1103">
        <w:rPr>
          <w:rFonts w:cstheme="minorHAnsi"/>
          <w:sz w:val="28"/>
          <w:szCs w:val="28"/>
        </w:rPr>
        <w:t xml:space="preserve"> bajo las premisas del Diseño Universal, permite que el conocimiento científico llegue a muchas más personas que bajo una óptica tradicional. El concepto de Diseño Universal aparece en sus inicios relacionado con los espacios arquitectónicos; fue acuñado por Mace </w:t>
      </w:r>
      <w:r w:rsidRPr="005E1103">
        <w:rPr>
          <w:rFonts w:cstheme="minorHAnsi"/>
          <w:i/>
          <w:sz w:val="28"/>
          <w:szCs w:val="28"/>
        </w:rPr>
        <w:t xml:space="preserve">et al. </w:t>
      </w:r>
      <w:r w:rsidRPr="005E1103">
        <w:rPr>
          <w:rFonts w:cstheme="minorHAnsi"/>
          <w:sz w:val="28"/>
          <w:szCs w:val="28"/>
        </w:rPr>
        <w:t xml:space="preserve">(1996) para describir el tipo de diseño, </w:t>
      </w:r>
      <w:r w:rsidR="00C94FAA" w:rsidRPr="005E1103">
        <w:rPr>
          <w:rFonts w:cstheme="minorHAnsi"/>
          <w:sz w:val="28"/>
          <w:szCs w:val="28"/>
        </w:rPr>
        <w:t>que,</w:t>
      </w:r>
      <w:r w:rsidRPr="005E1103">
        <w:rPr>
          <w:rFonts w:cstheme="minorHAnsi"/>
          <w:sz w:val="28"/>
          <w:szCs w:val="28"/>
        </w:rPr>
        <w:t xml:space="preserve"> desde el inicio, tiene en cuenta las necesidades de acceso del mayor número posible de individuos. Evolucionó hacia el concepto de Diseño Universal para el Aprendizaje (UDL en inglés) creando un nuevo paradigma en la educación tanto en la creación de materiales, como en el diseño curricular.</w:t>
      </w:r>
    </w:p>
    <w:p w:rsidR="00F76679" w:rsidRPr="005E1103" w:rsidRDefault="00F76679" w:rsidP="00F76679">
      <w:pPr>
        <w:spacing w:line="360" w:lineRule="auto"/>
        <w:jc w:val="both"/>
        <w:rPr>
          <w:rFonts w:cstheme="minorHAnsi"/>
          <w:sz w:val="28"/>
          <w:szCs w:val="28"/>
        </w:rPr>
      </w:pPr>
      <w:r w:rsidRPr="005E1103">
        <w:rPr>
          <w:rFonts w:cstheme="minorHAnsi"/>
          <w:sz w:val="28"/>
          <w:szCs w:val="28"/>
        </w:rPr>
        <w:t xml:space="preserve">Por otra parte, cabe destacar el auge del periodismo científico a lo largo de los últimos años, que se manifiesta en un mayor número de noticias con contenidos y descubrimientos científicos, y esto es reflejo de la demanda de la sociedad de ser puesta al día en los avances en la investigación. Pero la ciudadanía también reclama actividades que transciendan la mera información sobre contenidos científicos, y aquí entra en escena la divulgación científica. En esta actividad se deben poner en contexto las conexiones entre público y ciencia dando suficientes puntos de apoyo para que cualquier persona interesada en ello pueda comprender las explicaciones científicas de una forma general. La divulgación no debe temer a los obstáculos, y así lo expresamos desde nuestra asociación, Ciencia sin Barreras, que tiene el objetivo de fomentar la divulgación de la ciencia entre personas con Diversidad Funcional o que no hayan tenido un acceso amplio a contenidos científicos. </w:t>
      </w:r>
    </w:p>
    <w:p w:rsidR="00F76679" w:rsidRPr="005E1103" w:rsidRDefault="00F76679" w:rsidP="00F76679">
      <w:pPr>
        <w:spacing w:line="360" w:lineRule="auto"/>
        <w:jc w:val="both"/>
        <w:rPr>
          <w:rFonts w:cstheme="minorHAnsi"/>
          <w:bCs/>
          <w:sz w:val="28"/>
          <w:szCs w:val="28"/>
        </w:rPr>
      </w:pPr>
      <w:r w:rsidRPr="005E1103">
        <w:rPr>
          <w:rFonts w:cstheme="minorHAnsi"/>
          <w:bCs/>
          <w:sz w:val="28"/>
          <w:szCs w:val="28"/>
        </w:rPr>
        <w:lastRenderedPageBreak/>
        <w:t>El impulso de este nuevo modelo de divulgación pretende contribuir a las metas de la Agenda 2030 para el Desarrollo Sostenible (adoptado el 21 de septiembre 2015 en la Asamblea general de la ONU), donde entre los 17 objetivos planteados se encuentra lograr una inclusión efectiva en la sociedad de las personas con diversidad funcional. También, y ya centrados a corto plazo, se enmarca en las actividades del “Año Internacional del Entendimiento Global”.</w:t>
      </w:r>
    </w:p>
    <w:p w:rsidR="00F76679" w:rsidRPr="005E1103" w:rsidRDefault="00F76679" w:rsidP="00F76679">
      <w:pPr>
        <w:pStyle w:val="Ttulo1"/>
        <w:rPr>
          <w:rFonts w:asciiTheme="minorHAnsi" w:hAnsiTheme="minorHAnsi" w:cstheme="minorHAnsi"/>
        </w:rPr>
      </w:pPr>
      <w:r w:rsidRPr="005E1103">
        <w:rPr>
          <w:rFonts w:asciiTheme="minorHAnsi" w:hAnsiTheme="minorHAnsi" w:cstheme="minorHAnsi"/>
        </w:rPr>
        <w:t>2. Trayectoria</w:t>
      </w:r>
    </w:p>
    <w:p w:rsidR="00F76679" w:rsidRPr="005E1103" w:rsidRDefault="00F76679" w:rsidP="00F76679">
      <w:pPr>
        <w:spacing w:line="360" w:lineRule="auto"/>
        <w:jc w:val="both"/>
        <w:rPr>
          <w:rFonts w:cstheme="minorHAnsi"/>
          <w:sz w:val="28"/>
          <w:szCs w:val="28"/>
        </w:rPr>
      </w:pPr>
      <w:r w:rsidRPr="005E1103">
        <w:rPr>
          <w:rFonts w:cstheme="minorHAnsi"/>
          <w:sz w:val="28"/>
          <w:szCs w:val="28"/>
        </w:rPr>
        <w:t>Gran parte del equipo de la Asociación Ciencia sin Barreras está vinculado con la Universidad (profesores, estudiantes, personal de apoyo y servicios) y todas las acciones divulgativas que se planifican parten de las premisas previamente expuestas. Por ello, los proyectos desarrollados por miembros de la asociación ha recibido una serie de reconocimientos internacionales y nacionales, como las becas “</w:t>
      </w:r>
      <w:r w:rsidRPr="005E1103">
        <w:rPr>
          <w:rFonts w:cstheme="minorHAnsi"/>
          <w:i/>
          <w:sz w:val="28"/>
          <w:szCs w:val="28"/>
        </w:rPr>
        <w:t>Jeremy Willson Charitable Trust &amp; Thomas Jefferson Field Research Fund</w:t>
      </w:r>
      <w:r w:rsidRPr="005E1103">
        <w:rPr>
          <w:rFonts w:cstheme="minorHAnsi"/>
          <w:sz w:val="28"/>
          <w:szCs w:val="28"/>
        </w:rPr>
        <w:t xml:space="preserve">” de la </w:t>
      </w:r>
      <w:r w:rsidRPr="005E1103">
        <w:rPr>
          <w:rFonts w:cstheme="minorHAnsi"/>
          <w:i/>
          <w:sz w:val="28"/>
          <w:szCs w:val="28"/>
        </w:rPr>
        <w:t>Geological Society of London</w:t>
      </w:r>
      <w:r w:rsidRPr="005E1103">
        <w:rPr>
          <w:rFonts w:cstheme="minorHAnsi"/>
          <w:sz w:val="28"/>
          <w:szCs w:val="28"/>
        </w:rPr>
        <w:t xml:space="preserve"> (2015; </w:t>
      </w:r>
      <w:hyperlink r:id="rId52" w:history="1">
        <w:r w:rsidRPr="005E1103">
          <w:rPr>
            <w:rStyle w:val="Hipervnculo"/>
            <w:rFonts w:cstheme="minorHAnsi"/>
            <w:sz w:val="28"/>
            <w:szCs w:val="28"/>
          </w:rPr>
          <w:t>Geological Society of London</w:t>
        </w:r>
      </w:hyperlink>
      <w:r w:rsidRPr="005E1103">
        <w:rPr>
          <w:rFonts w:cstheme="minorHAnsi"/>
          <w:sz w:val="28"/>
          <w:szCs w:val="28"/>
        </w:rPr>
        <w:t>) o la “</w:t>
      </w:r>
      <w:r w:rsidRPr="005E1103">
        <w:rPr>
          <w:rFonts w:cstheme="minorHAnsi"/>
          <w:i/>
          <w:sz w:val="28"/>
          <w:szCs w:val="28"/>
        </w:rPr>
        <w:t>Public Engagement Grant</w:t>
      </w:r>
      <w:r w:rsidRPr="005E1103">
        <w:rPr>
          <w:rFonts w:cstheme="minorHAnsi"/>
          <w:sz w:val="28"/>
          <w:szCs w:val="28"/>
        </w:rPr>
        <w:t xml:space="preserve">” de la Unión Europea de Geociencias (abril 2016; </w:t>
      </w:r>
      <w:hyperlink r:id="rId53" w:history="1">
        <w:r w:rsidRPr="005E1103">
          <w:rPr>
            <w:rStyle w:val="Hipervnculo"/>
            <w:rFonts w:cstheme="minorHAnsi"/>
            <w:sz w:val="28"/>
            <w:szCs w:val="28"/>
          </w:rPr>
          <w:t>Public Engagement Grant</w:t>
        </w:r>
      </w:hyperlink>
      <w:r w:rsidRPr="005E1103">
        <w:rPr>
          <w:rFonts w:cstheme="minorHAnsi"/>
          <w:sz w:val="28"/>
          <w:szCs w:val="28"/>
        </w:rPr>
        <w:t xml:space="preserve">), obtuvo </w:t>
      </w:r>
      <w:r w:rsidRPr="005E1103">
        <w:rPr>
          <w:rFonts w:cstheme="minorHAnsi"/>
          <w:bCs/>
          <w:sz w:val="28"/>
          <w:szCs w:val="28"/>
        </w:rPr>
        <w:t>un premio ENCIENDE 2016 (Enseñanza de las Ciencias en la Didáctica Escolar) de la Conferencia de Sociedades Científicas de España,</w:t>
      </w:r>
      <w:r w:rsidRPr="005E1103">
        <w:rPr>
          <w:rFonts w:cstheme="minorHAnsi"/>
          <w:sz w:val="28"/>
          <w:szCs w:val="28"/>
        </w:rPr>
        <w:t xml:space="preserve"> y ha sido galardonada en 2016 con una nominación internacional, e incluida en el </w:t>
      </w:r>
      <w:r w:rsidRPr="005E1103">
        <w:rPr>
          <w:rFonts w:cstheme="minorHAnsi"/>
          <w:i/>
          <w:sz w:val="28"/>
          <w:szCs w:val="28"/>
        </w:rPr>
        <w:t>Zero Project Report</w:t>
      </w:r>
      <w:r w:rsidRPr="005E1103">
        <w:rPr>
          <w:rFonts w:cstheme="minorHAnsi"/>
          <w:sz w:val="28"/>
          <w:szCs w:val="28"/>
        </w:rPr>
        <w:t xml:space="preserve"> (2016) como una de las 100 prácticas innovadoras presentadas en la Conferencia Anual en la Oficina de Naciones Unidas (Viena, febrero de 2016), en la sesión </w:t>
      </w:r>
      <w:r w:rsidRPr="005E1103">
        <w:rPr>
          <w:rFonts w:cstheme="minorHAnsi"/>
          <w:b/>
          <w:bCs/>
          <w:i/>
          <w:sz w:val="28"/>
          <w:szCs w:val="28"/>
        </w:rPr>
        <w:t>Inclusive universities</w:t>
      </w:r>
      <w:r w:rsidRPr="005E1103">
        <w:rPr>
          <w:rFonts w:cstheme="minorHAnsi"/>
          <w:bCs/>
          <w:sz w:val="28"/>
          <w:szCs w:val="28"/>
        </w:rPr>
        <w:t xml:space="preserve">: </w:t>
      </w:r>
      <w:r w:rsidRPr="005E1103">
        <w:rPr>
          <w:rFonts w:cstheme="minorHAnsi"/>
          <w:i/>
          <w:sz w:val="28"/>
          <w:szCs w:val="28"/>
        </w:rPr>
        <w:t>Innovative Practice</w:t>
      </w:r>
      <w:r w:rsidRPr="005E1103">
        <w:rPr>
          <w:rFonts w:cstheme="minorHAnsi"/>
          <w:sz w:val="28"/>
          <w:szCs w:val="28"/>
        </w:rPr>
        <w:t xml:space="preserve"> 2015: 147;</w:t>
      </w:r>
      <w:r w:rsidRPr="005E1103">
        <w:rPr>
          <w:rFonts w:cstheme="minorHAnsi"/>
          <w:b/>
          <w:sz w:val="28"/>
          <w:szCs w:val="28"/>
        </w:rPr>
        <w:t xml:space="preserve"> </w:t>
      </w:r>
      <w:r w:rsidRPr="005E1103">
        <w:rPr>
          <w:rFonts w:cstheme="minorHAnsi"/>
          <w:i/>
          <w:sz w:val="28"/>
          <w:szCs w:val="28"/>
        </w:rPr>
        <w:t xml:space="preserve">Breaking down barriers to scientific knowledge </w:t>
      </w:r>
      <w:r w:rsidRPr="005E1103">
        <w:rPr>
          <w:rFonts w:cstheme="minorHAnsi"/>
          <w:bCs/>
          <w:sz w:val="28"/>
          <w:szCs w:val="28"/>
        </w:rPr>
        <w:t>(</w:t>
      </w:r>
      <w:hyperlink r:id="rId54" w:history="1">
        <w:r w:rsidRPr="005E1103">
          <w:rPr>
            <w:rStyle w:val="Hipervnculo"/>
            <w:rFonts w:cstheme="minorHAnsi"/>
            <w:bCs/>
            <w:sz w:val="28"/>
            <w:szCs w:val="28"/>
          </w:rPr>
          <w:t>Breaking down Barriers to scientific knowledge</w:t>
        </w:r>
      </w:hyperlink>
      <w:r w:rsidRPr="005E1103">
        <w:rPr>
          <w:rFonts w:cstheme="minorHAnsi"/>
          <w:bCs/>
          <w:sz w:val="28"/>
          <w:szCs w:val="28"/>
        </w:rPr>
        <w:t>).</w:t>
      </w:r>
    </w:p>
    <w:p w:rsidR="00F76679" w:rsidRPr="005E1103" w:rsidRDefault="00F76679" w:rsidP="00F76679">
      <w:pPr>
        <w:pStyle w:val="Ttulo1"/>
        <w:rPr>
          <w:rFonts w:asciiTheme="minorHAnsi" w:hAnsiTheme="minorHAnsi" w:cstheme="minorHAnsi"/>
        </w:rPr>
      </w:pPr>
      <w:r w:rsidRPr="005E1103">
        <w:rPr>
          <w:rFonts w:asciiTheme="minorHAnsi" w:hAnsiTheme="minorHAnsi" w:cstheme="minorHAnsi"/>
        </w:rPr>
        <w:t>3. ¿Cómo incentivar el uso de prácticas inclusivas en la divulgación?</w:t>
      </w:r>
    </w:p>
    <w:p w:rsidR="00F76679" w:rsidRPr="005E1103" w:rsidRDefault="00F76679" w:rsidP="00F76679">
      <w:pPr>
        <w:spacing w:line="360" w:lineRule="auto"/>
        <w:jc w:val="both"/>
        <w:rPr>
          <w:rFonts w:cstheme="minorHAnsi"/>
          <w:sz w:val="28"/>
          <w:szCs w:val="28"/>
        </w:rPr>
      </w:pPr>
      <w:r w:rsidRPr="005E1103">
        <w:rPr>
          <w:rFonts w:cstheme="minorHAnsi"/>
          <w:sz w:val="28"/>
          <w:szCs w:val="28"/>
        </w:rPr>
        <w:t xml:space="preserve">Nos parece crucial concienciar a la sociedad de la importancia de una divulgación científica inclusiva para cumplir realmente con los objetivos de la Agenda 2030 para el Desarrollo Sostenible. Aquí debemos tener en cuenta la siguiente puntualización: el uso de la divulgación para enfatizar el concepto de desarrollo sostenible está muy extendido, </w:t>
      </w:r>
      <w:r w:rsidRPr="005E1103">
        <w:rPr>
          <w:rFonts w:cstheme="minorHAnsi"/>
          <w:sz w:val="28"/>
          <w:szCs w:val="28"/>
        </w:rPr>
        <w:lastRenderedPageBreak/>
        <w:t>pero el rol de la sostenibilidad aplicada a la divulgación científica está aún por ser más aprovechado, sobre todo enfocado a lograr una divulgación inclusiva.</w:t>
      </w:r>
    </w:p>
    <w:p w:rsidR="00F76679" w:rsidRPr="005E1103" w:rsidRDefault="00F76679" w:rsidP="00F76679">
      <w:pPr>
        <w:spacing w:line="360" w:lineRule="auto"/>
        <w:jc w:val="both"/>
        <w:rPr>
          <w:rFonts w:cstheme="minorHAnsi"/>
          <w:b/>
          <w:sz w:val="28"/>
          <w:szCs w:val="28"/>
        </w:rPr>
      </w:pPr>
      <w:r w:rsidRPr="005E1103">
        <w:rPr>
          <w:rFonts w:cstheme="minorHAnsi"/>
          <w:b/>
          <w:sz w:val="28"/>
          <w:szCs w:val="28"/>
        </w:rPr>
        <w:t>3.1. Divulgación, inclusión y sostenibilidad</w:t>
      </w:r>
    </w:p>
    <w:p w:rsidR="00F76679" w:rsidRPr="005E1103" w:rsidRDefault="00F76679" w:rsidP="00F76679">
      <w:pPr>
        <w:spacing w:line="360" w:lineRule="auto"/>
        <w:jc w:val="both"/>
        <w:rPr>
          <w:rFonts w:cstheme="minorHAnsi"/>
          <w:sz w:val="28"/>
          <w:szCs w:val="28"/>
        </w:rPr>
      </w:pPr>
      <w:r w:rsidRPr="005E1103">
        <w:rPr>
          <w:rFonts w:cstheme="minorHAnsi"/>
          <w:sz w:val="28"/>
          <w:szCs w:val="28"/>
        </w:rPr>
        <w:t xml:space="preserve">Beck </w:t>
      </w:r>
      <w:r w:rsidRPr="005E1103">
        <w:rPr>
          <w:rFonts w:cstheme="minorHAnsi"/>
          <w:i/>
          <w:sz w:val="28"/>
          <w:szCs w:val="28"/>
        </w:rPr>
        <w:t>et al.</w:t>
      </w:r>
      <w:r w:rsidRPr="005E1103">
        <w:rPr>
          <w:rFonts w:cstheme="minorHAnsi"/>
          <w:sz w:val="28"/>
          <w:szCs w:val="28"/>
        </w:rPr>
        <w:t xml:space="preserve"> (2014) enfatizan </w:t>
      </w:r>
      <w:r w:rsidR="00C94FAA" w:rsidRPr="005E1103">
        <w:rPr>
          <w:rFonts w:cstheme="minorHAnsi"/>
          <w:sz w:val="28"/>
          <w:szCs w:val="28"/>
        </w:rPr>
        <w:t>que,</w:t>
      </w:r>
      <w:r w:rsidRPr="005E1103">
        <w:rPr>
          <w:rFonts w:cstheme="minorHAnsi"/>
          <w:sz w:val="28"/>
          <w:szCs w:val="28"/>
        </w:rPr>
        <w:t xml:space="preserve"> pese a que existen pocos ejemplos en la literatura sobre el vínculo sostenibilidad y Diseño Universal, cualquier sugerencia de puesta en práctica se revaloriza cuando se acentúa el carácter sostenible de la acción en sí, logrando que la aceptación de llevar a cabo la práctica (realizar el cambio) cobre mayor sentido para los responsables. La inercia a continuar sin cambios es muchas veces el mayor obstáculo para desarrollar cualquier intento de aplicación de medidas enfocadas a la inclusión.</w:t>
      </w:r>
    </w:p>
    <w:p w:rsidR="00F76679" w:rsidRPr="005E1103" w:rsidRDefault="00F76679" w:rsidP="00F76679">
      <w:pPr>
        <w:spacing w:line="360" w:lineRule="auto"/>
        <w:jc w:val="both"/>
        <w:rPr>
          <w:rFonts w:cstheme="minorHAnsi"/>
          <w:sz w:val="28"/>
          <w:szCs w:val="28"/>
        </w:rPr>
      </w:pPr>
      <w:r w:rsidRPr="005E1103">
        <w:rPr>
          <w:rFonts w:cstheme="minorHAnsi"/>
          <w:sz w:val="28"/>
          <w:szCs w:val="28"/>
        </w:rPr>
        <w:t xml:space="preserve">Ejemplos de este tipo de buenas prácticas para la incentivación del profesorado se han aplicado en varios países, entre ellos EEUU, facilitando consejos sobre prácticas educativas que sean sostenibles y que estén enfocadas a erosionar barreras (Beck </w:t>
      </w:r>
      <w:r w:rsidRPr="005E1103">
        <w:rPr>
          <w:rFonts w:cstheme="minorHAnsi"/>
          <w:i/>
          <w:sz w:val="28"/>
          <w:szCs w:val="28"/>
        </w:rPr>
        <w:t>et al</w:t>
      </w:r>
      <w:r w:rsidRPr="005E1103">
        <w:rPr>
          <w:rFonts w:cstheme="minorHAnsi"/>
          <w:sz w:val="28"/>
          <w:szCs w:val="28"/>
        </w:rPr>
        <w:t xml:space="preserve">., 2014) o en Argentina (Lozano </w:t>
      </w:r>
      <w:r w:rsidRPr="005E1103">
        <w:rPr>
          <w:rFonts w:cstheme="minorHAnsi"/>
          <w:i/>
          <w:sz w:val="28"/>
          <w:szCs w:val="28"/>
        </w:rPr>
        <w:t>et al.</w:t>
      </w:r>
      <w:r w:rsidRPr="005E1103">
        <w:rPr>
          <w:rFonts w:cstheme="minorHAnsi"/>
          <w:sz w:val="28"/>
          <w:szCs w:val="28"/>
        </w:rPr>
        <w:t xml:space="preserve">, 2014). Todas estas acciones pretenden poder gestionar de forma eficiente la mentalidad de “no oposición al cambio” de los docentes, y son aplicables a la divulgación y la investigación. El ejemplo de la Universidad Católica de Córdoba (Argentina) es muy acertado, pues persigue la responsabilidad de formar a todos los miembros universitarios en los valores Ciencia, Conciencia y Compromiso. Con ello pretenden la formación de egresados competentes (Docencia) mediante la producción de conocimiento socialmente pertinente (Ciencia) y mediante la proyección social del mismo (Divulgación). Este triángulo que versa sobre la transmisión de conocimiento en el ámbito de la educación universitaria se deberá trabajar en igual medida en todas las universidades, aplicando siempre que sea posible el Diseño Universal para lograr que llegue a todo tipo de público. Un ejemplo de cómo también es susceptible de aplicar este Diseño Universal en investigación es favorecer las publicaciones que cumplan con requisitos de accesibilidad, </w:t>
      </w:r>
      <w:r w:rsidR="00C94FAA" w:rsidRPr="005E1103">
        <w:rPr>
          <w:rFonts w:cstheme="minorHAnsi"/>
          <w:sz w:val="28"/>
          <w:szCs w:val="28"/>
        </w:rPr>
        <w:t>ya que,</w:t>
      </w:r>
      <w:r w:rsidRPr="005E1103">
        <w:rPr>
          <w:rFonts w:cstheme="minorHAnsi"/>
          <w:sz w:val="28"/>
          <w:szCs w:val="28"/>
        </w:rPr>
        <w:t xml:space="preserve"> sin perder rigor </w:t>
      </w:r>
      <w:r w:rsidRPr="005E1103">
        <w:rPr>
          <w:rFonts w:cstheme="minorHAnsi"/>
          <w:sz w:val="28"/>
          <w:szCs w:val="28"/>
        </w:rPr>
        <w:lastRenderedPageBreak/>
        <w:t>científico, las figuras y textos y tablas pueden ser accesibles a toda la comunidad científica.</w:t>
      </w:r>
    </w:p>
    <w:p w:rsidR="00F76679" w:rsidRPr="005E1103" w:rsidRDefault="00F76679" w:rsidP="00F76679">
      <w:pPr>
        <w:spacing w:line="360" w:lineRule="auto"/>
        <w:jc w:val="both"/>
        <w:rPr>
          <w:rFonts w:cstheme="minorHAnsi"/>
          <w:sz w:val="28"/>
          <w:szCs w:val="28"/>
        </w:rPr>
      </w:pPr>
      <w:r w:rsidRPr="005E1103">
        <w:rPr>
          <w:rFonts w:cstheme="minorHAnsi"/>
          <w:sz w:val="28"/>
          <w:szCs w:val="28"/>
        </w:rPr>
        <w:t>Esta sostenibilidad se aplica a las actividades del “Año internacional del Conocimiento Global” ya que las acciones locales acaban teniendo un impacto potencialmente significativo en temas globales. El poder enseñar mediante la divulgación científica que los productos naturales que utilizamos diariamente pueden tener una repercusión en el cambio climático, en la seguridad alimentaria o en los ecosistemas son ejemplos directos de esta relación.</w:t>
      </w:r>
    </w:p>
    <w:p w:rsidR="00F76679" w:rsidRPr="005E1103" w:rsidRDefault="00F76679" w:rsidP="00F76679">
      <w:pPr>
        <w:spacing w:line="360" w:lineRule="auto"/>
        <w:jc w:val="both"/>
        <w:rPr>
          <w:rFonts w:cstheme="minorHAnsi"/>
          <w:b/>
          <w:sz w:val="28"/>
          <w:szCs w:val="28"/>
        </w:rPr>
      </w:pPr>
      <w:r w:rsidRPr="005E1103">
        <w:rPr>
          <w:rFonts w:cstheme="minorHAnsi"/>
          <w:b/>
          <w:sz w:val="28"/>
          <w:szCs w:val="28"/>
        </w:rPr>
        <w:t>3.2. Concienciación y buenas prácticas: el futuro de la Educación no formal inclusiva</w:t>
      </w:r>
    </w:p>
    <w:p w:rsidR="00F76679" w:rsidRPr="005E1103" w:rsidRDefault="00F76679" w:rsidP="00F76679">
      <w:pPr>
        <w:spacing w:line="360" w:lineRule="auto"/>
        <w:jc w:val="both"/>
        <w:rPr>
          <w:rFonts w:cstheme="minorHAnsi"/>
          <w:sz w:val="28"/>
          <w:szCs w:val="28"/>
        </w:rPr>
      </w:pPr>
      <w:r w:rsidRPr="005E1103">
        <w:rPr>
          <w:rFonts w:cstheme="minorHAnsi"/>
          <w:sz w:val="28"/>
          <w:szCs w:val="28"/>
        </w:rPr>
        <w:t>Otro aspecto valioso en relación con una ciencia más inclusiva desde las universidades y centros de investigación, es que recientemente los profesionales de estas sedes comienzan a tener en cuenta a las personas con discapacidad a la hora de diseñar acciones divulgativas, enmarcadas en el ámbito de la educación no formal. Como ejemplo de esto hay que destacar que en los últimos años se valoran más los aspectos de accesibilidad a las personas con movilidad reducida y ha aumentado el número de actividades ofertadas a personas con discapacidad sensorial o intelectual, aunque hay que seguir trabajando para concienciar de la necesidad de hacer un mayor esfuerzo y remarcar el beneficio que supone un diseño de actividades de divulgación accesibles (García-Frank y Gomez-Heras, 2016).</w:t>
      </w:r>
    </w:p>
    <w:p w:rsidR="00F76679" w:rsidRPr="005E1103" w:rsidRDefault="00F76679" w:rsidP="00F76679">
      <w:pPr>
        <w:spacing w:line="360" w:lineRule="auto"/>
        <w:jc w:val="both"/>
        <w:rPr>
          <w:rFonts w:cstheme="minorHAnsi"/>
          <w:sz w:val="28"/>
          <w:szCs w:val="28"/>
        </w:rPr>
      </w:pPr>
      <w:r w:rsidRPr="005E1103">
        <w:rPr>
          <w:rFonts w:cstheme="minorHAnsi"/>
          <w:sz w:val="28"/>
          <w:szCs w:val="28"/>
        </w:rPr>
        <w:t>La asociación Ciencia sin Barreras desarrolla diversas acciones enmarcadas en el concepto de divulgación científica inclusiva. Se siguen tres líneas de trabajo principales que incluyen la organización de actividades de divulgación (talleres, excursiones, charlas), la difusión de los resultados (conferencias, congresos, publicaciones relacionadas con investigación educativa) y la realización actividades de autoformación y de entrenamiento a nuevos voluntarios.</w:t>
      </w:r>
    </w:p>
    <w:p w:rsidR="00F76679" w:rsidRPr="005E1103" w:rsidRDefault="00F76679" w:rsidP="00F76679">
      <w:pPr>
        <w:shd w:val="clear" w:color="auto" w:fill="FFFFFF"/>
        <w:spacing w:after="240" w:line="360" w:lineRule="auto"/>
        <w:jc w:val="both"/>
        <w:rPr>
          <w:rFonts w:cstheme="minorHAnsi"/>
          <w:sz w:val="28"/>
          <w:szCs w:val="28"/>
          <w:lang w:eastAsia="es-ES"/>
        </w:rPr>
      </w:pPr>
      <w:r w:rsidRPr="005E1103">
        <w:rPr>
          <w:rFonts w:cstheme="minorHAnsi"/>
          <w:sz w:val="28"/>
          <w:szCs w:val="28"/>
        </w:rPr>
        <w:lastRenderedPageBreak/>
        <w:t xml:space="preserve">La organización de actividades divulgativas inclusivas comprende diversas actuaciones en función del conocimiento científico que se quiere transmitir y del público asistente. Así, se han impartido clases teórico-prácticas, talleres, salidas de campo o rutas temáticas, todas ellas adaptadas, con la ayuda de profesionales. </w:t>
      </w:r>
      <w:r w:rsidRPr="005E1103">
        <w:rPr>
          <w:rFonts w:cstheme="minorHAnsi"/>
          <w:sz w:val="28"/>
          <w:szCs w:val="28"/>
          <w:lang w:eastAsia="es-ES"/>
        </w:rPr>
        <w:t>El público que ha participado en estas actividades es muy diverso: alumnos y profesores de educación primaria y secundaria obligatoria, alumnos de centros de educación especial, estudiantes y profesores universitarios, colectivos de tercera edad, usuarios y personal de un centro ocupacional, personas con distintas capacidades auditivas y visuales o con sordoceguera, y público general.</w:t>
      </w:r>
    </w:p>
    <w:p w:rsidR="00F76679" w:rsidRPr="005E1103" w:rsidRDefault="00F76679" w:rsidP="00F76679">
      <w:pPr>
        <w:spacing w:line="360" w:lineRule="auto"/>
        <w:jc w:val="both"/>
        <w:rPr>
          <w:rFonts w:cstheme="minorHAnsi"/>
          <w:sz w:val="28"/>
          <w:szCs w:val="28"/>
          <w:lang w:eastAsia="es-ES"/>
        </w:rPr>
      </w:pPr>
      <w:r w:rsidRPr="005E1103">
        <w:rPr>
          <w:rFonts w:cstheme="minorHAnsi"/>
          <w:sz w:val="28"/>
          <w:szCs w:val="28"/>
        </w:rPr>
        <w:t xml:space="preserve">Las experiencias han sido presentadas en </w:t>
      </w:r>
      <w:r w:rsidRPr="005E1103">
        <w:rPr>
          <w:rFonts w:cstheme="minorHAnsi"/>
          <w:sz w:val="28"/>
          <w:szCs w:val="28"/>
          <w:lang w:eastAsia="es-ES"/>
        </w:rPr>
        <w:t xml:space="preserve">congresos nacionales e internacionales (I Congreso Universidad y Discapacidad: Gil </w:t>
      </w:r>
      <w:r w:rsidRPr="005E1103">
        <w:rPr>
          <w:rFonts w:cstheme="minorHAnsi"/>
          <w:i/>
          <w:sz w:val="28"/>
          <w:szCs w:val="28"/>
          <w:lang w:eastAsia="es-ES"/>
        </w:rPr>
        <w:t>et al.</w:t>
      </w:r>
      <w:r w:rsidRPr="005E1103">
        <w:rPr>
          <w:rFonts w:cstheme="minorHAnsi"/>
          <w:sz w:val="28"/>
          <w:szCs w:val="28"/>
          <w:lang w:eastAsia="es-ES"/>
        </w:rPr>
        <w:t xml:space="preserve"> (2012); Scientix 2015: García-Frank 2015a, EJIP 2015: García-Frank y Gomez-Heras, 2015; Hontecillas </w:t>
      </w:r>
      <w:r w:rsidRPr="005E1103">
        <w:rPr>
          <w:rFonts w:cstheme="minorHAnsi"/>
          <w:i/>
          <w:sz w:val="28"/>
          <w:szCs w:val="28"/>
          <w:lang w:eastAsia="es-ES"/>
        </w:rPr>
        <w:t>et al</w:t>
      </w:r>
      <w:r w:rsidRPr="005E1103">
        <w:rPr>
          <w:rFonts w:cstheme="minorHAnsi"/>
          <w:sz w:val="28"/>
          <w:szCs w:val="28"/>
          <w:lang w:eastAsia="es-ES"/>
        </w:rPr>
        <w:t xml:space="preserve">., 2015; Iglesias </w:t>
      </w:r>
      <w:r w:rsidRPr="005E1103">
        <w:rPr>
          <w:rFonts w:cstheme="minorHAnsi"/>
          <w:i/>
          <w:sz w:val="28"/>
          <w:szCs w:val="28"/>
          <w:lang w:eastAsia="es-ES"/>
        </w:rPr>
        <w:t>et al</w:t>
      </w:r>
      <w:r w:rsidRPr="005E1103">
        <w:rPr>
          <w:rFonts w:cstheme="minorHAnsi"/>
          <w:sz w:val="28"/>
          <w:szCs w:val="28"/>
          <w:lang w:eastAsia="es-ES"/>
        </w:rPr>
        <w:t xml:space="preserve">., 2015; IX Congreso Geológico Nacional: Fesharaki </w:t>
      </w:r>
      <w:r w:rsidRPr="005E1103">
        <w:rPr>
          <w:rFonts w:cstheme="minorHAnsi"/>
          <w:i/>
          <w:sz w:val="28"/>
          <w:szCs w:val="28"/>
          <w:lang w:eastAsia="es-ES"/>
        </w:rPr>
        <w:t>et al.</w:t>
      </w:r>
      <w:r w:rsidRPr="005E1103">
        <w:rPr>
          <w:rFonts w:cstheme="minorHAnsi"/>
          <w:sz w:val="28"/>
          <w:szCs w:val="28"/>
          <w:lang w:eastAsia="es-ES"/>
        </w:rPr>
        <w:t xml:space="preserve">, 2016, </w:t>
      </w:r>
      <w:r w:rsidRPr="005E1103">
        <w:rPr>
          <w:rFonts w:cstheme="minorHAnsi"/>
          <w:iCs/>
          <w:sz w:val="28"/>
          <w:szCs w:val="28"/>
          <w:lang w:eastAsia="es-ES"/>
        </w:rPr>
        <w:t xml:space="preserve">XX Bienal de la Real Sociedad Española de Historia Natural: García-Frank </w:t>
      </w:r>
      <w:r w:rsidRPr="005E1103">
        <w:rPr>
          <w:rFonts w:cstheme="minorHAnsi"/>
          <w:i/>
          <w:iCs/>
          <w:sz w:val="28"/>
          <w:szCs w:val="28"/>
          <w:lang w:eastAsia="es-ES"/>
        </w:rPr>
        <w:t>et al.</w:t>
      </w:r>
      <w:r w:rsidRPr="005E1103">
        <w:rPr>
          <w:rFonts w:cstheme="minorHAnsi"/>
          <w:iCs/>
          <w:sz w:val="28"/>
          <w:szCs w:val="28"/>
          <w:lang w:eastAsia="es-ES"/>
        </w:rPr>
        <w:t xml:space="preserve">, 2013, </w:t>
      </w:r>
      <w:r w:rsidRPr="005E1103">
        <w:rPr>
          <w:rFonts w:cstheme="minorHAnsi"/>
          <w:bCs/>
          <w:iCs/>
          <w:sz w:val="28"/>
          <w:szCs w:val="28"/>
          <w:lang w:eastAsia="es-ES"/>
        </w:rPr>
        <w:t>IV Congreso de Docentes de Ciencias: García-Frank 2016</w:t>
      </w:r>
      <w:r w:rsidRPr="005E1103">
        <w:rPr>
          <w:rFonts w:cstheme="minorHAnsi"/>
          <w:sz w:val="28"/>
          <w:szCs w:val="28"/>
          <w:lang w:eastAsia="es-ES"/>
        </w:rPr>
        <w:t xml:space="preserve">), en jornadas de buenas prácticas Universitarias (Muñoz-García </w:t>
      </w:r>
      <w:r w:rsidRPr="005E1103">
        <w:rPr>
          <w:rFonts w:cstheme="minorHAnsi"/>
          <w:i/>
          <w:sz w:val="28"/>
          <w:szCs w:val="28"/>
          <w:lang w:eastAsia="es-ES"/>
        </w:rPr>
        <w:t>et al</w:t>
      </w:r>
      <w:r w:rsidRPr="005E1103">
        <w:rPr>
          <w:rFonts w:cstheme="minorHAnsi"/>
          <w:sz w:val="28"/>
          <w:szCs w:val="28"/>
          <w:lang w:eastAsia="es-ES"/>
        </w:rPr>
        <w:t xml:space="preserve">., 2015a), jornadas de intercambio de experiencias de Profesionales de la Educación (Fernández-Rodríguez </w:t>
      </w:r>
      <w:r w:rsidRPr="005E1103">
        <w:rPr>
          <w:rFonts w:cstheme="minorHAnsi"/>
          <w:i/>
          <w:sz w:val="28"/>
          <w:szCs w:val="28"/>
          <w:lang w:eastAsia="es-ES"/>
        </w:rPr>
        <w:t>et al</w:t>
      </w:r>
      <w:r w:rsidRPr="005E1103">
        <w:rPr>
          <w:rFonts w:cstheme="minorHAnsi"/>
          <w:sz w:val="28"/>
          <w:szCs w:val="28"/>
          <w:lang w:eastAsia="es-ES"/>
        </w:rPr>
        <w:t xml:space="preserve">., 2016) y en concursos internacionales de divulgación científica (Ciencia en Acción: Gomez-Heras </w:t>
      </w:r>
      <w:r w:rsidRPr="005E1103">
        <w:rPr>
          <w:rFonts w:cstheme="minorHAnsi"/>
          <w:i/>
          <w:sz w:val="28"/>
          <w:szCs w:val="28"/>
          <w:lang w:eastAsia="es-ES"/>
        </w:rPr>
        <w:t>et al.</w:t>
      </w:r>
      <w:r w:rsidRPr="005E1103">
        <w:rPr>
          <w:rFonts w:cstheme="minorHAnsi"/>
          <w:sz w:val="28"/>
          <w:szCs w:val="28"/>
          <w:lang w:eastAsia="es-ES"/>
        </w:rPr>
        <w:t xml:space="preserve">, 2014b; González Acebrón </w:t>
      </w:r>
      <w:r w:rsidRPr="005E1103">
        <w:rPr>
          <w:rFonts w:cstheme="minorHAnsi"/>
          <w:i/>
          <w:sz w:val="28"/>
          <w:szCs w:val="28"/>
          <w:lang w:eastAsia="es-ES"/>
        </w:rPr>
        <w:t>et al</w:t>
      </w:r>
      <w:r w:rsidRPr="005E1103">
        <w:rPr>
          <w:rFonts w:cstheme="minorHAnsi"/>
          <w:sz w:val="28"/>
          <w:szCs w:val="28"/>
          <w:lang w:eastAsia="es-ES"/>
        </w:rPr>
        <w:t xml:space="preserve">., 2014). Por otra parte, la información recogida de las experiencias se ha publicado en forma de artículos en revistas científicas (Bautista </w:t>
      </w:r>
      <w:r w:rsidRPr="005E1103">
        <w:rPr>
          <w:rFonts w:cstheme="minorHAnsi"/>
          <w:i/>
          <w:sz w:val="28"/>
          <w:szCs w:val="28"/>
          <w:lang w:eastAsia="es-ES"/>
        </w:rPr>
        <w:t>et al.</w:t>
      </w:r>
      <w:r w:rsidRPr="005E1103">
        <w:rPr>
          <w:rFonts w:cstheme="minorHAnsi"/>
          <w:sz w:val="28"/>
          <w:szCs w:val="28"/>
          <w:lang w:eastAsia="es-ES"/>
        </w:rPr>
        <w:t xml:space="preserve">, 2012; Fesharaki </w:t>
      </w:r>
      <w:r w:rsidRPr="005E1103">
        <w:rPr>
          <w:rFonts w:cstheme="minorHAnsi"/>
          <w:i/>
          <w:sz w:val="28"/>
          <w:szCs w:val="28"/>
          <w:lang w:eastAsia="es-ES"/>
        </w:rPr>
        <w:t>et al.</w:t>
      </w:r>
      <w:r w:rsidRPr="005E1103">
        <w:rPr>
          <w:rFonts w:cstheme="minorHAnsi"/>
          <w:sz w:val="28"/>
          <w:szCs w:val="28"/>
          <w:lang w:eastAsia="es-ES"/>
        </w:rPr>
        <w:t xml:space="preserve">, 2016; García-Frank </w:t>
      </w:r>
      <w:r w:rsidRPr="005E1103">
        <w:rPr>
          <w:rFonts w:cstheme="minorHAnsi"/>
          <w:i/>
          <w:sz w:val="28"/>
          <w:szCs w:val="28"/>
          <w:lang w:eastAsia="es-ES"/>
        </w:rPr>
        <w:t>et al.</w:t>
      </w:r>
      <w:r w:rsidRPr="005E1103">
        <w:rPr>
          <w:rFonts w:cstheme="minorHAnsi"/>
          <w:sz w:val="28"/>
          <w:szCs w:val="28"/>
          <w:lang w:eastAsia="es-ES"/>
        </w:rPr>
        <w:t xml:space="preserve">, </w:t>
      </w:r>
      <w:r w:rsidR="00C94FAA" w:rsidRPr="005E1103">
        <w:rPr>
          <w:rFonts w:cstheme="minorHAnsi"/>
          <w:sz w:val="28"/>
          <w:szCs w:val="28"/>
          <w:lang w:eastAsia="es-ES"/>
        </w:rPr>
        <w:t>2014a, b</w:t>
      </w:r>
      <w:r w:rsidRPr="005E1103">
        <w:rPr>
          <w:rFonts w:cstheme="minorHAnsi"/>
          <w:sz w:val="28"/>
          <w:szCs w:val="28"/>
          <w:lang w:eastAsia="es-ES"/>
        </w:rPr>
        <w:t xml:space="preserve">, 2016; Gomez-Heras </w:t>
      </w:r>
      <w:r w:rsidRPr="005E1103">
        <w:rPr>
          <w:rFonts w:cstheme="minorHAnsi"/>
          <w:i/>
          <w:sz w:val="28"/>
          <w:szCs w:val="28"/>
          <w:lang w:eastAsia="es-ES"/>
        </w:rPr>
        <w:t>et al</w:t>
      </w:r>
      <w:r w:rsidRPr="005E1103">
        <w:rPr>
          <w:rFonts w:cstheme="minorHAnsi"/>
          <w:sz w:val="28"/>
          <w:szCs w:val="28"/>
          <w:lang w:eastAsia="es-ES"/>
        </w:rPr>
        <w:t xml:space="preserve">., 2014a; Herrero-Domínguez </w:t>
      </w:r>
      <w:r w:rsidRPr="005E1103">
        <w:rPr>
          <w:rFonts w:cstheme="minorHAnsi"/>
          <w:i/>
          <w:sz w:val="28"/>
          <w:szCs w:val="28"/>
          <w:lang w:eastAsia="es-ES"/>
        </w:rPr>
        <w:t>et al.,</w:t>
      </w:r>
      <w:r w:rsidRPr="005E1103">
        <w:rPr>
          <w:rFonts w:cstheme="minorHAnsi"/>
          <w:sz w:val="28"/>
          <w:szCs w:val="28"/>
          <w:lang w:eastAsia="es-ES"/>
        </w:rPr>
        <w:t xml:space="preserve"> 2016; López-Acevedo </w:t>
      </w:r>
      <w:r w:rsidRPr="005E1103">
        <w:rPr>
          <w:rFonts w:cstheme="minorHAnsi"/>
          <w:i/>
          <w:sz w:val="28"/>
          <w:szCs w:val="28"/>
          <w:lang w:eastAsia="es-ES"/>
        </w:rPr>
        <w:t>et al.</w:t>
      </w:r>
      <w:r w:rsidRPr="005E1103">
        <w:rPr>
          <w:rFonts w:cstheme="minorHAnsi"/>
          <w:sz w:val="28"/>
          <w:szCs w:val="28"/>
          <w:lang w:eastAsia="es-ES"/>
        </w:rPr>
        <w:t xml:space="preserve"> 2012; Muñoz-García </w:t>
      </w:r>
      <w:r w:rsidRPr="005E1103">
        <w:rPr>
          <w:rFonts w:cstheme="minorHAnsi"/>
          <w:i/>
          <w:sz w:val="28"/>
          <w:szCs w:val="28"/>
          <w:lang w:eastAsia="es-ES"/>
        </w:rPr>
        <w:t>et al.</w:t>
      </w:r>
      <w:r w:rsidRPr="005E1103">
        <w:rPr>
          <w:rFonts w:cstheme="minorHAnsi"/>
          <w:sz w:val="28"/>
          <w:szCs w:val="28"/>
          <w:lang w:eastAsia="es-ES"/>
        </w:rPr>
        <w:t xml:space="preserve">, 2015b) y medios digitales (García-Frank y Gomez-Heras, 2016). </w:t>
      </w:r>
    </w:p>
    <w:p w:rsidR="00F76679" w:rsidRPr="005E1103" w:rsidRDefault="00F76679" w:rsidP="00F76679">
      <w:pPr>
        <w:spacing w:line="360" w:lineRule="auto"/>
        <w:jc w:val="both"/>
        <w:rPr>
          <w:rFonts w:cstheme="minorHAnsi"/>
          <w:sz w:val="28"/>
          <w:szCs w:val="28"/>
          <w:lang w:eastAsia="es-ES"/>
        </w:rPr>
      </w:pPr>
      <w:r w:rsidRPr="005E1103">
        <w:rPr>
          <w:rFonts w:cstheme="minorHAnsi"/>
          <w:sz w:val="28"/>
          <w:szCs w:val="28"/>
          <w:lang w:eastAsia="es-ES"/>
        </w:rPr>
        <w:t xml:space="preserve">Relacionadas con la autoformación, la asociación organizó </w:t>
      </w:r>
      <w:r w:rsidRPr="005E1103">
        <w:rPr>
          <w:rFonts w:cstheme="minorHAnsi"/>
          <w:iCs/>
          <w:sz w:val="28"/>
          <w:szCs w:val="28"/>
          <w:lang w:eastAsia="es-ES"/>
        </w:rPr>
        <w:t>el 3 diciembre de 2015 en la Facultad Ciencias Geológicas UCM</w:t>
      </w:r>
      <w:r w:rsidRPr="005E1103">
        <w:rPr>
          <w:rFonts w:cstheme="minorHAnsi"/>
          <w:sz w:val="28"/>
          <w:szCs w:val="28"/>
          <w:lang w:eastAsia="es-ES"/>
        </w:rPr>
        <w:t xml:space="preserve">la </w:t>
      </w:r>
      <w:r w:rsidRPr="005E1103">
        <w:rPr>
          <w:rFonts w:cstheme="minorHAnsi"/>
          <w:iCs/>
          <w:sz w:val="28"/>
          <w:szCs w:val="28"/>
          <w:lang w:eastAsia="es-ES"/>
        </w:rPr>
        <w:t xml:space="preserve">I Jornada sobre Divulgación Científica Inclusiva </w:t>
      </w:r>
      <w:r w:rsidRPr="005E1103">
        <w:rPr>
          <w:rFonts w:cstheme="minorHAnsi"/>
          <w:sz w:val="28"/>
          <w:szCs w:val="28"/>
          <w:lang w:eastAsia="es-ES"/>
        </w:rPr>
        <w:lastRenderedPageBreak/>
        <w:t xml:space="preserve">(García-Frank, 2015b) y la continuación de esta iniciativa se llevará a cabo en el Instituto de Astrofísica de Andalucía IAA-CSIC (Granada) en 2016. </w:t>
      </w:r>
    </w:p>
    <w:p w:rsidR="00F76679" w:rsidRPr="005E1103" w:rsidRDefault="00F76679" w:rsidP="00F76679">
      <w:pPr>
        <w:spacing w:line="360" w:lineRule="auto"/>
        <w:jc w:val="both"/>
        <w:rPr>
          <w:rFonts w:cstheme="minorHAnsi"/>
          <w:sz w:val="28"/>
          <w:szCs w:val="28"/>
          <w:lang w:eastAsia="es-ES"/>
        </w:rPr>
      </w:pPr>
      <w:r w:rsidRPr="005E1103">
        <w:rPr>
          <w:rFonts w:cstheme="minorHAnsi"/>
          <w:sz w:val="28"/>
          <w:szCs w:val="28"/>
          <w:lang w:eastAsia="es-ES"/>
        </w:rPr>
        <w:t>Parte de los integrantes de la asociación también se han formado para adquirir nuevas habilidades que mejoren la tarea divulgativa, asistiendo tanto a un curso básico de lengua de signos, como a cursos oficiales. Otras actividades de autoformación incluyeron la asistencia a un curso de Periodismo Científico y Divulgación de la Ciencia convocado por el Vicerrectorado de Transferencia del Conocimiento y Emprendimiento (UCM). La labor relacionada con la formación a personas ajenas a la asociación ha consistido en la organización-participación de tertulias y mesas redondas (</w:t>
      </w:r>
      <w:r w:rsidRPr="005E1103">
        <w:rPr>
          <w:rFonts w:cstheme="minorHAnsi"/>
          <w:bCs/>
          <w:sz w:val="28"/>
          <w:szCs w:val="28"/>
          <w:lang w:eastAsia="es-ES"/>
        </w:rPr>
        <w:t>Tertulia participativa “Divulgación científica sin exclusiones” con dos mesas redondas: “La necesidad de experiencias innovadoras en la atención a la discapacidad: Orientaciones prácticas” y “Experiencias previas en divulgación: La opinión de los participantes” en 2013; y posteriormente, en 2015</w:t>
      </w:r>
      <w:r w:rsidRPr="005E1103">
        <w:rPr>
          <w:rFonts w:cstheme="minorHAnsi"/>
          <w:bCs/>
          <w:sz w:val="28"/>
          <w:szCs w:val="28"/>
        </w:rPr>
        <w:t>“Estrategias de Divulgación de la Geología a TODA la sociedad desde el punto de vista de ONG y Empresa”</w:t>
      </w:r>
      <w:r w:rsidRPr="005E1103">
        <w:rPr>
          <w:rFonts w:cstheme="minorHAnsi"/>
          <w:sz w:val="28"/>
          <w:szCs w:val="28"/>
          <w:lang w:eastAsia="es-ES"/>
        </w:rPr>
        <w:t xml:space="preserve"> en la XV Semana de la Ciencia).</w:t>
      </w:r>
    </w:p>
    <w:p w:rsidR="00F76679" w:rsidRPr="005E1103" w:rsidRDefault="00F76679" w:rsidP="00F76679">
      <w:pPr>
        <w:pStyle w:val="Ttulo1"/>
        <w:rPr>
          <w:rFonts w:asciiTheme="minorHAnsi" w:hAnsiTheme="minorHAnsi" w:cstheme="minorHAnsi"/>
        </w:rPr>
      </w:pPr>
      <w:r w:rsidRPr="005E1103">
        <w:rPr>
          <w:rFonts w:asciiTheme="minorHAnsi" w:hAnsiTheme="minorHAnsi" w:cstheme="minorHAnsi"/>
        </w:rPr>
        <w:t>4. Reflexiones finales</w:t>
      </w:r>
    </w:p>
    <w:p w:rsidR="00F76679" w:rsidRPr="005E1103" w:rsidRDefault="00F76679" w:rsidP="00F76679">
      <w:pPr>
        <w:shd w:val="clear" w:color="auto" w:fill="FFFFFF"/>
        <w:spacing w:after="240" w:line="360" w:lineRule="auto"/>
        <w:jc w:val="both"/>
        <w:rPr>
          <w:rFonts w:cstheme="minorHAnsi"/>
          <w:bCs/>
          <w:sz w:val="28"/>
          <w:szCs w:val="28"/>
        </w:rPr>
      </w:pPr>
      <w:r w:rsidRPr="005E1103">
        <w:rPr>
          <w:rFonts w:cstheme="minorHAnsi"/>
          <w:bCs/>
          <w:sz w:val="28"/>
          <w:szCs w:val="28"/>
        </w:rPr>
        <w:t xml:space="preserve">Tras casi un lustro de experiencia en divulgación científica inclusiva, los docentes e investigadores responsables de estas iniciativas con la ayuda de expertos en psicología, pedagogía y educación especial, y mediante aprendizaje progresivo, hemos comprobado que determinadas metodologías de actuación llevan a obtener resultados favorables en la adquisición de numerosos conceptos y competencias por parte de los participantes. Nuestras acciones, basadas en un modelo de divulgación más inclusivo, persiguen a corto plazo consolidar actitudes acordes con la ideología del “Año Internacional del Entendimiento Global” (2016) y a largo plazo con el espíritu de la Agenda 2030 para el Desarrollo Sostenible ya que algunasde nuestras actividades pueden servir de germen e inspiración como experiencias piloto para actuaciones y programas dentro del sistema educativo formal. Perseguimos que desde la Universidad no se tenga miedo a este </w:t>
      </w:r>
      <w:r w:rsidRPr="005E1103">
        <w:rPr>
          <w:rFonts w:cstheme="minorHAnsi"/>
          <w:bCs/>
          <w:sz w:val="28"/>
          <w:szCs w:val="28"/>
        </w:rPr>
        <w:lastRenderedPageBreak/>
        <w:t>cambio de actitud, que no solo es aplicable a la Divulgación (educación no formal), sino por supuesto a la Docencia y a la Investigación. Nosotros optamos por enfatizar la primera, ya que históricamente es la que ha sufrido más restricciones a la hora de adaptarse a los estándares de accesibilidad universal.</w:t>
      </w:r>
    </w:p>
    <w:p w:rsidR="00F76679" w:rsidRPr="005E1103" w:rsidRDefault="00F76679" w:rsidP="00F76679">
      <w:pPr>
        <w:spacing w:line="360" w:lineRule="auto"/>
        <w:jc w:val="both"/>
        <w:rPr>
          <w:rFonts w:cstheme="minorHAnsi"/>
          <w:sz w:val="28"/>
          <w:szCs w:val="28"/>
        </w:rPr>
      </w:pPr>
      <w:r w:rsidRPr="005E1103">
        <w:rPr>
          <w:rFonts w:cstheme="minorHAnsi"/>
          <w:b/>
          <w:sz w:val="28"/>
          <w:szCs w:val="28"/>
        </w:rPr>
        <w:t>Agradecimientos</w:t>
      </w:r>
      <w:r w:rsidRPr="005E1103">
        <w:rPr>
          <w:rFonts w:cstheme="minorHAnsi"/>
          <w:sz w:val="28"/>
          <w:szCs w:val="28"/>
        </w:rPr>
        <w:t xml:space="preserve">: Este trabajo ha sido realizado con la colaboración de la asociación Ciencia sin Barreas, el Proyecto INNOVA-DOCENCIA nº 73 (2016-17), </w:t>
      </w:r>
      <w:r w:rsidR="00C94FAA" w:rsidRPr="005E1103">
        <w:rPr>
          <w:rFonts w:cstheme="minorHAnsi"/>
          <w:sz w:val="28"/>
          <w:szCs w:val="28"/>
        </w:rPr>
        <w:t>I. amAble</w:t>
      </w:r>
      <w:r w:rsidRPr="005E1103">
        <w:rPr>
          <w:rFonts w:cstheme="minorHAnsi"/>
          <w:sz w:val="28"/>
          <w:szCs w:val="28"/>
        </w:rPr>
        <w:t>: la ciencia (química) al alcance de toda la sociedad (UCM) y ha sido financiado en el marco del Proyecto INNOVA-DOCENCIA nº 2 (2016-17), Geodivulgar: Geología y Sociedad, de la UCM y la Sección Territorial de Madrid de la Real Sociedad Española de Química. Cuenta con el apoyo del CGL2015-66604-R (MINECO/FEDER).</w:t>
      </w:r>
    </w:p>
    <w:p w:rsidR="00F76679" w:rsidRPr="005E1103" w:rsidRDefault="00F76679" w:rsidP="00F76679">
      <w:pPr>
        <w:pStyle w:val="Ttulo1"/>
        <w:rPr>
          <w:rFonts w:asciiTheme="minorHAnsi" w:hAnsiTheme="minorHAnsi" w:cstheme="minorHAnsi"/>
        </w:rPr>
      </w:pPr>
      <w:r w:rsidRPr="005E1103">
        <w:rPr>
          <w:rFonts w:asciiTheme="minorHAnsi" w:hAnsiTheme="minorHAnsi" w:cstheme="minorHAnsi"/>
        </w:rPr>
        <w:t>Referencias bibliográficas</w:t>
      </w:r>
    </w:p>
    <w:p w:rsidR="00F76679" w:rsidRPr="005E1103" w:rsidRDefault="00F76679" w:rsidP="00F76679">
      <w:pPr>
        <w:spacing w:after="120" w:line="360" w:lineRule="auto"/>
        <w:jc w:val="both"/>
        <w:rPr>
          <w:rFonts w:cstheme="minorHAnsi"/>
          <w:sz w:val="28"/>
          <w:szCs w:val="28"/>
          <w:lang w:val="en-US"/>
        </w:rPr>
      </w:pPr>
      <w:r w:rsidRPr="005E1103">
        <w:rPr>
          <w:rFonts w:cstheme="minorHAnsi"/>
          <w:sz w:val="28"/>
          <w:szCs w:val="28"/>
        </w:rPr>
        <w:t xml:space="preserve">Bautista S., Drndarevic B., Hervás R., Saggion H., Gervás P., «Análisis de la Simplificación de Expresiones Numéricas en </w:t>
      </w:r>
      <w:r w:rsidR="00C94FAA" w:rsidRPr="005E1103">
        <w:rPr>
          <w:rFonts w:cstheme="minorHAnsi"/>
          <w:sz w:val="28"/>
          <w:szCs w:val="28"/>
        </w:rPr>
        <w:t>español</w:t>
      </w:r>
      <w:r w:rsidRPr="005E1103">
        <w:rPr>
          <w:rFonts w:cstheme="minorHAnsi"/>
          <w:sz w:val="28"/>
          <w:szCs w:val="28"/>
        </w:rPr>
        <w:t xml:space="preserve"> mediante un Estudio Empírico», </w:t>
      </w:r>
      <w:r w:rsidRPr="005E1103">
        <w:rPr>
          <w:rFonts w:cstheme="minorHAnsi"/>
          <w:i/>
          <w:sz w:val="28"/>
          <w:szCs w:val="28"/>
        </w:rPr>
        <w:t>Linguamática,</w:t>
      </w:r>
      <w:r w:rsidRPr="005E1103">
        <w:rPr>
          <w:rFonts w:cstheme="minorHAnsi"/>
          <w:sz w:val="28"/>
          <w:szCs w:val="28"/>
        </w:rPr>
        <w:t xml:space="preserve"> 4(2) (2012), págs. </w:t>
      </w:r>
      <w:r w:rsidRPr="005E1103">
        <w:rPr>
          <w:rFonts w:cstheme="minorHAnsi"/>
          <w:sz w:val="28"/>
          <w:szCs w:val="28"/>
          <w:lang w:val="en-US"/>
        </w:rPr>
        <w:t>27-41.</w:t>
      </w:r>
    </w:p>
    <w:p w:rsidR="00F76679" w:rsidRPr="005E1103" w:rsidRDefault="00F76679" w:rsidP="00F76679">
      <w:pPr>
        <w:spacing w:after="120" w:line="360" w:lineRule="auto"/>
        <w:jc w:val="both"/>
        <w:rPr>
          <w:rFonts w:cstheme="minorHAnsi"/>
          <w:sz w:val="28"/>
          <w:szCs w:val="28"/>
        </w:rPr>
      </w:pPr>
      <w:r w:rsidRPr="005E1103">
        <w:rPr>
          <w:rFonts w:cstheme="minorHAnsi"/>
          <w:sz w:val="28"/>
          <w:szCs w:val="28"/>
          <w:lang w:val="en-US"/>
        </w:rPr>
        <w:t xml:space="preserve">Beck, T., Diaz del Castillo, P., Fovet, F., Mole, H. y Noga, B., «Applying Universal Design to disability service provision: outcome analysis of a UD audit», </w:t>
      </w:r>
      <w:r w:rsidRPr="005E1103">
        <w:rPr>
          <w:rFonts w:cstheme="minorHAnsi"/>
          <w:i/>
          <w:sz w:val="28"/>
          <w:szCs w:val="28"/>
          <w:lang w:val="en-US"/>
        </w:rPr>
        <w:t>Journal of Post-</w:t>
      </w:r>
      <w:r w:rsidR="00C94FAA" w:rsidRPr="005E1103">
        <w:rPr>
          <w:rFonts w:cstheme="minorHAnsi"/>
          <w:i/>
          <w:sz w:val="28"/>
          <w:szCs w:val="28"/>
          <w:lang w:val="en-US"/>
        </w:rPr>
        <w:t>Secondary</w:t>
      </w:r>
      <w:r w:rsidRPr="005E1103">
        <w:rPr>
          <w:rFonts w:cstheme="minorHAnsi"/>
          <w:i/>
          <w:sz w:val="28"/>
          <w:szCs w:val="28"/>
          <w:lang w:val="en-US"/>
        </w:rPr>
        <w:t xml:space="preserve"> Education and Disability</w:t>
      </w:r>
      <w:r w:rsidRPr="005E1103">
        <w:rPr>
          <w:rFonts w:cstheme="minorHAnsi"/>
          <w:sz w:val="28"/>
          <w:szCs w:val="28"/>
          <w:lang w:val="en-US"/>
        </w:rPr>
        <w:t xml:space="preserve">, 27(2), (2014), págs. </w:t>
      </w:r>
      <w:r w:rsidRPr="005E1103">
        <w:rPr>
          <w:rFonts w:cstheme="minorHAnsi"/>
          <w:sz w:val="28"/>
          <w:szCs w:val="28"/>
        </w:rPr>
        <w:t>209-222.</w:t>
      </w:r>
    </w:p>
    <w:p w:rsidR="00F76679" w:rsidRPr="005E1103" w:rsidRDefault="00F76679" w:rsidP="00F76679">
      <w:pPr>
        <w:spacing w:after="120" w:line="360" w:lineRule="auto"/>
        <w:rPr>
          <w:rFonts w:cstheme="minorHAnsi"/>
          <w:sz w:val="28"/>
          <w:szCs w:val="28"/>
          <w:lang w:val="en-US"/>
        </w:rPr>
      </w:pPr>
      <w:r w:rsidRPr="005E1103">
        <w:rPr>
          <w:rFonts w:cstheme="minorHAnsi"/>
          <w:sz w:val="28"/>
          <w:szCs w:val="28"/>
        </w:rPr>
        <w:t xml:space="preserve">Fernández Rodríguez, J.M., Gibaja Jiménez, M., Alonso Martínez, A., Jiménez de la Hoz, M.C., López Pérez, A.M., Herrero Domínguez, S., Perles Hernáez, J., «ConCiencia Inclusiva», en </w:t>
      </w:r>
      <w:r w:rsidRPr="005E1103">
        <w:rPr>
          <w:rFonts w:cstheme="minorHAnsi"/>
          <w:i/>
          <w:sz w:val="28"/>
          <w:szCs w:val="28"/>
        </w:rPr>
        <w:t>XII Jornadas de Intercambio de Experiencias Profesionales de la Educación Especial Más Juntos, Más Especiales</w:t>
      </w:r>
      <w:r w:rsidRPr="005E1103">
        <w:rPr>
          <w:rFonts w:cstheme="minorHAnsi"/>
          <w:sz w:val="28"/>
          <w:szCs w:val="28"/>
        </w:rPr>
        <w:t xml:space="preserve">. </w:t>
      </w:r>
      <w:r w:rsidRPr="005E1103">
        <w:rPr>
          <w:rFonts w:cstheme="minorHAnsi"/>
          <w:sz w:val="28"/>
          <w:szCs w:val="28"/>
          <w:lang w:val="en-US"/>
        </w:rPr>
        <w:t>(2016). Web: http://roble.pntic.mec.es/mlia0003/masjuntosmasespeciales/jornadas_marcos.html</w:t>
      </w:r>
    </w:p>
    <w:p w:rsidR="00F76679" w:rsidRPr="005E1103" w:rsidRDefault="00F76679" w:rsidP="00F76679">
      <w:pPr>
        <w:spacing w:after="120" w:line="360" w:lineRule="auto"/>
        <w:rPr>
          <w:rFonts w:cstheme="minorHAnsi"/>
          <w:sz w:val="28"/>
          <w:szCs w:val="28"/>
        </w:rPr>
      </w:pPr>
      <w:r w:rsidRPr="005E1103">
        <w:rPr>
          <w:rFonts w:cstheme="minorHAnsi"/>
          <w:sz w:val="28"/>
          <w:szCs w:val="28"/>
        </w:rPr>
        <w:t xml:space="preserve">Fesharaki, O., García-Frank, A., Iglesias Álvarez, N., Gomez-Heras, M., Martín-Perea, D. y Rico, R. «Diseño universal y materiales multisensoriales en las actividades de divulgación </w:t>
      </w:r>
      <w:r w:rsidRPr="005E1103">
        <w:rPr>
          <w:rFonts w:cstheme="minorHAnsi"/>
          <w:sz w:val="28"/>
          <w:szCs w:val="28"/>
        </w:rPr>
        <w:lastRenderedPageBreak/>
        <w:t xml:space="preserve">de Geodivulgar con la asociación Ciencia sin Barreras», </w:t>
      </w:r>
      <w:r w:rsidRPr="005E1103">
        <w:rPr>
          <w:rFonts w:cstheme="minorHAnsi"/>
          <w:i/>
          <w:sz w:val="28"/>
          <w:szCs w:val="28"/>
        </w:rPr>
        <w:t>Geo-Temas</w:t>
      </w:r>
      <w:r w:rsidRPr="005E1103">
        <w:rPr>
          <w:rFonts w:cstheme="minorHAnsi"/>
          <w:sz w:val="28"/>
          <w:szCs w:val="28"/>
        </w:rPr>
        <w:t>, 16 (1) (2016), págs. 729-732.</w:t>
      </w:r>
    </w:p>
    <w:p w:rsidR="00F76679" w:rsidRPr="005E1103" w:rsidRDefault="00F76679" w:rsidP="00F76679">
      <w:pPr>
        <w:spacing w:after="120" w:line="360" w:lineRule="auto"/>
        <w:rPr>
          <w:rFonts w:cstheme="minorHAnsi"/>
          <w:sz w:val="28"/>
          <w:szCs w:val="28"/>
          <w:lang w:val="en-US"/>
        </w:rPr>
      </w:pPr>
      <w:r w:rsidRPr="005E1103">
        <w:rPr>
          <w:rFonts w:cstheme="minorHAnsi"/>
          <w:sz w:val="28"/>
          <w:szCs w:val="28"/>
        </w:rPr>
        <w:t xml:space="preserve">García-Frank, A., «Experiencias geológicas fuera del aula en el contexto de la Educación Especial», en </w:t>
      </w:r>
      <w:r w:rsidRPr="005E1103">
        <w:rPr>
          <w:rFonts w:cstheme="minorHAnsi"/>
          <w:i/>
          <w:sz w:val="28"/>
          <w:szCs w:val="28"/>
        </w:rPr>
        <w:t>Libro de resúmenes Congreso Nacional Scientix</w:t>
      </w:r>
      <w:r w:rsidRPr="005E1103">
        <w:rPr>
          <w:rFonts w:cstheme="minorHAnsi"/>
          <w:sz w:val="28"/>
          <w:szCs w:val="28"/>
        </w:rPr>
        <w:t xml:space="preserve"> (FECYT Museo de Ciencia y Tecnología, Alcobendas 24 octubre 2015),(2015a) pp. 17. </w:t>
      </w:r>
      <w:r w:rsidRPr="005E1103">
        <w:rPr>
          <w:rFonts w:cstheme="minorHAnsi"/>
          <w:sz w:val="28"/>
          <w:szCs w:val="28"/>
          <w:lang w:val="en-US"/>
        </w:rPr>
        <w:t>Web: https://drive.google.com/a/ucm.es/file/d/0B_ES0oVdijBCOWtrVElIbzdYM3M/view</w:t>
      </w:r>
    </w:p>
    <w:p w:rsidR="00F76679" w:rsidRPr="005E1103" w:rsidRDefault="00F76679" w:rsidP="00F76679">
      <w:pPr>
        <w:spacing w:after="120" w:line="360" w:lineRule="auto"/>
        <w:rPr>
          <w:rFonts w:cstheme="minorHAnsi"/>
          <w:sz w:val="28"/>
          <w:szCs w:val="28"/>
          <w:highlight w:val="green"/>
        </w:rPr>
      </w:pPr>
      <w:r w:rsidRPr="005E1103">
        <w:rPr>
          <w:rFonts w:cstheme="minorHAnsi"/>
          <w:sz w:val="28"/>
          <w:szCs w:val="28"/>
        </w:rPr>
        <w:t xml:space="preserve">García-Frank, A. (2015b), </w:t>
      </w:r>
      <w:r w:rsidRPr="005E1103">
        <w:rPr>
          <w:rFonts w:cstheme="minorHAnsi"/>
          <w:i/>
          <w:sz w:val="28"/>
          <w:szCs w:val="28"/>
        </w:rPr>
        <w:t>Libro de Resúmenes I Jornada sobre Divulgación Científica Inclusiva,</w:t>
      </w:r>
      <w:r w:rsidRPr="005E1103">
        <w:rPr>
          <w:rFonts w:cstheme="minorHAnsi"/>
          <w:sz w:val="28"/>
          <w:szCs w:val="28"/>
        </w:rPr>
        <w:t xml:space="preserve"> (3 diciembre 2015, Facultad Ciencias Geológicas, Universidad Complutense de Madrid). 23 págs.</w:t>
      </w:r>
    </w:p>
    <w:p w:rsidR="00F76679" w:rsidRPr="005E1103" w:rsidRDefault="00F76679" w:rsidP="00F76679">
      <w:pPr>
        <w:spacing w:after="120" w:line="360" w:lineRule="auto"/>
        <w:rPr>
          <w:rFonts w:cstheme="minorHAnsi"/>
          <w:sz w:val="28"/>
          <w:szCs w:val="28"/>
        </w:rPr>
      </w:pPr>
      <w:r w:rsidRPr="005E1103">
        <w:rPr>
          <w:rFonts w:cstheme="minorHAnsi"/>
          <w:sz w:val="28"/>
          <w:szCs w:val="28"/>
        </w:rPr>
        <w:t xml:space="preserve">García-Frank, A., «Rompiendo barreras en pos de una ciencia accesible», en </w:t>
      </w:r>
      <w:r w:rsidRPr="005E1103">
        <w:rPr>
          <w:rFonts w:cstheme="minorHAnsi"/>
          <w:i/>
          <w:sz w:val="28"/>
          <w:szCs w:val="28"/>
        </w:rPr>
        <w:t>Libro de resúmenes IV Congreso de Docentes de Ciencias: Biología, Geología, Física y Química. Jornadas sobre investigación y didáctica en ESO y Bachillerato</w:t>
      </w:r>
      <w:r w:rsidRPr="005E1103">
        <w:rPr>
          <w:rFonts w:cstheme="minorHAnsi"/>
          <w:sz w:val="28"/>
          <w:szCs w:val="28"/>
        </w:rPr>
        <w:t xml:space="preserve"> (Facultad de Educación UCM Madrid 12-15 de abril) (2016) págs. 8-9.</w:t>
      </w:r>
    </w:p>
    <w:p w:rsidR="00F76679" w:rsidRPr="005E1103" w:rsidRDefault="00F76679" w:rsidP="00F76679">
      <w:pPr>
        <w:spacing w:after="120" w:line="360" w:lineRule="auto"/>
        <w:rPr>
          <w:rFonts w:cstheme="minorHAnsi"/>
          <w:sz w:val="28"/>
          <w:szCs w:val="28"/>
        </w:rPr>
      </w:pPr>
      <w:r w:rsidRPr="005E1103">
        <w:rPr>
          <w:rFonts w:cstheme="minorHAnsi"/>
          <w:sz w:val="28"/>
          <w:szCs w:val="28"/>
        </w:rPr>
        <w:t xml:space="preserve">García-Frank, A. y Gomez-Heras, M. «¿Por qué acercar la ciencia a personas con Necesidades Especiales?», en </w:t>
      </w:r>
      <w:r w:rsidRPr="005E1103">
        <w:rPr>
          <w:rFonts w:cstheme="minorHAnsi"/>
          <w:i/>
          <w:sz w:val="28"/>
          <w:szCs w:val="28"/>
        </w:rPr>
        <w:t>Volumen de Actas del XIII Encuentro Jóvenes Investigadores en Paleontología</w:t>
      </w:r>
      <w:r w:rsidRPr="005E1103">
        <w:rPr>
          <w:rFonts w:cstheme="minorHAnsi"/>
          <w:sz w:val="28"/>
          <w:szCs w:val="28"/>
        </w:rPr>
        <w:t>, (Cercedilla 15-18 abril) (2015), págs. 9-10.</w:t>
      </w:r>
    </w:p>
    <w:p w:rsidR="00F76679" w:rsidRPr="005E1103" w:rsidRDefault="00F76679" w:rsidP="00F76679">
      <w:pPr>
        <w:spacing w:after="120" w:line="360" w:lineRule="auto"/>
        <w:rPr>
          <w:rFonts w:cstheme="minorHAnsi"/>
          <w:sz w:val="28"/>
          <w:szCs w:val="28"/>
        </w:rPr>
      </w:pPr>
      <w:r w:rsidRPr="005E1103">
        <w:rPr>
          <w:rFonts w:cstheme="minorHAnsi"/>
          <w:sz w:val="28"/>
          <w:szCs w:val="28"/>
        </w:rPr>
        <w:t>García-Frank, A. y Gomez-Heras, M. «Hacia una ciencia accesible».</w:t>
      </w:r>
      <w:r w:rsidRPr="005E1103">
        <w:rPr>
          <w:rFonts w:cstheme="minorHAnsi"/>
          <w:i/>
          <w:sz w:val="28"/>
          <w:szCs w:val="28"/>
        </w:rPr>
        <w:t>Web Madri+d</w:t>
      </w:r>
      <w:r w:rsidRPr="005E1103">
        <w:rPr>
          <w:rFonts w:cstheme="minorHAnsi"/>
          <w:sz w:val="28"/>
          <w:szCs w:val="28"/>
        </w:rPr>
        <w:t xml:space="preserve">, enero 2016: </w:t>
      </w:r>
      <w:hyperlink r:id="rId55" w:history="1">
        <w:r w:rsidRPr="005E1103">
          <w:rPr>
            <w:rStyle w:val="Hipervnculo"/>
            <w:rFonts w:cstheme="minorHAnsi"/>
            <w:sz w:val="28"/>
            <w:szCs w:val="28"/>
          </w:rPr>
          <w:t>http://www.madrimasd.org/informacionIdi/analisis/analisis/analisis.asp?id=65443&amp;origen=notiweb_suplemento&amp;dia_suplemento=martes&amp;seccion=analisis%28martes%29</w:t>
        </w:r>
      </w:hyperlink>
    </w:p>
    <w:p w:rsidR="00F76679" w:rsidRPr="005E1103" w:rsidRDefault="00F76679" w:rsidP="00F76679">
      <w:pPr>
        <w:spacing w:after="120" w:line="360" w:lineRule="auto"/>
        <w:rPr>
          <w:rFonts w:cstheme="minorHAnsi"/>
          <w:sz w:val="28"/>
          <w:szCs w:val="28"/>
          <w:lang w:val="en-US"/>
        </w:rPr>
      </w:pPr>
      <w:r w:rsidRPr="005E1103">
        <w:rPr>
          <w:rFonts w:cstheme="minorHAnsi"/>
          <w:sz w:val="28"/>
          <w:szCs w:val="28"/>
        </w:rPr>
        <w:t xml:space="preserve">García-Frank, A., Canales, M.L., Gómez-Heras, M., González Acebrón, L., Hontecillas, D., Del Moral, B., Muñoz-García, M.B. y Sarmiento, G.N., «Geodivulgar: una nueva experiencia para la divulgación de la Geología entre alumnos con necesidades educativas especiales por discapacidad intelectual», en </w:t>
      </w:r>
      <w:r w:rsidRPr="005E1103">
        <w:rPr>
          <w:rFonts w:cstheme="minorHAnsi"/>
          <w:i/>
          <w:sz w:val="28"/>
          <w:szCs w:val="28"/>
        </w:rPr>
        <w:t>Rábano I, Rodrigo A (Eds.), XX Bienal de la Real Sociedad Española de Historia Natural</w:t>
      </w:r>
      <w:r w:rsidRPr="005E1103">
        <w:rPr>
          <w:rFonts w:cstheme="minorHAnsi"/>
          <w:sz w:val="28"/>
          <w:szCs w:val="28"/>
        </w:rPr>
        <w:t xml:space="preserve">, (2013) págs. </w:t>
      </w:r>
      <w:r w:rsidRPr="005E1103">
        <w:rPr>
          <w:rFonts w:cstheme="minorHAnsi"/>
          <w:sz w:val="28"/>
          <w:szCs w:val="28"/>
          <w:lang w:val="en-US"/>
        </w:rPr>
        <w:t>124-125.</w:t>
      </w:r>
    </w:p>
    <w:p w:rsidR="00F76679" w:rsidRPr="005E1103" w:rsidRDefault="00F76679" w:rsidP="00F76679">
      <w:pPr>
        <w:spacing w:after="120" w:line="360" w:lineRule="auto"/>
        <w:rPr>
          <w:rFonts w:cstheme="minorHAnsi"/>
          <w:sz w:val="28"/>
          <w:szCs w:val="28"/>
        </w:rPr>
      </w:pPr>
      <w:r w:rsidRPr="005E1103">
        <w:rPr>
          <w:rFonts w:cstheme="minorHAnsi"/>
          <w:sz w:val="28"/>
          <w:szCs w:val="28"/>
          <w:lang w:val="en-US"/>
        </w:rPr>
        <w:lastRenderedPageBreak/>
        <w:t>García-Frank, A., Gomez-Heras, M., Fesharaki, O., Iglesias Álvarez, N. y Gonzalo Parra, L., «“Science without Barriers”: towards the take-off of Social Palaeontology»,</w:t>
      </w:r>
      <w:r w:rsidRPr="005E1103">
        <w:rPr>
          <w:rFonts w:cstheme="minorHAnsi"/>
          <w:i/>
          <w:sz w:val="28"/>
          <w:szCs w:val="28"/>
          <w:lang w:val="en-US"/>
        </w:rPr>
        <w:t>Palaeontological Association Newsletter</w:t>
      </w:r>
      <w:r w:rsidRPr="005E1103">
        <w:rPr>
          <w:rFonts w:cstheme="minorHAnsi"/>
          <w:sz w:val="28"/>
          <w:szCs w:val="28"/>
          <w:lang w:val="en-US"/>
        </w:rPr>
        <w:t xml:space="preserve">, 91 (2016), págs. </w:t>
      </w:r>
      <w:r w:rsidRPr="005E1103">
        <w:rPr>
          <w:rFonts w:cstheme="minorHAnsi"/>
          <w:sz w:val="28"/>
          <w:szCs w:val="28"/>
        </w:rPr>
        <w:t>50-55.</w:t>
      </w:r>
    </w:p>
    <w:p w:rsidR="00F76679" w:rsidRPr="005E1103" w:rsidRDefault="00F76679" w:rsidP="00F76679">
      <w:pPr>
        <w:spacing w:after="120" w:line="360" w:lineRule="auto"/>
        <w:rPr>
          <w:rFonts w:cstheme="minorHAnsi"/>
          <w:sz w:val="28"/>
          <w:szCs w:val="28"/>
        </w:rPr>
      </w:pPr>
      <w:r w:rsidRPr="005E1103">
        <w:rPr>
          <w:rFonts w:cstheme="minorHAnsi"/>
          <w:sz w:val="28"/>
          <w:szCs w:val="28"/>
        </w:rPr>
        <w:t xml:space="preserve">García-Frank, A., Gómez-Heras, M., Gonzalo Parra, L., Canales Fernández, M.L., Muñoz García, M.B., González-Acebrón, L., García Hernández, R., Hontecillas, D., Iglesias Álvarez, N., Salazar Ramírez, R.W., Fesharaki, O., Navalpotro, T., Reviejo, M., Rodrigo Sanz, A., del Moral, B., Sarmiento, G.N. y Ureta, S., «Ready-to-serve Geology! </w:t>
      </w:r>
      <w:r w:rsidRPr="005E1103">
        <w:rPr>
          <w:rFonts w:cstheme="minorHAnsi"/>
          <w:sz w:val="28"/>
          <w:szCs w:val="28"/>
          <w:lang w:val="en-US"/>
        </w:rPr>
        <w:t xml:space="preserve">Portable kits for scientific divulgation to people with functional diversity», en </w:t>
      </w:r>
      <w:r w:rsidRPr="005E1103">
        <w:rPr>
          <w:rFonts w:cstheme="minorHAnsi"/>
          <w:i/>
          <w:sz w:val="28"/>
          <w:szCs w:val="28"/>
          <w:lang w:val="en-US"/>
        </w:rPr>
        <w:t>Gómez Chova, L., López Martínez, A., Candel Torres, I. (Eds.), ICERI 2014 Proceedings, IATED Academy, Sevilla</w:t>
      </w:r>
      <w:r w:rsidRPr="005E1103">
        <w:rPr>
          <w:rFonts w:cstheme="minorHAnsi"/>
          <w:sz w:val="28"/>
          <w:szCs w:val="28"/>
          <w:lang w:val="en-US"/>
        </w:rPr>
        <w:t xml:space="preserve">, (2014a), págs. </w:t>
      </w:r>
      <w:r w:rsidRPr="005E1103">
        <w:rPr>
          <w:rFonts w:cstheme="minorHAnsi"/>
          <w:sz w:val="28"/>
          <w:szCs w:val="28"/>
        </w:rPr>
        <w:t>4666-4672.</w:t>
      </w:r>
    </w:p>
    <w:p w:rsidR="00F76679" w:rsidRPr="005E1103" w:rsidRDefault="00F76679" w:rsidP="00F76679">
      <w:pPr>
        <w:spacing w:after="120" w:line="360" w:lineRule="auto"/>
        <w:rPr>
          <w:rFonts w:cstheme="minorHAnsi"/>
          <w:sz w:val="28"/>
          <w:szCs w:val="28"/>
        </w:rPr>
      </w:pPr>
      <w:r w:rsidRPr="005E1103">
        <w:rPr>
          <w:rFonts w:cstheme="minorHAnsi"/>
          <w:sz w:val="28"/>
          <w:szCs w:val="28"/>
        </w:rPr>
        <w:t xml:space="preserve">García-Frank, A., Pérez Barroso, R., Espín Forjan, B., Benito Manjón, P., De Pablo Gutiérrez, L., Gómez-Heras, M., Sarmiento, G.N., Canales Fernández, M.L., González Acebrón, L., Muñoz García, M.B., García Hernández, R., Hontecillas, D., Ureta Gil, S. y del Moral, B., «Divulgación de la Geología: nuevas estrategias educativas para alumnos con necesidades educativas especiales por discapacidad intelectual», </w:t>
      </w:r>
      <w:r w:rsidRPr="005E1103">
        <w:rPr>
          <w:rFonts w:cstheme="minorHAnsi"/>
          <w:i/>
          <w:sz w:val="28"/>
          <w:szCs w:val="28"/>
        </w:rPr>
        <w:t>Serie El CSIC en la Escuela. Investigación sobre la enseñanza de la ciencia en el aula, Consejo Superior de Investigaciones Científicas (España)</w:t>
      </w:r>
      <w:r w:rsidRPr="005E1103">
        <w:rPr>
          <w:rFonts w:cstheme="minorHAnsi"/>
          <w:sz w:val="28"/>
          <w:szCs w:val="28"/>
        </w:rPr>
        <w:t>, 10: (2014b), págs. 56-67.</w:t>
      </w:r>
    </w:p>
    <w:p w:rsidR="00F76679" w:rsidRPr="005E1103" w:rsidRDefault="00F76679" w:rsidP="00F76679">
      <w:pPr>
        <w:spacing w:after="120" w:line="360" w:lineRule="auto"/>
        <w:jc w:val="both"/>
        <w:rPr>
          <w:rFonts w:cstheme="minorHAnsi"/>
          <w:sz w:val="28"/>
          <w:szCs w:val="28"/>
        </w:rPr>
      </w:pPr>
      <w:r w:rsidRPr="005E1103">
        <w:rPr>
          <w:rFonts w:cstheme="minorHAnsi"/>
          <w:sz w:val="28"/>
          <w:szCs w:val="28"/>
        </w:rPr>
        <w:t xml:space="preserve">Gil, E., Gervás, P., Hervás, R., Jiménez, L., «INTERpretación de diálogos en mensajería instantánea bajo sistemas SAACs (INTERSAACs)», en </w:t>
      </w:r>
      <w:r w:rsidRPr="005E1103">
        <w:rPr>
          <w:rFonts w:cstheme="minorHAnsi"/>
          <w:i/>
          <w:sz w:val="28"/>
          <w:szCs w:val="28"/>
        </w:rPr>
        <w:t>I Congreso Internacional Universidad y Discapacidad</w:t>
      </w:r>
      <w:r w:rsidRPr="005E1103">
        <w:rPr>
          <w:rFonts w:cstheme="minorHAnsi"/>
          <w:sz w:val="28"/>
          <w:szCs w:val="28"/>
        </w:rPr>
        <w:t>, (Madrid, 2012).</w:t>
      </w:r>
    </w:p>
    <w:p w:rsidR="00F76679" w:rsidRPr="005E1103" w:rsidRDefault="00F76679" w:rsidP="00F76679">
      <w:pPr>
        <w:spacing w:after="120" w:line="360" w:lineRule="auto"/>
        <w:rPr>
          <w:rFonts w:cstheme="minorHAnsi"/>
          <w:sz w:val="28"/>
          <w:szCs w:val="28"/>
        </w:rPr>
      </w:pPr>
      <w:r w:rsidRPr="005E1103">
        <w:rPr>
          <w:rFonts w:cstheme="minorHAnsi"/>
          <w:sz w:val="28"/>
          <w:szCs w:val="28"/>
        </w:rPr>
        <w:t xml:space="preserve">Gómez-Heras, M., Gonzalo, L., García-Frank, A., Sarmiento, G. N., González, L., Muñoz, M.B., García, R., Hontecillas, D., Ureta, S. y Canales, M.L., «Geología para sordociegos: una experiencia multisensorial para la divulgación de la ciencia», </w:t>
      </w:r>
      <w:r w:rsidRPr="005E1103">
        <w:rPr>
          <w:rFonts w:cstheme="minorHAnsi"/>
          <w:i/>
          <w:sz w:val="28"/>
          <w:szCs w:val="28"/>
        </w:rPr>
        <w:t>Serie El CSIC en la escuela: investigación sobre la enseñanza de la ciencia en el aula Consejo Superior de Investigaciones Científicas (España)</w:t>
      </w:r>
      <w:r w:rsidRPr="005E1103">
        <w:rPr>
          <w:rFonts w:cstheme="minorHAnsi"/>
          <w:sz w:val="28"/>
          <w:szCs w:val="28"/>
        </w:rPr>
        <w:t>, 10, (2014a), págs. 45-55.</w:t>
      </w:r>
    </w:p>
    <w:p w:rsidR="00F76679" w:rsidRPr="005E1103" w:rsidRDefault="00F76679" w:rsidP="00F76679">
      <w:pPr>
        <w:spacing w:after="120" w:line="360" w:lineRule="auto"/>
        <w:rPr>
          <w:rFonts w:cstheme="minorHAnsi"/>
          <w:sz w:val="28"/>
          <w:szCs w:val="28"/>
        </w:rPr>
      </w:pPr>
      <w:r w:rsidRPr="005E1103">
        <w:rPr>
          <w:rFonts w:cstheme="minorHAnsi"/>
          <w:sz w:val="28"/>
          <w:szCs w:val="28"/>
        </w:rPr>
        <w:lastRenderedPageBreak/>
        <w:t xml:space="preserve">Gómez-Heras, M., Gonzalo, L., García-Frank, A., Sarmiento, G.N., González Acebrón, L., Muñoz, M.B. Geología para sordociegos: una experiencia multisensorial para la divulgación de la ciencia», en </w:t>
      </w:r>
      <w:r w:rsidRPr="005E1103">
        <w:rPr>
          <w:rFonts w:cstheme="minorHAnsi"/>
          <w:i/>
          <w:sz w:val="28"/>
          <w:szCs w:val="28"/>
        </w:rPr>
        <w:t>Ros Ferré, R.M. (Ed.), Libro de Actas de la XV Edición del Programa Ciencia en Acción, CosmoCaixa Barcelona</w:t>
      </w:r>
      <w:r w:rsidRPr="005E1103">
        <w:rPr>
          <w:rFonts w:cstheme="minorHAnsi"/>
          <w:sz w:val="28"/>
          <w:szCs w:val="28"/>
        </w:rPr>
        <w:t>, (2014b), pág. 235.</w:t>
      </w:r>
    </w:p>
    <w:p w:rsidR="00F76679" w:rsidRPr="005E1103" w:rsidRDefault="00F76679" w:rsidP="00F76679">
      <w:pPr>
        <w:spacing w:after="120" w:line="360" w:lineRule="auto"/>
        <w:rPr>
          <w:rFonts w:cstheme="minorHAnsi"/>
          <w:sz w:val="28"/>
          <w:szCs w:val="28"/>
        </w:rPr>
      </w:pPr>
      <w:r w:rsidRPr="005E1103">
        <w:rPr>
          <w:rFonts w:cstheme="minorHAnsi"/>
          <w:sz w:val="28"/>
          <w:szCs w:val="28"/>
        </w:rPr>
        <w:t xml:space="preserve">González Acebrón, L., García-Frank, A., Pérez, R., Espín, B., Benito, P., de Pablo, L., «Divulgación de la Geología: nuevas estrategias educativas para alumnos con necesidades educativas especiales por discapacidad intelectual», en </w:t>
      </w:r>
      <w:r w:rsidRPr="005E1103">
        <w:rPr>
          <w:rFonts w:cstheme="minorHAnsi"/>
          <w:i/>
          <w:sz w:val="28"/>
          <w:szCs w:val="28"/>
        </w:rPr>
        <w:t>Ros Ferré, R.M. (Ed.), Libro de Actas de la XV Edición del Programa Ciencia en Acción, CosmoCaixa Barcelona</w:t>
      </w:r>
      <w:r w:rsidRPr="005E1103">
        <w:rPr>
          <w:rFonts w:cstheme="minorHAnsi"/>
          <w:sz w:val="28"/>
          <w:szCs w:val="28"/>
        </w:rPr>
        <w:t>, (2014), pág. 242.</w:t>
      </w:r>
    </w:p>
    <w:p w:rsidR="00F76679" w:rsidRPr="005E1103" w:rsidRDefault="00F76679" w:rsidP="00F76679">
      <w:pPr>
        <w:spacing w:after="120" w:line="360" w:lineRule="auto"/>
        <w:jc w:val="both"/>
        <w:rPr>
          <w:rFonts w:cstheme="minorHAnsi"/>
          <w:sz w:val="28"/>
          <w:szCs w:val="28"/>
        </w:rPr>
      </w:pPr>
      <w:r w:rsidRPr="005E1103">
        <w:rPr>
          <w:rFonts w:cstheme="minorHAnsi"/>
          <w:sz w:val="28"/>
          <w:szCs w:val="28"/>
        </w:rPr>
        <w:t xml:space="preserve">Herrero Domínguez, S., Perles Hernáez, J., López Pérez, A.M., Jiménez de la Hoz, M.C., Fernández Rodríguez, J.M., Gibaja Jiménez, M., Alonso Martínez, A., «ConCiencia Inclusiva: talleres experimentales de crecimiento de cristales como herramienta pedagógica inclusiva», </w:t>
      </w:r>
      <w:r w:rsidRPr="005E1103">
        <w:rPr>
          <w:rFonts w:cstheme="minorHAnsi"/>
          <w:i/>
          <w:sz w:val="28"/>
          <w:szCs w:val="28"/>
        </w:rPr>
        <w:t>Boletín Real Sociedad Española Historia Natural, Sección Aula, Museos y Colecciones</w:t>
      </w:r>
      <w:r w:rsidRPr="005E1103">
        <w:rPr>
          <w:rFonts w:cstheme="minorHAnsi"/>
          <w:sz w:val="28"/>
          <w:szCs w:val="28"/>
        </w:rPr>
        <w:t xml:space="preserve"> (Aceptado en 2016).</w:t>
      </w:r>
    </w:p>
    <w:p w:rsidR="00F76679" w:rsidRPr="005E1103" w:rsidRDefault="00F76679" w:rsidP="00F76679">
      <w:pPr>
        <w:spacing w:after="120" w:line="360" w:lineRule="auto"/>
        <w:rPr>
          <w:rFonts w:cstheme="minorHAnsi"/>
          <w:sz w:val="28"/>
          <w:szCs w:val="28"/>
        </w:rPr>
      </w:pPr>
      <w:r w:rsidRPr="005E1103">
        <w:rPr>
          <w:rFonts w:cstheme="minorHAnsi"/>
          <w:sz w:val="28"/>
          <w:szCs w:val="28"/>
        </w:rPr>
        <w:t xml:space="preserve">Hontecillas, D., García Hernández, R., Iglesias Álvarez, N., Gonzalo Parra, L., García-Frank, A., Gomez-Heras, M., Fesharaki, O., Sarmiento, G.N., González Acebrón, L., Muñoz García, M.B., Ureta Gil, S. y Canales Fernández, M.L., «“¡Se toca pero no se mira!”: experiencia multisensorial para la divulgación de la geología para personas con sordoceguera», en </w:t>
      </w:r>
      <w:r w:rsidRPr="005E1103">
        <w:rPr>
          <w:rFonts w:cstheme="minorHAnsi"/>
          <w:i/>
          <w:sz w:val="28"/>
          <w:szCs w:val="28"/>
        </w:rPr>
        <w:t>Volumen de Actas del XIII Encuentro Jóvenes Investigadores en Paleontología</w:t>
      </w:r>
      <w:r w:rsidRPr="005E1103">
        <w:rPr>
          <w:rFonts w:cstheme="minorHAnsi"/>
          <w:sz w:val="28"/>
          <w:szCs w:val="28"/>
        </w:rPr>
        <w:t>, (Cercedilla 15-18 abril) (2015), págs. 151-153.</w:t>
      </w:r>
    </w:p>
    <w:p w:rsidR="00F76679" w:rsidRPr="005E1103" w:rsidRDefault="00F76679" w:rsidP="00F76679">
      <w:pPr>
        <w:spacing w:after="120" w:line="360" w:lineRule="auto"/>
        <w:rPr>
          <w:rFonts w:cstheme="minorHAnsi"/>
          <w:sz w:val="28"/>
          <w:szCs w:val="28"/>
        </w:rPr>
      </w:pPr>
      <w:r w:rsidRPr="005E1103">
        <w:rPr>
          <w:rFonts w:cstheme="minorHAnsi"/>
          <w:sz w:val="28"/>
          <w:szCs w:val="28"/>
        </w:rPr>
        <w:t xml:space="preserve">Iglesias Álvarez, N., Fesharaki, O., García-Frank, A., González Acebrón, L., Rico, R., Salazar Ramírez, R.W., Sacristán, S., Martín Perea, D., Hontecillas, D., García Hernández, R., Gomez-Heras, M., Sarmiento, G.N., Muñoz García, M.B., Ureta Gil, M.S., Canales Fernández, M.L. y del Moral. B., «Dejando huella: divulgación paleontológica para personas con diversidad funcional», en </w:t>
      </w:r>
      <w:r w:rsidRPr="005E1103">
        <w:rPr>
          <w:rFonts w:cstheme="minorHAnsi"/>
          <w:i/>
          <w:sz w:val="28"/>
          <w:szCs w:val="28"/>
        </w:rPr>
        <w:t>Volumen de Actas del XIII Encuentro Jóvenes Investigadores en Paleontología</w:t>
      </w:r>
      <w:r w:rsidRPr="005E1103">
        <w:rPr>
          <w:rFonts w:cstheme="minorHAnsi"/>
          <w:sz w:val="28"/>
          <w:szCs w:val="28"/>
        </w:rPr>
        <w:t>, (Cercedilla 15-18 abril) (2015), págs. 154-162.</w:t>
      </w:r>
    </w:p>
    <w:p w:rsidR="00F76679" w:rsidRPr="005E1103" w:rsidRDefault="00F76679" w:rsidP="00F76679">
      <w:pPr>
        <w:spacing w:after="120" w:line="360" w:lineRule="auto"/>
        <w:jc w:val="both"/>
        <w:rPr>
          <w:rFonts w:cstheme="minorHAnsi"/>
          <w:sz w:val="28"/>
          <w:szCs w:val="28"/>
        </w:rPr>
      </w:pPr>
      <w:r w:rsidRPr="005E1103">
        <w:rPr>
          <w:rFonts w:cstheme="minorHAnsi"/>
          <w:sz w:val="28"/>
          <w:szCs w:val="28"/>
        </w:rPr>
        <w:lastRenderedPageBreak/>
        <w:t xml:space="preserve">López-Acevedo, V., Chicote González, J. C., Goñi López, J. y López-Herce Cid, A. «Forma y simetría en la naturaleza. Enseñanza adaptada a personas ciegas a través de métodos cristalográficos», </w:t>
      </w:r>
      <w:r w:rsidRPr="005E1103">
        <w:rPr>
          <w:rFonts w:cstheme="minorHAnsi"/>
          <w:i/>
          <w:sz w:val="28"/>
          <w:szCs w:val="28"/>
        </w:rPr>
        <w:t>Enseñanza de las Ciencias de la Tierra</w:t>
      </w:r>
      <w:r w:rsidRPr="005E1103">
        <w:rPr>
          <w:rFonts w:cstheme="minorHAnsi"/>
          <w:sz w:val="28"/>
          <w:szCs w:val="28"/>
        </w:rPr>
        <w:t>, 2(19), (2012), págs. 187-192.</w:t>
      </w:r>
    </w:p>
    <w:p w:rsidR="00F76679" w:rsidRPr="005E1103" w:rsidRDefault="00F76679" w:rsidP="00F76679">
      <w:pPr>
        <w:spacing w:after="120" w:line="360" w:lineRule="auto"/>
        <w:jc w:val="both"/>
        <w:rPr>
          <w:rFonts w:cstheme="minorHAnsi"/>
          <w:sz w:val="28"/>
          <w:szCs w:val="28"/>
          <w:lang w:val="en-US"/>
        </w:rPr>
      </w:pPr>
      <w:r w:rsidRPr="005E1103">
        <w:rPr>
          <w:rFonts w:cstheme="minorHAnsi"/>
          <w:sz w:val="28"/>
          <w:szCs w:val="28"/>
        </w:rPr>
        <w:t xml:space="preserve">Lozano, D. M., Yadarola, M. E. y Galli, M., «Prácticas de inclusión educativa de estudiantes universitarios con discapacidad. Orientaciones de buenas prácticas docentes, de gestión y administrativas sobre la base del diseño universal», en </w:t>
      </w:r>
      <w:r w:rsidRPr="005E1103">
        <w:rPr>
          <w:rFonts w:cstheme="minorHAnsi"/>
          <w:i/>
          <w:sz w:val="28"/>
          <w:szCs w:val="28"/>
        </w:rPr>
        <w:t>Comunicaciones Grupo 1 del II Congreso Internacional Universidad y Discapacidad, (Madrid, 27-28 de noviembre 2014</w:t>
      </w:r>
      <w:r w:rsidR="00C94FAA" w:rsidRPr="005E1103">
        <w:rPr>
          <w:rFonts w:cstheme="minorHAnsi"/>
          <w:i/>
          <w:sz w:val="28"/>
          <w:szCs w:val="28"/>
        </w:rPr>
        <w:t>)</w:t>
      </w:r>
      <w:r w:rsidR="00C94FAA" w:rsidRPr="005E1103">
        <w:rPr>
          <w:rFonts w:cstheme="minorHAnsi"/>
          <w:sz w:val="28"/>
          <w:szCs w:val="28"/>
        </w:rPr>
        <w:t>, Comunicación</w:t>
      </w:r>
      <w:r w:rsidRPr="005E1103">
        <w:rPr>
          <w:rFonts w:cstheme="minorHAnsi"/>
          <w:sz w:val="28"/>
          <w:szCs w:val="28"/>
        </w:rPr>
        <w:t xml:space="preserve"> 19. </w:t>
      </w:r>
      <w:r w:rsidRPr="005E1103">
        <w:rPr>
          <w:rFonts w:cstheme="minorHAnsi"/>
          <w:sz w:val="28"/>
          <w:szCs w:val="28"/>
          <w:lang w:val="en-US"/>
        </w:rPr>
        <w:t>2014, págs. 208-223.</w:t>
      </w:r>
    </w:p>
    <w:p w:rsidR="00F76679" w:rsidRPr="005E1103" w:rsidRDefault="00F76679" w:rsidP="00F76679">
      <w:pPr>
        <w:spacing w:after="120" w:line="360" w:lineRule="auto"/>
        <w:rPr>
          <w:rFonts w:cstheme="minorHAnsi"/>
          <w:sz w:val="28"/>
          <w:szCs w:val="28"/>
        </w:rPr>
      </w:pPr>
      <w:r w:rsidRPr="005E1103">
        <w:rPr>
          <w:rFonts w:cstheme="minorHAnsi"/>
          <w:sz w:val="28"/>
          <w:szCs w:val="28"/>
          <w:lang w:val="en-US"/>
        </w:rPr>
        <w:t xml:space="preserve">Mace, R. L., Hardie, G. J. y Place, J. P., «Accessible Environments: Toward Universal Design», </w:t>
      </w:r>
      <w:r w:rsidRPr="005E1103">
        <w:rPr>
          <w:rFonts w:cstheme="minorHAnsi"/>
          <w:i/>
          <w:sz w:val="28"/>
          <w:szCs w:val="28"/>
          <w:lang w:val="en-US"/>
        </w:rPr>
        <w:t>The Center for Universal Design, NCSU</w:t>
      </w:r>
      <w:r w:rsidRPr="005E1103">
        <w:rPr>
          <w:rFonts w:cstheme="minorHAnsi"/>
          <w:sz w:val="28"/>
          <w:szCs w:val="28"/>
          <w:lang w:val="en-US"/>
        </w:rPr>
        <w:t xml:space="preserve">, (1996), 44 págs. </w:t>
      </w:r>
      <w:r w:rsidRPr="005E1103">
        <w:rPr>
          <w:rFonts w:cstheme="minorHAnsi"/>
          <w:sz w:val="28"/>
          <w:szCs w:val="28"/>
        </w:rPr>
        <w:t xml:space="preserve">Web: </w:t>
      </w:r>
      <w:hyperlink r:id="rId56" w:history="1">
        <w:r w:rsidRPr="005E1103">
          <w:rPr>
            <w:rStyle w:val="Hipervnculo"/>
            <w:rFonts w:cstheme="minorHAnsi"/>
            <w:sz w:val="28"/>
            <w:szCs w:val="28"/>
          </w:rPr>
          <w:t>The center for Universal Design</w:t>
        </w:r>
      </w:hyperlink>
    </w:p>
    <w:p w:rsidR="00F76679" w:rsidRPr="005E1103" w:rsidRDefault="00F76679" w:rsidP="00F76679">
      <w:pPr>
        <w:spacing w:after="120" w:line="360" w:lineRule="auto"/>
        <w:rPr>
          <w:rFonts w:cstheme="minorHAnsi"/>
          <w:sz w:val="28"/>
          <w:szCs w:val="28"/>
          <w:lang w:val="en-US"/>
        </w:rPr>
      </w:pPr>
      <w:r w:rsidRPr="005E1103">
        <w:rPr>
          <w:rFonts w:cstheme="minorHAnsi"/>
          <w:sz w:val="28"/>
          <w:szCs w:val="28"/>
        </w:rPr>
        <w:t xml:space="preserve">Muñoz-García, M.B., García-Frank, A., Gómez-Heras, M., González-Acebrón, L., Canales, M.L., Sarmiento, G.N., Ureta, S., «Percepción de los estudiantes de su participación en actividades de divulgación de la Geología (Proyecto Geodivulgar) », en II Jornadas de Buenas Prácticas Docentes “Innovación en el aula” (UCM 26 febrero 2015), (2015a). </w:t>
      </w:r>
      <w:r w:rsidRPr="005E1103">
        <w:rPr>
          <w:rFonts w:cstheme="minorHAnsi"/>
          <w:sz w:val="28"/>
          <w:szCs w:val="28"/>
          <w:lang w:val="en-US"/>
        </w:rPr>
        <w:t>Web: https://www.ucm.es/data/cont/docs/3-2015-03-05-Munoz-Garcia%20et%20al.%20Percepcion...%20Geodivulgar.pdf</w:t>
      </w:r>
    </w:p>
    <w:p w:rsidR="00F76679" w:rsidRPr="005E1103" w:rsidRDefault="00F76679" w:rsidP="00F76679">
      <w:pPr>
        <w:spacing w:after="120" w:line="360" w:lineRule="auto"/>
        <w:rPr>
          <w:rFonts w:cstheme="minorHAnsi"/>
          <w:sz w:val="28"/>
          <w:szCs w:val="28"/>
        </w:rPr>
      </w:pPr>
      <w:r w:rsidRPr="005E1103">
        <w:rPr>
          <w:rFonts w:cstheme="minorHAnsi"/>
          <w:sz w:val="28"/>
          <w:szCs w:val="28"/>
        </w:rPr>
        <w:t xml:space="preserve">Muñoz-García, M.B., González-Acebrón, L., García-Frank, A., Pérez Barroso, R., Espín Forjan, B., Benito Manjón, P., de Pablo Gutiérrez, L., Gomez-Heras, M., Canales Fernández, M.L., Sarmiento Chiesa, G.N., Ureta Gil, S. y del Moral González, B., «Evaluación del aprendizaje significativo del concepto “tiempo geológico” en estudiantes con necesidades educativas especiales por discapacidad intelectual», </w:t>
      </w:r>
      <w:r w:rsidRPr="005E1103">
        <w:rPr>
          <w:rFonts w:cstheme="minorHAnsi"/>
          <w:i/>
          <w:sz w:val="28"/>
          <w:szCs w:val="28"/>
        </w:rPr>
        <w:t>Enseñanza para las Ciencias de la Tierra</w:t>
      </w:r>
      <w:r w:rsidRPr="005E1103">
        <w:rPr>
          <w:rFonts w:cstheme="minorHAnsi"/>
          <w:sz w:val="28"/>
          <w:szCs w:val="28"/>
        </w:rPr>
        <w:t>, 23(1) (2015b), págs. 220-231.</w:t>
      </w:r>
    </w:p>
    <w:p w:rsidR="00F76679" w:rsidRPr="005E1103" w:rsidRDefault="00F76679" w:rsidP="00F76679">
      <w:pPr>
        <w:spacing w:after="120" w:line="360" w:lineRule="auto"/>
        <w:rPr>
          <w:rFonts w:cstheme="minorHAnsi"/>
          <w:sz w:val="28"/>
          <w:szCs w:val="28"/>
        </w:rPr>
      </w:pPr>
      <w:r w:rsidRPr="005E1103">
        <w:rPr>
          <w:rFonts w:cstheme="minorHAnsi"/>
          <w:sz w:val="28"/>
          <w:szCs w:val="28"/>
        </w:rPr>
        <w:t xml:space="preserve">Naciones Unidas, Asamblea General, Transformar nuestro mundo: la Agenda 2030 para el Desarrollo Sostenible, 2015, A/70/L1, Web: </w:t>
      </w:r>
      <w:hyperlink r:id="rId57" w:history="1">
        <w:r w:rsidRPr="005E1103">
          <w:rPr>
            <w:rStyle w:val="Hipervnculo"/>
            <w:rFonts w:cstheme="minorHAnsi"/>
            <w:sz w:val="28"/>
            <w:szCs w:val="28"/>
          </w:rPr>
          <w:t>Descarga del Documento</w:t>
        </w:r>
      </w:hyperlink>
    </w:p>
    <w:p w:rsidR="00F76679" w:rsidRPr="005E1103" w:rsidRDefault="00F76679" w:rsidP="00F76679">
      <w:pPr>
        <w:spacing w:after="120" w:line="360" w:lineRule="auto"/>
        <w:jc w:val="both"/>
        <w:rPr>
          <w:rFonts w:cstheme="minorHAnsi"/>
          <w:sz w:val="28"/>
          <w:szCs w:val="28"/>
        </w:rPr>
      </w:pPr>
      <w:r w:rsidRPr="005E1103">
        <w:rPr>
          <w:rFonts w:cstheme="minorHAnsi"/>
          <w:sz w:val="28"/>
          <w:szCs w:val="28"/>
        </w:rPr>
        <w:t xml:space="preserve">UNESCO </w:t>
      </w:r>
      <w:hyperlink r:id="rId58" w:history="1">
        <w:r w:rsidRPr="005E1103">
          <w:rPr>
            <w:rStyle w:val="Hipervnculo"/>
            <w:rFonts w:cstheme="minorHAnsi"/>
            <w:sz w:val="28"/>
            <w:szCs w:val="28"/>
          </w:rPr>
          <w:t>Página UNESCO</w:t>
        </w:r>
      </w:hyperlink>
    </w:p>
    <w:p w:rsidR="00F76679" w:rsidRPr="005E1103" w:rsidRDefault="00F76679" w:rsidP="00F76679">
      <w:pPr>
        <w:pStyle w:val="Textonotapie"/>
        <w:ind w:left="284" w:hanging="284"/>
        <w:jc w:val="both"/>
        <w:rPr>
          <w:rFonts w:asciiTheme="minorHAnsi" w:hAnsiTheme="minorHAnsi" w:cstheme="minorHAnsi"/>
          <w:sz w:val="28"/>
          <w:szCs w:val="28"/>
        </w:rPr>
      </w:pPr>
    </w:p>
    <w:p w:rsidR="00F76679" w:rsidRPr="005E1103" w:rsidRDefault="00F76679" w:rsidP="00C71AF3">
      <w:pPr>
        <w:spacing w:line="360" w:lineRule="auto"/>
        <w:rPr>
          <w:rFonts w:cstheme="minorHAnsi"/>
          <w:color w:val="000000"/>
          <w:sz w:val="28"/>
          <w:szCs w:val="28"/>
        </w:rPr>
      </w:pPr>
    </w:p>
    <w:p w:rsidR="00C71AF3" w:rsidRPr="005E1103" w:rsidRDefault="00C71AF3" w:rsidP="00C71AF3">
      <w:pPr>
        <w:spacing w:line="360" w:lineRule="auto"/>
        <w:ind w:left="397" w:hanging="397"/>
        <w:jc w:val="both"/>
        <w:rPr>
          <w:rFonts w:cstheme="minorHAnsi"/>
          <w:color w:val="000000"/>
          <w:sz w:val="28"/>
          <w:szCs w:val="28"/>
          <w:lang w:eastAsia="es-ES_tradnl"/>
        </w:rPr>
      </w:pPr>
    </w:p>
    <w:p w:rsidR="00C94FAA" w:rsidRDefault="00C94FAA">
      <w:pPr>
        <w:rPr>
          <w:rFonts w:cstheme="minorHAnsi"/>
          <w:b/>
          <w:sz w:val="28"/>
          <w:szCs w:val="28"/>
        </w:rPr>
      </w:pPr>
      <w:r>
        <w:rPr>
          <w:rFonts w:cstheme="minorHAnsi"/>
          <w:b/>
          <w:sz w:val="28"/>
          <w:szCs w:val="28"/>
        </w:rPr>
        <w:br w:type="page"/>
      </w:r>
    </w:p>
    <w:p w:rsidR="00F76679" w:rsidRPr="005E1103" w:rsidRDefault="00F76679" w:rsidP="00F76679">
      <w:pPr>
        <w:spacing w:line="360" w:lineRule="auto"/>
        <w:jc w:val="center"/>
        <w:rPr>
          <w:rFonts w:cstheme="minorHAnsi"/>
          <w:b/>
          <w:sz w:val="28"/>
          <w:szCs w:val="28"/>
        </w:rPr>
      </w:pPr>
      <w:r w:rsidRPr="005E1103">
        <w:rPr>
          <w:rFonts w:cstheme="minorHAnsi"/>
          <w:b/>
          <w:sz w:val="28"/>
          <w:szCs w:val="28"/>
        </w:rPr>
        <w:lastRenderedPageBreak/>
        <w:t>COMUNICACIÓN 12</w:t>
      </w:r>
    </w:p>
    <w:p w:rsidR="00F76679" w:rsidRPr="00C94FAA" w:rsidRDefault="00F76679" w:rsidP="00F76679">
      <w:pPr>
        <w:pBdr>
          <w:top w:val="single" w:sz="4" w:space="1" w:color="auto"/>
          <w:left w:val="single" w:sz="4" w:space="4" w:color="auto"/>
          <w:bottom w:val="single" w:sz="4" w:space="1" w:color="auto"/>
          <w:right w:val="single" w:sz="4" w:space="4" w:color="auto"/>
        </w:pBdr>
        <w:jc w:val="center"/>
        <w:rPr>
          <w:rFonts w:cstheme="minorHAnsi"/>
          <w:b/>
          <w:sz w:val="28"/>
          <w:szCs w:val="28"/>
        </w:rPr>
      </w:pPr>
      <w:r w:rsidRPr="00C94FAA">
        <w:rPr>
          <w:rFonts w:cstheme="minorHAnsi"/>
          <w:b/>
          <w:sz w:val="28"/>
          <w:szCs w:val="28"/>
        </w:rPr>
        <w:t>Evaluación de los Campus Inclusivos de la Universidad de Granada-CEI BioTic 2015 como experiencia pre-universitaria. Diferencias por año de participación</w:t>
      </w:r>
    </w:p>
    <w:p w:rsidR="00F76679" w:rsidRPr="005E1103" w:rsidRDefault="00F76679" w:rsidP="00F76679">
      <w:pPr>
        <w:rPr>
          <w:rFonts w:cstheme="minorHAnsi"/>
          <w:sz w:val="28"/>
          <w:szCs w:val="28"/>
        </w:rPr>
      </w:pPr>
    </w:p>
    <w:p w:rsidR="00F76679" w:rsidRPr="005E1103" w:rsidRDefault="00F76679" w:rsidP="00F76679">
      <w:pPr>
        <w:jc w:val="right"/>
        <w:rPr>
          <w:rFonts w:cstheme="minorHAnsi"/>
          <w:sz w:val="28"/>
          <w:szCs w:val="28"/>
        </w:rPr>
      </w:pPr>
      <w:r w:rsidRPr="005E1103">
        <w:rPr>
          <w:rFonts w:cstheme="minorHAnsi"/>
          <w:sz w:val="28"/>
          <w:szCs w:val="28"/>
        </w:rPr>
        <w:t>Luis Doña Toledo</w:t>
      </w:r>
    </w:p>
    <w:p w:rsidR="00F76679" w:rsidRPr="005E1103" w:rsidRDefault="00F76679" w:rsidP="00F76679">
      <w:pPr>
        <w:jc w:val="right"/>
        <w:rPr>
          <w:rFonts w:cstheme="minorHAnsi"/>
          <w:sz w:val="28"/>
          <w:szCs w:val="28"/>
        </w:rPr>
      </w:pPr>
      <w:r w:rsidRPr="005E1103">
        <w:rPr>
          <w:rFonts w:cstheme="minorHAnsi"/>
          <w:sz w:val="28"/>
          <w:szCs w:val="28"/>
        </w:rPr>
        <w:t>Profesor de Marketing. Universidad de Sevilla</w:t>
      </w:r>
    </w:p>
    <w:p w:rsidR="00F76679" w:rsidRPr="005E1103" w:rsidRDefault="00F76679" w:rsidP="00F76679">
      <w:pPr>
        <w:jc w:val="right"/>
        <w:rPr>
          <w:rFonts w:cstheme="minorHAnsi"/>
          <w:sz w:val="28"/>
          <w:szCs w:val="28"/>
        </w:rPr>
      </w:pPr>
      <w:r w:rsidRPr="005E1103">
        <w:rPr>
          <w:rFonts w:cstheme="minorHAnsi"/>
          <w:sz w:val="28"/>
          <w:szCs w:val="28"/>
        </w:rPr>
        <w:t xml:space="preserve">Responsable de Comunicación y Marketing del proyecto </w:t>
      </w:r>
    </w:p>
    <w:p w:rsidR="00F76679" w:rsidRPr="005E1103" w:rsidRDefault="00F76679" w:rsidP="00F76679">
      <w:pPr>
        <w:jc w:val="right"/>
        <w:rPr>
          <w:rFonts w:cstheme="minorHAnsi"/>
          <w:sz w:val="28"/>
          <w:szCs w:val="28"/>
        </w:rPr>
      </w:pPr>
      <w:r w:rsidRPr="005E1103">
        <w:rPr>
          <w:rFonts w:cstheme="minorHAnsi"/>
          <w:sz w:val="28"/>
          <w:szCs w:val="28"/>
        </w:rPr>
        <w:t>CEI BioTic de la Universidad de Granada</w:t>
      </w:r>
    </w:p>
    <w:p w:rsidR="00F76679" w:rsidRPr="005E1103" w:rsidRDefault="00F76679" w:rsidP="00F76679">
      <w:pPr>
        <w:jc w:val="right"/>
        <w:rPr>
          <w:rFonts w:cstheme="minorHAnsi"/>
          <w:sz w:val="28"/>
          <w:szCs w:val="28"/>
        </w:rPr>
      </w:pPr>
    </w:p>
    <w:p w:rsidR="00F76679" w:rsidRPr="005E1103" w:rsidRDefault="00F76679" w:rsidP="00F76679">
      <w:pPr>
        <w:jc w:val="right"/>
        <w:rPr>
          <w:rFonts w:cstheme="minorHAnsi"/>
          <w:sz w:val="28"/>
          <w:szCs w:val="28"/>
        </w:rPr>
      </w:pPr>
    </w:p>
    <w:p w:rsidR="00F76679" w:rsidRPr="005E1103" w:rsidRDefault="00F76679" w:rsidP="00F76679">
      <w:pPr>
        <w:jc w:val="right"/>
        <w:rPr>
          <w:rFonts w:cstheme="minorHAnsi"/>
          <w:sz w:val="28"/>
          <w:szCs w:val="28"/>
        </w:rPr>
      </w:pPr>
      <w:r w:rsidRPr="005E1103">
        <w:rPr>
          <w:rFonts w:cstheme="minorHAnsi"/>
          <w:sz w:val="28"/>
          <w:szCs w:val="28"/>
        </w:rPr>
        <w:t>Marta Medina García</w:t>
      </w:r>
    </w:p>
    <w:p w:rsidR="00F76679" w:rsidRPr="005E1103" w:rsidRDefault="00F76679" w:rsidP="00F76679">
      <w:pPr>
        <w:jc w:val="right"/>
        <w:rPr>
          <w:rFonts w:cstheme="minorHAnsi"/>
          <w:sz w:val="28"/>
          <w:szCs w:val="28"/>
        </w:rPr>
      </w:pPr>
      <w:r w:rsidRPr="005E1103">
        <w:rPr>
          <w:rFonts w:cstheme="minorHAnsi"/>
          <w:sz w:val="28"/>
          <w:szCs w:val="28"/>
        </w:rPr>
        <w:t>Coordinadora de los Campus Inclusivos. Doctoranda en Pedagogía</w:t>
      </w:r>
    </w:p>
    <w:p w:rsidR="00F76679" w:rsidRPr="005E1103" w:rsidRDefault="00F76679" w:rsidP="00F76679">
      <w:pPr>
        <w:jc w:val="right"/>
        <w:rPr>
          <w:rFonts w:cstheme="minorHAnsi"/>
          <w:sz w:val="28"/>
          <w:szCs w:val="28"/>
        </w:rPr>
      </w:pPr>
      <w:r w:rsidRPr="005E1103">
        <w:rPr>
          <w:rFonts w:cstheme="minorHAnsi"/>
          <w:sz w:val="28"/>
          <w:szCs w:val="28"/>
        </w:rPr>
        <w:t>Universidad de Granada</w:t>
      </w:r>
    </w:p>
    <w:p w:rsidR="00F76679" w:rsidRPr="005E1103" w:rsidRDefault="00F76679" w:rsidP="00F76679">
      <w:pPr>
        <w:rPr>
          <w:rFonts w:cstheme="minorHAnsi"/>
          <w:sz w:val="28"/>
          <w:szCs w:val="28"/>
        </w:rPr>
      </w:pPr>
    </w:p>
    <w:p w:rsidR="00F76679" w:rsidRPr="005E1103" w:rsidRDefault="00F76679" w:rsidP="00F76679">
      <w:pPr>
        <w:rPr>
          <w:rFonts w:cstheme="minorHAnsi"/>
          <w:b/>
          <w:sz w:val="28"/>
          <w:szCs w:val="28"/>
        </w:rPr>
      </w:pPr>
      <w:r w:rsidRPr="005E1103">
        <w:rPr>
          <w:rFonts w:cstheme="minorHAnsi"/>
          <w:b/>
          <w:sz w:val="28"/>
          <w:szCs w:val="28"/>
        </w:rPr>
        <w:t>Resumen:</w:t>
      </w:r>
    </w:p>
    <w:p w:rsidR="00F76679" w:rsidRPr="005E1103" w:rsidRDefault="00F76679" w:rsidP="00F76679">
      <w:pPr>
        <w:rPr>
          <w:rFonts w:cstheme="minorHAnsi"/>
          <w:sz w:val="28"/>
          <w:szCs w:val="28"/>
        </w:rPr>
      </w:pPr>
    </w:p>
    <w:p w:rsidR="00F76679" w:rsidRPr="005E1103" w:rsidRDefault="00F76679" w:rsidP="00F76679">
      <w:pPr>
        <w:jc w:val="both"/>
        <w:rPr>
          <w:rFonts w:cstheme="minorHAnsi"/>
          <w:sz w:val="28"/>
          <w:szCs w:val="28"/>
        </w:rPr>
      </w:pPr>
      <w:r w:rsidRPr="005E1103">
        <w:rPr>
          <w:rFonts w:cstheme="minorHAnsi"/>
          <w:sz w:val="28"/>
          <w:szCs w:val="28"/>
        </w:rPr>
        <w:t xml:space="preserve">Desde el año 2013 la Universidad de Granada lleva desarrollando la experiencia de los “Campus Inclusivos. Campus sin Límites” dentro de su Campus de Excelencia Internacional CEI BioTic, con el objetivo de promover la accesibilidad universal como elemento favorecedor de la inclusión y motivar a los estudiantes sobre la importancia de continuar la formación académica de orden superior como medio para la obtención de un proyecto de vida pleno. El presente estudio analiza la experiencia desarrollada en el año 2015 donde acudieron 20 alumnos de 4º ESO y Bachillerato, 12 de ellos con distintas discapacidades (discapacidad auditiva, discapacidad visual, discapacidad física, discapacidad psicosocial). Se analizan los siguientes aspectos del Campus: valoración de las actividades desarrolladas, organización del campus, utilidad y satisfacción y probabilidad de repetir. También se compara la valoración general según año de realización (2014 y 2015) a través de pruebas no paramétricas dada la limitación de la muestra. Entre los resultados más significativos destaca la alta valoración de actividades de ocio y académicas, la utilidad del Campus para desarrollar nuevas habilidades y </w:t>
      </w:r>
      <w:r w:rsidR="00C94FAA" w:rsidRPr="005E1103">
        <w:rPr>
          <w:rFonts w:cstheme="minorHAnsi"/>
          <w:sz w:val="28"/>
          <w:szCs w:val="28"/>
        </w:rPr>
        <w:lastRenderedPageBreak/>
        <w:t>capacidad,</w:t>
      </w:r>
      <w:r w:rsidRPr="005E1103">
        <w:rPr>
          <w:rFonts w:cstheme="minorHAnsi"/>
          <w:sz w:val="28"/>
          <w:szCs w:val="28"/>
        </w:rPr>
        <w:t xml:space="preserve"> así como mejorar la integración de personas con discapacidad. Resulta fundamental la evaluación continua de esta actividad para su mejora. Entre las implicaciones del estudio, resaltar la importancia de estos datos para la toma de decisiones de la gestión universitaria. Esta información también es relevante para los padres con hijos con discapacidad y para los propios jóvenes.</w:t>
      </w:r>
    </w:p>
    <w:p w:rsidR="00F76679" w:rsidRPr="005E1103" w:rsidRDefault="00F76679" w:rsidP="00F76679">
      <w:pPr>
        <w:rPr>
          <w:rFonts w:cstheme="minorHAnsi"/>
          <w:sz w:val="28"/>
          <w:szCs w:val="28"/>
        </w:rPr>
      </w:pPr>
    </w:p>
    <w:p w:rsidR="00F76679" w:rsidRPr="005E1103" w:rsidRDefault="00F76679" w:rsidP="00F76679">
      <w:pPr>
        <w:jc w:val="both"/>
        <w:rPr>
          <w:rFonts w:cstheme="minorHAnsi"/>
          <w:i/>
          <w:sz w:val="28"/>
          <w:szCs w:val="28"/>
        </w:rPr>
      </w:pPr>
      <w:r w:rsidRPr="005E1103">
        <w:rPr>
          <w:rFonts w:cstheme="minorHAnsi"/>
          <w:b/>
          <w:i/>
          <w:sz w:val="28"/>
          <w:szCs w:val="28"/>
        </w:rPr>
        <w:t>Palabras clave:</w:t>
      </w:r>
      <w:r w:rsidRPr="005E1103">
        <w:rPr>
          <w:rFonts w:cstheme="minorHAnsi"/>
          <w:i/>
          <w:sz w:val="28"/>
          <w:szCs w:val="28"/>
        </w:rPr>
        <w:t xml:space="preserve"> inclusión, universidad, discapacidad e integración, innovación docente, cambio de actitudes</w:t>
      </w:r>
    </w:p>
    <w:p w:rsidR="00F76679" w:rsidRPr="005E1103" w:rsidRDefault="00F76679" w:rsidP="00F76679">
      <w:pPr>
        <w:rPr>
          <w:rFonts w:cstheme="minorHAnsi"/>
          <w:sz w:val="28"/>
          <w:szCs w:val="28"/>
        </w:rPr>
      </w:pPr>
    </w:p>
    <w:p w:rsidR="00F76679" w:rsidRPr="005E1103" w:rsidRDefault="00F76679" w:rsidP="00F76679">
      <w:pPr>
        <w:numPr>
          <w:ilvl w:val="0"/>
          <w:numId w:val="12"/>
        </w:numPr>
        <w:spacing w:after="0" w:line="240" w:lineRule="auto"/>
        <w:rPr>
          <w:rFonts w:cstheme="minorHAnsi"/>
          <w:b/>
          <w:sz w:val="28"/>
          <w:szCs w:val="28"/>
        </w:rPr>
      </w:pPr>
      <w:r w:rsidRPr="005E1103">
        <w:rPr>
          <w:rFonts w:cstheme="minorHAnsi"/>
          <w:b/>
          <w:sz w:val="28"/>
          <w:szCs w:val="28"/>
        </w:rPr>
        <w:t>Introducción</w:t>
      </w:r>
    </w:p>
    <w:p w:rsidR="00F76679" w:rsidRPr="005E1103" w:rsidRDefault="00F76679" w:rsidP="00F76679">
      <w:pPr>
        <w:rPr>
          <w:rFonts w:cstheme="minorHAnsi"/>
          <w:sz w:val="28"/>
          <w:szCs w:val="28"/>
        </w:rPr>
      </w:pPr>
    </w:p>
    <w:p w:rsidR="00F76679" w:rsidRPr="005E1103" w:rsidRDefault="00F76679" w:rsidP="00F76679">
      <w:pPr>
        <w:jc w:val="both"/>
        <w:rPr>
          <w:rFonts w:cstheme="minorHAnsi"/>
          <w:sz w:val="28"/>
          <w:szCs w:val="28"/>
        </w:rPr>
      </w:pPr>
      <w:r w:rsidRPr="005E1103">
        <w:rPr>
          <w:rFonts w:cstheme="minorHAnsi"/>
          <w:sz w:val="28"/>
          <w:szCs w:val="28"/>
        </w:rPr>
        <w:t>El abandono escolar temprano por estudiantes con discapacidad es una realidad en nuestro sistema educativo. Si tomamos como muestra los datos, nos encontramos que las cifras ofrecidas por el Ministerio de Educación, Cultura y Deporte, concretamente del documento “</w:t>
      </w:r>
      <w:r w:rsidRPr="005E1103">
        <w:rPr>
          <w:rFonts w:cstheme="minorHAnsi"/>
          <w:i/>
          <w:sz w:val="28"/>
          <w:szCs w:val="28"/>
        </w:rPr>
        <w:t>Datos y cifras curso escolar 2014/2015</w:t>
      </w:r>
      <w:r w:rsidRPr="005E1103">
        <w:rPr>
          <w:rFonts w:cstheme="minorHAnsi"/>
          <w:sz w:val="28"/>
          <w:szCs w:val="28"/>
        </w:rPr>
        <w:t xml:space="preserve">”, destacan el gran salto en las cifras, una vez comienza la etapa postobligatoria, en la cual disminuye drásticamente el número de estudiantes con necesidades educativas especiales hasta llegar a cifras irrelevantes como 0,3/ en bachillerato o 0,5% en la formación profesional. </w:t>
      </w:r>
    </w:p>
    <w:p w:rsidR="00F76679" w:rsidRPr="005E1103" w:rsidRDefault="00F76679" w:rsidP="00F76679">
      <w:pPr>
        <w:jc w:val="both"/>
        <w:rPr>
          <w:rFonts w:cstheme="minorHAnsi"/>
          <w:sz w:val="28"/>
          <w:szCs w:val="28"/>
        </w:rPr>
      </w:pPr>
    </w:p>
    <w:p w:rsidR="00F76679" w:rsidRPr="005E1103" w:rsidRDefault="00F76679" w:rsidP="00F76679">
      <w:pPr>
        <w:jc w:val="both"/>
        <w:rPr>
          <w:rFonts w:cstheme="minorHAnsi"/>
          <w:sz w:val="28"/>
          <w:szCs w:val="28"/>
        </w:rPr>
      </w:pPr>
      <w:r w:rsidRPr="005E1103">
        <w:rPr>
          <w:rFonts w:cstheme="minorHAnsi"/>
          <w:sz w:val="28"/>
          <w:szCs w:val="28"/>
        </w:rPr>
        <w:t>Junto a ello, los resultados del estudio llevado a cabo por la Fundación Universia, revelan un descenso en el número de estudiantes con discapacidad matriculados en las universidades españolas. Exponiendo que durante el curso académico 2014-2015 ha disminuido hasta 21.577, lo que supone un descenso del 1,6% respecto al curso anterior. Este descenso también afecta al porcentaje de universitarios con discapacidad representados en el total de estudiantes de la comunidad universitaria, el cual representa el 1,3% en este curso. Junto a ello, otros datos del estudio revelan que un 43% de los estudiantes con discapacidad siguen prefiriendo las universidades a distancia.</w:t>
      </w:r>
    </w:p>
    <w:p w:rsidR="00F76679" w:rsidRPr="005E1103" w:rsidRDefault="00F76679" w:rsidP="00F76679">
      <w:pPr>
        <w:jc w:val="both"/>
        <w:rPr>
          <w:rFonts w:cstheme="minorHAnsi"/>
          <w:sz w:val="28"/>
          <w:szCs w:val="28"/>
        </w:rPr>
      </w:pPr>
    </w:p>
    <w:p w:rsidR="00F76679" w:rsidRPr="005E1103" w:rsidRDefault="00F76679" w:rsidP="00F76679">
      <w:pPr>
        <w:jc w:val="both"/>
        <w:rPr>
          <w:rFonts w:cstheme="minorHAnsi"/>
          <w:sz w:val="28"/>
          <w:szCs w:val="28"/>
        </w:rPr>
      </w:pPr>
      <w:r w:rsidRPr="005E1103">
        <w:rPr>
          <w:rFonts w:cstheme="minorHAnsi"/>
          <w:sz w:val="28"/>
          <w:szCs w:val="28"/>
        </w:rPr>
        <w:t xml:space="preserve">En definitiva, estos datos son la evidencia de que existe un problema de justicia social en torno a los estudiantes con discapacidad. Por tanto, ante esta situación, cabe preguntarse cómo contempla la normativa en materia de educación y discapacidad, la inclusión de los estudiantes con discapacidad. </w:t>
      </w:r>
    </w:p>
    <w:p w:rsidR="00F76679" w:rsidRPr="005E1103" w:rsidRDefault="00F76679" w:rsidP="00F76679">
      <w:pPr>
        <w:jc w:val="both"/>
        <w:rPr>
          <w:rFonts w:cstheme="minorHAnsi"/>
          <w:sz w:val="28"/>
          <w:szCs w:val="28"/>
        </w:rPr>
      </w:pPr>
    </w:p>
    <w:p w:rsidR="00F76679" w:rsidRPr="005E1103" w:rsidRDefault="00F76679" w:rsidP="00F76679">
      <w:pPr>
        <w:jc w:val="both"/>
        <w:rPr>
          <w:rFonts w:cstheme="minorHAnsi"/>
          <w:sz w:val="28"/>
          <w:szCs w:val="28"/>
        </w:rPr>
      </w:pPr>
      <w:r w:rsidRPr="005E1103">
        <w:rPr>
          <w:rFonts w:cstheme="minorHAnsi"/>
          <w:sz w:val="28"/>
          <w:szCs w:val="28"/>
        </w:rPr>
        <w:lastRenderedPageBreak/>
        <w:t>El propio sistema educativo español a través de su Ley Orgánica actual 8/2013, de 9 de diciembre, para la mejora de la calidad educativa (LOMCE) establece en términos generales que se actuará conforme a la equidad, la igualdad de oportunidades y la inclusión educativa, como elemento compensador de desigualdades, especialmente las que se deriven de cualquier tipo de discapacidad. Asimismo, la Ley 6/2001, de 21 de diciembre, orgánica de universidades (LOU) (posteriormente modificada por la Ley 4/2007, de 12 de abril, LOMLOU), reconocen el derecho a la igualdad de oportunidades y no discriminación por circunstancias personales, sociales, o de discapacidad, en el acceso a todos los centros educativos, incluida la Universidad</w:t>
      </w:r>
    </w:p>
    <w:p w:rsidR="00F76679" w:rsidRPr="005E1103" w:rsidRDefault="00F76679" w:rsidP="00F76679">
      <w:pPr>
        <w:jc w:val="both"/>
        <w:rPr>
          <w:rFonts w:cstheme="minorHAnsi"/>
          <w:sz w:val="28"/>
          <w:szCs w:val="28"/>
        </w:rPr>
      </w:pPr>
    </w:p>
    <w:p w:rsidR="00F76679" w:rsidRPr="005E1103" w:rsidRDefault="00F76679" w:rsidP="00F76679">
      <w:pPr>
        <w:jc w:val="both"/>
        <w:rPr>
          <w:rFonts w:cstheme="minorHAnsi"/>
          <w:sz w:val="28"/>
          <w:szCs w:val="28"/>
        </w:rPr>
      </w:pPr>
      <w:r w:rsidRPr="005E1103">
        <w:rPr>
          <w:rFonts w:cstheme="minorHAnsi"/>
          <w:sz w:val="28"/>
          <w:szCs w:val="28"/>
        </w:rPr>
        <w:t>Por otro lado, de la normativa en materia de discapacidad, debemos destacar el artículo 24 de la Convención Internacional de Derechos de las Personas con Discapacidad, aprobada en el seno de la Organización de las Naciones Unidas en el año 2006, y que entró en vigor en el Ordenamiento Jurídico español el 3 de mayo de 2008, reconoce que “</w:t>
      </w:r>
      <w:r w:rsidRPr="005E1103">
        <w:rPr>
          <w:rFonts w:cstheme="minorHAnsi"/>
          <w:i/>
          <w:sz w:val="28"/>
          <w:szCs w:val="28"/>
        </w:rPr>
        <w:t>Los Estados Partes reconocen el derecho de las personas con discapacidad a la educación. Con miras a hacer efectivo este derecho sin discriminación y sobre la base de igualdad de oportunidades, los Estados Partes asegurarán un sistema de educación inclusivo a todos los niveles, así como la enseñanza a lo largo de la vida.”</w:t>
      </w:r>
    </w:p>
    <w:p w:rsidR="00F76679" w:rsidRPr="005E1103" w:rsidRDefault="00F76679" w:rsidP="00F76679">
      <w:pPr>
        <w:jc w:val="both"/>
        <w:rPr>
          <w:rFonts w:cstheme="minorHAnsi"/>
          <w:sz w:val="28"/>
          <w:szCs w:val="28"/>
        </w:rPr>
      </w:pPr>
    </w:p>
    <w:p w:rsidR="00F76679" w:rsidRPr="005E1103" w:rsidRDefault="00F76679" w:rsidP="00F76679">
      <w:pPr>
        <w:jc w:val="both"/>
        <w:rPr>
          <w:rFonts w:cstheme="minorHAnsi"/>
          <w:sz w:val="28"/>
          <w:szCs w:val="28"/>
        </w:rPr>
      </w:pPr>
      <w:r w:rsidRPr="005E1103">
        <w:rPr>
          <w:rFonts w:cstheme="minorHAnsi"/>
          <w:sz w:val="28"/>
          <w:szCs w:val="28"/>
        </w:rPr>
        <w:t xml:space="preserve">De la misma manera, </w:t>
      </w:r>
      <w:r w:rsidRPr="005E1103">
        <w:rPr>
          <w:rFonts w:cstheme="minorHAnsi"/>
          <w:i/>
          <w:iCs/>
          <w:sz w:val="28"/>
          <w:szCs w:val="28"/>
        </w:rPr>
        <w:t xml:space="preserve">Real Decreto Legislativo 1/2013, de 29 de noviembre, por el que se aprueba el Texto Refundido de la Ley General de derechos de las personas con discapacidad y de su inclusión social. </w:t>
      </w:r>
      <w:r w:rsidRPr="005E1103">
        <w:rPr>
          <w:rFonts w:cstheme="minorHAnsi"/>
          <w:iCs/>
          <w:sz w:val="28"/>
          <w:szCs w:val="28"/>
        </w:rPr>
        <w:t>En su Capítulo IV Derecho a la educación, el artículo 18.2. determina que “</w:t>
      </w:r>
      <w:r w:rsidRPr="005E1103">
        <w:rPr>
          <w:rFonts w:cstheme="minorHAnsi"/>
          <w:i/>
          <w:iCs/>
          <w:sz w:val="28"/>
          <w:szCs w:val="28"/>
        </w:rPr>
        <w:t xml:space="preserve">Corresponde a las administraciones educativas asegurar un sistema educativo inclusivo en todos los niveles </w:t>
      </w:r>
      <w:r w:rsidR="00C94FAA" w:rsidRPr="005E1103">
        <w:rPr>
          <w:rFonts w:cstheme="minorHAnsi"/>
          <w:i/>
          <w:iCs/>
          <w:sz w:val="28"/>
          <w:szCs w:val="28"/>
        </w:rPr>
        <w:t>educativos,</w:t>
      </w:r>
      <w:r w:rsidRPr="005E1103">
        <w:rPr>
          <w:rFonts w:cstheme="minorHAnsi"/>
          <w:i/>
          <w:iCs/>
          <w:sz w:val="28"/>
          <w:szCs w:val="28"/>
        </w:rPr>
        <w:t xml:space="preserve"> así como la enseñanza a lo largo de la vida”</w:t>
      </w:r>
      <w:r w:rsidRPr="005E1103">
        <w:rPr>
          <w:rFonts w:cstheme="minorHAnsi"/>
          <w:iCs/>
          <w:sz w:val="28"/>
          <w:szCs w:val="28"/>
        </w:rPr>
        <w:t>.</w:t>
      </w:r>
    </w:p>
    <w:p w:rsidR="00F76679" w:rsidRPr="005E1103" w:rsidRDefault="00F76679" w:rsidP="00F76679">
      <w:pPr>
        <w:jc w:val="both"/>
        <w:rPr>
          <w:rFonts w:cstheme="minorHAnsi"/>
          <w:sz w:val="28"/>
          <w:szCs w:val="28"/>
        </w:rPr>
      </w:pPr>
    </w:p>
    <w:p w:rsidR="00F76679" w:rsidRPr="005E1103" w:rsidRDefault="00F76679" w:rsidP="00F76679">
      <w:pPr>
        <w:jc w:val="both"/>
        <w:rPr>
          <w:rFonts w:cstheme="minorHAnsi"/>
          <w:sz w:val="28"/>
          <w:szCs w:val="28"/>
        </w:rPr>
      </w:pPr>
      <w:r w:rsidRPr="005E1103">
        <w:rPr>
          <w:rFonts w:cstheme="minorHAnsi"/>
          <w:sz w:val="28"/>
          <w:szCs w:val="28"/>
        </w:rPr>
        <w:t>No sólo desde el ámbito español, también desde las políticas europeas educativas se insiste en este aspecto, un ejemplo de ello es la Estrategia Europea sobre Discapacidad 2010-2020, aprobada en 2010 por la Comisión Europea, que indica que a las personas con discapacidad se les habrá de garantizar una educación y una formación inclusivas y de calidad. Y lo mismo ocurre con el Informe de la European Association for Quality Assurance in Higher Education (ENQA, 2005) que establece como un criterio prioritario de calidad de la Educación Superior, la inclusión en las universidades europeas.</w:t>
      </w:r>
    </w:p>
    <w:p w:rsidR="00F76679" w:rsidRPr="005E1103" w:rsidRDefault="00F76679" w:rsidP="00F76679">
      <w:pPr>
        <w:jc w:val="both"/>
        <w:rPr>
          <w:rFonts w:cstheme="minorHAnsi"/>
          <w:sz w:val="28"/>
          <w:szCs w:val="28"/>
        </w:rPr>
      </w:pPr>
    </w:p>
    <w:p w:rsidR="00F76679" w:rsidRPr="005E1103" w:rsidRDefault="00F76679" w:rsidP="00F76679">
      <w:pPr>
        <w:jc w:val="both"/>
        <w:rPr>
          <w:rFonts w:cstheme="minorHAnsi"/>
          <w:sz w:val="28"/>
          <w:szCs w:val="28"/>
        </w:rPr>
      </w:pPr>
      <w:r w:rsidRPr="005E1103">
        <w:rPr>
          <w:rFonts w:cstheme="minorHAnsi"/>
          <w:sz w:val="28"/>
          <w:szCs w:val="28"/>
        </w:rPr>
        <w:lastRenderedPageBreak/>
        <w:t xml:space="preserve">Por último, para concluir con el análisis de la situación, es necesario conocer qué expone la literatura sobre esta cuestión. Según Richardson (2010) Lagoke, Komolafe, Ige y Oladejo (2010) más de la mitad de estudiantes con discapacidad realizan sus estudios de forma no presencial o a distancia. Y en concreto, en la realidad española es precisamente la Universidad Nacional a Distancia (UNED) la que cuenta con un mayor número de estudiantes con discapacidad. Por lo </w:t>
      </w:r>
      <w:r w:rsidR="00C94FAA" w:rsidRPr="005E1103">
        <w:rPr>
          <w:rFonts w:cstheme="minorHAnsi"/>
          <w:sz w:val="28"/>
          <w:szCs w:val="28"/>
        </w:rPr>
        <w:t>tanto,</w:t>
      </w:r>
      <w:r w:rsidRPr="005E1103">
        <w:rPr>
          <w:rFonts w:cstheme="minorHAnsi"/>
          <w:sz w:val="28"/>
          <w:szCs w:val="28"/>
        </w:rPr>
        <w:t xml:space="preserve"> tal como señalan Muñoz-Cantero, Novo-Corti y Espiñeria-Bellón (2013) se hace necesario llevar a cabo herramientas y experiencias que creen un entorno favorable entre los compañeros con quienes los jóvenes con discapacidad han de compartir aulas dentro de las universidades presenciales con el objetivo de lograr una mayor conciencia de la inclusión y normalización de la situación de personas con alguna discapacidad.</w:t>
      </w:r>
    </w:p>
    <w:p w:rsidR="00F76679" w:rsidRPr="005E1103" w:rsidRDefault="00F76679" w:rsidP="00F76679">
      <w:pPr>
        <w:jc w:val="both"/>
        <w:rPr>
          <w:rFonts w:cstheme="minorHAnsi"/>
          <w:sz w:val="28"/>
          <w:szCs w:val="28"/>
        </w:rPr>
      </w:pPr>
    </w:p>
    <w:p w:rsidR="00F76679" w:rsidRPr="005E1103" w:rsidRDefault="00F76679" w:rsidP="00F76679">
      <w:pPr>
        <w:jc w:val="both"/>
        <w:rPr>
          <w:rFonts w:cstheme="minorHAnsi"/>
          <w:sz w:val="28"/>
          <w:szCs w:val="28"/>
        </w:rPr>
      </w:pPr>
      <w:r w:rsidRPr="005E1103">
        <w:rPr>
          <w:rFonts w:cstheme="minorHAnsi"/>
          <w:sz w:val="28"/>
          <w:szCs w:val="28"/>
        </w:rPr>
        <w:t>Por otro lado, a pesar de que dentro de las universidades se cuentan con diversas unidades y servicios de ayuda al estudiante con discapacidad, es escasa la prestación de ayuda y formación a la hora de elegir y seleccionar los estudios universitarios (Vieira y Ferreira, 2011). Como norma general, los estudiantes con discapacidad acceden aún en menor medida que el conjunto de la población a las enseñanzas universitarias (Comes-Nolla et al., 2011) debido a motivos como la falta de información o entornos sociales y educativos no adecuados. Ainscow (2002) asegura que no es posible considerar una educación de calidad si no se flexibilizan los procesos de formación y se fomenta el principio de igualdad de oportunidades en el acceso a la formación universitaria de personas con discapacidad.</w:t>
      </w:r>
    </w:p>
    <w:p w:rsidR="00F76679" w:rsidRPr="005E1103" w:rsidRDefault="00F76679" w:rsidP="00F76679">
      <w:pPr>
        <w:jc w:val="both"/>
        <w:rPr>
          <w:rFonts w:cstheme="minorHAnsi"/>
          <w:sz w:val="28"/>
          <w:szCs w:val="28"/>
        </w:rPr>
      </w:pPr>
    </w:p>
    <w:p w:rsidR="00F76679" w:rsidRPr="005E1103" w:rsidRDefault="00F76679" w:rsidP="00F76679">
      <w:pPr>
        <w:jc w:val="both"/>
        <w:rPr>
          <w:rFonts w:cstheme="minorHAnsi"/>
          <w:sz w:val="28"/>
          <w:szCs w:val="28"/>
        </w:rPr>
      </w:pPr>
      <w:r w:rsidRPr="005E1103">
        <w:rPr>
          <w:rFonts w:cstheme="minorHAnsi"/>
          <w:sz w:val="28"/>
          <w:szCs w:val="28"/>
        </w:rPr>
        <w:t xml:space="preserve">Uno de los principales problemas que suponen una barrera para el estudiante con discapacidad a la universidad es la propia relación con sus futuros compañeros de clase ya que uno de los aspectos cruciales para la inclusión del alumnado con discapacidad radica precisamente en las relaciones interpersonales que este establezca con su grupo de iguales (Alonso, Navarro y Vicente, 2008). Resulta de vital importancia realizar el salto de la integración a la inclusión y aceptar que este alumnado debe adquirir, como los demás, las competencias básicas y que alcancen altos grados de </w:t>
      </w:r>
      <w:r w:rsidR="00C94FAA" w:rsidRPr="005E1103">
        <w:rPr>
          <w:rFonts w:cstheme="minorHAnsi"/>
          <w:sz w:val="28"/>
          <w:szCs w:val="28"/>
        </w:rPr>
        <w:t>socialización,</w:t>
      </w:r>
      <w:r w:rsidRPr="005E1103">
        <w:rPr>
          <w:rFonts w:cstheme="minorHAnsi"/>
          <w:sz w:val="28"/>
          <w:szCs w:val="28"/>
        </w:rPr>
        <w:t xml:space="preserve"> así como que deben desarrollar al máximo sus capacidades y alcanzar las competencias precisas para su incorporación al mundo laboral y social, dentro de sus posibilidades personales (Echeita, 2006).</w:t>
      </w:r>
    </w:p>
    <w:p w:rsidR="00F76679" w:rsidRPr="005E1103" w:rsidRDefault="00F76679" w:rsidP="00F76679">
      <w:pPr>
        <w:rPr>
          <w:rFonts w:cstheme="minorHAnsi"/>
          <w:sz w:val="28"/>
          <w:szCs w:val="28"/>
        </w:rPr>
      </w:pPr>
    </w:p>
    <w:p w:rsidR="00F76679" w:rsidRPr="005E1103" w:rsidRDefault="00F76679" w:rsidP="00F76679">
      <w:pPr>
        <w:jc w:val="both"/>
        <w:rPr>
          <w:rFonts w:cstheme="minorHAnsi"/>
          <w:sz w:val="28"/>
          <w:szCs w:val="28"/>
        </w:rPr>
      </w:pPr>
      <w:r w:rsidRPr="005E1103">
        <w:rPr>
          <w:rFonts w:cstheme="minorHAnsi"/>
          <w:sz w:val="28"/>
          <w:szCs w:val="28"/>
        </w:rPr>
        <w:lastRenderedPageBreak/>
        <w:t>Por lo tanto, resulta un objetivo prioritario mejorar la integración de estudiantes con discapacidad ya que la universidad inclusiva no solo favorece a éstos sino a todos los estudiantes en general (Morina, 2008) puesto que la enseñanza superior es mas eficaz cuanto mas inclusiva es la institución (Muñoz-Cantero, Novo-Corti y Espiñeria-Bellón, 2013). Puesto que un alumnado heterogéneo es algo deseable y positivo ya que aporta valor a la universidad y permite el avance de estudiantes con discapacidad tal como lo confirman numerosos estudios que demuestran que es posible un cambio de mentalidad que permita la inclusión en actividades de ocio, culturales, deportivas y, lo más importante, educativas (Egido et al., 2009).</w:t>
      </w:r>
    </w:p>
    <w:p w:rsidR="00F76679" w:rsidRPr="005E1103" w:rsidRDefault="00F76679" w:rsidP="00F76679">
      <w:pPr>
        <w:jc w:val="both"/>
        <w:rPr>
          <w:rFonts w:cstheme="minorHAnsi"/>
          <w:sz w:val="28"/>
          <w:szCs w:val="28"/>
        </w:rPr>
      </w:pPr>
    </w:p>
    <w:p w:rsidR="00F76679" w:rsidRPr="005E1103" w:rsidRDefault="00F76679" w:rsidP="00F76679">
      <w:pPr>
        <w:numPr>
          <w:ilvl w:val="0"/>
          <w:numId w:val="12"/>
        </w:numPr>
        <w:spacing w:after="0" w:line="240" w:lineRule="auto"/>
        <w:jc w:val="both"/>
        <w:rPr>
          <w:rFonts w:cstheme="minorHAnsi"/>
          <w:b/>
          <w:sz w:val="28"/>
          <w:szCs w:val="28"/>
        </w:rPr>
      </w:pPr>
      <w:r w:rsidRPr="005E1103">
        <w:rPr>
          <w:rFonts w:cstheme="minorHAnsi"/>
          <w:b/>
          <w:sz w:val="28"/>
          <w:szCs w:val="28"/>
        </w:rPr>
        <w:t>Respuesta a las necesidades detectadas: Campus Inclusivos de la Universidad de Granada (CEI BioTic).</w:t>
      </w:r>
    </w:p>
    <w:p w:rsidR="00F76679" w:rsidRPr="005E1103" w:rsidRDefault="00F76679" w:rsidP="00F76679">
      <w:pPr>
        <w:jc w:val="both"/>
        <w:rPr>
          <w:rFonts w:cstheme="minorHAnsi"/>
          <w:b/>
          <w:sz w:val="28"/>
          <w:szCs w:val="28"/>
        </w:rPr>
      </w:pPr>
    </w:p>
    <w:p w:rsidR="00F76679" w:rsidRPr="005E1103" w:rsidRDefault="00F76679" w:rsidP="00F76679">
      <w:pPr>
        <w:jc w:val="both"/>
        <w:rPr>
          <w:rFonts w:cstheme="minorHAnsi"/>
          <w:sz w:val="28"/>
          <w:szCs w:val="28"/>
        </w:rPr>
      </w:pPr>
      <w:r w:rsidRPr="005E1103">
        <w:rPr>
          <w:rFonts w:cstheme="minorHAnsi"/>
          <w:sz w:val="28"/>
          <w:szCs w:val="28"/>
        </w:rPr>
        <w:t xml:space="preserve">En este contexto mencionado en el apartado anterior se puede concluir que la universidad necesita estimular la inclusión, pero no únicamente durante la etapa </w:t>
      </w:r>
      <w:r w:rsidR="00C94FAA" w:rsidRPr="005E1103">
        <w:rPr>
          <w:rFonts w:cstheme="minorHAnsi"/>
          <w:sz w:val="28"/>
          <w:szCs w:val="28"/>
        </w:rPr>
        <w:t>universitaria,</w:t>
      </w:r>
      <w:r w:rsidRPr="005E1103">
        <w:rPr>
          <w:rFonts w:cstheme="minorHAnsi"/>
          <w:sz w:val="28"/>
          <w:szCs w:val="28"/>
        </w:rPr>
        <w:t xml:space="preserve"> sino que es necesario una precoz educación y concienciación de la educación inclusiva entre los jóvenes pre-universitarios. No debe obviarse que el papel de la universidad no es sólo un papel </w:t>
      </w:r>
      <w:r w:rsidR="00C94FAA" w:rsidRPr="005E1103">
        <w:rPr>
          <w:rFonts w:cstheme="minorHAnsi"/>
          <w:sz w:val="28"/>
          <w:szCs w:val="28"/>
        </w:rPr>
        <w:t>académico,</w:t>
      </w:r>
      <w:r w:rsidRPr="005E1103">
        <w:rPr>
          <w:rFonts w:cstheme="minorHAnsi"/>
          <w:sz w:val="28"/>
          <w:szCs w:val="28"/>
        </w:rPr>
        <w:t xml:space="preserve"> sino que es una de las principales instituciones que deben generar y fomentar el progreso y desarrollo humano y social.   La </w:t>
      </w:r>
      <w:r w:rsidRPr="005E1103">
        <w:rPr>
          <w:rFonts w:cstheme="minorHAnsi"/>
          <w:bCs/>
          <w:sz w:val="28"/>
          <w:szCs w:val="28"/>
        </w:rPr>
        <w:t>Organización para la Cooperación y Desarrollo Económicos (OCDE) (2011) a</w:t>
      </w:r>
      <w:r w:rsidRPr="005E1103">
        <w:rPr>
          <w:rFonts w:cstheme="minorHAnsi"/>
          <w:sz w:val="28"/>
          <w:szCs w:val="28"/>
        </w:rPr>
        <w:t>firma que existe una relación positiva entre el nivel de educación de la sociedad en general y aspectos como la salud, la calidad de vida o la felicidad de los integrantes de un país</w:t>
      </w:r>
      <w:r w:rsidRPr="005E1103" w:rsidDel="004A355A">
        <w:rPr>
          <w:rFonts w:cstheme="minorHAnsi"/>
          <w:sz w:val="28"/>
          <w:szCs w:val="28"/>
        </w:rPr>
        <w:t xml:space="preserve"> </w:t>
      </w:r>
      <w:r w:rsidRPr="005E1103">
        <w:rPr>
          <w:rFonts w:cstheme="minorHAnsi"/>
          <w:sz w:val="28"/>
          <w:szCs w:val="28"/>
        </w:rPr>
        <w:t>donde la universidad facilita el progreso y evolución social. Dentro de la dimensión de la responsabilidad social de la universidad (Luque, Del Barrio y Aguayo, 2009) se enmarca la igual de oportunidades y el tema de la inclusión.</w:t>
      </w:r>
    </w:p>
    <w:p w:rsidR="00F76679" w:rsidRPr="005E1103" w:rsidRDefault="00F76679" w:rsidP="00F76679">
      <w:pPr>
        <w:jc w:val="both"/>
        <w:rPr>
          <w:rFonts w:cstheme="minorHAnsi"/>
          <w:sz w:val="28"/>
          <w:szCs w:val="28"/>
        </w:rPr>
      </w:pPr>
    </w:p>
    <w:p w:rsidR="00F76679" w:rsidRPr="005E1103" w:rsidRDefault="00F76679" w:rsidP="00F76679">
      <w:pPr>
        <w:jc w:val="both"/>
        <w:rPr>
          <w:rFonts w:cstheme="minorHAnsi"/>
          <w:sz w:val="28"/>
          <w:szCs w:val="28"/>
        </w:rPr>
      </w:pPr>
      <w:r w:rsidRPr="005E1103">
        <w:rPr>
          <w:rFonts w:cstheme="minorHAnsi"/>
          <w:sz w:val="28"/>
          <w:szCs w:val="28"/>
        </w:rPr>
        <w:t xml:space="preserve">Con el objetivo de mejorar la inclusión y el acceso y éxito universitario de los estudiantes con discapacidad, la Universidad de Granada a través de su Campus de Excelencia Internacional (CEI BioTic) llevan realizando desde el 2013 los denominados “Campus Inclusivos. Campus sin límites”. Una iniciativa financiada por </w:t>
      </w:r>
      <w:r w:rsidRPr="005E1103">
        <w:rPr>
          <w:rFonts w:cstheme="minorHAnsi"/>
          <w:sz w:val="28"/>
          <w:szCs w:val="28"/>
          <w:lang w:val="es"/>
        </w:rPr>
        <w:t>por el Ministerio de Educación, Cultura y Deporte, Fundación REPSOL y Fundación ONCE. Y que en nuestra Universidad se enmarca dentro de las acciones</w:t>
      </w:r>
      <w:r w:rsidRPr="005E1103">
        <w:rPr>
          <w:rFonts w:cstheme="minorHAnsi"/>
          <w:sz w:val="28"/>
          <w:szCs w:val="28"/>
        </w:rPr>
        <w:t xml:space="preserve"> del proyecto CEI BioTic que persigue precisamente mejorar la accesibilidad, la inclusión y adaptar la educación al Espacio Europeo de la Educación Superior (EEES) donde mejorar las posibilidades de personas con discapacidad resulta prioritario. Dentro de este proyecto CEI se ha impulsado la </w:t>
      </w:r>
      <w:r w:rsidRPr="005E1103">
        <w:rPr>
          <w:rFonts w:cstheme="minorHAnsi"/>
          <w:sz w:val="28"/>
          <w:szCs w:val="28"/>
        </w:rPr>
        <w:lastRenderedPageBreak/>
        <w:t>movilidad internacional y la realización de prácticas de personas con discapacidad con ayudas especiales entre otras acciones.</w:t>
      </w:r>
    </w:p>
    <w:p w:rsidR="00F76679" w:rsidRPr="005E1103" w:rsidRDefault="00F76679" w:rsidP="00F76679">
      <w:pPr>
        <w:jc w:val="both"/>
        <w:rPr>
          <w:rFonts w:cstheme="minorHAnsi"/>
          <w:sz w:val="28"/>
          <w:szCs w:val="28"/>
        </w:rPr>
      </w:pPr>
    </w:p>
    <w:p w:rsidR="00F76679" w:rsidRPr="005E1103" w:rsidRDefault="00F76679" w:rsidP="00F76679">
      <w:pPr>
        <w:jc w:val="both"/>
        <w:rPr>
          <w:rFonts w:cstheme="minorHAnsi"/>
          <w:sz w:val="28"/>
          <w:szCs w:val="28"/>
        </w:rPr>
      </w:pPr>
      <w:r w:rsidRPr="005E1103">
        <w:rPr>
          <w:rFonts w:cstheme="minorHAnsi"/>
          <w:sz w:val="28"/>
          <w:szCs w:val="28"/>
        </w:rPr>
        <w:t>De forma específica estos Campus Inclusivos tenían como principales objetivos los siguientes:</w:t>
      </w:r>
    </w:p>
    <w:p w:rsidR="00F76679" w:rsidRPr="005E1103" w:rsidRDefault="00F76679" w:rsidP="00F76679">
      <w:pPr>
        <w:jc w:val="both"/>
        <w:rPr>
          <w:rFonts w:cstheme="minorHAnsi"/>
          <w:sz w:val="28"/>
          <w:szCs w:val="28"/>
          <w:lang w:val="es"/>
        </w:rPr>
      </w:pPr>
    </w:p>
    <w:p w:rsidR="00F76679" w:rsidRPr="005E1103" w:rsidRDefault="00F76679" w:rsidP="00F76679">
      <w:pPr>
        <w:numPr>
          <w:ilvl w:val="0"/>
          <w:numId w:val="13"/>
        </w:numPr>
        <w:tabs>
          <w:tab w:val="clear" w:pos="1080"/>
        </w:tabs>
        <w:spacing w:after="0" w:line="240" w:lineRule="auto"/>
        <w:ind w:left="540"/>
        <w:jc w:val="both"/>
        <w:rPr>
          <w:rFonts w:cstheme="minorHAnsi"/>
          <w:sz w:val="28"/>
          <w:szCs w:val="28"/>
          <w:lang w:val="es"/>
        </w:rPr>
      </w:pPr>
      <w:r w:rsidRPr="005E1103">
        <w:rPr>
          <w:rFonts w:cstheme="minorHAnsi"/>
          <w:sz w:val="28"/>
          <w:szCs w:val="28"/>
          <w:lang w:val="es"/>
        </w:rPr>
        <w:t>Fomentar que estudiantes con discapacidad no abandonen los estudios al término de la ESO, continuando su formación en el ámbito universitario.</w:t>
      </w:r>
    </w:p>
    <w:p w:rsidR="00F76679" w:rsidRPr="005E1103" w:rsidRDefault="00F76679" w:rsidP="00F76679">
      <w:pPr>
        <w:numPr>
          <w:ilvl w:val="0"/>
          <w:numId w:val="13"/>
        </w:numPr>
        <w:tabs>
          <w:tab w:val="clear" w:pos="1080"/>
        </w:tabs>
        <w:spacing w:after="0" w:line="240" w:lineRule="auto"/>
        <w:ind w:left="540"/>
        <w:jc w:val="both"/>
        <w:rPr>
          <w:rFonts w:cstheme="minorHAnsi"/>
          <w:sz w:val="28"/>
          <w:szCs w:val="28"/>
          <w:lang w:val="es"/>
        </w:rPr>
      </w:pPr>
      <w:r w:rsidRPr="005E1103">
        <w:rPr>
          <w:rFonts w:cstheme="minorHAnsi"/>
          <w:sz w:val="28"/>
          <w:szCs w:val="28"/>
          <w:lang w:val="es"/>
        </w:rPr>
        <w:t>Sensibilizar el entorno universitario acerca de las necesidades de los estudiantes con discapacidad, de manera que la experiencia del desarrollo del programa “Campus inclusivos, Campus sin límites” sirva para promover en el entorno universitario la adecuación de sus sistemas, método y materiales educativos a dichos estudiantes con discapacidad, facilitando así el desarrollo de su talento, creatividad y la plena adquisición de competencias.</w:t>
      </w:r>
    </w:p>
    <w:p w:rsidR="00F76679" w:rsidRPr="005E1103" w:rsidRDefault="00F76679" w:rsidP="00F76679">
      <w:pPr>
        <w:numPr>
          <w:ilvl w:val="0"/>
          <w:numId w:val="13"/>
        </w:numPr>
        <w:tabs>
          <w:tab w:val="clear" w:pos="1080"/>
        </w:tabs>
        <w:spacing w:after="0" w:line="240" w:lineRule="auto"/>
        <w:ind w:left="540"/>
        <w:jc w:val="both"/>
        <w:rPr>
          <w:rFonts w:cstheme="minorHAnsi"/>
          <w:sz w:val="28"/>
          <w:szCs w:val="28"/>
          <w:lang w:val="es"/>
        </w:rPr>
      </w:pPr>
      <w:r w:rsidRPr="005E1103">
        <w:rPr>
          <w:rFonts w:cstheme="minorHAnsi"/>
          <w:sz w:val="28"/>
          <w:szCs w:val="28"/>
          <w:lang w:val="es"/>
        </w:rPr>
        <w:t>Propiciar el conocimiento mutuo de las realidades de los jóvenes con y sin discapacidad, en un entorno realmente inclusivo.</w:t>
      </w:r>
    </w:p>
    <w:p w:rsidR="00F76679" w:rsidRPr="005E1103" w:rsidRDefault="00F76679" w:rsidP="00F76679">
      <w:pPr>
        <w:numPr>
          <w:ilvl w:val="0"/>
          <w:numId w:val="13"/>
        </w:numPr>
        <w:tabs>
          <w:tab w:val="clear" w:pos="1080"/>
        </w:tabs>
        <w:spacing w:after="0" w:line="240" w:lineRule="auto"/>
        <w:ind w:left="540"/>
        <w:jc w:val="both"/>
        <w:rPr>
          <w:rFonts w:cstheme="minorHAnsi"/>
          <w:sz w:val="28"/>
          <w:szCs w:val="28"/>
          <w:lang w:val="es"/>
        </w:rPr>
      </w:pPr>
      <w:r w:rsidRPr="005E1103">
        <w:rPr>
          <w:rFonts w:cstheme="minorHAnsi"/>
          <w:sz w:val="28"/>
          <w:szCs w:val="28"/>
        </w:rPr>
        <w:t>Difundir la idea de que la finalización de estudios universitarios facilita el acceso a puestos de trabajo de mejor calidad, que a su vez aseguran un mayor grado de autonomía e independencia en la edad adulta.</w:t>
      </w:r>
    </w:p>
    <w:p w:rsidR="00F76679" w:rsidRPr="005E1103" w:rsidRDefault="00F76679" w:rsidP="00F76679">
      <w:pPr>
        <w:numPr>
          <w:ilvl w:val="0"/>
          <w:numId w:val="13"/>
        </w:numPr>
        <w:tabs>
          <w:tab w:val="clear" w:pos="1080"/>
        </w:tabs>
        <w:spacing w:after="0" w:line="240" w:lineRule="auto"/>
        <w:ind w:left="540"/>
        <w:jc w:val="both"/>
        <w:rPr>
          <w:rFonts w:cstheme="minorHAnsi"/>
          <w:sz w:val="28"/>
          <w:szCs w:val="28"/>
        </w:rPr>
      </w:pPr>
      <w:r w:rsidRPr="005E1103">
        <w:rPr>
          <w:rFonts w:cstheme="minorHAnsi"/>
          <w:sz w:val="28"/>
          <w:szCs w:val="28"/>
        </w:rPr>
        <w:t>Concienciar a la sociedad, a través de la comunidad educativa, de la importancia del derecho a la educación superior en igualdad de condiciones para las personas con discapacidad, en aras del desarrollo de nuestra sociedad.</w:t>
      </w:r>
    </w:p>
    <w:p w:rsidR="00F76679" w:rsidRPr="005E1103" w:rsidRDefault="00F76679" w:rsidP="00F76679">
      <w:pPr>
        <w:numPr>
          <w:ilvl w:val="0"/>
          <w:numId w:val="13"/>
        </w:numPr>
        <w:tabs>
          <w:tab w:val="clear" w:pos="1080"/>
        </w:tabs>
        <w:spacing w:after="0" w:line="240" w:lineRule="auto"/>
        <w:ind w:left="540"/>
        <w:jc w:val="both"/>
        <w:rPr>
          <w:rFonts w:cstheme="minorHAnsi"/>
          <w:sz w:val="28"/>
          <w:szCs w:val="28"/>
        </w:rPr>
      </w:pPr>
      <w:r w:rsidRPr="005E1103">
        <w:rPr>
          <w:rFonts w:cstheme="minorHAnsi"/>
          <w:sz w:val="28"/>
          <w:szCs w:val="28"/>
        </w:rPr>
        <w:t>Lograr una experiencia inclusiva real que se extrapole a sus vidas cotidianas y establecer lazos de amistad entre nuestros participantes que sirvan de apoyo y referente.</w:t>
      </w:r>
    </w:p>
    <w:p w:rsidR="00F76679" w:rsidRPr="005E1103" w:rsidRDefault="00F76679" w:rsidP="00F76679">
      <w:pPr>
        <w:jc w:val="both"/>
        <w:rPr>
          <w:rFonts w:cstheme="minorHAnsi"/>
          <w:sz w:val="28"/>
          <w:szCs w:val="28"/>
        </w:rPr>
      </w:pPr>
    </w:p>
    <w:p w:rsidR="00F76679" w:rsidRPr="005E1103" w:rsidRDefault="00F76679" w:rsidP="00F76679">
      <w:pPr>
        <w:jc w:val="both"/>
        <w:rPr>
          <w:rFonts w:cstheme="minorHAnsi"/>
          <w:sz w:val="28"/>
          <w:szCs w:val="28"/>
          <w:lang w:val="es"/>
        </w:rPr>
      </w:pPr>
      <w:r w:rsidRPr="005E1103">
        <w:rPr>
          <w:rFonts w:cstheme="minorHAnsi"/>
          <w:sz w:val="28"/>
          <w:szCs w:val="28"/>
        </w:rPr>
        <w:t xml:space="preserve">La tercera edición de estos Campus Inclusivos se llevó a cabo del 19 al 27 de julio de 2015 donde participaron </w:t>
      </w:r>
      <w:r w:rsidRPr="005E1103">
        <w:rPr>
          <w:rFonts w:cstheme="minorHAnsi"/>
          <w:sz w:val="28"/>
          <w:szCs w:val="28"/>
          <w:lang w:val="es"/>
        </w:rPr>
        <w:t>20 estudiantes de 4º ESO y Bachillerato, 13 de ellos con distintas discapacidades (discapacidad auditiva, discapacidad visual, discapacidad física y discapacidad psicosocial).</w:t>
      </w:r>
    </w:p>
    <w:p w:rsidR="00F76679" w:rsidRPr="005E1103" w:rsidRDefault="00F76679" w:rsidP="00F76679">
      <w:pPr>
        <w:jc w:val="both"/>
        <w:rPr>
          <w:rFonts w:cstheme="minorHAnsi"/>
          <w:sz w:val="28"/>
          <w:szCs w:val="28"/>
          <w:lang w:val="es"/>
        </w:rPr>
      </w:pPr>
    </w:p>
    <w:p w:rsidR="00F76679" w:rsidRPr="005E1103" w:rsidRDefault="00F76679" w:rsidP="00F76679">
      <w:pPr>
        <w:jc w:val="both"/>
        <w:rPr>
          <w:rFonts w:cstheme="minorHAnsi"/>
          <w:sz w:val="28"/>
          <w:szCs w:val="28"/>
          <w:lang w:val="es"/>
        </w:rPr>
      </w:pPr>
      <w:r w:rsidRPr="005E1103">
        <w:rPr>
          <w:rFonts w:cstheme="minorHAnsi"/>
          <w:sz w:val="28"/>
          <w:szCs w:val="28"/>
          <w:lang w:val="es"/>
        </w:rPr>
        <w:t xml:space="preserve">A lo largo de los 9 días que duraba el Campus Inclusivo los estudiantes realizaron distintas actividades académicas y de ocio, con el objetivo de fomentar la inclusión entre estudiantes con y sin </w:t>
      </w:r>
      <w:r w:rsidR="00C94FAA" w:rsidRPr="005E1103">
        <w:rPr>
          <w:rFonts w:cstheme="minorHAnsi"/>
          <w:sz w:val="28"/>
          <w:szCs w:val="28"/>
          <w:lang w:val="es"/>
        </w:rPr>
        <w:t>discapacidad,</w:t>
      </w:r>
      <w:r w:rsidRPr="005E1103">
        <w:rPr>
          <w:rFonts w:cstheme="minorHAnsi"/>
          <w:sz w:val="28"/>
          <w:szCs w:val="28"/>
          <w:lang w:val="es"/>
        </w:rPr>
        <w:t xml:space="preserve"> así como </w:t>
      </w:r>
      <w:r w:rsidR="00C94FAA" w:rsidRPr="005E1103">
        <w:rPr>
          <w:rFonts w:cstheme="minorHAnsi"/>
          <w:sz w:val="28"/>
          <w:szCs w:val="28"/>
          <w:lang w:val="es"/>
        </w:rPr>
        <w:t>acercarle</w:t>
      </w:r>
      <w:r w:rsidRPr="005E1103">
        <w:rPr>
          <w:rFonts w:cstheme="minorHAnsi"/>
          <w:sz w:val="28"/>
          <w:szCs w:val="28"/>
          <w:lang w:val="es"/>
        </w:rPr>
        <w:t xml:space="preserve"> al ámbito universitario de un modo atractivo y divulgativo con la visita de distintos centros, charlas sobre los grados, </w:t>
      </w:r>
      <w:r w:rsidRPr="005E1103">
        <w:rPr>
          <w:rFonts w:cstheme="minorHAnsi"/>
          <w:sz w:val="28"/>
          <w:szCs w:val="28"/>
          <w:lang w:val="es"/>
        </w:rPr>
        <w:lastRenderedPageBreak/>
        <w:t xml:space="preserve">información acerca de las ayudas en la Universidad, actividades que fomentasen la inclusión y la normalización entre los compañeros. </w:t>
      </w:r>
    </w:p>
    <w:p w:rsidR="00F76679" w:rsidRPr="005E1103" w:rsidRDefault="00F76679" w:rsidP="00F76679">
      <w:pPr>
        <w:jc w:val="both"/>
        <w:rPr>
          <w:rFonts w:cstheme="minorHAnsi"/>
          <w:sz w:val="28"/>
          <w:szCs w:val="28"/>
          <w:lang w:val="es"/>
        </w:rPr>
      </w:pPr>
    </w:p>
    <w:p w:rsidR="00F76679" w:rsidRPr="005E1103" w:rsidRDefault="00F76679" w:rsidP="00F76679">
      <w:pPr>
        <w:jc w:val="both"/>
        <w:rPr>
          <w:rFonts w:cstheme="minorHAnsi"/>
          <w:sz w:val="28"/>
          <w:szCs w:val="28"/>
          <w:lang w:val="es"/>
        </w:rPr>
      </w:pPr>
      <w:r w:rsidRPr="005E1103">
        <w:rPr>
          <w:rFonts w:cstheme="minorHAnsi"/>
          <w:sz w:val="28"/>
          <w:szCs w:val="28"/>
          <w:lang w:val="es"/>
        </w:rPr>
        <w:t>Entre tales actividades se pueden destacar: charlas sobre la experiencia de estudiantes con discapacidad que actualmente cursan sus estudios en la universidad, sesiones de atracción a las distintas carreras que oferta la universidad, visitas culturales y de ocio que fomentasen la inclusión (visita a la Alhambra, Museos, etc.), sesiones que fomentasen también la inclusión deportiva (actividades en Sierra Nevada, Club Náutico, etc.) o talleres de orientación educativa y laboral (por ejemplo, de emprendimiento).</w:t>
      </w:r>
    </w:p>
    <w:p w:rsidR="00F76679" w:rsidRPr="005E1103" w:rsidRDefault="00F76679" w:rsidP="00F76679">
      <w:pPr>
        <w:jc w:val="both"/>
        <w:rPr>
          <w:rFonts w:cstheme="minorHAnsi"/>
          <w:sz w:val="28"/>
          <w:szCs w:val="28"/>
          <w:lang w:val="es"/>
        </w:rPr>
      </w:pPr>
    </w:p>
    <w:p w:rsidR="00F76679" w:rsidRPr="005E1103" w:rsidRDefault="00F76679" w:rsidP="00F76679">
      <w:pPr>
        <w:ind w:left="360"/>
        <w:jc w:val="both"/>
        <w:rPr>
          <w:rFonts w:cstheme="minorHAnsi"/>
          <w:b/>
          <w:sz w:val="28"/>
          <w:szCs w:val="28"/>
        </w:rPr>
      </w:pPr>
      <w:r w:rsidRPr="005E1103">
        <w:rPr>
          <w:rFonts w:cstheme="minorHAnsi"/>
          <w:b/>
          <w:sz w:val="28"/>
          <w:szCs w:val="28"/>
        </w:rPr>
        <w:t>3. Objetivos</w:t>
      </w:r>
    </w:p>
    <w:p w:rsidR="00F76679" w:rsidRPr="005E1103" w:rsidRDefault="00F76679" w:rsidP="00F76679">
      <w:pPr>
        <w:jc w:val="both"/>
        <w:rPr>
          <w:rFonts w:cstheme="minorHAnsi"/>
          <w:b/>
          <w:sz w:val="28"/>
          <w:szCs w:val="28"/>
        </w:rPr>
      </w:pPr>
    </w:p>
    <w:p w:rsidR="00F76679" w:rsidRPr="005E1103" w:rsidRDefault="00F76679" w:rsidP="00F76679">
      <w:pPr>
        <w:jc w:val="both"/>
        <w:rPr>
          <w:rFonts w:cstheme="minorHAnsi"/>
          <w:sz w:val="28"/>
          <w:szCs w:val="28"/>
        </w:rPr>
      </w:pPr>
      <w:r w:rsidRPr="005E1103">
        <w:rPr>
          <w:rFonts w:cstheme="minorHAnsi"/>
          <w:sz w:val="28"/>
          <w:szCs w:val="28"/>
        </w:rPr>
        <w:t>En el presente trabajo se pretenden analizar la práctica del Campus Inclusivo de la Universidad de Granada (CEI BioTic) para comprender si se puede establecer como un ejemplo de buenas prácticas. De forma específica se pretende conocer distintos aspectos detectados en la literatura revisada:</w:t>
      </w:r>
    </w:p>
    <w:p w:rsidR="00F76679" w:rsidRPr="005E1103" w:rsidRDefault="00F76679" w:rsidP="00F76679">
      <w:pPr>
        <w:jc w:val="both"/>
        <w:rPr>
          <w:rFonts w:cstheme="minorHAnsi"/>
          <w:sz w:val="28"/>
          <w:szCs w:val="28"/>
        </w:rPr>
      </w:pPr>
    </w:p>
    <w:p w:rsidR="00F76679" w:rsidRPr="005E1103" w:rsidRDefault="00F76679" w:rsidP="00F76679">
      <w:pPr>
        <w:numPr>
          <w:ilvl w:val="0"/>
          <w:numId w:val="14"/>
        </w:numPr>
        <w:spacing w:after="0" w:line="240" w:lineRule="auto"/>
        <w:jc w:val="both"/>
        <w:rPr>
          <w:rFonts w:cstheme="minorHAnsi"/>
          <w:sz w:val="28"/>
          <w:szCs w:val="28"/>
        </w:rPr>
      </w:pPr>
      <w:r w:rsidRPr="005E1103">
        <w:rPr>
          <w:rFonts w:cstheme="minorHAnsi"/>
          <w:sz w:val="28"/>
          <w:szCs w:val="28"/>
        </w:rPr>
        <w:t>Evaluar si se ha logrado fomentar la inclusión entre estudiantes con y sin discapacidad,</w:t>
      </w:r>
    </w:p>
    <w:p w:rsidR="00F76679" w:rsidRPr="005E1103" w:rsidRDefault="00F76679" w:rsidP="00F76679">
      <w:pPr>
        <w:numPr>
          <w:ilvl w:val="0"/>
          <w:numId w:val="14"/>
        </w:numPr>
        <w:spacing w:after="0" w:line="240" w:lineRule="auto"/>
        <w:jc w:val="both"/>
        <w:rPr>
          <w:rFonts w:cstheme="minorHAnsi"/>
          <w:sz w:val="28"/>
          <w:szCs w:val="28"/>
        </w:rPr>
      </w:pPr>
      <w:r w:rsidRPr="005E1103">
        <w:rPr>
          <w:rFonts w:cstheme="minorHAnsi"/>
          <w:sz w:val="28"/>
          <w:szCs w:val="28"/>
        </w:rPr>
        <w:t>Conocer si se ha estimulado el acceso a la Universidad de los estudiantes pre-universitarios con discapacidad de forma exploratoria.</w:t>
      </w:r>
    </w:p>
    <w:p w:rsidR="00F76679" w:rsidRPr="005E1103" w:rsidRDefault="00F76679" w:rsidP="00F76679">
      <w:pPr>
        <w:numPr>
          <w:ilvl w:val="0"/>
          <w:numId w:val="14"/>
        </w:numPr>
        <w:spacing w:after="0" w:line="240" w:lineRule="auto"/>
        <w:jc w:val="both"/>
        <w:rPr>
          <w:rFonts w:cstheme="minorHAnsi"/>
          <w:sz w:val="28"/>
          <w:szCs w:val="28"/>
        </w:rPr>
      </w:pPr>
      <w:r w:rsidRPr="005E1103">
        <w:rPr>
          <w:rFonts w:cstheme="minorHAnsi"/>
          <w:sz w:val="28"/>
          <w:szCs w:val="28"/>
        </w:rPr>
        <w:t>Analizar los Campus Inclusivos como método de inclusión y como experiencia positiva.</w:t>
      </w:r>
    </w:p>
    <w:p w:rsidR="00F76679" w:rsidRPr="005E1103" w:rsidRDefault="00F76679" w:rsidP="00F76679">
      <w:pPr>
        <w:jc w:val="both"/>
        <w:rPr>
          <w:rFonts w:cstheme="minorHAnsi"/>
          <w:sz w:val="28"/>
          <w:szCs w:val="28"/>
        </w:rPr>
      </w:pPr>
    </w:p>
    <w:p w:rsidR="00F76679" w:rsidRPr="005E1103" w:rsidRDefault="00C94FAA" w:rsidP="00F76679">
      <w:pPr>
        <w:jc w:val="both"/>
        <w:rPr>
          <w:rFonts w:cstheme="minorHAnsi"/>
          <w:sz w:val="28"/>
          <w:szCs w:val="28"/>
        </w:rPr>
      </w:pPr>
      <w:r w:rsidRPr="005E1103">
        <w:rPr>
          <w:rFonts w:cstheme="minorHAnsi"/>
          <w:sz w:val="28"/>
          <w:szCs w:val="28"/>
        </w:rPr>
        <w:t>Además,</w:t>
      </w:r>
      <w:r w:rsidR="00F76679" w:rsidRPr="005E1103">
        <w:rPr>
          <w:rFonts w:cstheme="minorHAnsi"/>
          <w:sz w:val="28"/>
          <w:szCs w:val="28"/>
        </w:rPr>
        <w:t xml:space="preserve"> se persigue:</w:t>
      </w:r>
    </w:p>
    <w:p w:rsidR="00F76679" w:rsidRPr="005E1103" w:rsidRDefault="00F76679" w:rsidP="00F76679">
      <w:pPr>
        <w:jc w:val="both"/>
        <w:rPr>
          <w:rFonts w:cstheme="minorHAnsi"/>
          <w:sz w:val="28"/>
          <w:szCs w:val="28"/>
        </w:rPr>
      </w:pPr>
    </w:p>
    <w:p w:rsidR="00F76679" w:rsidRPr="005E1103" w:rsidRDefault="00F76679" w:rsidP="00F76679">
      <w:pPr>
        <w:numPr>
          <w:ilvl w:val="0"/>
          <w:numId w:val="14"/>
        </w:numPr>
        <w:spacing w:after="0" w:line="240" w:lineRule="auto"/>
        <w:jc w:val="both"/>
        <w:rPr>
          <w:rFonts w:cstheme="minorHAnsi"/>
          <w:sz w:val="28"/>
          <w:szCs w:val="28"/>
        </w:rPr>
      </w:pPr>
      <w:r w:rsidRPr="005E1103">
        <w:rPr>
          <w:rFonts w:cstheme="minorHAnsi"/>
          <w:sz w:val="28"/>
          <w:szCs w:val="28"/>
        </w:rPr>
        <w:t>Conocer la evaluación de los participantes en los Campus Inclusivos.</w:t>
      </w:r>
    </w:p>
    <w:p w:rsidR="00F76679" w:rsidRPr="005E1103" w:rsidRDefault="00F76679" w:rsidP="00F76679">
      <w:pPr>
        <w:numPr>
          <w:ilvl w:val="0"/>
          <w:numId w:val="14"/>
        </w:numPr>
        <w:spacing w:after="0" w:line="240" w:lineRule="auto"/>
        <w:jc w:val="both"/>
        <w:rPr>
          <w:rFonts w:cstheme="minorHAnsi"/>
          <w:sz w:val="28"/>
          <w:szCs w:val="28"/>
        </w:rPr>
      </w:pPr>
      <w:r w:rsidRPr="005E1103">
        <w:rPr>
          <w:rFonts w:cstheme="minorHAnsi"/>
          <w:sz w:val="28"/>
          <w:szCs w:val="28"/>
        </w:rPr>
        <w:t>Averiguar la satisfacción de los estudiantes con las actividades realizadas.</w:t>
      </w:r>
    </w:p>
    <w:p w:rsidR="00F76679" w:rsidRPr="005E1103" w:rsidRDefault="00F76679" w:rsidP="00F76679">
      <w:pPr>
        <w:numPr>
          <w:ilvl w:val="0"/>
          <w:numId w:val="14"/>
        </w:numPr>
        <w:spacing w:after="0" w:line="240" w:lineRule="auto"/>
        <w:jc w:val="both"/>
        <w:rPr>
          <w:rFonts w:cstheme="minorHAnsi"/>
          <w:sz w:val="28"/>
          <w:szCs w:val="28"/>
        </w:rPr>
      </w:pPr>
      <w:r w:rsidRPr="005E1103">
        <w:rPr>
          <w:rFonts w:cstheme="minorHAnsi"/>
          <w:sz w:val="28"/>
          <w:szCs w:val="28"/>
        </w:rPr>
        <w:t>Analizar si existen diferencias en la satisfacción según el criterio de la discapacidad.</w:t>
      </w:r>
      <w:r w:rsidRPr="005E1103">
        <w:rPr>
          <w:rFonts w:cstheme="minorHAnsi"/>
          <w:b/>
          <w:sz w:val="28"/>
          <w:szCs w:val="28"/>
        </w:rPr>
        <w:tab/>
      </w:r>
    </w:p>
    <w:p w:rsidR="00F76679" w:rsidRPr="005E1103" w:rsidRDefault="00F76679" w:rsidP="00F76679">
      <w:pPr>
        <w:ind w:left="360"/>
        <w:jc w:val="both"/>
        <w:rPr>
          <w:rFonts w:cstheme="minorHAnsi"/>
          <w:b/>
          <w:sz w:val="28"/>
          <w:szCs w:val="28"/>
        </w:rPr>
      </w:pPr>
    </w:p>
    <w:p w:rsidR="00C94FAA" w:rsidRDefault="00C94FAA">
      <w:pPr>
        <w:rPr>
          <w:rFonts w:cstheme="minorHAnsi"/>
          <w:b/>
          <w:sz w:val="28"/>
          <w:szCs w:val="28"/>
        </w:rPr>
      </w:pPr>
      <w:r>
        <w:rPr>
          <w:rFonts w:cstheme="minorHAnsi"/>
          <w:b/>
          <w:sz w:val="28"/>
          <w:szCs w:val="28"/>
        </w:rPr>
        <w:br w:type="page"/>
      </w:r>
    </w:p>
    <w:p w:rsidR="00F76679" w:rsidRPr="005E1103" w:rsidRDefault="00F76679" w:rsidP="00F76679">
      <w:pPr>
        <w:ind w:left="360"/>
        <w:jc w:val="both"/>
        <w:rPr>
          <w:rFonts w:cstheme="minorHAnsi"/>
          <w:b/>
          <w:sz w:val="28"/>
          <w:szCs w:val="28"/>
        </w:rPr>
      </w:pPr>
      <w:r w:rsidRPr="005E1103">
        <w:rPr>
          <w:rFonts w:cstheme="minorHAnsi"/>
          <w:b/>
          <w:sz w:val="28"/>
          <w:szCs w:val="28"/>
        </w:rPr>
        <w:lastRenderedPageBreak/>
        <w:t>4. Metodología</w:t>
      </w:r>
    </w:p>
    <w:p w:rsidR="00F76679" w:rsidRPr="005E1103" w:rsidRDefault="00F76679" w:rsidP="00F76679">
      <w:pPr>
        <w:ind w:left="360"/>
        <w:jc w:val="both"/>
        <w:rPr>
          <w:rFonts w:cstheme="minorHAnsi"/>
          <w:b/>
          <w:sz w:val="28"/>
          <w:szCs w:val="28"/>
        </w:rPr>
      </w:pPr>
    </w:p>
    <w:p w:rsidR="00F76679" w:rsidRPr="005E1103" w:rsidRDefault="00F76679" w:rsidP="00F76679">
      <w:pPr>
        <w:ind w:left="360"/>
        <w:jc w:val="both"/>
        <w:rPr>
          <w:rFonts w:cstheme="minorHAnsi"/>
          <w:b/>
          <w:sz w:val="28"/>
          <w:szCs w:val="28"/>
        </w:rPr>
      </w:pPr>
      <w:r w:rsidRPr="005E1103">
        <w:rPr>
          <w:rFonts w:cstheme="minorHAnsi"/>
          <w:b/>
          <w:sz w:val="28"/>
          <w:szCs w:val="28"/>
        </w:rPr>
        <w:t>4.1. Cuestionario</w:t>
      </w:r>
    </w:p>
    <w:p w:rsidR="00F76679" w:rsidRPr="005E1103" w:rsidRDefault="00F76679" w:rsidP="00F76679">
      <w:pPr>
        <w:ind w:left="360"/>
        <w:jc w:val="both"/>
        <w:rPr>
          <w:rFonts w:cstheme="minorHAnsi"/>
          <w:b/>
          <w:sz w:val="28"/>
          <w:szCs w:val="28"/>
        </w:rPr>
      </w:pPr>
    </w:p>
    <w:p w:rsidR="00F76679" w:rsidRPr="005E1103" w:rsidRDefault="00F76679" w:rsidP="00F76679">
      <w:pPr>
        <w:jc w:val="both"/>
        <w:rPr>
          <w:rFonts w:cstheme="minorHAnsi"/>
          <w:sz w:val="28"/>
          <w:szCs w:val="28"/>
        </w:rPr>
      </w:pPr>
      <w:r w:rsidRPr="005E1103">
        <w:rPr>
          <w:rFonts w:cstheme="minorHAnsi"/>
          <w:sz w:val="28"/>
          <w:szCs w:val="28"/>
        </w:rPr>
        <w:t>Para evaluar los distintos objetivos y conocer la satisfacción de los estudiantes participantes se elaboró un cuestionario que fue completado por los estudiantes (y los asistentes) el último día del Campus. El cuestionario constaba de los siguientes apartados con el fin de lograr una visión más completa y posible de los distintos aspectos que participan en su evaluación:</w:t>
      </w:r>
    </w:p>
    <w:p w:rsidR="00F76679" w:rsidRPr="005E1103" w:rsidRDefault="00F76679" w:rsidP="00F76679">
      <w:pPr>
        <w:jc w:val="both"/>
        <w:rPr>
          <w:rFonts w:cstheme="minorHAnsi"/>
          <w:sz w:val="28"/>
          <w:szCs w:val="28"/>
        </w:rPr>
      </w:pPr>
    </w:p>
    <w:p w:rsidR="00F76679" w:rsidRPr="005E1103" w:rsidRDefault="00F76679" w:rsidP="00F76679">
      <w:pPr>
        <w:jc w:val="both"/>
        <w:rPr>
          <w:rFonts w:cstheme="minorHAnsi"/>
          <w:sz w:val="28"/>
          <w:szCs w:val="28"/>
        </w:rPr>
      </w:pPr>
      <w:r w:rsidRPr="005E1103">
        <w:rPr>
          <w:rFonts w:cstheme="minorHAnsi"/>
          <w:b/>
          <w:sz w:val="28"/>
          <w:szCs w:val="28"/>
        </w:rPr>
        <w:t>1º</w:t>
      </w:r>
      <w:r w:rsidRPr="005E1103">
        <w:rPr>
          <w:rFonts w:cstheme="minorHAnsi"/>
          <w:sz w:val="28"/>
          <w:szCs w:val="28"/>
        </w:rPr>
        <w:t xml:space="preserve"> Elección del Campus Inclusivo de la Universidad de Granada: fuente de información, motivos de elección.</w:t>
      </w:r>
    </w:p>
    <w:p w:rsidR="00F76679" w:rsidRPr="005E1103" w:rsidRDefault="00F76679" w:rsidP="00F76679">
      <w:pPr>
        <w:jc w:val="both"/>
        <w:rPr>
          <w:rFonts w:cstheme="minorHAnsi"/>
          <w:sz w:val="28"/>
          <w:szCs w:val="28"/>
        </w:rPr>
      </w:pPr>
    </w:p>
    <w:p w:rsidR="00F76679" w:rsidRPr="005E1103" w:rsidRDefault="00F76679" w:rsidP="00F76679">
      <w:pPr>
        <w:jc w:val="both"/>
        <w:rPr>
          <w:rFonts w:cstheme="minorHAnsi"/>
          <w:sz w:val="28"/>
          <w:szCs w:val="28"/>
        </w:rPr>
      </w:pPr>
      <w:r w:rsidRPr="005E1103">
        <w:rPr>
          <w:rFonts w:cstheme="minorHAnsi"/>
          <w:b/>
          <w:sz w:val="28"/>
          <w:szCs w:val="28"/>
        </w:rPr>
        <w:t>2º</w:t>
      </w:r>
      <w:r w:rsidRPr="005E1103">
        <w:rPr>
          <w:rFonts w:cstheme="minorHAnsi"/>
          <w:sz w:val="28"/>
          <w:szCs w:val="28"/>
        </w:rPr>
        <w:t xml:space="preserve"> Valoración de las actividades realizadas: satisfacción y opinión de todas actividades académica, formativas y de ocio que realizaron los participantes. Las preguntas eran formuladas en escala tipo Likert de 1 a 5 puntos en este apartado y los tres siguientes.</w:t>
      </w:r>
    </w:p>
    <w:p w:rsidR="00F76679" w:rsidRPr="005E1103" w:rsidRDefault="00F76679" w:rsidP="00F76679">
      <w:pPr>
        <w:jc w:val="both"/>
        <w:rPr>
          <w:rFonts w:cstheme="minorHAnsi"/>
          <w:sz w:val="28"/>
          <w:szCs w:val="28"/>
        </w:rPr>
      </w:pPr>
    </w:p>
    <w:p w:rsidR="00F76679" w:rsidRPr="005E1103" w:rsidRDefault="00F76679" w:rsidP="00F76679">
      <w:pPr>
        <w:jc w:val="both"/>
        <w:rPr>
          <w:rFonts w:cstheme="minorHAnsi"/>
          <w:sz w:val="28"/>
          <w:szCs w:val="28"/>
        </w:rPr>
      </w:pPr>
      <w:r w:rsidRPr="005E1103">
        <w:rPr>
          <w:rFonts w:cstheme="minorHAnsi"/>
          <w:b/>
          <w:sz w:val="28"/>
          <w:szCs w:val="28"/>
        </w:rPr>
        <w:t xml:space="preserve">3º </w:t>
      </w:r>
      <w:r w:rsidRPr="005E1103">
        <w:rPr>
          <w:rFonts w:cstheme="minorHAnsi"/>
          <w:sz w:val="28"/>
          <w:szCs w:val="28"/>
        </w:rPr>
        <w:t>Valoración de la organización del Campus: monitores, intérpretes de lenguas de signos, coordinación, alojamiento, desplazamiento, comidas, horario, etc.</w:t>
      </w:r>
    </w:p>
    <w:p w:rsidR="00F76679" w:rsidRPr="005E1103" w:rsidRDefault="00F76679" w:rsidP="00F76679">
      <w:pPr>
        <w:jc w:val="both"/>
        <w:rPr>
          <w:rFonts w:cstheme="minorHAnsi"/>
          <w:sz w:val="28"/>
          <w:szCs w:val="28"/>
        </w:rPr>
      </w:pPr>
    </w:p>
    <w:p w:rsidR="00F76679" w:rsidRPr="005E1103" w:rsidRDefault="00F76679" w:rsidP="00F76679">
      <w:pPr>
        <w:jc w:val="both"/>
        <w:rPr>
          <w:rFonts w:cstheme="minorHAnsi"/>
          <w:sz w:val="28"/>
          <w:szCs w:val="28"/>
        </w:rPr>
      </w:pPr>
      <w:r w:rsidRPr="005E1103">
        <w:rPr>
          <w:rFonts w:cstheme="minorHAnsi"/>
          <w:b/>
          <w:sz w:val="28"/>
          <w:szCs w:val="28"/>
        </w:rPr>
        <w:t>4º</w:t>
      </w:r>
      <w:r w:rsidRPr="005E1103">
        <w:rPr>
          <w:rFonts w:cstheme="minorHAnsi"/>
          <w:sz w:val="28"/>
          <w:szCs w:val="28"/>
        </w:rPr>
        <w:t xml:space="preserve"> Utilidad de los Campus: evaluación de la inclusión, del impacto en la actitud en realizar una carrera universitaria, desarrollo personal y académico, etc.</w:t>
      </w:r>
    </w:p>
    <w:p w:rsidR="00F76679" w:rsidRPr="005E1103" w:rsidRDefault="00F76679" w:rsidP="00F76679">
      <w:pPr>
        <w:jc w:val="both"/>
        <w:rPr>
          <w:rFonts w:cstheme="minorHAnsi"/>
          <w:sz w:val="28"/>
          <w:szCs w:val="28"/>
        </w:rPr>
      </w:pPr>
    </w:p>
    <w:p w:rsidR="00F76679" w:rsidRPr="005E1103" w:rsidRDefault="00F76679" w:rsidP="00F76679">
      <w:pPr>
        <w:jc w:val="both"/>
        <w:rPr>
          <w:rFonts w:cstheme="minorHAnsi"/>
          <w:sz w:val="28"/>
          <w:szCs w:val="28"/>
        </w:rPr>
      </w:pPr>
      <w:r w:rsidRPr="005E1103">
        <w:rPr>
          <w:rFonts w:cstheme="minorHAnsi"/>
          <w:b/>
          <w:sz w:val="28"/>
          <w:szCs w:val="28"/>
        </w:rPr>
        <w:t>5º</w:t>
      </w:r>
      <w:r w:rsidRPr="005E1103">
        <w:rPr>
          <w:rFonts w:cstheme="minorHAnsi"/>
          <w:sz w:val="28"/>
          <w:szCs w:val="28"/>
        </w:rPr>
        <w:t xml:space="preserve"> Valoración general del Campus: satisfacción, intención de recomendar, cumplimiento de expectativas, etc.</w:t>
      </w:r>
    </w:p>
    <w:p w:rsidR="00F76679" w:rsidRPr="005E1103" w:rsidRDefault="00F76679" w:rsidP="00F76679">
      <w:pPr>
        <w:jc w:val="both"/>
        <w:rPr>
          <w:rFonts w:cstheme="minorHAnsi"/>
          <w:sz w:val="28"/>
          <w:szCs w:val="28"/>
        </w:rPr>
      </w:pPr>
    </w:p>
    <w:p w:rsidR="00F76679" w:rsidRPr="005E1103" w:rsidRDefault="00E142CC" w:rsidP="00F76679">
      <w:pPr>
        <w:jc w:val="both"/>
        <w:rPr>
          <w:rFonts w:cstheme="minorHAnsi"/>
          <w:sz w:val="28"/>
          <w:szCs w:val="28"/>
        </w:rPr>
      </w:pPr>
      <w:r w:rsidRPr="005E1103">
        <w:rPr>
          <w:rFonts w:cstheme="minorHAnsi"/>
          <w:sz w:val="28"/>
          <w:szCs w:val="28"/>
        </w:rPr>
        <w:t>Además,</w:t>
      </w:r>
      <w:r w:rsidR="00F76679" w:rsidRPr="005E1103">
        <w:rPr>
          <w:rFonts w:cstheme="minorHAnsi"/>
          <w:sz w:val="28"/>
          <w:szCs w:val="28"/>
        </w:rPr>
        <w:t xml:space="preserve"> también se preguntaron preguntas abiertas (de tipo cualitativo) con el fin de conocer en mayor profundidad la opinión y sugerencias de mejora.</w:t>
      </w:r>
    </w:p>
    <w:p w:rsidR="00F76679" w:rsidRPr="005E1103" w:rsidRDefault="00F76679" w:rsidP="00F76679">
      <w:pPr>
        <w:jc w:val="both"/>
        <w:rPr>
          <w:rFonts w:cstheme="minorHAnsi"/>
          <w:sz w:val="28"/>
          <w:szCs w:val="28"/>
        </w:rPr>
      </w:pPr>
    </w:p>
    <w:p w:rsidR="00E142CC" w:rsidRDefault="00E142CC">
      <w:pPr>
        <w:rPr>
          <w:rFonts w:cstheme="minorHAnsi"/>
          <w:b/>
          <w:sz w:val="28"/>
          <w:szCs w:val="28"/>
        </w:rPr>
      </w:pPr>
      <w:r>
        <w:rPr>
          <w:rFonts w:cstheme="minorHAnsi"/>
          <w:b/>
          <w:sz w:val="28"/>
          <w:szCs w:val="28"/>
        </w:rPr>
        <w:br w:type="page"/>
      </w:r>
    </w:p>
    <w:p w:rsidR="00F76679" w:rsidRPr="005E1103" w:rsidRDefault="00F76679" w:rsidP="00F76679">
      <w:pPr>
        <w:ind w:left="426"/>
        <w:jc w:val="both"/>
        <w:rPr>
          <w:rFonts w:cstheme="minorHAnsi"/>
          <w:b/>
          <w:sz w:val="28"/>
          <w:szCs w:val="28"/>
        </w:rPr>
      </w:pPr>
      <w:r w:rsidRPr="005E1103">
        <w:rPr>
          <w:rFonts w:cstheme="minorHAnsi"/>
          <w:b/>
          <w:sz w:val="28"/>
          <w:szCs w:val="28"/>
        </w:rPr>
        <w:lastRenderedPageBreak/>
        <w:t>4.2. Muestra</w:t>
      </w:r>
    </w:p>
    <w:p w:rsidR="00F76679" w:rsidRPr="005E1103" w:rsidRDefault="00F76679" w:rsidP="00F76679">
      <w:pPr>
        <w:ind w:left="360"/>
        <w:jc w:val="both"/>
        <w:rPr>
          <w:rFonts w:cstheme="minorHAnsi"/>
          <w:b/>
          <w:sz w:val="28"/>
          <w:szCs w:val="28"/>
        </w:rPr>
      </w:pPr>
    </w:p>
    <w:p w:rsidR="00F76679" w:rsidRPr="005E1103" w:rsidRDefault="00F76679" w:rsidP="00F76679">
      <w:pPr>
        <w:jc w:val="both"/>
        <w:rPr>
          <w:rFonts w:cstheme="minorHAnsi"/>
          <w:sz w:val="28"/>
          <w:szCs w:val="28"/>
        </w:rPr>
      </w:pPr>
      <w:r w:rsidRPr="005E1103">
        <w:rPr>
          <w:rFonts w:cstheme="minorHAnsi"/>
          <w:sz w:val="28"/>
          <w:szCs w:val="28"/>
        </w:rPr>
        <w:t xml:space="preserve">Durante los Campus Inclusivos del año 2015 participaron un total de 20 alumnos, 6 monitores, 2 asistentes y 3 intérpretes de lengua de signos. En algunos casos se compara con los alumnos del año 2014 que fueron un total de 21 alumnos. El objetivo es la evaluación de los alumnos por que se obtuvo un total de 20 respuestas (porcentaje de 100% entre </w:t>
      </w:r>
      <w:r w:rsidR="00E142CC" w:rsidRPr="005E1103">
        <w:rPr>
          <w:rFonts w:cstheme="minorHAnsi"/>
          <w:sz w:val="28"/>
          <w:szCs w:val="28"/>
        </w:rPr>
        <w:t>los estudiantes</w:t>
      </w:r>
      <w:r w:rsidRPr="005E1103">
        <w:rPr>
          <w:rFonts w:cstheme="minorHAnsi"/>
          <w:sz w:val="28"/>
          <w:szCs w:val="28"/>
        </w:rPr>
        <w:t xml:space="preserve">). A </w:t>
      </w:r>
      <w:r w:rsidR="00E142CC" w:rsidRPr="005E1103">
        <w:rPr>
          <w:rFonts w:cstheme="minorHAnsi"/>
          <w:sz w:val="28"/>
          <w:szCs w:val="28"/>
        </w:rPr>
        <w:t>continuación,</w:t>
      </w:r>
      <w:r w:rsidRPr="005E1103">
        <w:rPr>
          <w:rFonts w:cstheme="minorHAnsi"/>
          <w:sz w:val="28"/>
          <w:szCs w:val="28"/>
        </w:rPr>
        <w:t xml:space="preserve"> aparece el cuadro-resumen de las características de la muestra:</w:t>
      </w:r>
    </w:p>
    <w:p w:rsidR="00F76679" w:rsidRPr="005E1103" w:rsidRDefault="00F76679" w:rsidP="00F76679">
      <w:pPr>
        <w:jc w:val="both"/>
        <w:rPr>
          <w:rFonts w:cstheme="minorHAnsi"/>
          <w:sz w:val="28"/>
          <w:szCs w:val="28"/>
        </w:rPr>
      </w:pPr>
    </w:p>
    <w:p w:rsidR="00F76679" w:rsidRPr="005E1103" w:rsidRDefault="00F76679" w:rsidP="00F76679">
      <w:pPr>
        <w:jc w:val="both"/>
        <w:rPr>
          <w:rFonts w:cstheme="minorHAnsi"/>
          <w:sz w:val="28"/>
          <w:szCs w:val="28"/>
        </w:rPr>
      </w:pPr>
      <w:r w:rsidRPr="005E1103">
        <w:rPr>
          <w:rFonts w:cstheme="minorHAnsi"/>
          <w:sz w:val="28"/>
          <w:szCs w:val="28"/>
        </w:rPr>
        <w:t>Tabla 1: Características de la muestra</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85"/>
        <w:gridCol w:w="3827"/>
        <w:gridCol w:w="1175"/>
        <w:gridCol w:w="1441"/>
      </w:tblGrid>
      <w:tr w:rsidR="00F76679" w:rsidRPr="005E1103" w:rsidTr="005B72C1">
        <w:trPr>
          <w:trHeight w:val="207"/>
        </w:trPr>
        <w:tc>
          <w:tcPr>
            <w:tcW w:w="1985" w:type="dxa"/>
            <w:vMerge w:val="restart"/>
            <w:shd w:val="clear" w:color="auto" w:fill="auto"/>
          </w:tcPr>
          <w:p w:rsidR="00F76679" w:rsidRPr="005E1103" w:rsidRDefault="00F76679" w:rsidP="005B72C1">
            <w:pPr>
              <w:spacing w:line="312" w:lineRule="auto"/>
              <w:ind w:right="-1"/>
              <w:jc w:val="center"/>
              <w:rPr>
                <w:rFonts w:eastAsia="Calibri" w:cstheme="minorHAnsi"/>
                <w:b/>
                <w:spacing w:val="-4"/>
                <w:sz w:val="28"/>
                <w:szCs w:val="28"/>
              </w:rPr>
            </w:pPr>
            <w:r w:rsidRPr="005E1103">
              <w:rPr>
                <w:rFonts w:eastAsia="Calibri" w:cstheme="minorHAnsi"/>
                <w:b/>
                <w:spacing w:val="-4"/>
                <w:sz w:val="28"/>
                <w:szCs w:val="28"/>
              </w:rPr>
              <w:t>Variable</w:t>
            </w:r>
          </w:p>
        </w:tc>
        <w:tc>
          <w:tcPr>
            <w:tcW w:w="3827" w:type="dxa"/>
            <w:vMerge w:val="restart"/>
            <w:shd w:val="clear" w:color="auto" w:fill="auto"/>
          </w:tcPr>
          <w:p w:rsidR="00F76679" w:rsidRPr="005E1103" w:rsidRDefault="00F76679" w:rsidP="005B72C1">
            <w:pPr>
              <w:spacing w:line="312" w:lineRule="auto"/>
              <w:ind w:right="-1"/>
              <w:jc w:val="center"/>
              <w:rPr>
                <w:rFonts w:eastAsia="Calibri" w:cstheme="minorHAnsi"/>
                <w:b/>
                <w:spacing w:val="-4"/>
                <w:sz w:val="28"/>
                <w:szCs w:val="28"/>
              </w:rPr>
            </w:pPr>
            <w:r w:rsidRPr="005E1103">
              <w:rPr>
                <w:rFonts w:eastAsia="Calibri" w:cstheme="minorHAnsi"/>
                <w:b/>
                <w:spacing w:val="-4"/>
                <w:sz w:val="28"/>
                <w:szCs w:val="28"/>
              </w:rPr>
              <w:t>Categoría</w:t>
            </w:r>
          </w:p>
        </w:tc>
        <w:tc>
          <w:tcPr>
            <w:tcW w:w="2616" w:type="dxa"/>
            <w:gridSpan w:val="2"/>
            <w:shd w:val="clear" w:color="auto" w:fill="auto"/>
          </w:tcPr>
          <w:p w:rsidR="00F76679" w:rsidRPr="005E1103" w:rsidRDefault="00F76679" w:rsidP="005B72C1">
            <w:pPr>
              <w:spacing w:line="312" w:lineRule="auto"/>
              <w:ind w:right="-1"/>
              <w:jc w:val="center"/>
              <w:rPr>
                <w:rFonts w:eastAsia="Calibri" w:cstheme="minorHAnsi"/>
                <w:b/>
                <w:spacing w:val="-4"/>
                <w:sz w:val="28"/>
                <w:szCs w:val="28"/>
              </w:rPr>
            </w:pPr>
            <w:r w:rsidRPr="005E1103">
              <w:rPr>
                <w:rFonts w:eastAsia="Calibri" w:cstheme="minorHAnsi"/>
                <w:b/>
                <w:spacing w:val="-4"/>
                <w:sz w:val="28"/>
                <w:szCs w:val="28"/>
              </w:rPr>
              <w:t>Muestra</w:t>
            </w:r>
          </w:p>
        </w:tc>
      </w:tr>
      <w:tr w:rsidR="00F76679" w:rsidRPr="005E1103" w:rsidTr="005B72C1">
        <w:trPr>
          <w:trHeight w:val="206"/>
        </w:trPr>
        <w:tc>
          <w:tcPr>
            <w:tcW w:w="1985" w:type="dxa"/>
            <w:vMerge/>
            <w:shd w:val="clear" w:color="auto" w:fill="auto"/>
          </w:tcPr>
          <w:p w:rsidR="00F76679" w:rsidRPr="005E1103" w:rsidRDefault="00F76679" w:rsidP="005B72C1">
            <w:pPr>
              <w:spacing w:line="312" w:lineRule="auto"/>
              <w:ind w:right="-1"/>
              <w:jc w:val="center"/>
              <w:rPr>
                <w:rFonts w:eastAsia="Calibri" w:cstheme="minorHAnsi"/>
                <w:b/>
                <w:spacing w:val="-4"/>
                <w:sz w:val="28"/>
                <w:szCs w:val="28"/>
              </w:rPr>
            </w:pPr>
          </w:p>
        </w:tc>
        <w:tc>
          <w:tcPr>
            <w:tcW w:w="3827" w:type="dxa"/>
            <w:vMerge/>
            <w:shd w:val="clear" w:color="auto" w:fill="auto"/>
          </w:tcPr>
          <w:p w:rsidR="00F76679" w:rsidRPr="005E1103" w:rsidRDefault="00F76679" w:rsidP="005B72C1">
            <w:pPr>
              <w:spacing w:line="312" w:lineRule="auto"/>
              <w:ind w:right="-1"/>
              <w:jc w:val="center"/>
              <w:rPr>
                <w:rFonts w:eastAsia="Calibri" w:cstheme="minorHAnsi"/>
                <w:b/>
                <w:spacing w:val="-4"/>
                <w:sz w:val="28"/>
                <w:szCs w:val="28"/>
              </w:rPr>
            </w:pPr>
          </w:p>
        </w:tc>
        <w:tc>
          <w:tcPr>
            <w:tcW w:w="1175" w:type="dxa"/>
            <w:shd w:val="clear" w:color="auto" w:fill="auto"/>
          </w:tcPr>
          <w:p w:rsidR="00F76679" w:rsidRPr="005E1103" w:rsidRDefault="00F76679" w:rsidP="005B72C1">
            <w:pPr>
              <w:spacing w:line="312" w:lineRule="auto"/>
              <w:ind w:right="-1"/>
              <w:jc w:val="center"/>
              <w:rPr>
                <w:rFonts w:eastAsia="Calibri" w:cstheme="minorHAnsi"/>
                <w:b/>
                <w:spacing w:val="-4"/>
                <w:sz w:val="28"/>
                <w:szCs w:val="28"/>
              </w:rPr>
            </w:pPr>
            <w:r w:rsidRPr="005E1103">
              <w:rPr>
                <w:rFonts w:eastAsia="Calibri" w:cstheme="minorHAnsi"/>
                <w:b/>
                <w:spacing w:val="-4"/>
                <w:sz w:val="28"/>
                <w:szCs w:val="28"/>
              </w:rPr>
              <w:t>N</w:t>
            </w:r>
          </w:p>
        </w:tc>
        <w:tc>
          <w:tcPr>
            <w:tcW w:w="1441" w:type="dxa"/>
            <w:shd w:val="clear" w:color="auto" w:fill="auto"/>
          </w:tcPr>
          <w:p w:rsidR="00F76679" w:rsidRPr="005E1103" w:rsidRDefault="00F76679" w:rsidP="005B72C1">
            <w:pPr>
              <w:spacing w:line="312" w:lineRule="auto"/>
              <w:ind w:right="-1"/>
              <w:jc w:val="center"/>
              <w:rPr>
                <w:rFonts w:eastAsia="Calibri" w:cstheme="minorHAnsi"/>
                <w:b/>
                <w:spacing w:val="-4"/>
                <w:sz w:val="28"/>
                <w:szCs w:val="28"/>
              </w:rPr>
            </w:pPr>
            <w:r w:rsidRPr="005E1103">
              <w:rPr>
                <w:rFonts w:eastAsia="Calibri" w:cstheme="minorHAnsi"/>
                <w:b/>
                <w:spacing w:val="-4"/>
                <w:sz w:val="28"/>
                <w:szCs w:val="28"/>
              </w:rPr>
              <w:t>%</w:t>
            </w:r>
          </w:p>
        </w:tc>
      </w:tr>
      <w:tr w:rsidR="00F76679" w:rsidRPr="005E1103" w:rsidTr="005B72C1">
        <w:trPr>
          <w:trHeight w:val="207"/>
        </w:trPr>
        <w:tc>
          <w:tcPr>
            <w:tcW w:w="1985" w:type="dxa"/>
            <w:vMerge w:val="restart"/>
            <w:shd w:val="clear" w:color="auto" w:fill="auto"/>
          </w:tcPr>
          <w:p w:rsidR="00F76679" w:rsidRPr="005E1103" w:rsidRDefault="00F76679" w:rsidP="005B72C1">
            <w:pPr>
              <w:spacing w:line="312" w:lineRule="auto"/>
              <w:ind w:right="-1"/>
              <w:jc w:val="both"/>
              <w:rPr>
                <w:rFonts w:eastAsia="Calibri" w:cstheme="minorHAnsi"/>
                <w:spacing w:val="-4"/>
                <w:sz w:val="28"/>
                <w:szCs w:val="28"/>
              </w:rPr>
            </w:pPr>
            <w:r w:rsidRPr="005E1103">
              <w:rPr>
                <w:rFonts w:eastAsia="Calibri" w:cstheme="minorHAnsi"/>
                <w:spacing w:val="-4"/>
                <w:sz w:val="28"/>
                <w:szCs w:val="28"/>
              </w:rPr>
              <w:t>Género</w:t>
            </w:r>
          </w:p>
        </w:tc>
        <w:tc>
          <w:tcPr>
            <w:tcW w:w="3827" w:type="dxa"/>
            <w:shd w:val="clear" w:color="auto" w:fill="auto"/>
          </w:tcPr>
          <w:p w:rsidR="00F76679" w:rsidRPr="005E1103" w:rsidRDefault="00F76679" w:rsidP="005B72C1">
            <w:pPr>
              <w:spacing w:line="312" w:lineRule="auto"/>
              <w:ind w:right="-1"/>
              <w:rPr>
                <w:rFonts w:cstheme="minorHAnsi"/>
                <w:spacing w:val="-4"/>
                <w:sz w:val="28"/>
                <w:szCs w:val="28"/>
              </w:rPr>
            </w:pPr>
            <w:r w:rsidRPr="005E1103">
              <w:rPr>
                <w:rFonts w:cstheme="minorHAnsi"/>
                <w:spacing w:val="-4"/>
                <w:sz w:val="28"/>
                <w:szCs w:val="28"/>
              </w:rPr>
              <w:t>Hombre</w:t>
            </w:r>
          </w:p>
        </w:tc>
        <w:tc>
          <w:tcPr>
            <w:tcW w:w="1175" w:type="dxa"/>
            <w:shd w:val="clear" w:color="auto" w:fill="auto"/>
          </w:tcPr>
          <w:p w:rsidR="00F76679" w:rsidRPr="005E1103" w:rsidRDefault="00F76679"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10</w:t>
            </w:r>
          </w:p>
        </w:tc>
        <w:tc>
          <w:tcPr>
            <w:tcW w:w="1441" w:type="dxa"/>
            <w:shd w:val="clear" w:color="auto" w:fill="auto"/>
          </w:tcPr>
          <w:p w:rsidR="00F76679" w:rsidRPr="005E1103" w:rsidRDefault="00F76679"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50,0</w:t>
            </w:r>
          </w:p>
        </w:tc>
      </w:tr>
      <w:tr w:rsidR="00F76679" w:rsidRPr="005E1103" w:rsidTr="005B72C1">
        <w:trPr>
          <w:trHeight w:val="206"/>
        </w:trPr>
        <w:tc>
          <w:tcPr>
            <w:tcW w:w="1985" w:type="dxa"/>
            <w:vMerge/>
            <w:shd w:val="clear" w:color="auto" w:fill="auto"/>
          </w:tcPr>
          <w:p w:rsidR="00F76679" w:rsidRPr="005E1103" w:rsidRDefault="00F76679" w:rsidP="005B72C1">
            <w:pPr>
              <w:spacing w:line="312" w:lineRule="auto"/>
              <w:ind w:right="-1"/>
              <w:jc w:val="both"/>
              <w:rPr>
                <w:rFonts w:eastAsia="Calibri" w:cstheme="minorHAnsi"/>
                <w:spacing w:val="-4"/>
                <w:sz w:val="28"/>
                <w:szCs w:val="28"/>
              </w:rPr>
            </w:pPr>
          </w:p>
        </w:tc>
        <w:tc>
          <w:tcPr>
            <w:tcW w:w="3827" w:type="dxa"/>
            <w:shd w:val="clear" w:color="auto" w:fill="auto"/>
          </w:tcPr>
          <w:p w:rsidR="00F76679" w:rsidRPr="005E1103" w:rsidRDefault="00F76679" w:rsidP="005B72C1">
            <w:pPr>
              <w:spacing w:line="312" w:lineRule="auto"/>
              <w:ind w:right="-1"/>
              <w:rPr>
                <w:rFonts w:cstheme="minorHAnsi"/>
                <w:spacing w:val="-4"/>
                <w:sz w:val="28"/>
                <w:szCs w:val="28"/>
              </w:rPr>
            </w:pPr>
            <w:r w:rsidRPr="005E1103">
              <w:rPr>
                <w:rFonts w:cstheme="minorHAnsi"/>
                <w:spacing w:val="-4"/>
                <w:sz w:val="28"/>
                <w:szCs w:val="28"/>
              </w:rPr>
              <w:t>Mujer</w:t>
            </w:r>
          </w:p>
        </w:tc>
        <w:tc>
          <w:tcPr>
            <w:tcW w:w="1175" w:type="dxa"/>
            <w:shd w:val="clear" w:color="auto" w:fill="auto"/>
          </w:tcPr>
          <w:p w:rsidR="00F76679" w:rsidRPr="005E1103" w:rsidRDefault="00F76679"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10</w:t>
            </w:r>
          </w:p>
        </w:tc>
        <w:tc>
          <w:tcPr>
            <w:tcW w:w="1441" w:type="dxa"/>
            <w:shd w:val="clear" w:color="auto" w:fill="auto"/>
          </w:tcPr>
          <w:p w:rsidR="00F76679" w:rsidRPr="005E1103" w:rsidRDefault="00F76679"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50,0</w:t>
            </w:r>
          </w:p>
        </w:tc>
      </w:tr>
      <w:tr w:rsidR="00F76679" w:rsidRPr="005E1103" w:rsidTr="005B72C1">
        <w:trPr>
          <w:trHeight w:val="207"/>
        </w:trPr>
        <w:tc>
          <w:tcPr>
            <w:tcW w:w="1985" w:type="dxa"/>
            <w:vMerge w:val="restart"/>
            <w:shd w:val="clear" w:color="auto" w:fill="auto"/>
          </w:tcPr>
          <w:p w:rsidR="00F76679" w:rsidRPr="005E1103" w:rsidRDefault="00F76679" w:rsidP="005B72C1">
            <w:pPr>
              <w:spacing w:line="312" w:lineRule="auto"/>
              <w:ind w:right="-1"/>
              <w:jc w:val="both"/>
              <w:rPr>
                <w:rFonts w:eastAsia="Calibri" w:cstheme="minorHAnsi"/>
                <w:spacing w:val="-4"/>
                <w:sz w:val="28"/>
                <w:szCs w:val="28"/>
              </w:rPr>
            </w:pPr>
            <w:r w:rsidRPr="005E1103">
              <w:rPr>
                <w:rFonts w:eastAsia="Calibri" w:cstheme="minorHAnsi"/>
                <w:spacing w:val="-4"/>
                <w:sz w:val="28"/>
                <w:szCs w:val="28"/>
              </w:rPr>
              <w:t>Curso</w:t>
            </w:r>
          </w:p>
        </w:tc>
        <w:tc>
          <w:tcPr>
            <w:tcW w:w="3827" w:type="dxa"/>
            <w:shd w:val="clear" w:color="auto" w:fill="auto"/>
          </w:tcPr>
          <w:p w:rsidR="00F76679" w:rsidRPr="005E1103" w:rsidRDefault="00F76679" w:rsidP="005B72C1">
            <w:pPr>
              <w:spacing w:line="312" w:lineRule="auto"/>
              <w:ind w:right="-1"/>
              <w:rPr>
                <w:rFonts w:cstheme="minorHAnsi"/>
                <w:spacing w:val="-4"/>
                <w:sz w:val="28"/>
                <w:szCs w:val="28"/>
              </w:rPr>
            </w:pPr>
            <w:r w:rsidRPr="005E1103">
              <w:rPr>
                <w:rFonts w:cstheme="minorHAnsi"/>
                <w:spacing w:val="-4"/>
                <w:sz w:val="28"/>
                <w:szCs w:val="28"/>
              </w:rPr>
              <w:t>3º ESO</w:t>
            </w:r>
          </w:p>
        </w:tc>
        <w:tc>
          <w:tcPr>
            <w:tcW w:w="1175" w:type="dxa"/>
            <w:shd w:val="clear" w:color="auto" w:fill="auto"/>
          </w:tcPr>
          <w:p w:rsidR="00F76679" w:rsidRPr="005E1103" w:rsidRDefault="00F76679"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3</w:t>
            </w:r>
          </w:p>
        </w:tc>
        <w:tc>
          <w:tcPr>
            <w:tcW w:w="1441" w:type="dxa"/>
            <w:shd w:val="clear" w:color="auto" w:fill="auto"/>
          </w:tcPr>
          <w:p w:rsidR="00F76679" w:rsidRPr="005E1103" w:rsidRDefault="00F76679"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15,0</w:t>
            </w:r>
          </w:p>
        </w:tc>
      </w:tr>
      <w:tr w:rsidR="00F76679" w:rsidRPr="005E1103" w:rsidTr="005B72C1">
        <w:trPr>
          <w:trHeight w:val="75"/>
        </w:trPr>
        <w:tc>
          <w:tcPr>
            <w:tcW w:w="1985" w:type="dxa"/>
            <w:vMerge/>
            <w:shd w:val="clear" w:color="auto" w:fill="auto"/>
          </w:tcPr>
          <w:p w:rsidR="00F76679" w:rsidRPr="005E1103" w:rsidRDefault="00F76679" w:rsidP="005B72C1">
            <w:pPr>
              <w:spacing w:line="312" w:lineRule="auto"/>
              <w:ind w:right="-1"/>
              <w:jc w:val="both"/>
              <w:rPr>
                <w:rFonts w:eastAsia="Calibri" w:cstheme="minorHAnsi"/>
                <w:spacing w:val="-4"/>
                <w:sz w:val="28"/>
                <w:szCs w:val="28"/>
              </w:rPr>
            </w:pPr>
          </w:p>
        </w:tc>
        <w:tc>
          <w:tcPr>
            <w:tcW w:w="3827" w:type="dxa"/>
            <w:shd w:val="clear" w:color="auto" w:fill="auto"/>
          </w:tcPr>
          <w:p w:rsidR="00F76679" w:rsidRPr="005E1103" w:rsidRDefault="00F76679" w:rsidP="005B72C1">
            <w:pPr>
              <w:spacing w:line="312" w:lineRule="auto"/>
              <w:ind w:right="-1"/>
              <w:rPr>
                <w:rFonts w:cstheme="minorHAnsi"/>
                <w:spacing w:val="-4"/>
                <w:sz w:val="28"/>
                <w:szCs w:val="28"/>
              </w:rPr>
            </w:pPr>
            <w:r w:rsidRPr="005E1103">
              <w:rPr>
                <w:rFonts w:cstheme="minorHAnsi"/>
                <w:spacing w:val="-4"/>
                <w:sz w:val="28"/>
                <w:szCs w:val="28"/>
              </w:rPr>
              <w:t>4º ESO</w:t>
            </w:r>
          </w:p>
        </w:tc>
        <w:tc>
          <w:tcPr>
            <w:tcW w:w="1175" w:type="dxa"/>
            <w:shd w:val="clear" w:color="auto" w:fill="auto"/>
          </w:tcPr>
          <w:p w:rsidR="00F76679" w:rsidRPr="005E1103" w:rsidRDefault="00F76679"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9</w:t>
            </w:r>
          </w:p>
        </w:tc>
        <w:tc>
          <w:tcPr>
            <w:tcW w:w="1441" w:type="dxa"/>
            <w:shd w:val="clear" w:color="auto" w:fill="auto"/>
          </w:tcPr>
          <w:p w:rsidR="00F76679" w:rsidRPr="005E1103" w:rsidRDefault="00F76679"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45,0</w:t>
            </w:r>
          </w:p>
        </w:tc>
      </w:tr>
      <w:tr w:rsidR="00F76679" w:rsidRPr="005E1103" w:rsidTr="005B72C1">
        <w:trPr>
          <w:trHeight w:val="75"/>
        </w:trPr>
        <w:tc>
          <w:tcPr>
            <w:tcW w:w="1985" w:type="dxa"/>
            <w:vMerge/>
            <w:shd w:val="clear" w:color="auto" w:fill="auto"/>
          </w:tcPr>
          <w:p w:rsidR="00F76679" w:rsidRPr="005E1103" w:rsidRDefault="00F76679" w:rsidP="005B72C1">
            <w:pPr>
              <w:spacing w:line="312" w:lineRule="auto"/>
              <w:ind w:right="-1"/>
              <w:jc w:val="both"/>
              <w:rPr>
                <w:rFonts w:eastAsia="Calibri" w:cstheme="minorHAnsi"/>
                <w:spacing w:val="-4"/>
                <w:sz w:val="28"/>
                <w:szCs w:val="28"/>
              </w:rPr>
            </w:pPr>
          </w:p>
        </w:tc>
        <w:tc>
          <w:tcPr>
            <w:tcW w:w="3827" w:type="dxa"/>
            <w:shd w:val="clear" w:color="auto" w:fill="auto"/>
          </w:tcPr>
          <w:p w:rsidR="00F76679" w:rsidRPr="005E1103" w:rsidRDefault="00F76679" w:rsidP="005B72C1">
            <w:pPr>
              <w:spacing w:line="312" w:lineRule="auto"/>
              <w:ind w:right="-1"/>
              <w:rPr>
                <w:rFonts w:cstheme="minorHAnsi"/>
                <w:spacing w:val="-4"/>
                <w:sz w:val="28"/>
                <w:szCs w:val="28"/>
              </w:rPr>
            </w:pPr>
            <w:r w:rsidRPr="005E1103">
              <w:rPr>
                <w:rFonts w:cstheme="minorHAnsi"/>
                <w:spacing w:val="-4"/>
                <w:sz w:val="28"/>
                <w:szCs w:val="28"/>
              </w:rPr>
              <w:t>1º Bachillerato</w:t>
            </w:r>
          </w:p>
        </w:tc>
        <w:tc>
          <w:tcPr>
            <w:tcW w:w="1175" w:type="dxa"/>
            <w:shd w:val="clear" w:color="auto" w:fill="auto"/>
          </w:tcPr>
          <w:p w:rsidR="00F76679" w:rsidRPr="005E1103" w:rsidRDefault="00F76679"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1</w:t>
            </w:r>
          </w:p>
        </w:tc>
        <w:tc>
          <w:tcPr>
            <w:tcW w:w="1441" w:type="dxa"/>
            <w:shd w:val="clear" w:color="auto" w:fill="auto"/>
          </w:tcPr>
          <w:p w:rsidR="00F76679" w:rsidRPr="005E1103" w:rsidRDefault="00F76679"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5,0</w:t>
            </w:r>
          </w:p>
        </w:tc>
      </w:tr>
      <w:tr w:rsidR="00F76679" w:rsidRPr="005E1103" w:rsidTr="005B72C1">
        <w:trPr>
          <w:trHeight w:val="75"/>
        </w:trPr>
        <w:tc>
          <w:tcPr>
            <w:tcW w:w="1985" w:type="dxa"/>
            <w:vMerge/>
            <w:shd w:val="clear" w:color="auto" w:fill="auto"/>
          </w:tcPr>
          <w:p w:rsidR="00F76679" w:rsidRPr="005E1103" w:rsidRDefault="00F76679" w:rsidP="005B72C1">
            <w:pPr>
              <w:spacing w:line="312" w:lineRule="auto"/>
              <w:ind w:right="-1"/>
              <w:jc w:val="both"/>
              <w:rPr>
                <w:rFonts w:eastAsia="Calibri" w:cstheme="minorHAnsi"/>
                <w:spacing w:val="-4"/>
                <w:sz w:val="28"/>
                <w:szCs w:val="28"/>
              </w:rPr>
            </w:pPr>
          </w:p>
        </w:tc>
        <w:tc>
          <w:tcPr>
            <w:tcW w:w="3827" w:type="dxa"/>
            <w:shd w:val="clear" w:color="auto" w:fill="auto"/>
          </w:tcPr>
          <w:p w:rsidR="00F76679" w:rsidRPr="005E1103" w:rsidRDefault="00F76679" w:rsidP="005B72C1">
            <w:pPr>
              <w:spacing w:line="312" w:lineRule="auto"/>
              <w:ind w:right="-1"/>
              <w:rPr>
                <w:rFonts w:cstheme="minorHAnsi"/>
                <w:spacing w:val="-4"/>
                <w:sz w:val="28"/>
                <w:szCs w:val="28"/>
              </w:rPr>
            </w:pPr>
            <w:r w:rsidRPr="005E1103">
              <w:rPr>
                <w:rFonts w:cstheme="minorHAnsi"/>
                <w:spacing w:val="-4"/>
                <w:sz w:val="28"/>
                <w:szCs w:val="28"/>
              </w:rPr>
              <w:t>2º Bachillerato</w:t>
            </w:r>
          </w:p>
        </w:tc>
        <w:tc>
          <w:tcPr>
            <w:tcW w:w="1175" w:type="dxa"/>
            <w:shd w:val="clear" w:color="auto" w:fill="auto"/>
          </w:tcPr>
          <w:p w:rsidR="00F76679" w:rsidRPr="005E1103" w:rsidRDefault="00F76679"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4</w:t>
            </w:r>
          </w:p>
        </w:tc>
        <w:tc>
          <w:tcPr>
            <w:tcW w:w="1441" w:type="dxa"/>
            <w:shd w:val="clear" w:color="auto" w:fill="auto"/>
          </w:tcPr>
          <w:p w:rsidR="00F76679" w:rsidRPr="005E1103" w:rsidRDefault="00F76679"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20,0</w:t>
            </w:r>
          </w:p>
        </w:tc>
      </w:tr>
      <w:tr w:rsidR="00F76679" w:rsidRPr="005E1103" w:rsidTr="005B72C1">
        <w:trPr>
          <w:trHeight w:val="75"/>
        </w:trPr>
        <w:tc>
          <w:tcPr>
            <w:tcW w:w="1985" w:type="dxa"/>
            <w:vMerge/>
            <w:shd w:val="clear" w:color="auto" w:fill="auto"/>
          </w:tcPr>
          <w:p w:rsidR="00F76679" w:rsidRPr="005E1103" w:rsidRDefault="00F76679" w:rsidP="005B72C1">
            <w:pPr>
              <w:spacing w:line="312" w:lineRule="auto"/>
              <w:ind w:right="-1"/>
              <w:jc w:val="both"/>
              <w:rPr>
                <w:rFonts w:eastAsia="Calibri" w:cstheme="minorHAnsi"/>
                <w:spacing w:val="-4"/>
                <w:sz w:val="28"/>
                <w:szCs w:val="28"/>
              </w:rPr>
            </w:pPr>
          </w:p>
        </w:tc>
        <w:tc>
          <w:tcPr>
            <w:tcW w:w="3827" w:type="dxa"/>
            <w:shd w:val="clear" w:color="auto" w:fill="auto"/>
          </w:tcPr>
          <w:p w:rsidR="00F76679" w:rsidRPr="005E1103" w:rsidRDefault="00F76679" w:rsidP="005B72C1">
            <w:pPr>
              <w:spacing w:line="312" w:lineRule="auto"/>
              <w:ind w:right="-1"/>
              <w:rPr>
                <w:rFonts w:cstheme="minorHAnsi"/>
                <w:spacing w:val="-4"/>
                <w:sz w:val="28"/>
                <w:szCs w:val="28"/>
              </w:rPr>
            </w:pPr>
            <w:r w:rsidRPr="005E1103">
              <w:rPr>
                <w:rFonts w:cstheme="minorHAnsi"/>
                <w:spacing w:val="-4"/>
                <w:sz w:val="28"/>
                <w:szCs w:val="28"/>
              </w:rPr>
              <w:t>F.P.</w:t>
            </w:r>
          </w:p>
        </w:tc>
        <w:tc>
          <w:tcPr>
            <w:tcW w:w="1175" w:type="dxa"/>
            <w:shd w:val="clear" w:color="auto" w:fill="auto"/>
          </w:tcPr>
          <w:p w:rsidR="00F76679" w:rsidRPr="005E1103" w:rsidRDefault="00F76679"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2</w:t>
            </w:r>
          </w:p>
        </w:tc>
        <w:tc>
          <w:tcPr>
            <w:tcW w:w="1441" w:type="dxa"/>
            <w:shd w:val="clear" w:color="auto" w:fill="auto"/>
          </w:tcPr>
          <w:p w:rsidR="00F76679" w:rsidRPr="005E1103" w:rsidRDefault="00F76679"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10,0</w:t>
            </w:r>
          </w:p>
        </w:tc>
      </w:tr>
      <w:tr w:rsidR="00F76679" w:rsidRPr="005E1103" w:rsidTr="005B72C1">
        <w:trPr>
          <w:trHeight w:val="299"/>
        </w:trPr>
        <w:tc>
          <w:tcPr>
            <w:tcW w:w="1985" w:type="dxa"/>
            <w:vMerge w:val="restart"/>
            <w:shd w:val="clear" w:color="auto" w:fill="auto"/>
          </w:tcPr>
          <w:p w:rsidR="00F76679" w:rsidRPr="005E1103" w:rsidRDefault="00F76679" w:rsidP="005B72C1">
            <w:pPr>
              <w:ind w:right="-1"/>
              <w:rPr>
                <w:rFonts w:eastAsia="Calibri" w:cstheme="minorHAnsi"/>
                <w:spacing w:val="-4"/>
                <w:sz w:val="28"/>
                <w:szCs w:val="28"/>
              </w:rPr>
            </w:pPr>
            <w:r w:rsidRPr="005E1103">
              <w:rPr>
                <w:rFonts w:eastAsia="Calibri" w:cstheme="minorHAnsi"/>
                <w:spacing w:val="-4"/>
                <w:sz w:val="28"/>
                <w:szCs w:val="28"/>
              </w:rPr>
              <w:t>Motivo de elección</w:t>
            </w:r>
          </w:p>
        </w:tc>
        <w:tc>
          <w:tcPr>
            <w:tcW w:w="3827" w:type="dxa"/>
            <w:shd w:val="clear" w:color="auto" w:fill="auto"/>
          </w:tcPr>
          <w:p w:rsidR="00F76679" w:rsidRPr="005E1103" w:rsidRDefault="00F76679" w:rsidP="005B72C1">
            <w:pPr>
              <w:rPr>
                <w:rFonts w:eastAsia="Calibri" w:cstheme="minorHAnsi"/>
                <w:spacing w:val="-4"/>
                <w:sz w:val="28"/>
                <w:szCs w:val="28"/>
              </w:rPr>
            </w:pPr>
            <w:r w:rsidRPr="005E1103">
              <w:rPr>
                <w:rFonts w:eastAsia="Calibri" w:cstheme="minorHAnsi"/>
                <w:spacing w:val="-4"/>
                <w:sz w:val="28"/>
                <w:szCs w:val="28"/>
              </w:rPr>
              <w:t>Por la ciudad de Granada</w:t>
            </w:r>
          </w:p>
        </w:tc>
        <w:tc>
          <w:tcPr>
            <w:tcW w:w="1175" w:type="dxa"/>
            <w:shd w:val="clear" w:color="auto" w:fill="auto"/>
          </w:tcPr>
          <w:p w:rsidR="00F76679" w:rsidRPr="005E1103" w:rsidRDefault="00F76679"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3</w:t>
            </w:r>
          </w:p>
        </w:tc>
        <w:tc>
          <w:tcPr>
            <w:tcW w:w="1441" w:type="dxa"/>
            <w:shd w:val="clear" w:color="auto" w:fill="auto"/>
          </w:tcPr>
          <w:p w:rsidR="00F76679" w:rsidRPr="005E1103" w:rsidRDefault="00F76679"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15,0</w:t>
            </w:r>
          </w:p>
        </w:tc>
      </w:tr>
      <w:tr w:rsidR="00F76679" w:rsidRPr="005E1103" w:rsidTr="005B72C1">
        <w:trPr>
          <w:trHeight w:val="75"/>
        </w:trPr>
        <w:tc>
          <w:tcPr>
            <w:tcW w:w="1985" w:type="dxa"/>
            <w:vMerge/>
            <w:shd w:val="clear" w:color="auto" w:fill="auto"/>
          </w:tcPr>
          <w:p w:rsidR="00F76679" w:rsidRPr="005E1103" w:rsidRDefault="00F76679" w:rsidP="005B72C1">
            <w:pPr>
              <w:spacing w:line="312" w:lineRule="auto"/>
              <w:ind w:right="-1"/>
              <w:jc w:val="both"/>
              <w:rPr>
                <w:rFonts w:eastAsia="Calibri" w:cstheme="minorHAnsi"/>
                <w:spacing w:val="-4"/>
                <w:sz w:val="28"/>
                <w:szCs w:val="28"/>
              </w:rPr>
            </w:pPr>
          </w:p>
        </w:tc>
        <w:tc>
          <w:tcPr>
            <w:tcW w:w="3827" w:type="dxa"/>
            <w:shd w:val="clear" w:color="auto" w:fill="auto"/>
          </w:tcPr>
          <w:p w:rsidR="00F76679" w:rsidRPr="005E1103" w:rsidRDefault="00F76679" w:rsidP="005B72C1">
            <w:pPr>
              <w:rPr>
                <w:rFonts w:eastAsia="Calibri" w:cstheme="minorHAnsi"/>
                <w:spacing w:val="-4"/>
                <w:sz w:val="28"/>
                <w:szCs w:val="28"/>
              </w:rPr>
            </w:pPr>
            <w:r w:rsidRPr="005E1103">
              <w:rPr>
                <w:rFonts w:eastAsia="Calibri" w:cstheme="minorHAnsi"/>
                <w:spacing w:val="-4"/>
                <w:sz w:val="28"/>
                <w:szCs w:val="28"/>
              </w:rPr>
              <w:t>Por la Universidad de Granada</w:t>
            </w:r>
          </w:p>
        </w:tc>
        <w:tc>
          <w:tcPr>
            <w:tcW w:w="1175" w:type="dxa"/>
            <w:shd w:val="clear" w:color="auto" w:fill="auto"/>
          </w:tcPr>
          <w:p w:rsidR="00F76679" w:rsidRPr="005E1103" w:rsidRDefault="00F76679"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1</w:t>
            </w:r>
          </w:p>
        </w:tc>
        <w:tc>
          <w:tcPr>
            <w:tcW w:w="1441" w:type="dxa"/>
            <w:shd w:val="clear" w:color="auto" w:fill="auto"/>
          </w:tcPr>
          <w:p w:rsidR="00F76679" w:rsidRPr="005E1103" w:rsidRDefault="00F76679"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5,0</w:t>
            </w:r>
          </w:p>
        </w:tc>
      </w:tr>
      <w:tr w:rsidR="00F76679" w:rsidRPr="005E1103" w:rsidTr="005B72C1">
        <w:trPr>
          <w:trHeight w:val="75"/>
        </w:trPr>
        <w:tc>
          <w:tcPr>
            <w:tcW w:w="1985" w:type="dxa"/>
            <w:vMerge/>
            <w:shd w:val="clear" w:color="auto" w:fill="auto"/>
          </w:tcPr>
          <w:p w:rsidR="00F76679" w:rsidRPr="005E1103" w:rsidRDefault="00F76679" w:rsidP="005B72C1">
            <w:pPr>
              <w:spacing w:line="312" w:lineRule="auto"/>
              <w:ind w:right="-1"/>
              <w:jc w:val="both"/>
              <w:rPr>
                <w:rFonts w:eastAsia="Calibri" w:cstheme="minorHAnsi"/>
                <w:spacing w:val="-4"/>
                <w:sz w:val="28"/>
                <w:szCs w:val="28"/>
              </w:rPr>
            </w:pPr>
          </w:p>
        </w:tc>
        <w:tc>
          <w:tcPr>
            <w:tcW w:w="3827" w:type="dxa"/>
            <w:shd w:val="clear" w:color="auto" w:fill="auto"/>
          </w:tcPr>
          <w:p w:rsidR="00F76679" w:rsidRPr="005E1103" w:rsidRDefault="00F76679" w:rsidP="005B72C1">
            <w:pPr>
              <w:rPr>
                <w:rFonts w:eastAsia="Calibri" w:cstheme="minorHAnsi"/>
                <w:spacing w:val="-4"/>
                <w:sz w:val="28"/>
                <w:szCs w:val="28"/>
              </w:rPr>
            </w:pPr>
            <w:r w:rsidRPr="005E1103">
              <w:rPr>
                <w:rFonts w:eastAsia="Calibri" w:cstheme="minorHAnsi"/>
                <w:spacing w:val="-4"/>
                <w:sz w:val="28"/>
                <w:szCs w:val="28"/>
              </w:rPr>
              <w:t>Por recomendación de amigos o familiares</w:t>
            </w:r>
          </w:p>
        </w:tc>
        <w:tc>
          <w:tcPr>
            <w:tcW w:w="1175" w:type="dxa"/>
            <w:shd w:val="clear" w:color="auto" w:fill="auto"/>
          </w:tcPr>
          <w:p w:rsidR="00F76679" w:rsidRPr="005E1103" w:rsidRDefault="00F76679"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9</w:t>
            </w:r>
          </w:p>
        </w:tc>
        <w:tc>
          <w:tcPr>
            <w:tcW w:w="1441" w:type="dxa"/>
            <w:shd w:val="clear" w:color="auto" w:fill="auto"/>
          </w:tcPr>
          <w:p w:rsidR="00F76679" w:rsidRPr="005E1103" w:rsidRDefault="00F76679"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45,0</w:t>
            </w:r>
          </w:p>
        </w:tc>
      </w:tr>
      <w:tr w:rsidR="00F76679" w:rsidRPr="005E1103" w:rsidTr="005B72C1">
        <w:trPr>
          <w:trHeight w:val="75"/>
        </w:trPr>
        <w:tc>
          <w:tcPr>
            <w:tcW w:w="1985" w:type="dxa"/>
            <w:vMerge/>
            <w:shd w:val="clear" w:color="auto" w:fill="auto"/>
          </w:tcPr>
          <w:p w:rsidR="00F76679" w:rsidRPr="005E1103" w:rsidRDefault="00F76679" w:rsidP="005B72C1">
            <w:pPr>
              <w:spacing w:line="312" w:lineRule="auto"/>
              <w:ind w:right="-1"/>
              <w:jc w:val="both"/>
              <w:rPr>
                <w:rFonts w:eastAsia="Calibri" w:cstheme="minorHAnsi"/>
                <w:spacing w:val="-4"/>
                <w:sz w:val="28"/>
                <w:szCs w:val="28"/>
              </w:rPr>
            </w:pPr>
          </w:p>
        </w:tc>
        <w:tc>
          <w:tcPr>
            <w:tcW w:w="3827" w:type="dxa"/>
            <w:shd w:val="clear" w:color="auto" w:fill="auto"/>
          </w:tcPr>
          <w:p w:rsidR="00F76679" w:rsidRPr="005E1103" w:rsidRDefault="00F76679" w:rsidP="005B72C1">
            <w:pPr>
              <w:rPr>
                <w:rFonts w:eastAsia="Calibri" w:cstheme="minorHAnsi"/>
                <w:spacing w:val="-4"/>
                <w:sz w:val="28"/>
                <w:szCs w:val="28"/>
              </w:rPr>
            </w:pPr>
            <w:r w:rsidRPr="005E1103">
              <w:rPr>
                <w:rFonts w:eastAsia="Calibri" w:cstheme="minorHAnsi"/>
                <w:spacing w:val="-4"/>
                <w:sz w:val="28"/>
                <w:szCs w:val="28"/>
              </w:rPr>
              <w:t>Por cercanía a mi ciudad/pueblo de origen</w:t>
            </w:r>
          </w:p>
        </w:tc>
        <w:tc>
          <w:tcPr>
            <w:tcW w:w="1175" w:type="dxa"/>
            <w:shd w:val="clear" w:color="auto" w:fill="auto"/>
          </w:tcPr>
          <w:p w:rsidR="00F76679" w:rsidRPr="005E1103" w:rsidRDefault="00F76679"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1</w:t>
            </w:r>
          </w:p>
        </w:tc>
        <w:tc>
          <w:tcPr>
            <w:tcW w:w="1441" w:type="dxa"/>
            <w:shd w:val="clear" w:color="auto" w:fill="auto"/>
          </w:tcPr>
          <w:p w:rsidR="00F76679" w:rsidRPr="005E1103" w:rsidRDefault="00F76679"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5,0</w:t>
            </w:r>
          </w:p>
        </w:tc>
      </w:tr>
      <w:tr w:rsidR="00F76679" w:rsidRPr="005E1103" w:rsidTr="005B72C1">
        <w:trPr>
          <w:trHeight w:val="150"/>
        </w:trPr>
        <w:tc>
          <w:tcPr>
            <w:tcW w:w="1985" w:type="dxa"/>
            <w:vMerge/>
            <w:shd w:val="clear" w:color="auto" w:fill="auto"/>
          </w:tcPr>
          <w:p w:rsidR="00F76679" w:rsidRPr="005E1103" w:rsidRDefault="00F76679" w:rsidP="005B72C1">
            <w:pPr>
              <w:spacing w:line="312" w:lineRule="auto"/>
              <w:ind w:right="-1"/>
              <w:jc w:val="both"/>
              <w:rPr>
                <w:rFonts w:eastAsia="Calibri" w:cstheme="minorHAnsi"/>
                <w:spacing w:val="-4"/>
                <w:sz w:val="28"/>
                <w:szCs w:val="28"/>
              </w:rPr>
            </w:pPr>
          </w:p>
        </w:tc>
        <w:tc>
          <w:tcPr>
            <w:tcW w:w="3827" w:type="dxa"/>
            <w:shd w:val="clear" w:color="auto" w:fill="auto"/>
          </w:tcPr>
          <w:p w:rsidR="00F76679" w:rsidRPr="005E1103" w:rsidRDefault="00F76679" w:rsidP="005B72C1">
            <w:pPr>
              <w:rPr>
                <w:rFonts w:eastAsia="Calibri" w:cstheme="minorHAnsi"/>
                <w:spacing w:val="-4"/>
                <w:sz w:val="28"/>
                <w:szCs w:val="28"/>
              </w:rPr>
            </w:pPr>
            <w:r w:rsidRPr="005E1103">
              <w:rPr>
                <w:rFonts w:eastAsia="Calibri" w:cstheme="minorHAnsi"/>
                <w:spacing w:val="-4"/>
                <w:sz w:val="28"/>
                <w:szCs w:val="28"/>
              </w:rPr>
              <w:t>No tuve otra opción</w:t>
            </w:r>
          </w:p>
        </w:tc>
        <w:tc>
          <w:tcPr>
            <w:tcW w:w="1175" w:type="dxa"/>
            <w:shd w:val="clear" w:color="auto" w:fill="auto"/>
          </w:tcPr>
          <w:p w:rsidR="00F76679" w:rsidRPr="005E1103" w:rsidRDefault="00F76679"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2</w:t>
            </w:r>
          </w:p>
        </w:tc>
        <w:tc>
          <w:tcPr>
            <w:tcW w:w="1441" w:type="dxa"/>
            <w:shd w:val="clear" w:color="auto" w:fill="auto"/>
          </w:tcPr>
          <w:p w:rsidR="00F76679" w:rsidRPr="005E1103" w:rsidRDefault="00F76679"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10,0</w:t>
            </w:r>
          </w:p>
        </w:tc>
      </w:tr>
      <w:tr w:rsidR="00F76679" w:rsidRPr="005E1103" w:rsidTr="005B72C1">
        <w:trPr>
          <w:trHeight w:val="150"/>
        </w:trPr>
        <w:tc>
          <w:tcPr>
            <w:tcW w:w="1985" w:type="dxa"/>
            <w:vMerge/>
            <w:tcBorders>
              <w:bottom w:val="single" w:sz="18" w:space="0" w:color="auto"/>
            </w:tcBorders>
            <w:shd w:val="clear" w:color="auto" w:fill="auto"/>
          </w:tcPr>
          <w:p w:rsidR="00F76679" w:rsidRPr="005E1103" w:rsidRDefault="00F76679" w:rsidP="005B72C1">
            <w:pPr>
              <w:spacing w:line="312" w:lineRule="auto"/>
              <w:ind w:right="-1"/>
              <w:jc w:val="both"/>
              <w:rPr>
                <w:rFonts w:eastAsia="Calibri" w:cstheme="minorHAnsi"/>
                <w:spacing w:val="-4"/>
                <w:sz w:val="28"/>
                <w:szCs w:val="28"/>
              </w:rPr>
            </w:pPr>
          </w:p>
        </w:tc>
        <w:tc>
          <w:tcPr>
            <w:tcW w:w="3827" w:type="dxa"/>
            <w:tcBorders>
              <w:bottom w:val="single" w:sz="18" w:space="0" w:color="auto"/>
            </w:tcBorders>
            <w:shd w:val="clear" w:color="auto" w:fill="auto"/>
          </w:tcPr>
          <w:p w:rsidR="00F76679" w:rsidRPr="005E1103" w:rsidRDefault="00F76679" w:rsidP="005B72C1">
            <w:pPr>
              <w:rPr>
                <w:rFonts w:eastAsia="Calibri" w:cstheme="minorHAnsi"/>
                <w:spacing w:val="-4"/>
                <w:sz w:val="28"/>
                <w:szCs w:val="28"/>
              </w:rPr>
            </w:pPr>
            <w:r w:rsidRPr="005E1103">
              <w:rPr>
                <w:rFonts w:eastAsia="Calibri" w:cstheme="minorHAnsi"/>
                <w:spacing w:val="-4"/>
                <w:sz w:val="28"/>
                <w:szCs w:val="28"/>
              </w:rPr>
              <w:t>Otros</w:t>
            </w:r>
          </w:p>
        </w:tc>
        <w:tc>
          <w:tcPr>
            <w:tcW w:w="1175" w:type="dxa"/>
            <w:tcBorders>
              <w:bottom w:val="single" w:sz="18" w:space="0" w:color="auto"/>
            </w:tcBorders>
            <w:shd w:val="clear" w:color="auto" w:fill="auto"/>
          </w:tcPr>
          <w:p w:rsidR="00F76679" w:rsidRPr="005E1103" w:rsidRDefault="00F76679"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4</w:t>
            </w:r>
          </w:p>
        </w:tc>
        <w:tc>
          <w:tcPr>
            <w:tcW w:w="1441" w:type="dxa"/>
            <w:tcBorders>
              <w:bottom w:val="single" w:sz="18" w:space="0" w:color="auto"/>
            </w:tcBorders>
            <w:shd w:val="clear" w:color="auto" w:fill="auto"/>
          </w:tcPr>
          <w:p w:rsidR="00F76679" w:rsidRPr="005E1103" w:rsidRDefault="00F76679"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20,0</w:t>
            </w:r>
          </w:p>
        </w:tc>
      </w:tr>
      <w:tr w:rsidR="00F76679" w:rsidRPr="005E1103" w:rsidTr="005B72C1">
        <w:trPr>
          <w:trHeight w:val="206"/>
        </w:trPr>
        <w:tc>
          <w:tcPr>
            <w:tcW w:w="1985" w:type="dxa"/>
            <w:tcBorders>
              <w:top w:val="single" w:sz="18" w:space="0" w:color="auto"/>
              <w:bottom w:val="nil"/>
            </w:tcBorders>
            <w:shd w:val="clear" w:color="auto" w:fill="auto"/>
          </w:tcPr>
          <w:p w:rsidR="00F76679" w:rsidRPr="005E1103" w:rsidRDefault="00F76679" w:rsidP="005B72C1">
            <w:pPr>
              <w:spacing w:line="312" w:lineRule="auto"/>
              <w:ind w:right="-1"/>
              <w:jc w:val="both"/>
              <w:rPr>
                <w:rFonts w:eastAsia="Calibri" w:cstheme="minorHAnsi"/>
                <w:spacing w:val="-4"/>
                <w:sz w:val="28"/>
                <w:szCs w:val="28"/>
              </w:rPr>
            </w:pPr>
            <w:r w:rsidRPr="005E1103">
              <w:rPr>
                <w:rFonts w:eastAsia="Calibri" w:cstheme="minorHAnsi"/>
                <w:spacing w:val="-4"/>
                <w:sz w:val="28"/>
                <w:szCs w:val="28"/>
              </w:rPr>
              <w:t>Año de participación</w:t>
            </w:r>
          </w:p>
        </w:tc>
        <w:tc>
          <w:tcPr>
            <w:tcW w:w="3827" w:type="dxa"/>
            <w:tcBorders>
              <w:top w:val="single" w:sz="18" w:space="0" w:color="auto"/>
            </w:tcBorders>
            <w:shd w:val="clear" w:color="auto" w:fill="auto"/>
          </w:tcPr>
          <w:p w:rsidR="00F76679" w:rsidRPr="005E1103" w:rsidRDefault="00F76679" w:rsidP="005B72C1">
            <w:pPr>
              <w:spacing w:line="312" w:lineRule="auto"/>
              <w:ind w:right="-1"/>
              <w:rPr>
                <w:rFonts w:cstheme="minorHAnsi"/>
                <w:spacing w:val="-4"/>
                <w:sz w:val="28"/>
                <w:szCs w:val="28"/>
              </w:rPr>
            </w:pPr>
            <w:r w:rsidRPr="005E1103">
              <w:rPr>
                <w:rFonts w:cstheme="minorHAnsi"/>
                <w:spacing w:val="-4"/>
                <w:sz w:val="28"/>
                <w:szCs w:val="28"/>
              </w:rPr>
              <w:t>2014</w:t>
            </w:r>
          </w:p>
        </w:tc>
        <w:tc>
          <w:tcPr>
            <w:tcW w:w="1175" w:type="dxa"/>
            <w:tcBorders>
              <w:top w:val="single" w:sz="18" w:space="0" w:color="auto"/>
            </w:tcBorders>
            <w:shd w:val="clear" w:color="auto" w:fill="auto"/>
          </w:tcPr>
          <w:p w:rsidR="00F76679" w:rsidRPr="005E1103" w:rsidRDefault="00F76679"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21</w:t>
            </w:r>
          </w:p>
        </w:tc>
        <w:tc>
          <w:tcPr>
            <w:tcW w:w="1441" w:type="dxa"/>
            <w:tcBorders>
              <w:top w:val="single" w:sz="18" w:space="0" w:color="auto"/>
            </w:tcBorders>
            <w:shd w:val="clear" w:color="auto" w:fill="auto"/>
          </w:tcPr>
          <w:p w:rsidR="00F76679" w:rsidRPr="005E1103" w:rsidRDefault="00F76679"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51,2</w:t>
            </w:r>
          </w:p>
        </w:tc>
      </w:tr>
      <w:tr w:rsidR="00F76679" w:rsidRPr="005E1103" w:rsidTr="005B72C1">
        <w:trPr>
          <w:trHeight w:val="206"/>
        </w:trPr>
        <w:tc>
          <w:tcPr>
            <w:tcW w:w="1985" w:type="dxa"/>
            <w:tcBorders>
              <w:top w:val="nil"/>
            </w:tcBorders>
            <w:shd w:val="clear" w:color="auto" w:fill="auto"/>
          </w:tcPr>
          <w:p w:rsidR="00F76679" w:rsidRPr="005E1103" w:rsidRDefault="00F76679" w:rsidP="005B72C1">
            <w:pPr>
              <w:spacing w:line="312" w:lineRule="auto"/>
              <w:ind w:right="-1"/>
              <w:jc w:val="both"/>
              <w:rPr>
                <w:rFonts w:eastAsia="Calibri" w:cstheme="minorHAnsi"/>
                <w:spacing w:val="-4"/>
                <w:sz w:val="28"/>
                <w:szCs w:val="28"/>
              </w:rPr>
            </w:pPr>
          </w:p>
        </w:tc>
        <w:tc>
          <w:tcPr>
            <w:tcW w:w="3827" w:type="dxa"/>
            <w:shd w:val="clear" w:color="auto" w:fill="auto"/>
          </w:tcPr>
          <w:p w:rsidR="00F76679" w:rsidRPr="005E1103" w:rsidRDefault="00F76679" w:rsidP="005B72C1">
            <w:pPr>
              <w:spacing w:line="312" w:lineRule="auto"/>
              <w:ind w:right="-1"/>
              <w:rPr>
                <w:rFonts w:cstheme="minorHAnsi"/>
                <w:spacing w:val="-4"/>
                <w:sz w:val="28"/>
                <w:szCs w:val="28"/>
              </w:rPr>
            </w:pPr>
            <w:r w:rsidRPr="005E1103">
              <w:rPr>
                <w:rFonts w:cstheme="minorHAnsi"/>
                <w:spacing w:val="-4"/>
                <w:sz w:val="28"/>
                <w:szCs w:val="28"/>
              </w:rPr>
              <w:t>2015</w:t>
            </w:r>
          </w:p>
        </w:tc>
        <w:tc>
          <w:tcPr>
            <w:tcW w:w="1175" w:type="dxa"/>
            <w:shd w:val="clear" w:color="auto" w:fill="auto"/>
          </w:tcPr>
          <w:p w:rsidR="00F76679" w:rsidRPr="005E1103" w:rsidRDefault="00F76679"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20</w:t>
            </w:r>
          </w:p>
        </w:tc>
        <w:tc>
          <w:tcPr>
            <w:tcW w:w="1441" w:type="dxa"/>
            <w:shd w:val="clear" w:color="auto" w:fill="auto"/>
          </w:tcPr>
          <w:p w:rsidR="00F76679" w:rsidRPr="005E1103" w:rsidRDefault="00F76679"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48,8</w:t>
            </w:r>
          </w:p>
        </w:tc>
      </w:tr>
    </w:tbl>
    <w:p w:rsidR="00F76679" w:rsidRPr="005E1103" w:rsidRDefault="00F76679" w:rsidP="00F76679">
      <w:pPr>
        <w:jc w:val="both"/>
        <w:rPr>
          <w:rFonts w:cstheme="minorHAnsi"/>
          <w:sz w:val="28"/>
          <w:szCs w:val="28"/>
        </w:rPr>
      </w:pPr>
    </w:p>
    <w:p w:rsidR="00F76679" w:rsidRPr="005E1103" w:rsidRDefault="00F76679" w:rsidP="00F76679">
      <w:pPr>
        <w:jc w:val="both"/>
        <w:rPr>
          <w:rFonts w:cstheme="minorHAnsi"/>
          <w:sz w:val="28"/>
          <w:szCs w:val="28"/>
        </w:rPr>
      </w:pPr>
    </w:p>
    <w:p w:rsidR="00F76679" w:rsidRPr="005E1103" w:rsidRDefault="00F76679" w:rsidP="00F76679">
      <w:pPr>
        <w:jc w:val="both"/>
        <w:rPr>
          <w:rFonts w:cstheme="minorHAnsi"/>
          <w:sz w:val="28"/>
          <w:szCs w:val="28"/>
        </w:rPr>
      </w:pPr>
      <w:r w:rsidRPr="005E1103">
        <w:rPr>
          <w:rFonts w:cstheme="minorHAnsi"/>
          <w:sz w:val="28"/>
          <w:szCs w:val="28"/>
        </w:rPr>
        <w:t>Tal como se puede comprobar hay el mismo porcentaje de hombres que de mujeres así como que casi la mitad se encontraban cursando 4º ESO a punto de entrar en 1º de Bachillerato. Por último, la recomendación de amigos y familiares fue el principal motivo de elección del Campus Inclusivo de la Universidad de Granada, coincidiendo ese aspecto con los participantes del año 2014.</w:t>
      </w:r>
    </w:p>
    <w:p w:rsidR="00F76679" w:rsidRPr="005E1103" w:rsidRDefault="00F76679" w:rsidP="00F76679">
      <w:pPr>
        <w:jc w:val="both"/>
        <w:rPr>
          <w:rFonts w:cstheme="minorHAnsi"/>
          <w:sz w:val="28"/>
          <w:szCs w:val="28"/>
        </w:rPr>
      </w:pPr>
    </w:p>
    <w:p w:rsidR="00F76679" w:rsidRPr="005E1103" w:rsidRDefault="00F76679" w:rsidP="00F76679">
      <w:pPr>
        <w:ind w:left="426"/>
        <w:jc w:val="both"/>
        <w:rPr>
          <w:rFonts w:cstheme="minorHAnsi"/>
          <w:b/>
          <w:sz w:val="28"/>
          <w:szCs w:val="28"/>
        </w:rPr>
      </w:pPr>
      <w:r w:rsidRPr="005E1103">
        <w:rPr>
          <w:rFonts w:cstheme="minorHAnsi"/>
          <w:b/>
          <w:sz w:val="28"/>
          <w:szCs w:val="28"/>
        </w:rPr>
        <w:t>4.3. Análisis de datos</w:t>
      </w:r>
    </w:p>
    <w:p w:rsidR="00F76679" w:rsidRPr="005E1103" w:rsidRDefault="00F76679" w:rsidP="00F76679">
      <w:pPr>
        <w:ind w:left="426"/>
        <w:jc w:val="both"/>
        <w:rPr>
          <w:rFonts w:cstheme="minorHAnsi"/>
          <w:b/>
          <w:sz w:val="28"/>
          <w:szCs w:val="28"/>
        </w:rPr>
      </w:pPr>
    </w:p>
    <w:p w:rsidR="00F76679" w:rsidRPr="005E1103" w:rsidRDefault="00F76679" w:rsidP="00F76679">
      <w:pPr>
        <w:jc w:val="both"/>
        <w:rPr>
          <w:rFonts w:cstheme="minorHAnsi"/>
          <w:sz w:val="28"/>
          <w:szCs w:val="28"/>
        </w:rPr>
      </w:pPr>
      <w:r w:rsidRPr="005E1103">
        <w:rPr>
          <w:rFonts w:cstheme="minorHAnsi"/>
          <w:sz w:val="28"/>
          <w:szCs w:val="28"/>
        </w:rPr>
        <w:t>Para la codificación, análisis y pruebas estadísticas de las respuestas del cuestionario se utilizó el paquete estadístico SPSS 20.0. Las técnicas de datos utilizadas para contrastar los objetivos planteados son básicamente análisis descriptivos y pruebas no paramétricas.</w:t>
      </w:r>
    </w:p>
    <w:p w:rsidR="00F76679" w:rsidRPr="005E1103" w:rsidRDefault="00F76679" w:rsidP="00F76679">
      <w:pPr>
        <w:jc w:val="both"/>
        <w:rPr>
          <w:rFonts w:cstheme="minorHAnsi"/>
          <w:b/>
          <w:sz w:val="28"/>
          <w:szCs w:val="28"/>
        </w:rPr>
      </w:pPr>
    </w:p>
    <w:p w:rsidR="00F76679" w:rsidRPr="005E1103" w:rsidRDefault="00F76679" w:rsidP="00F76679">
      <w:pPr>
        <w:ind w:left="360"/>
        <w:jc w:val="both"/>
        <w:rPr>
          <w:rFonts w:cstheme="minorHAnsi"/>
          <w:b/>
          <w:sz w:val="28"/>
          <w:szCs w:val="28"/>
        </w:rPr>
      </w:pPr>
      <w:r w:rsidRPr="005E1103">
        <w:rPr>
          <w:rFonts w:cstheme="minorHAnsi"/>
          <w:b/>
          <w:sz w:val="28"/>
          <w:szCs w:val="28"/>
        </w:rPr>
        <w:t>5. Resultados</w:t>
      </w:r>
    </w:p>
    <w:p w:rsidR="00F76679" w:rsidRPr="005E1103" w:rsidRDefault="00F76679" w:rsidP="00F76679">
      <w:pPr>
        <w:jc w:val="both"/>
        <w:rPr>
          <w:rFonts w:cstheme="minorHAnsi"/>
          <w:sz w:val="28"/>
          <w:szCs w:val="28"/>
        </w:rPr>
      </w:pPr>
    </w:p>
    <w:p w:rsidR="00F76679" w:rsidRPr="005E1103" w:rsidRDefault="00F76679" w:rsidP="00F76679">
      <w:pPr>
        <w:jc w:val="both"/>
        <w:rPr>
          <w:rFonts w:cstheme="minorHAnsi"/>
          <w:sz w:val="28"/>
          <w:szCs w:val="28"/>
        </w:rPr>
      </w:pPr>
      <w:r w:rsidRPr="005E1103">
        <w:rPr>
          <w:rFonts w:cstheme="minorHAnsi"/>
          <w:sz w:val="28"/>
          <w:szCs w:val="28"/>
        </w:rPr>
        <w:t>En primer lugar para conocer uno de los principales objetivos planteados en cuanto a si se ha logrado una mayor inclusión, se preguntó a los encuestados por su opinión una vez finalizados los Campus acerca de si creían que éstos les había ayudado a tener una mayor integración con otras personas (referido a la convivencia de personas con y sin discapacidad) además de si creían que el Campus les había sido útil para establecer nuevas amistades y normalizar la relación como iguales entre personas con y sin discapacidad y que ello ha redundado en un mayor desarrollo personal y académico. En definitiva, conocer la utilidad de la participación en los Campus donde también entran en juego los aspectos funcionales y académicos. Los resultados se ofrecen en la siguiente tabla:</w:t>
      </w:r>
    </w:p>
    <w:p w:rsidR="00F76679" w:rsidRPr="005E1103" w:rsidRDefault="00F76679" w:rsidP="00F76679">
      <w:pPr>
        <w:jc w:val="both"/>
        <w:rPr>
          <w:rFonts w:cstheme="minorHAnsi"/>
          <w:sz w:val="28"/>
          <w:szCs w:val="28"/>
        </w:rPr>
      </w:pPr>
    </w:p>
    <w:tbl>
      <w:tblPr>
        <w:tblW w:w="8505" w:type="dxa"/>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3969"/>
        <w:gridCol w:w="1560"/>
        <w:gridCol w:w="1701"/>
        <w:gridCol w:w="580"/>
        <w:gridCol w:w="695"/>
      </w:tblGrid>
      <w:tr w:rsidR="00F76679" w:rsidRPr="005E1103" w:rsidTr="005B72C1">
        <w:trPr>
          <w:gridAfter w:val="1"/>
          <w:wAfter w:w="695" w:type="dxa"/>
        </w:trPr>
        <w:tc>
          <w:tcPr>
            <w:tcW w:w="3969" w:type="dxa"/>
            <w:tcBorders>
              <w:top w:val="nil"/>
              <w:left w:val="nil"/>
              <w:bottom w:val="single" w:sz="4" w:space="0" w:color="auto"/>
              <w:right w:val="nil"/>
            </w:tcBorders>
            <w:shd w:val="clear" w:color="auto" w:fill="auto"/>
          </w:tcPr>
          <w:p w:rsidR="00F76679" w:rsidRPr="005E1103" w:rsidRDefault="00F76679" w:rsidP="005B72C1">
            <w:pPr>
              <w:jc w:val="both"/>
              <w:rPr>
                <w:rFonts w:cstheme="minorHAnsi"/>
                <w:b/>
                <w:sz w:val="28"/>
                <w:szCs w:val="28"/>
              </w:rPr>
            </w:pPr>
            <w:r w:rsidRPr="005E1103">
              <w:rPr>
                <w:rFonts w:cstheme="minorHAnsi"/>
                <w:b/>
                <w:sz w:val="28"/>
                <w:szCs w:val="28"/>
              </w:rPr>
              <w:t>Tabla 2. Valoración de la utilidad de los Campus Inclusivos</w:t>
            </w:r>
          </w:p>
          <w:p w:rsidR="00F76679" w:rsidRPr="005E1103" w:rsidRDefault="00F76679" w:rsidP="005B72C1">
            <w:pPr>
              <w:jc w:val="both"/>
              <w:rPr>
                <w:rFonts w:cstheme="minorHAnsi"/>
                <w:b/>
                <w:sz w:val="28"/>
                <w:szCs w:val="28"/>
              </w:rPr>
            </w:pPr>
          </w:p>
        </w:tc>
        <w:tc>
          <w:tcPr>
            <w:tcW w:w="1560" w:type="dxa"/>
            <w:tcBorders>
              <w:top w:val="nil"/>
              <w:left w:val="nil"/>
              <w:bottom w:val="single" w:sz="4" w:space="0" w:color="auto"/>
              <w:right w:val="nil"/>
            </w:tcBorders>
          </w:tcPr>
          <w:p w:rsidR="00F76679" w:rsidRPr="005E1103" w:rsidRDefault="00F76679" w:rsidP="005B72C1">
            <w:pPr>
              <w:jc w:val="both"/>
              <w:rPr>
                <w:rFonts w:cstheme="minorHAnsi"/>
                <w:b/>
                <w:sz w:val="28"/>
                <w:szCs w:val="28"/>
              </w:rPr>
            </w:pPr>
          </w:p>
        </w:tc>
        <w:tc>
          <w:tcPr>
            <w:tcW w:w="1701" w:type="dxa"/>
            <w:tcBorders>
              <w:top w:val="nil"/>
              <w:left w:val="nil"/>
              <w:bottom w:val="single" w:sz="4" w:space="0" w:color="auto"/>
              <w:right w:val="nil"/>
            </w:tcBorders>
          </w:tcPr>
          <w:p w:rsidR="00F76679" w:rsidRPr="005E1103" w:rsidRDefault="00F76679" w:rsidP="005B72C1">
            <w:pPr>
              <w:jc w:val="both"/>
              <w:rPr>
                <w:rFonts w:cstheme="minorHAnsi"/>
                <w:b/>
                <w:sz w:val="28"/>
                <w:szCs w:val="28"/>
              </w:rPr>
            </w:pPr>
          </w:p>
        </w:tc>
        <w:tc>
          <w:tcPr>
            <w:tcW w:w="580" w:type="dxa"/>
            <w:tcBorders>
              <w:top w:val="nil"/>
              <w:left w:val="nil"/>
              <w:bottom w:val="single" w:sz="4" w:space="0" w:color="auto"/>
              <w:right w:val="nil"/>
            </w:tcBorders>
            <w:shd w:val="clear" w:color="auto" w:fill="auto"/>
          </w:tcPr>
          <w:p w:rsidR="00F76679" w:rsidRPr="005E1103" w:rsidRDefault="00F76679" w:rsidP="005B72C1">
            <w:pPr>
              <w:jc w:val="both"/>
              <w:rPr>
                <w:rFonts w:cstheme="minorHAnsi"/>
                <w:b/>
                <w:sz w:val="28"/>
                <w:szCs w:val="28"/>
              </w:rPr>
            </w:pPr>
          </w:p>
        </w:tc>
      </w:tr>
      <w:tr w:rsidR="00F76679" w:rsidRPr="005E1103" w:rsidTr="005B72C1">
        <w:tc>
          <w:tcPr>
            <w:tcW w:w="3969" w:type="dxa"/>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both"/>
              <w:rPr>
                <w:rFonts w:cstheme="minorHAnsi"/>
                <w:sz w:val="28"/>
                <w:szCs w:val="28"/>
              </w:rPr>
            </w:pPr>
          </w:p>
        </w:tc>
        <w:tc>
          <w:tcPr>
            <w:tcW w:w="1560" w:type="dxa"/>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center"/>
              <w:rPr>
                <w:rFonts w:cstheme="minorHAnsi"/>
                <w:b/>
                <w:sz w:val="28"/>
                <w:szCs w:val="28"/>
              </w:rPr>
            </w:pPr>
            <w:r w:rsidRPr="005E1103">
              <w:rPr>
                <w:rFonts w:cstheme="minorHAnsi"/>
                <w:b/>
                <w:sz w:val="28"/>
                <w:szCs w:val="28"/>
              </w:rPr>
              <w:t>2014</w:t>
            </w:r>
          </w:p>
        </w:tc>
        <w:tc>
          <w:tcPr>
            <w:tcW w:w="1701" w:type="dxa"/>
            <w:tcBorders>
              <w:top w:val="single" w:sz="4" w:space="0" w:color="auto"/>
              <w:left w:val="single" w:sz="4" w:space="0" w:color="auto"/>
              <w:bottom w:val="single" w:sz="4" w:space="0" w:color="auto"/>
              <w:right w:val="single" w:sz="4" w:space="0" w:color="auto"/>
            </w:tcBorders>
            <w:shd w:val="clear" w:color="auto" w:fill="EEECE1"/>
          </w:tcPr>
          <w:p w:rsidR="00F76679" w:rsidRPr="005E1103" w:rsidRDefault="00F76679" w:rsidP="005B72C1">
            <w:pPr>
              <w:jc w:val="center"/>
              <w:rPr>
                <w:rFonts w:cstheme="minorHAnsi"/>
                <w:b/>
                <w:sz w:val="28"/>
                <w:szCs w:val="28"/>
              </w:rPr>
            </w:pPr>
            <w:r w:rsidRPr="005E1103">
              <w:rPr>
                <w:rFonts w:cstheme="minorHAnsi"/>
                <w:b/>
                <w:sz w:val="28"/>
                <w:szCs w:val="28"/>
              </w:rPr>
              <w:t>2015</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center"/>
              <w:rPr>
                <w:rFonts w:cstheme="minorHAnsi"/>
                <w:b/>
                <w:sz w:val="28"/>
                <w:szCs w:val="28"/>
              </w:rPr>
            </w:pPr>
            <w:r w:rsidRPr="005E1103">
              <w:rPr>
                <w:rFonts w:cstheme="minorHAnsi"/>
                <w:b/>
                <w:sz w:val="28"/>
                <w:szCs w:val="28"/>
              </w:rPr>
              <w:t>Sig.</w:t>
            </w:r>
          </w:p>
        </w:tc>
      </w:tr>
      <w:tr w:rsidR="00F76679" w:rsidRPr="005E1103" w:rsidTr="005B72C1">
        <w:tc>
          <w:tcPr>
            <w:tcW w:w="3969" w:type="dxa"/>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rPr>
                <w:rFonts w:cstheme="minorHAnsi"/>
                <w:sz w:val="28"/>
                <w:szCs w:val="28"/>
              </w:rPr>
            </w:pPr>
            <w:r w:rsidRPr="005E1103">
              <w:rPr>
                <w:rFonts w:cstheme="minorHAnsi"/>
                <w:sz w:val="28"/>
                <w:szCs w:val="28"/>
              </w:rPr>
              <w:t>El Campus me ha animado e impulsado a estudiar una carrera universitaria</w:t>
            </w:r>
          </w:p>
        </w:tc>
        <w:tc>
          <w:tcPr>
            <w:tcW w:w="1560" w:type="dxa"/>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center"/>
              <w:rPr>
                <w:rFonts w:cstheme="minorHAnsi"/>
                <w:sz w:val="28"/>
                <w:szCs w:val="28"/>
              </w:rPr>
            </w:pPr>
            <w:r w:rsidRPr="005E1103">
              <w:rPr>
                <w:rFonts w:cstheme="minorHAnsi"/>
                <w:sz w:val="28"/>
                <w:szCs w:val="28"/>
              </w:rPr>
              <w:t>4,35</w:t>
            </w:r>
          </w:p>
        </w:tc>
        <w:tc>
          <w:tcPr>
            <w:tcW w:w="1701" w:type="dxa"/>
            <w:tcBorders>
              <w:top w:val="single" w:sz="4" w:space="0" w:color="auto"/>
              <w:left w:val="single" w:sz="4" w:space="0" w:color="auto"/>
              <w:bottom w:val="single" w:sz="4" w:space="0" w:color="auto"/>
              <w:right w:val="single" w:sz="4" w:space="0" w:color="auto"/>
            </w:tcBorders>
            <w:shd w:val="clear" w:color="auto" w:fill="EEECE1"/>
          </w:tcPr>
          <w:p w:rsidR="00F76679" w:rsidRPr="005E1103" w:rsidRDefault="00F76679" w:rsidP="005B72C1">
            <w:pPr>
              <w:jc w:val="center"/>
              <w:rPr>
                <w:rFonts w:cstheme="minorHAnsi"/>
                <w:sz w:val="28"/>
                <w:szCs w:val="28"/>
              </w:rPr>
            </w:pPr>
            <w:r w:rsidRPr="005E1103">
              <w:rPr>
                <w:rFonts w:cstheme="minorHAnsi"/>
                <w:sz w:val="28"/>
                <w:szCs w:val="28"/>
              </w:rPr>
              <w:t>4,15</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center"/>
              <w:rPr>
                <w:rFonts w:cstheme="minorHAnsi"/>
                <w:sz w:val="28"/>
                <w:szCs w:val="28"/>
              </w:rPr>
            </w:pPr>
            <w:r w:rsidRPr="005E1103">
              <w:rPr>
                <w:rFonts w:cstheme="minorHAnsi"/>
                <w:sz w:val="28"/>
                <w:szCs w:val="28"/>
              </w:rPr>
              <w:t>0,303</w:t>
            </w:r>
          </w:p>
        </w:tc>
      </w:tr>
      <w:tr w:rsidR="00F76679" w:rsidRPr="005E1103" w:rsidTr="005B72C1">
        <w:tc>
          <w:tcPr>
            <w:tcW w:w="3969" w:type="dxa"/>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rPr>
                <w:rFonts w:cstheme="minorHAnsi"/>
                <w:sz w:val="28"/>
                <w:szCs w:val="28"/>
              </w:rPr>
            </w:pPr>
            <w:r w:rsidRPr="005E1103">
              <w:rPr>
                <w:rFonts w:cstheme="minorHAnsi"/>
                <w:sz w:val="28"/>
                <w:szCs w:val="28"/>
              </w:rPr>
              <w:t>El Campus me ha ayudado a aclarar que quiero estudiar en el futuro</w:t>
            </w:r>
          </w:p>
        </w:tc>
        <w:tc>
          <w:tcPr>
            <w:tcW w:w="1560" w:type="dxa"/>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center"/>
              <w:rPr>
                <w:rFonts w:cstheme="minorHAnsi"/>
                <w:sz w:val="28"/>
                <w:szCs w:val="28"/>
              </w:rPr>
            </w:pPr>
            <w:r w:rsidRPr="005E1103">
              <w:rPr>
                <w:rFonts w:cstheme="minorHAnsi"/>
                <w:sz w:val="28"/>
                <w:szCs w:val="28"/>
              </w:rPr>
              <w:t>4,00</w:t>
            </w:r>
          </w:p>
        </w:tc>
        <w:tc>
          <w:tcPr>
            <w:tcW w:w="1701" w:type="dxa"/>
            <w:tcBorders>
              <w:top w:val="single" w:sz="4" w:space="0" w:color="auto"/>
              <w:left w:val="single" w:sz="4" w:space="0" w:color="auto"/>
              <w:bottom w:val="single" w:sz="4" w:space="0" w:color="auto"/>
              <w:right w:val="single" w:sz="4" w:space="0" w:color="auto"/>
            </w:tcBorders>
            <w:shd w:val="clear" w:color="auto" w:fill="EEECE1"/>
          </w:tcPr>
          <w:p w:rsidR="00F76679" w:rsidRPr="005E1103" w:rsidRDefault="00F76679" w:rsidP="005B72C1">
            <w:pPr>
              <w:jc w:val="center"/>
              <w:rPr>
                <w:rFonts w:cstheme="minorHAnsi"/>
                <w:sz w:val="28"/>
                <w:szCs w:val="28"/>
              </w:rPr>
            </w:pPr>
            <w:r w:rsidRPr="005E1103">
              <w:rPr>
                <w:rFonts w:cstheme="minorHAnsi"/>
                <w:sz w:val="28"/>
                <w:szCs w:val="28"/>
              </w:rPr>
              <w:t>4,10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center"/>
              <w:rPr>
                <w:rFonts w:cstheme="minorHAnsi"/>
                <w:sz w:val="28"/>
                <w:szCs w:val="28"/>
              </w:rPr>
            </w:pPr>
            <w:r w:rsidRPr="005E1103">
              <w:rPr>
                <w:rFonts w:cstheme="minorHAnsi"/>
                <w:sz w:val="28"/>
                <w:szCs w:val="28"/>
              </w:rPr>
              <w:t>0,946</w:t>
            </w:r>
          </w:p>
        </w:tc>
      </w:tr>
      <w:tr w:rsidR="00F76679" w:rsidRPr="005E1103" w:rsidTr="005B72C1">
        <w:tc>
          <w:tcPr>
            <w:tcW w:w="3969" w:type="dxa"/>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rPr>
                <w:rFonts w:cstheme="minorHAnsi"/>
                <w:sz w:val="28"/>
                <w:szCs w:val="28"/>
              </w:rPr>
            </w:pPr>
            <w:r w:rsidRPr="005E1103">
              <w:rPr>
                <w:rFonts w:cstheme="minorHAnsi"/>
                <w:sz w:val="28"/>
                <w:szCs w:val="28"/>
              </w:rPr>
              <w:t>El Campus me ha servido para conocer el funcionamiento y estructura de la Universidad de Granada</w:t>
            </w:r>
          </w:p>
        </w:tc>
        <w:tc>
          <w:tcPr>
            <w:tcW w:w="1560" w:type="dxa"/>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center"/>
              <w:rPr>
                <w:rFonts w:cstheme="minorHAnsi"/>
                <w:sz w:val="28"/>
                <w:szCs w:val="28"/>
              </w:rPr>
            </w:pPr>
            <w:r w:rsidRPr="005E1103">
              <w:rPr>
                <w:rFonts w:cstheme="minorHAnsi"/>
                <w:sz w:val="28"/>
                <w:szCs w:val="28"/>
              </w:rPr>
              <w:t>4,45</w:t>
            </w:r>
          </w:p>
        </w:tc>
        <w:tc>
          <w:tcPr>
            <w:tcW w:w="1701" w:type="dxa"/>
            <w:tcBorders>
              <w:top w:val="single" w:sz="4" w:space="0" w:color="auto"/>
              <w:left w:val="single" w:sz="4" w:space="0" w:color="auto"/>
              <w:bottom w:val="single" w:sz="4" w:space="0" w:color="auto"/>
              <w:right w:val="single" w:sz="4" w:space="0" w:color="auto"/>
            </w:tcBorders>
            <w:shd w:val="clear" w:color="auto" w:fill="EEECE1"/>
          </w:tcPr>
          <w:p w:rsidR="00F76679" w:rsidRPr="005E1103" w:rsidRDefault="00F76679" w:rsidP="005B72C1">
            <w:pPr>
              <w:jc w:val="center"/>
              <w:rPr>
                <w:rFonts w:cstheme="minorHAnsi"/>
                <w:sz w:val="28"/>
                <w:szCs w:val="28"/>
              </w:rPr>
            </w:pPr>
            <w:r w:rsidRPr="005E1103">
              <w:rPr>
                <w:rFonts w:cstheme="minorHAnsi"/>
                <w:sz w:val="28"/>
                <w:szCs w:val="28"/>
              </w:rPr>
              <w:t>4,45</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center"/>
              <w:rPr>
                <w:rFonts w:cstheme="minorHAnsi"/>
                <w:sz w:val="28"/>
                <w:szCs w:val="28"/>
              </w:rPr>
            </w:pPr>
            <w:r w:rsidRPr="005E1103">
              <w:rPr>
                <w:rFonts w:cstheme="minorHAnsi"/>
                <w:sz w:val="28"/>
                <w:szCs w:val="28"/>
              </w:rPr>
              <w:t>0,745</w:t>
            </w:r>
          </w:p>
        </w:tc>
      </w:tr>
      <w:tr w:rsidR="00F76679" w:rsidRPr="005E1103" w:rsidTr="005B72C1">
        <w:tc>
          <w:tcPr>
            <w:tcW w:w="3969" w:type="dxa"/>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rPr>
                <w:rFonts w:cstheme="minorHAnsi"/>
                <w:sz w:val="28"/>
                <w:szCs w:val="28"/>
              </w:rPr>
            </w:pPr>
            <w:r w:rsidRPr="005E1103">
              <w:rPr>
                <w:rFonts w:cstheme="minorHAnsi"/>
                <w:sz w:val="28"/>
                <w:szCs w:val="28"/>
              </w:rPr>
              <w:t xml:space="preserve">El Campus me ha permitido desarrollar nuevas habilidades y capacidades </w:t>
            </w:r>
          </w:p>
        </w:tc>
        <w:tc>
          <w:tcPr>
            <w:tcW w:w="1560" w:type="dxa"/>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center"/>
              <w:rPr>
                <w:rFonts w:cstheme="minorHAnsi"/>
                <w:sz w:val="28"/>
                <w:szCs w:val="28"/>
              </w:rPr>
            </w:pPr>
            <w:r w:rsidRPr="005E1103">
              <w:rPr>
                <w:rFonts w:cstheme="minorHAnsi"/>
                <w:sz w:val="28"/>
                <w:szCs w:val="28"/>
              </w:rPr>
              <w:t>4,50</w:t>
            </w:r>
          </w:p>
        </w:tc>
        <w:tc>
          <w:tcPr>
            <w:tcW w:w="1701" w:type="dxa"/>
            <w:tcBorders>
              <w:top w:val="single" w:sz="4" w:space="0" w:color="auto"/>
              <w:left w:val="single" w:sz="4" w:space="0" w:color="auto"/>
              <w:bottom w:val="single" w:sz="4" w:space="0" w:color="auto"/>
              <w:right w:val="single" w:sz="4" w:space="0" w:color="auto"/>
            </w:tcBorders>
            <w:shd w:val="clear" w:color="auto" w:fill="EEECE1"/>
          </w:tcPr>
          <w:p w:rsidR="00F76679" w:rsidRPr="005E1103" w:rsidRDefault="00F76679" w:rsidP="005B72C1">
            <w:pPr>
              <w:jc w:val="center"/>
              <w:rPr>
                <w:rFonts w:cstheme="minorHAnsi"/>
                <w:sz w:val="28"/>
                <w:szCs w:val="28"/>
              </w:rPr>
            </w:pPr>
            <w:r w:rsidRPr="005E1103">
              <w:rPr>
                <w:rFonts w:cstheme="minorHAnsi"/>
                <w:sz w:val="28"/>
                <w:szCs w:val="28"/>
              </w:rPr>
              <w:t>4,45</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center"/>
              <w:rPr>
                <w:rFonts w:cstheme="minorHAnsi"/>
                <w:sz w:val="28"/>
                <w:szCs w:val="28"/>
              </w:rPr>
            </w:pPr>
            <w:r w:rsidRPr="005E1103">
              <w:rPr>
                <w:rFonts w:cstheme="minorHAnsi"/>
                <w:sz w:val="28"/>
                <w:szCs w:val="28"/>
              </w:rPr>
              <w:t>0,800</w:t>
            </w:r>
          </w:p>
        </w:tc>
      </w:tr>
      <w:tr w:rsidR="00F76679" w:rsidRPr="005E1103" w:rsidTr="005B72C1">
        <w:tc>
          <w:tcPr>
            <w:tcW w:w="3969" w:type="dxa"/>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rPr>
                <w:rFonts w:cstheme="minorHAnsi"/>
                <w:sz w:val="28"/>
                <w:szCs w:val="28"/>
              </w:rPr>
            </w:pPr>
            <w:r w:rsidRPr="005E1103">
              <w:rPr>
                <w:rFonts w:cstheme="minorHAnsi"/>
                <w:sz w:val="28"/>
                <w:szCs w:val="28"/>
              </w:rPr>
              <w:t xml:space="preserve">El Campus me ha permitido establecer nuevas amistades y conocer </w:t>
            </w:r>
          </w:p>
        </w:tc>
        <w:tc>
          <w:tcPr>
            <w:tcW w:w="1560" w:type="dxa"/>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center"/>
              <w:rPr>
                <w:rFonts w:cstheme="minorHAnsi"/>
                <w:sz w:val="28"/>
                <w:szCs w:val="28"/>
              </w:rPr>
            </w:pPr>
            <w:r w:rsidRPr="005E1103">
              <w:rPr>
                <w:rFonts w:cstheme="minorHAnsi"/>
                <w:sz w:val="28"/>
                <w:szCs w:val="28"/>
              </w:rPr>
              <w:t>4,91</w:t>
            </w:r>
          </w:p>
        </w:tc>
        <w:tc>
          <w:tcPr>
            <w:tcW w:w="1701" w:type="dxa"/>
            <w:tcBorders>
              <w:top w:val="single" w:sz="4" w:space="0" w:color="auto"/>
              <w:left w:val="single" w:sz="4" w:space="0" w:color="auto"/>
              <w:bottom w:val="single" w:sz="4" w:space="0" w:color="auto"/>
              <w:right w:val="single" w:sz="4" w:space="0" w:color="auto"/>
            </w:tcBorders>
            <w:shd w:val="clear" w:color="auto" w:fill="EEECE1"/>
          </w:tcPr>
          <w:p w:rsidR="00F76679" w:rsidRPr="005E1103" w:rsidRDefault="00F76679" w:rsidP="005B72C1">
            <w:pPr>
              <w:jc w:val="center"/>
              <w:rPr>
                <w:rFonts w:cstheme="minorHAnsi"/>
                <w:sz w:val="28"/>
                <w:szCs w:val="28"/>
              </w:rPr>
            </w:pPr>
            <w:r w:rsidRPr="005E1103">
              <w:rPr>
                <w:rFonts w:cstheme="minorHAnsi"/>
                <w:sz w:val="28"/>
                <w:szCs w:val="28"/>
              </w:rPr>
              <w:t>4,60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center"/>
              <w:rPr>
                <w:rFonts w:cstheme="minorHAnsi"/>
                <w:sz w:val="28"/>
                <w:szCs w:val="28"/>
              </w:rPr>
            </w:pPr>
            <w:r w:rsidRPr="005E1103">
              <w:rPr>
                <w:rFonts w:cstheme="minorHAnsi"/>
                <w:sz w:val="28"/>
                <w:szCs w:val="28"/>
              </w:rPr>
              <w:t>0,281</w:t>
            </w:r>
          </w:p>
        </w:tc>
      </w:tr>
      <w:tr w:rsidR="00F76679" w:rsidRPr="005E1103" w:rsidTr="005B72C1">
        <w:tc>
          <w:tcPr>
            <w:tcW w:w="3969" w:type="dxa"/>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rPr>
                <w:rFonts w:cstheme="minorHAnsi"/>
                <w:sz w:val="28"/>
                <w:szCs w:val="28"/>
              </w:rPr>
            </w:pPr>
            <w:r w:rsidRPr="005E1103">
              <w:rPr>
                <w:rFonts w:cstheme="minorHAnsi"/>
                <w:sz w:val="28"/>
                <w:szCs w:val="28"/>
              </w:rPr>
              <w:t>El Campus me ha ayudado a decidir que quiero estudiar en la Universidad de Granada</w:t>
            </w:r>
          </w:p>
        </w:tc>
        <w:tc>
          <w:tcPr>
            <w:tcW w:w="1560" w:type="dxa"/>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center"/>
              <w:rPr>
                <w:rFonts w:cstheme="minorHAnsi"/>
                <w:sz w:val="28"/>
                <w:szCs w:val="28"/>
              </w:rPr>
            </w:pPr>
            <w:r w:rsidRPr="005E1103">
              <w:rPr>
                <w:rFonts w:cstheme="minorHAnsi"/>
                <w:sz w:val="28"/>
                <w:szCs w:val="28"/>
              </w:rPr>
              <w:t>4,09</w:t>
            </w:r>
          </w:p>
        </w:tc>
        <w:tc>
          <w:tcPr>
            <w:tcW w:w="1701" w:type="dxa"/>
            <w:tcBorders>
              <w:top w:val="single" w:sz="4" w:space="0" w:color="auto"/>
              <w:left w:val="single" w:sz="4" w:space="0" w:color="auto"/>
              <w:bottom w:val="single" w:sz="4" w:space="0" w:color="auto"/>
              <w:right w:val="single" w:sz="4" w:space="0" w:color="auto"/>
            </w:tcBorders>
            <w:shd w:val="clear" w:color="auto" w:fill="EEECE1"/>
          </w:tcPr>
          <w:p w:rsidR="00F76679" w:rsidRPr="005E1103" w:rsidRDefault="00F76679" w:rsidP="005B72C1">
            <w:pPr>
              <w:jc w:val="center"/>
              <w:rPr>
                <w:rFonts w:cstheme="minorHAnsi"/>
                <w:sz w:val="28"/>
                <w:szCs w:val="28"/>
              </w:rPr>
            </w:pPr>
            <w:r w:rsidRPr="005E1103">
              <w:rPr>
                <w:rFonts w:cstheme="minorHAnsi"/>
                <w:sz w:val="28"/>
                <w:szCs w:val="28"/>
              </w:rPr>
              <w:t>4,00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center"/>
              <w:rPr>
                <w:rFonts w:cstheme="minorHAnsi"/>
                <w:sz w:val="28"/>
                <w:szCs w:val="28"/>
              </w:rPr>
            </w:pPr>
            <w:r w:rsidRPr="005E1103">
              <w:rPr>
                <w:rFonts w:cstheme="minorHAnsi"/>
                <w:sz w:val="28"/>
                <w:szCs w:val="28"/>
              </w:rPr>
              <w:t>0,547</w:t>
            </w:r>
          </w:p>
        </w:tc>
      </w:tr>
      <w:tr w:rsidR="00F76679" w:rsidRPr="005E1103" w:rsidTr="005B72C1">
        <w:tc>
          <w:tcPr>
            <w:tcW w:w="3969" w:type="dxa"/>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rPr>
                <w:rFonts w:cstheme="minorHAnsi"/>
                <w:sz w:val="28"/>
                <w:szCs w:val="28"/>
              </w:rPr>
            </w:pPr>
            <w:r w:rsidRPr="005E1103">
              <w:rPr>
                <w:rFonts w:cstheme="minorHAnsi"/>
                <w:sz w:val="28"/>
                <w:szCs w:val="28"/>
              </w:rPr>
              <w:t>El Campus ha supuesto un desarrollo tanto personal como académico</w:t>
            </w:r>
          </w:p>
        </w:tc>
        <w:tc>
          <w:tcPr>
            <w:tcW w:w="1560" w:type="dxa"/>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center"/>
              <w:rPr>
                <w:rFonts w:cstheme="minorHAnsi"/>
                <w:sz w:val="28"/>
                <w:szCs w:val="28"/>
              </w:rPr>
            </w:pPr>
            <w:r w:rsidRPr="005E1103">
              <w:rPr>
                <w:rFonts w:cstheme="minorHAnsi"/>
                <w:sz w:val="28"/>
                <w:szCs w:val="28"/>
              </w:rPr>
              <w:t>4,73</w:t>
            </w:r>
          </w:p>
        </w:tc>
        <w:tc>
          <w:tcPr>
            <w:tcW w:w="1701" w:type="dxa"/>
            <w:tcBorders>
              <w:top w:val="single" w:sz="4" w:space="0" w:color="auto"/>
              <w:left w:val="single" w:sz="4" w:space="0" w:color="auto"/>
              <w:bottom w:val="single" w:sz="4" w:space="0" w:color="auto"/>
              <w:right w:val="single" w:sz="4" w:space="0" w:color="auto"/>
            </w:tcBorders>
            <w:shd w:val="clear" w:color="auto" w:fill="EEECE1"/>
          </w:tcPr>
          <w:p w:rsidR="00F76679" w:rsidRPr="005E1103" w:rsidRDefault="00F76679" w:rsidP="005B72C1">
            <w:pPr>
              <w:jc w:val="center"/>
              <w:rPr>
                <w:rFonts w:cstheme="minorHAnsi"/>
                <w:sz w:val="28"/>
                <w:szCs w:val="28"/>
              </w:rPr>
            </w:pPr>
            <w:r w:rsidRPr="005E1103">
              <w:rPr>
                <w:rFonts w:cstheme="minorHAnsi"/>
                <w:sz w:val="28"/>
                <w:szCs w:val="28"/>
              </w:rPr>
              <w:t>4,50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center"/>
              <w:rPr>
                <w:rFonts w:cstheme="minorHAnsi"/>
                <w:sz w:val="28"/>
                <w:szCs w:val="28"/>
              </w:rPr>
            </w:pPr>
            <w:r w:rsidRPr="005E1103">
              <w:rPr>
                <w:rFonts w:cstheme="minorHAnsi"/>
                <w:sz w:val="28"/>
                <w:szCs w:val="28"/>
              </w:rPr>
              <w:t>0,774</w:t>
            </w:r>
          </w:p>
        </w:tc>
      </w:tr>
      <w:tr w:rsidR="00F76679" w:rsidRPr="005E1103" w:rsidTr="005B72C1">
        <w:tc>
          <w:tcPr>
            <w:tcW w:w="3969" w:type="dxa"/>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rPr>
                <w:rFonts w:cstheme="minorHAnsi"/>
                <w:sz w:val="28"/>
                <w:szCs w:val="28"/>
              </w:rPr>
            </w:pPr>
            <w:r w:rsidRPr="005E1103">
              <w:rPr>
                <w:rFonts w:cstheme="minorHAnsi"/>
                <w:sz w:val="28"/>
                <w:szCs w:val="28"/>
              </w:rPr>
              <w:t>El Campus me ha ayudado una mayor integración con otras personas</w:t>
            </w:r>
          </w:p>
        </w:tc>
        <w:tc>
          <w:tcPr>
            <w:tcW w:w="1560" w:type="dxa"/>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center"/>
              <w:rPr>
                <w:rFonts w:cstheme="minorHAnsi"/>
                <w:sz w:val="28"/>
                <w:szCs w:val="28"/>
              </w:rPr>
            </w:pPr>
            <w:r w:rsidRPr="005E1103">
              <w:rPr>
                <w:rFonts w:cstheme="minorHAnsi"/>
                <w:sz w:val="28"/>
                <w:szCs w:val="28"/>
              </w:rPr>
              <w:t>4,80</w:t>
            </w:r>
          </w:p>
        </w:tc>
        <w:tc>
          <w:tcPr>
            <w:tcW w:w="1701" w:type="dxa"/>
            <w:tcBorders>
              <w:top w:val="single" w:sz="4" w:space="0" w:color="auto"/>
              <w:left w:val="single" w:sz="4" w:space="0" w:color="auto"/>
              <w:bottom w:val="single" w:sz="4" w:space="0" w:color="auto"/>
              <w:right w:val="single" w:sz="4" w:space="0" w:color="auto"/>
            </w:tcBorders>
            <w:shd w:val="clear" w:color="auto" w:fill="EEECE1"/>
          </w:tcPr>
          <w:p w:rsidR="00F76679" w:rsidRPr="005E1103" w:rsidRDefault="00F76679" w:rsidP="005B72C1">
            <w:pPr>
              <w:jc w:val="center"/>
              <w:rPr>
                <w:rFonts w:cstheme="minorHAnsi"/>
                <w:sz w:val="28"/>
                <w:szCs w:val="28"/>
              </w:rPr>
            </w:pPr>
            <w:r w:rsidRPr="005E1103">
              <w:rPr>
                <w:rFonts w:cstheme="minorHAnsi"/>
                <w:sz w:val="28"/>
                <w:szCs w:val="28"/>
              </w:rPr>
              <w:t>4,75</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center"/>
              <w:rPr>
                <w:rFonts w:cstheme="minorHAnsi"/>
                <w:sz w:val="28"/>
                <w:szCs w:val="28"/>
              </w:rPr>
            </w:pPr>
            <w:r w:rsidRPr="005E1103">
              <w:rPr>
                <w:rFonts w:cstheme="minorHAnsi"/>
                <w:sz w:val="28"/>
                <w:szCs w:val="28"/>
              </w:rPr>
              <w:t>0,852</w:t>
            </w:r>
          </w:p>
        </w:tc>
      </w:tr>
    </w:tbl>
    <w:p w:rsidR="00F76679" w:rsidRPr="005E1103" w:rsidRDefault="00F76679" w:rsidP="00F76679">
      <w:pPr>
        <w:jc w:val="both"/>
        <w:rPr>
          <w:rFonts w:cstheme="minorHAnsi"/>
          <w:sz w:val="28"/>
          <w:szCs w:val="28"/>
        </w:rPr>
      </w:pPr>
    </w:p>
    <w:p w:rsidR="00F76679" w:rsidRPr="005E1103" w:rsidRDefault="00F76679" w:rsidP="00F76679">
      <w:pPr>
        <w:jc w:val="both"/>
        <w:rPr>
          <w:rFonts w:cstheme="minorHAnsi"/>
          <w:sz w:val="28"/>
          <w:szCs w:val="28"/>
        </w:rPr>
      </w:pPr>
    </w:p>
    <w:p w:rsidR="00F76679" w:rsidRPr="005E1103" w:rsidRDefault="00F76679" w:rsidP="00F76679">
      <w:pPr>
        <w:jc w:val="both"/>
        <w:rPr>
          <w:rFonts w:cstheme="minorHAnsi"/>
          <w:sz w:val="28"/>
          <w:szCs w:val="28"/>
        </w:rPr>
      </w:pPr>
      <w:r w:rsidRPr="005E1103">
        <w:rPr>
          <w:rFonts w:cstheme="minorHAnsi"/>
          <w:sz w:val="28"/>
          <w:szCs w:val="28"/>
        </w:rPr>
        <w:t xml:space="preserve">Respecto a los resultados alcanzados que pueden extraerse destaca que en todos los casos se obtuvieron unas altas puntuaciones por parte de los participantes. En todos los casos se encuentran puntuaciones más altas de 4 puntos de la escala. Destaca que como media sin diferencias entre alumnos entre el año de edición (prueba no paramétrica de Mann-Whitney) el aspecto más importante fue el hecho de hacer nuevas amistades y normalizar la relación como iguales.  El Campus también destaca por el desarrollo de nuevas capacidades y </w:t>
      </w:r>
      <w:r w:rsidR="00E142CC" w:rsidRPr="005E1103">
        <w:rPr>
          <w:rFonts w:cstheme="minorHAnsi"/>
          <w:sz w:val="28"/>
          <w:szCs w:val="28"/>
        </w:rPr>
        <w:t>habilidades,</w:t>
      </w:r>
      <w:r w:rsidRPr="005E1103">
        <w:rPr>
          <w:rFonts w:cstheme="minorHAnsi"/>
          <w:sz w:val="28"/>
          <w:szCs w:val="28"/>
        </w:rPr>
        <w:t xml:space="preserve"> así como por el hecho de acercar la realidad universitaria a los estudiantes. De este modo, la valoración ha sido bastante positiva en todos los casos. Sin embargo, en 7 de los 8 ítems se ha producido un descenso en la </w:t>
      </w:r>
      <w:r w:rsidR="00E142CC" w:rsidRPr="005E1103">
        <w:rPr>
          <w:rFonts w:cstheme="minorHAnsi"/>
          <w:sz w:val="28"/>
          <w:szCs w:val="28"/>
        </w:rPr>
        <w:t>valoración,</w:t>
      </w:r>
      <w:r w:rsidRPr="005E1103">
        <w:rPr>
          <w:rFonts w:cstheme="minorHAnsi"/>
          <w:sz w:val="28"/>
          <w:szCs w:val="28"/>
        </w:rPr>
        <w:t xml:space="preserve"> aunque sin provocar diferencias a nivel estadístico por lo que se mantiene en el mismo nivel de valoración con respecto al año 2014.</w:t>
      </w:r>
    </w:p>
    <w:p w:rsidR="00F76679" w:rsidRPr="005E1103" w:rsidRDefault="00F76679" w:rsidP="00F76679">
      <w:pPr>
        <w:jc w:val="both"/>
        <w:rPr>
          <w:rFonts w:cstheme="minorHAnsi"/>
          <w:sz w:val="28"/>
          <w:szCs w:val="28"/>
        </w:rPr>
      </w:pPr>
    </w:p>
    <w:p w:rsidR="00F76679" w:rsidRPr="005E1103" w:rsidRDefault="00F76679" w:rsidP="00F76679">
      <w:pPr>
        <w:jc w:val="both"/>
        <w:rPr>
          <w:rFonts w:cstheme="minorHAnsi"/>
          <w:sz w:val="28"/>
          <w:szCs w:val="28"/>
        </w:rPr>
      </w:pPr>
      <w:r w:rsidRPr="005E1103">
        <w:rPr>
          <w:rFonts w:cstheme="minorHAnsi"/>
          <w:sz w:val="28"/>
          <w:szCs w:val="28"/>
        </w:rPr>
        <w:t xml:space="preserve">En general, los participantes han considerado el Campus como una experiencia positiva que les ha animado a considerar a estudiar una carrera universitaria. En cuanto a que los alumnos han percibido la utilidad del Campus como forma de querer estudiar en la Universidad de Granada es el ítem que obtiene una puntuación menor (en total, 4 puntos). Un aspecto importante de este año es que ha mejorado la percepción del ítem peor valorado en 2014, el hecho de ayudar a la orientación académica (decidir qué carrera estudiar). Por último, los participantes consideran que una de las grandes utilidades del Campus ha sido para comprender el funcionamiento, la oferta académica y la estructura de la Universidad (en nuestro caso, la de Granada). </w:t>
      </w:r>
    </w:p>
    <w:p w:rsidR="00F76679" w:rsidRPr="005E1103" w:rsidRDefault="00F76679" w:rsidP="00F76679">
      <w:pPr>
        <w:jc w:val="both"/>
        <w:rPr>
          <w:rFonts w:cstheme="minorHAnsi"/>
          <w:sz w:val="28"/>
          <w:szCs w:val="28"/>
        </w:rPr>
      </w:pPr>
    </w:p>
    <w:p w:rsidR="00F76679" w:rsidRPr="005E1103" w:rsidRDefault="00F76679" w:rsidP="00F76679">
      <w:pPr>
        <w:jc w:val="both"/>
        <w:rPr>
          <w:rFonts w:cstheme="minorHAnsi"/>
          <w:sz w:val="28"/>
          <w:szCs w:val="28"/>
        </w:rPr>
      </w:pPr>
      <w:r w:rsidRPr="005E1103">
        <w:rPr>
          <w:rFonts w:cstheme="minorHAnsi"/>
          <w:sz w:val="28"/>
          <w:szCs w:val="28"/>
        </w:rPr>
        <w:t xml:space="preserve">Continuando con los objetivos planteados en este estudio de evaluación de los Campus Inclusivos, en segundo lugar, procedemos a analizar la valoración del Campus en opinión de los participantes. Los resultados que aquí se ofrecen son acerca de los aspectos generales de organización y coordinación. A los alumnos se les preguntó por su satisfacción y evaluación de cada una de las actividades realizadas durante los 9 días de forma específica, pero teniendo en cuenta los aspectos generales (coordinación, desplazamiento, monitores, ponencias, trato general, horario, etc.) se pueden destacar los siguientes puntos: </w:t>
      </w:r>
    </w:p>
    <w:p w:rsidR="00F76679" w:rsidRPr="005E1103" w:rsidRDefault="00F76679" w:rsidP="00F76679">
      <w:pPr>
        <w:jc w:val="both"/>
        <w:rPr>
          <w:rFonts w:cstheme="minorHAnsi"/>
          <w:sz w:val="28"/>
          <w:szCs w:val="28"/>
        </w:rPr>
      </w:pPr>
    </w:p>
    <w:p w:rsidR="00F76679" w:rsidRPr="005E1103" w:rsidRDefault="00F76679" w:rsidP="00F76679">
      <w:pPr>
        <w:numPr>
          <w:ilvl w:val="0"/>
          <w:numId w:val="15"/>
        </w:numPr>
        <w:spacing w:after="0" w:line="240" w:lineRule="auto"/>
        <w:jc w:val="both"/>
        <w:rPr>
          <w:rFonts w:cstheme="minorHAnsi"/>
          <w:sz w:val="28"/>
          <w:szCs w:val="28"/>
        </w:rPr>
      </w:pPr>
      <w:r w:rsidRPr="005E1103">
        <w:rPr>
          <w:rFonts w:cstheme="minorHAnsi"/>
          <w:sz w:val="28"/>
          <w:szCs w:val="28"/>
        </w:rPr>
        <w:t xml:space="preserve">No se encontraron diferencias significativas en seis ítems acerca de la valoración de los ocho diferentes aspectos según el año de participación (2014 y 2015) a </w:t>
      </w:r>
      <w:r w:rsidRPr="005E1103">
        <w:rPr>
          <w:rFonts w:cstheme="minorHAnsi"/>
          <w:sz w:val="28"/>
          <w:szCs w:val="28"/>
        </w:rPr>
        <w:lastRenderedPageBreak/>
        <w:t>través de pruebas no paramétricas. Ello supone que en la mayoría de los casos no ha habido aspectos significativos en los cuáles ha habido una mejora o empeoramiento. Sin embargo, según la prueba de Mann-Whitney si hay diferencias en la puntualidad y en el horario produciéndose una puntuación más negativa en la edición de 2015 por lo que serán las prioridades en la edición del año 2016.</w:t>
      </w:r>
    </w:p>
    <w:p w:rsidR="00F76679" w:rsidRPr="005E1103" w:rsidRDefault="00F76679" w:rsidP="00F76679">
      <w:pPr>
        <w:numPr>
          <w:ilvl w:val="0"/>
          <w:numId w:val="15"/>
        </w:numPr>
        <w:spacing w:after="0" w:line="240" w:lineRule="auto"/>
        <w:jc w:val="both"/>
        <w:rPr>
          <w:rFonts w:cstheme="minorHAnsi"/>
          <w:sz w:val="28"/>
          <w:szCs w:val="28"/>
        </w:rPr>
      </w:pPr>
      <w:r w:rsidRPr="005E1103">
        <w:rPr>
          <w:rFonts w:cstheme="minorHAnsi"/>
          <w:sz w:val="28"/>
          <w:szCs w:val="28"/>
        </w:rPr>
        <w:t xml:space="preserve">Todos los ítems tuvieron muy altas puntuaciones (todas por encima de 4 en la escala Likert de 5 puntos). La única excepción supone la valoración del horario y el cronograma que supone la primera vez que un ítem no supera los 4 puntos (3,80). De este modo, posiblemente la carga de actividades y ponencias, en definitiva, la sobreactividad (además duraba </w:t>
      </w:r>
      <w:r w:rsidR="00E142CC" w:rsidRPr="005E1103">
        <w:rPr>
          <w:rFonts w:cstheme="minorHAnsi"/>
          <w:sz w:val="28"/>
          <w:szCs w:val="28"/>
        </w:rPr>
        <w:t>un día</w:t>
      </w:r>
      <w:r w:rsidRPr="005E1103">
        <w:rPr>
          <w:rFonts w:cstheme="minorHAnsi"/>
          <w:sz w:val="28"/>
          <w:szCs w:val="28"/>
        </w:rPr>
        <w:t xml:space="preserve"> más) ha sido el aspecto más crítico del los Campus Inclusivos de la Universidad de Granada.</w:t>
      </w:r>
    </w:p>
    <w:p w:rsidR="00F76679" w:rsidRPr="005E1103" w:rsidRDefault="00F76679" w:rsidP="00F76679">
      <w:pPr>
        <w:numPr>
          <w:ilvl w:val="0"/>
          <w:numId w:val="15"/>
        </w:numPr>
        <w:spacing w:after="0" w:line="240" w:lineRule="auto"/>
        <w:jc w:val="both"/>
        <w:rPr>
          <w:rFonts w:cstheme="minorHAnsi"/>
          <w:sz w:val="28"/>
          <w:szCs w:val="28"/>
        </w:rPr>
      </w:pPr>
      <w:r w:rsidRPr="005E1103">
        <w:rPr>
          <w:rFonts w:cstheme="minorHAnsi"/>
          <w:sz w:val="28"/>
          <w:szCs w:val="28"/>
        </w:rPr>
        <w:t>Los aspectos mejor valorados fueron los intérpretes de lengua de signos con una media de 4,93, “el trato general durante todo el Campus” con una media de 4,80, la misma puntuación que el personal de coordinación. Finalmente destaca la valoración otorgada a los monitores (4,50).</w:t>
      </w:r>
    </w:p>
    <w:p w:rsidR="00F76679" w:rsidRPr="005E1103" w:rsidRDefault="00F76679" w:rsidP="00F76679">
      <w:pPr>
        <w:numPr>
          <w:ilvl w:val="0"/>
          <w:numId w:val="15"/>
        </w:numPr>
        <w:spacing w:after="0" w:line="240" w:lineRule="auto"/>
        <w:jc w:val="both"/>
        <w:rPr>
          <w:rFonts w:cstheme="minorHAnsi"/>
          <w:sz w:val="28"/>
          <w:szCs w:val="28"/>
        </w:rPr>
      </w:pPr>
      <w:r w:rsidRPr="005E1103">
        <w:rPr>
          <w:rFonts w:cstheme="minorHAnsi"/>
          <w:sz w:val="28"/>
          <w:szCs w:val="28"/>
        </w:rPr>
        <w:t>Por otra parte, los que fueron menos valorados fueron la puntualidad (4,30), “el desplazamiento” (4,35), las ponencias (4,30) y la que menos valorada el ya mencionado horario y cronograma de actividades (3,80).</w:t>
      </w:r>
    </w:p>
    <w:p w:rsidR="00F76679" w:rsidRPr="005E1103" w:rsidRDefault="00F76679" w:rsidP="00F76679">
      <w:pPr>
        <w:numPr>
          <w:ilvl w:val="0"/>
          <w:numId w:val="15"/>
        </w:numPr>
        <w:spacing w:after="0" w:line="240" w:lineRule="auto"/>
        <w:jc w:val="both"/>
        <w:rPr>
          <w:rFonts w:cstheme="minorHAnsi"/>
          <w:sz w:val="28"/>
          <w:szCs w:val="28"/>
        </w:rPr>
      </w:pPr>
      <w:r w:rsidRPr="005E1103">
        <w:rPr>
          <w:rFonts w:cstheme="minorHAnsi"/>
          <w:sz w:val="28"/>
          <w:szCs w:val="28"/>
        </w:rPr>
        <w:t>Aunque no se especifica en el gráfico, las actividades que tuvieron una mayor aceptación por parte de los alumnos fueron las actividades deportivas en Sierra Nevada (valoran altamente la integración mediante actividades deportivas) así como la visita a la Alhambra (donde se combinada aspectos culturales, históricos y de ocio).</w:t>
      </w:r>
    </w:p>
    <w:p w:rsidR="00F76679" w:rsidRPr="005E1103" w:rsidRDefault="00F76679" w:rsidP="00F76679">
      <w:pPr>
        <w:jc w:val="both"/>
        <w:rPr>
          <w:rFonts w:cstheme="minorHAnsi"/>
          <w:sz w:val="28"/>
          <w:szCs w:val="28"/>
        </w:rPr>
      </w:pPr>
    </w:p>
    <w:tbl>
      <w:tblPr>
        <w:tblW w:w="8363" w:type="dxa"/>
        <w:tblInd w:w="25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284"/>
        <w:gridCol w:w="283"/>
        <w:gridCol w:w="3827"/>
        <w:gridCol w:w="1418"/>
        <w:gridCol w:w="1417"/>
        <w:gridCol w:w="1134"/>
      </w:tblGrid>
      <w:tr w:rsidR="00F76679" w:rsidRPr="005E1103" w:rsidTr="005B72C1">
        <w:tc>
          <w:tcPr>
            <w:tcW w:w="284" w:type="dxa"/>
            <w:tcBorders>
              <w:top w:val="nil"/>
              <w:left w:val="nil"/>
              <w:bottom w:val="single" w:sz="4" w:space="0" w:color="auto"/>
              <w:right w:val="nil"/>
            </w:tcBorders>
          </w:tcPr>
          <w:p w:rsidR="00F76679" w:rsidRPr="005E1103" w:rsidRDefault="00F76679" w:rsidP="005B72C1">
            <w:pPr>
              <w:jc w:val="both"/>
              <w:rPr>
                <w:rFonts w:cstheme="minorHAnsi"/>
                <w:b/>
                <w:sz w:val="28"/>
                <w:szCs w:val="28"/>
              </w:rPr>
            </w:pPr>
          </w:p>
        </w:tc>
        <w:tc>
          <w:tcPr>
            <w:tcW w:w="283" w:type="dxa"/>
            <w:tcBorders>
              <w:top w:val="nil"/>
              <w:left w:val="nil"/>
              <w:bottom w:val="single" w:sz="4" w:space="0" w:color="auto"/>
              <w:right w:val="nil"/>
            </w:tcBorders>
          </w:tcPr>
          <w:p w:rsidR="00F76679" w:rsidRPr="005E1103" w:rsidRDefault="00F76679" w:rsidP="005B72C1">
            <w:pPr>
              <w:jc w:val="both"/>
              <w:rPr>
                <w:rFonts w:cstheme="minorHAnsi"/>
                <w:b/>
                <w:sz w:val="28"/>
                <w:szCs w:val="28"/>
              </w:rPr>
            </w:pPr>
          </w:p>
        </w:tc>
        <w:tc>
          <w:tcPr>
            <w:tcW w:w="7796" w:type="dxa"/>
            <w:gridSpan w:val="4"/>
            <w:tcBorders>
              <w:top w:val="nil"/>
              <w:left w:val="nil"/>
              <w:bottom w:val="single" w:sz="4" w:space="0" w:color="auto"/>
              <w:right w:val="nil"/>
            </w:tcBorders>
            <w:shd w:val="clear" w:color="auto" w:fill="auto"/>
          </w:tcPr>
          <w:p w:rsidR="00F76679" w:rsidRPr="005E1103" w:rsidRDefault="00F76679" w:rsidP="005B72C1">
            <w:pPr>
              <w:jc w:val="both"/>
              <w:rPr>
                <w:rFonts w:cstheme="minorHAnsi"/>
                <w:b/>
                <w:sz w:val="28"/>
                <w:szCs w:val="28"/>
              </w:rPr>
            </w:pPr>
            <w:r w:rsidRPr="005E1103">
              <w:rPr>
                <w:rFonts w:cstheme="minorHAnsi"/>
                <w:b/>
                <w:sz w:val="28"/>
                <w:szCs w:val="28"/>
              </w:rPr>
              <w:t>Tabla 3. Valoración del Campus</w:t>
            </w:r>
          </w:p>
          <w:p w:rsidR="00F76679" w:rsidRPr="005E1103" w:rsidRDefault="00F76679" w:rsidP="005B72C1">
            <w:pPr>
              <w:jc w:val="both"/>
              <w:rPr>
                <w:rFonts w:cstheme="minorHAnsi"/>
                <w:b/>
                <w:sz w:val="28"/>
                <w:szCs w:val="28"/>
              </w:rPr>
            </w:pPr>
          </w:p>
        </w:tc>
      </w:tr>
      <w:tr w:rsidR="00E142CC" w:rsidRPr="005E1103" w:rsidTr="005B72C1">
        <w:tc>
          <w:tcPr>
            <w:tcW w:w="284" w:type="dxa"/>
            <w:tcBorders>
              <w:top w:val="nil"/>
              <w:left w:val="nil"/>
              <w:bottom w:val="single" w:sz="4" w:space="0" w:color="auto"/>
              <w:right w:val="nil"/>
            </w:tcBorders>
          </w:tcPr>
          <w:p w:rsidR="00E142CC" w:rsidRPr="005E1103" w:rsidRDefault="00E142CC" w:rsidP="005B72C1">
            <w:pPr>
              <w:jc w:val="both"/>
              <w:rPr>
                <w:rFonts w:cstheme="minorHAnsi"/>
                <w:b/>
                <w:sz w:val="28"/>
                <w:szCs w:val="28"/>
              </w:rPr>
            </w:pPr>
          </w:p>
        </w:tc>
        <w:tc>
          <w:tcPr>
            <w:tcW w:w="283" w:type="dxa"/>
            <w:tcBorders>
              <w:top w:val="nil"/>
              <w:left w:val="nil"/>
              <w:bottom w:val="single" w:sz="4" w:space="0" w:color="auto"/>
              <w:right w:val="nil"/>
            </w:tcBorders>
          </w:tcPr>
          <w:p w:rsidR="00E142CC" w:rsidRPr="005E1103" w:rsidRDefault="00E142CC" w:rsidP="005B72C1">
            <w:pPr>
              <w:jc w:val="both"/>
              <w:rPr>
                <w:rFonts w:cstheme="minorHAnsi"/>
                <w:b/>
                <w:sz w:val="28"/>
                <w:szCs w:val="28"/>
              </w:rPr>
            </w:pPr>
          </w:p>
        </w:tc>
        <w:tc>
          <w:tcPr>
            <w:tcW w:w="7796" w:type="dxa"/>
            <w:gridSpan w:val="4"/>
            <w:tcBorders>
              <w:top w:val="nil"/>
              <w:left w:val="nil"/>
              <w:bottom w:val="single" w:sz="4" w:space="0" w:color="auto"/>
              <w:right w:val="nil"/>
            </w:tcBorders>
            <w:shd w:val="clear" w:color="auto" w:fill="auto"/>
          </w:tcPr>
          <w:p w:rsidR="00E142CC" w:rsidRPr="005E1103" w:rsidRDefault="00E142CC" w:rsidP="005B72C1">
            <w:pPr>
              <w:jc w:val="both"/>
              <w:rPr>
                <w:rFonts w:cstheme="minorHAnsi"/>
                <w:b/>
                <w:sz w:val="28"/>
                <w:szCs w:val="28"/>
              </w:rPr>
            </w:pPr>
          </w:p>
        </w:tc>
      </w:tr>
      <w:tr w:rsidR="00F76679" w:rsidRPr="005E1103" w:rsidTr="005B72C1">
        <w:tc>
          <w:tcPr>
            <w:tcW w:w="4394" w:type="dxa"/>
            <w:gridSpan w:val="3"/>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both"/>
              <w:rPr>
                <w:rFonts w:cstheme="minorHAnsi"/>
                <w:sz w:val="28"/>
                <w:szCs w:val="28"/>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center"/>
              <w:rPr>
                <w:rFonts w:cstheme="minorHAnsi"/>
                <w:b/>
                <w:sz w:val="28"/>
                <w:szCs w:val="28"/>
              </w:rPr>
            </w:pPr>
            <w:r w:rsidRPr="005E1103">
              <w:rPr>
                <w:rFonts w:cstheme="minorHAnsi"/>
                <w:b/>
                <w:sz w:val="28"/>
                <w:szCs w:val="28"/>
              </w:rPr>
              <w:t>2014</w:t>
            </w:r>
          </w:p>
        </w:tc>
        <w:tc>
          <w:tcPr>
            <w:tcW w:w="1417" w:type="dxa"/>
            <w:tcBorders>
              <w:top w:val="single" w:sz="4" w:space="0" w:color="auto"/>
              <w:left w:val="single" w:sz="4" w:space="0" w:color="auto"/>
              <w:bottom w:val="single" w:sz="4" w:space="0" w:color="auto"/>
              <w:right w:val="single" w:sz="4" w:space="0" w:color="auto"/>
            </w:tcBorders>
            <w:shd w:val="clear" w:color="auto" w:fill="EEECE1"/>
          </w:tcPr>
          <w:p w:rsidR="00F76679" w:rsidRPr="005E1103" w:rsidRDefault="00F76679" w:rsidP="005B72C1">
            <w:pPr>
              <w:jc w:val="center"/>
              <w:rPr>
                <w:rFonts w:cstheme="minorHAnsi"/>
                <w:b/>
                <w:sz w:val="28"/>
                <w:szCs w:val="28"/>
              </w:rPr>
            </w:pPr>
            <w:r w:rsidRPr="005E1103">
              <w:rPr>
                <w:rFonts w:cstheme="minorHAnsi"/>
                <w:b/>
                <w:sz w:val="28"/>
                <w:szCs w:val="28"/>
              </w:rPr>
              <w:t>2015</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center"/>
              <w:rPr>
                <w:rFonts w:cstheme="minorHAnsi"/>
                <w:b/>
                <w:sz w:val="28"/>
                <w:szCs w:val="28"/>
              </w:rPr>
            </w:pPr>
            <w:r w:rsidRPr="005E1103">
              <w:rPr>
                <w:rFonts w:cstheme="minorHAnsi"/>
                <w:b/>
                <w:sz w:val="28"/>
                <w:szCs w:val="28"/>
              </w:rPr>
              <w:t>Sig.</w:t>
            </w:r>
          </w:p>
        </w:tc>
      </w:tr>
      <w:tr w:rsidR="00F76679" w:rsidRPr="005E1103" w:rsidTr="005B72C1">
        <w:tc>
          <w:tcPr>
            <w:tcW w:w="4394" w:type="dxa"/>
            <w:gridSpan w:val="3"/>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both"/>
              <w:rPr>
                <w:rFonts w:cstheme="minorHAnsi"/>
                <w:sz w:val="28"/>
                <w:szCs w:val="28"/>
              </w:rPr>
            </w:pPr>
            <w:r w:rsidRPr="005E1103">
              <w:rPr>
                <w:rFonts w:cstheme="minorHAnsi"/>
                <w:sz w:val="28"/>
                <w:szCs w:val="28"/>
              </w:rPr>
              <w:t>Monitores del Campus</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center"/>
              <w:rPr>
                <w:rFonts w:cstheme="minorHAnsi"/>
                <w:sz w:val="28"/>
                <w:szCs w:val="28"/>
              </w:rPr>
            </w:pPr>
            <w:r w:rsidRPr="005E1103">
              <w:rPr>
                <w:rFonts w:cstheme="minorHAnsi"/>
                <w:sz w:val="28"/>
                <w:szCs w:val="28"/>
              </w:rPr>
              <w:t>4,88</w:t>
            </w:r>
          </w:p>
        </w:tc>
        <w:tc>
          <w:tcPr>
            <w:tcW w:w="1417" w:type="dxa"/>
            <w:tcBorders>
              <w:top w:val="single" w:sz="4" w:space="0" w:color="auto"/>
              <w:left w:val="single" w:sz="4" w:space="0" w:color="auto"/>
              <w:bottom w:val="single" w:sz="4" w:space="0" w:color="auto"/>
              <w:right w:val="single" w:sz="4" w:space="0" w:color="auto"/>
            </w:tcBorders>
            <w:shd w:val="clear" w:color="auto" w:fill="EEECE1"/>
          </w:tcPr>
          <w:p w:rsidR="00F76679" w:rsidRPr="005E1103" w:rsidRDefault="00F76679" w:rsidP="005B72C1">
            <w:pPr>
              <w:jc w:val="center"/>
              <w:rPr>
                <w:rFonts w:cstheme="minorHAnsi"/>
                <w:sz w:val="28"/>
                <w:szCs w:val="28"/>
              </w:rPr>
            </w:pPr>
            <w:r w:rsidRPr="005E1103">
              <w:rPr>
                <w:rFonts w:cstheme="minorHAnsi"/>
                <w:sz w:val="28"/>
                <w:szCs w:val="28"/>
              </w:rPr>
              <w:t>4,50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center"/>
              <w:rPr>
                <w:rFonts w:cstheme="minorHAnsi"/>
                <w:sz w:val="28"/>
                <w:szCs w:val="28"/>
              </w:rPr>
            </w:pPr>
            <w:r w:rsidRPr="005E1103">
              <w:rPr>
                <w:rFonts w:cstheme="minorHAnsi"/>
                <w:sz w:val="28"/>
                <w:szCs w:val="28"/>
              </w:rPr>
              <w:t>0,059</w:t>
            </w:r>
          </w:p>
        </w:tc>
      </w:tr>
      <w:tr w:rsidR="00F76679" w:rsidRPr="005E1103" w:rsidTr="005B72C1">
        <w:tc>
          <w:tcPr>
            <w:tcW w:w="4394" w:type="dxa"/>
            <w:gridSpan w:val="3"/>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both"/>
              <w:rPr>
                <w:rFonts w:cstheme="minorHAnsi"/>
                <w:sz w:val="28"/>
                <w:szCs w:val="28"/>
              </w:rPr>
            </w:pPr>
            <w:r w:rsidRPr="005E1103">
              <w:rPr>
                <w:rFonts w:cstheme="minorHAnsi"/>
                <w:sz w:val="28"/>
                <w:szCs w:val="28"/>
              </w:rPr>
              <w:t xml:space="preserve">Personal de coordinación y dirección </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center"/>
              <w:rPr>
                <w:rFonts w:cstheme="minorHAnsi"/>
                <w:sz w:val="28"/>
                <w:szCs w:val="28"/>
              </w:rPr>
            </w:pPr>
            <w:r w:rsidRPr="005E1103">
              <w:rPr>
                <w:rFonts w:cstheme="minorHAnsi"/>
                <w:sz w:val="28"/>
                <w:szCs w:val="28"/>
              </w:rPr>
              <w:t>4,75</w:t>
            </w:r>
          </w:p>
        </w:tc>
        <w:tc>
          <w:tcPr>
            <w:tcW w:w="1417" w:type="dxa"/>
            <w:tcBorders>
              <w:top w:val="single" w:sz="4" w:space="0" w:color="auto"/>
              <w:left w:val="single" w:sz="4" w:space="0" w:color="auto"/>
              <w:bottom w:val="single" w:sz="4" w:space="0" w:color="auto"/>
              <w:right w:val="single" w:sz="4" w:space="0" w:color="auto"/>
            </w:tcBorders>
            <w:shd w:val="clear" w:color="auto" w:fill="EEECE1"/>
          </w:tcPr>
          <w:p w:rsidR="00F76679" w:rsidRPr="005E1103" w:rsidRDefault="00F76679" w:rsidP="005B72C1">
            <w:pPr>
              <w:jc w:val="center"/>
              <w:rPr>
                <w:rFonts w:cstheme="minorHAnsi"/>
                <w:sz w:val="28"/>
                <w:szCs w:val="28"/>
              </w:rPr>
            </w:pPr>
            <w:r w:rsidRPr="005E1103">
              <w:rPr>
                <w:rFonts w:cstheme="minorHAnsi"/>
                <w:sz w:val="28"/>
                <w:szCs w:val="28"/>
              </w:rPr>
              <w:t>4,80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center"/>
              <w:rPr>
                <w:rFonts w:cstheme="minorHAnsi"/>
                <w:sz w:val="28"/>
                <w:szCs w:val="28"/>
              </w:rPr>
            </w:pPr>
            <w:r w:rsidRPr="005E1103">
              <w:rPr>
                <w:rFonts w:cstheme="minorHAnsi"/>
                <w:sz w:val="28"/>
                <w:szCs w:val="28"/>
              </w:rPr>
              <w:t>0,528</w:t>
            </w:r>
          </w:p>
        </w:tc>
      </w:tr>
      <w:tr w:rsidR="00F76679" w:rsidRPr="005E1103" w:rsidTr="005B72C1">
        <w:tc>
          <w:tcPr>
            <w:tcW w:w="4394" w:type="dxa"/>
            <w:gridSpan w:val="3"/>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both"/>
              <w:rPr>
                <w:rFonts w:cstheme="minorHAnsi"/>
                <w:sz w:val="28"/>
                <w:szCs w:val="28"/>
              </w:rPr>
            </w:pPr>
            <w:r w:rsidRPr="005E1103">
              <w:rPr>
                <w:rFonts w:cstheme="minorHAnsi"/>
                <w:sz w:val="28"/>
                <w:szCs w:val="28"/>
              </w:rPr>
              <w:t>Ponentes de las diferentes actividades</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center"/>
              <w:rPr>
                <w:rFonts w:cstheme="minorHAnsi"/>
                <w:sz w:val="28"/>
                <w:szCs w:val="28"/>
              </w:rPr>
            </w:pPr>
            <w:r w:rsidRPr="005E1103">
              <w:rPr>
                <w:rFonts w:cstheme="minorHAnsi"/>
                <w:sz w:val="28"/>
                <w:szCs w:val="28"/>
              </w:rPr>
              <w:t>4,25</w:t>
            </w:r>
          </w:p>
        </w:tc>
        <w:tc>
          <w:tcPr>
            <w:tcW w:w="1417" w:type="dxa"/>
            <w:tcBorders>
              <w:top w:val="single" w:sz="4" w:space="0" w:color="auto"/>
              <w:left w:val="single" w:sz="4" w:space="0" w:color="auto"/>
              <w:bottom w:val="single" w:sz="4" w:space="0" w:color="auto"/>
              <w:right w:val="single" w:sz="4" w:space="0" w:color="auto"/>
            </w:tcBorders>
            <w:shd w:val="clear" w:color="auto" w:fill="EEECE1"/>
          </w:tcPr>
          <w:p w:rsidR="00F76679" w:rsidRPr="005E1103" w:rsidRDefault="00F76679" w:rsidP="005B72C1">
            <w:pPr>
              <w:jc w:val="center"/>
              <w:rPr>
                <w:rFonts w:cstheme="minorHAnsi"/>
                <w:sz w:val="28"/>
                <w:szCs w:val="28"/>
              </w:rPr>
            </w:pPr>
            <w:r w:rsidRPr="005E1103">
              <w:rPr>
                <w:rFonts w:cstheme="minorHAnsi"/>
                <w:sz w:val="28"/>
                <w:szCs w:val="28"/>
              </w:rPr>
              <w:t>4,30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center"/>
              <w:rPr>
                <w:rFonts w:cstheme="minorHAnsi"/>
                <w:sz w:val="28"/>
                <w:szCs w:val="28"/>
              </w:rPr>
            </w:pPr>
            <w:r w:rsidRPr="005E1103">
              <w:rPr>
                <w:rFonts w:cstheme="minorHAnsi"/>
                <w:sz w:val="28"/>
                <w:szCs w:val="28"/>
              </w:rPr>
              <w:t>0,959</w:t>
            </w:r>
          </w:p>
        </w:tc>
      </w:tr>
      <w:tr w:rsidR="00F76679" w:rsidRPr="005E1103" w:rsidTr="005B72C1">
        <w:tc>
          <w:tcPr>
            <w:tcW w:w="4394" w:type="dxa"/>
            <w:gridSpan w:val="3"/>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both"/>
              <w:rPr>
                <w:rFonts w:cstheme="minorHAnsi"/>
                <w:sz w:val="28"/>
                <w:szCs w:val="28"/>
              </w:rPr>
            </w:pPr>
            <w:r w:rsidRPr="005E1103">
              <w:rPr>
                <w:rFonts w:cstheme="minorHAnsi"/>
                <w:sz w:val="28"/>
                <w:szCs w:val="28"/>
              </w:rPr>
              <w:t>Horario y cronograma de actividades realizadas</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center"/>
              <w:rPr>
                <w:rFonts w:cstheme="minorHAnsi"/>
                <w:sz w:val="28"/>
                <w:szCs w:val="28"/>
              </w:rPr>
            </w:pPr>
            <w:r w:rsidRPr="005E1103">
              <w:rPr>
                <w:rFonts w:cstheme="minorHAnsi"/>
                <w:sz w:val="28"/>
                <w:szCs w:val="28"/>
              </w:rPr>
              <w:t>4,21</w:t>
            </w:r>
          </w:p>
        </w:tc>
        <w:tc>
          <w:tcPr>
            <w:tcW w:w="1417" w:type="dxa"/>
            <w:tcBorders>
              <w:top w:val="single" w:sz="4" w:space="0" w:color="auto"/>
              <w:left w:val="single" w:sz="4" w:space="0" w:color="auto"/>
              <w:bottom w:val="single" w:sz="4" w:space="0" w:color="auto"/>
              <w:right w:val="single" w:sz="4" w:space="0" w:color="auto"/>
            </w:tcBorders>
            <w:shd w:val="clear" w:color="auto" w:fill="EEECE1"/>
          </w:tcPr>
          <w:p w:rsidR="00F76679" w:rsidRPr="005E1103" w:rsidRDefault="00F76679" w:rsidP="005B72C1">
            <w:pPr>
              <w:jc w:val="center"/>
              <w:rPr>
                <w:rFonts w:cstheme="minorHAnsi"/>
                <w:sz w:val="28"/>
                <w:szCs w:val="28"/>
              </w:rPr>
            </w:pPr>
            <w:r w:rsidRPr="005E1103">
              <w:rPr>
                <w:rFonts w:cstheme="minorHAnsi"/>
                <w:sz w:val="28"/>
                <w:szCs w:val="28"/>
              </w:rPr>
              <w:t>3,80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center"/>
              <w:rPr>
                <w:rFonts w:cstheme="minorHAnsi"/>
                <w:sz w:val="28"/>
                <w:szCs w:val="28"/>
              </w:rPr>
            </w:pPr>
            <w:r w:rsidRPr="005E1103">
              <w:rPr>
                <w:rFonts w:cstheme="minorHAnsi"/>
                <w:sz w:val="28"/>
                <w:szCs w:val="28"/>
              </w:rPr>
              <w:t>0,044</w:t>
            </w:r>
          </w:p>
        </w:tc>
      </w:tr>
      <w:tr w:rsidR="00F76679" w:rsidRPr="005E1103" w:rsidTr="005B72C1">
        <w:trPr>
          <w:trHeight w:val="283"/>
        </w:trPr>
        <w:tc>
          <w:tcPr>
            <w:tcW w:w="4394" w:type="dxa"/>
            <w:gridSpan w:val="3"/>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both"/>
              <w:rPr>
                <w:rFonts w:cstheme="minorHAnsi"/>
                <w:sz w:val="28"/>
                <w:szCs w:val="28"/>
              </w:rPr>
            </w:pPr>
            <w:r w:rsidRPr="005E1103">
              <w:rPr>
                <w:rFonts w:cstheme="minorHAnsi"/>
                <w:sz w:val="28"/>
                <w:szCs w:val="28"/>
              </w:rPr>
              <w:lastRenderedPageBreak/>
              <w:t>Desplazamiento durante la semana</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center"/>
              <w:rPr>
                <w:rFonts w:cstheme="minorHAnsi"/>
                <w:sz w:val="28"/>
                <w:szCs w:val="28"/>
              </w:rPr>
            </w:pPr>
            <w:r w:rsidRPr="005E1103">
              <w:rPr>
                <w:rFonts w:cstheme="minorHAnsi"/>
                <w:sz w:val="28"/>
                <w:szCs w:val="28"/>
              </w:rPr>
              <w:t>4,63</w:t>
            </w:r>
          </w:p>
        </w:tc>
        <w:tc>
          <w:tcPr>
            <w:tcW w:w="1417" w:type="dxa"/>
            <w:tcBorders>
              <w:top w:val="single" w:sz="4" w:space="0" w:color="auto"/>
              <w:left w:val="single" w:sz="4" w:space="0" w:color="auto"/>
              <w:bottom w:val="single" w:sz="4" w:space="0" w:color="auto"/>
              <w:right w:val="single" w:sz="4" w:space="0" w:color="auto"/>
            </w:tcBorders>
            <w:shd w:val="clear" w:color="auto" w:fill="EEECE1"/>
          </w:tcPr>
          <w:p w:rsidR="00F76679" w:rsidRPr="005E1103" w:rsidRDefault="00F76679" w:rsidP="005B72C1">
            <w:pPr>
              <w:jc w:val="center"/>
              <w:rPr>
                <w:rFonts w:cstheme="minorHAnsi"/>
                <w:sz w:val="28"/>
                <w:szCs w:val="28"/>
              </w:rPr>
            </w:pPr>
            <w:r w:rsidRPr="005E1103">
              <w:rPr>
                <w:rFonts w:cstheme="minorHAnsi"/>
                <w:sz w:val="28"/>
                <w:szCs w:val="28"/>
              </w:rPr>
              <w:t>4,35</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center"/>
              <w:rPr>
                <w:rFonts w:cstheme="minorHAnsi"/>
                <w:sz w:val="28"/>
                <w:szCs w:val="28"/>
              </w:rPr>
            </w:pPr>
            <w:r w:rsidRPr="005E1103">
              <w:rPr>
                <w:rFonts w:cstheme="minorHAnsi"/>
                <w:sz w:val="28"/>
                <w:szCs w:val="28"/>
              </w:rPr>
              <w:t>0,117</w:t>
            </w:r>
          </w:p>
        </w:tc>
      </w:tr>
      <w:tr w:rsidR="00F76679" w:rsidRPr="005E1103" w:rsidTr="005B72C1">
        <w:trPr>
          <w:trHeight w:val="283"/>
        </w:trPr>
        <w:tc>
          <w:tcPr>
            <w:tcW w:w="4394" w:type="dxa"/>
            <w:gridSpan w:val="3"/>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both"/>
              <w:rPr>
                <w:rFonts w:cstheme="minorHAnsi"/>
                <w:sz w:val="28"/>
                <w:szCs w:val="28"/>
              </w:rPr>
            </w:pPr>
            <w:r w:rsidRPr="005E1103">
              <w:rPr>
                <w:rFonts w:cstheme="minorHAnsi"/>
                <w:sz w:val="28"/>
                <w:szCs w:val="28"/>
              </w:rPr>
              <w:t>Puntualidad</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center"/>
              <w:rPr>
                <w:rFonts w:cstheme="minorHAnsi"/>
                <w:sz w:val="28"/>
                <w:szCs w:val="28"/>
              </w:rPr>
            </w:pPr>
            <w:r w:rsidRPr="005E1103">
              <w:rPr>
                <w:rFonts w:cstheme="minorHAnsi"/>
                <w:sz w:val="28"/>
                <w:szCs w:val="28"/>
              </w:rPr>
              <w:t>4,60</w:t>
            </w:r>
          </w:p>
        </w:tc>
        <w:tc>
          <w:tcPr>
            <w:tcW w:w="1417" w:type="dxa"/>
            <w:tcBorders>
              <w:top w:val="single" w:sz="4" w:space="0" w:color="auto"/>
              <w:left w:val="single" w:sz="4" w:space="0" w:color="auto"/>
              <w:bottom w:val="single" w:sz="4" w:space="0" w:color="auto"/>
              <w:right w:val="single" w:sz="4" w:space="0" w:color="auto"/>
            </w:tcBorders>
            <w:shd w:val="clear" w:color="auto" w:fill="EEECE1"/>
          </w:tcPr>
          <w:p w:rsidR="00F76679" w:rsidRPr="005E1103" w:rsidRDefault="00F76679" w:rsidP="005B72C1">
            <w:pPr>
              <w:jc w:val="center"/>
              <w:rPr>
                <w:rFonts w:cstheme="minorHAnsi"/>
                <w:sz w:val="28"/>
                <w:szCs w:val="28"/>
              </w:rPr>
            </w:pPr>
            <w:r w:rsidRPr="005E1103">
              <w:rPr>
                <w:rFonts w:cstheme="minorHAnsi"/>
                <w:sz w:val="28"/>
                <w:szCs w:val="28"/>
              </w:rPr>
              <w:t>4,30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center"/>
              <w:rPr>
                <w:rFonts w:cstheme="minorHAnsi"/>
                <w:sz w:val="28"/>
                <w:szCs w:val="28"/>
              </w:rPr>
            </w:pPr>
            <w:r w:rsidRPr="005E1103">
              <w:rPr>
                <w:rFonts w:cstheme="minorHAnsi"/>
                <w:sz w:val="28"/>
                <w:szCs w:val="28"/>
              </w:rPr>
              <w:t>0,033</w:t>
            </w:r>
          </w:p>
        </w:tc>
      </w:tr>
      <w:tr w:rsidR="00F76679" w:rsidRPr="005E1103" w:rsidTr="005B72C1">
        <w:trPr>
          <w:trHeight w:val="283"/>
        </w:trPr>
        <w:tc>
          <w:tcPr>
            <w:tcW w:w="4394" w:type="dxa"/>
            <w:gridSpan w:val="3"/>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both"/>
              <w:rPr>
                <w:rFonts w:cstheme="minorHAnsi"/>
                <w:sz w:val="28"/>
                <w:szCs w:val="28"/>
              </w:rPr>
            </w:pPr>
            <w:r w:rsidRPr="005E1103">
              <w:rPr>
                <w:rFonts w:cstheme="minorHAnsi"/>
                <w:sz w:val="28"/>
                <w:szCs w:val="28"/>
              </w:rPr>
              <w:t>Intérpretes de lenguas de signos</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center"/>
              <w:rPr>
                <w:rFonts w:cstheme="minorHAnsi"/>
                <w:sz w:val="28"/>
                <w:szCs w:val="28"/>
              </w:rPr>
            </w:pPr>
            <w:r w:rsidRPr="005E1103">
              <w:rPr>
                <w:rFonts w:cstheme="minorHAnsi"/>
                <w:sz w:val="28"/>
                <w:szCs w:val="28"/>
              </w:rPr>
              <w:t>4,90</w:t>
            </w:r>
          </w:p>
        </w:tc>
        <w:tc>
          <w:tcPr>
            <w:tcW w:w="1417" w:type="dxa"/>
            <w:tcBorders>
              <w:top w:val="single" w:sz="4" w:space="0" w:color="auto"/>
              <w:left w:val="single" w:sz="4" w:space="0" w:color="auto"/>
              <w:bottom w:val="single" w:sz="4" w:space="0" w:color="auto"/>
              <w:right w:val="single" w:sz="4" w:space="0" w:color="auto"/>
            </w:tcBorders>
            <w:shd w:val="clear" w:color="auto" w:fill="EEECE1"/>
          </w:tcPr>
          <w:p w:rsidR="00F76679" w:rsidRPr="005E1103" w:rsidRDefault="00F76679" w:rsidP="005B72C1">
            <w:pPr>
              <w:jc w:val="center"/>
              <w:rPr>
                <w:rFonts w:cstheme="minorHAnsi"/>
                <w:sz w:val="28"/>
                <w:szCs w:val="28"/>
              </w:rPr>
            </w:pPr>
            <w:r w:rsidRPr="005E1103">
              <w:rPr>
                <w:rFonts w:cstheme="minorHAnsi"/>
                <w:sz w:val="28"/>
                <w:szCs w:val="28"/>
              </w:rPr>
              <w:t>4,93</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center"/>
              <w:rPr>
                <w:rFonts w:cstheme="minorHAnsi"/>
                <w:sz w:val="28"/>
                <w:szCs w:val="28"/>
              </w:rPr>
            </w:pPr>
            <w:r w:rsidRPr="005E1103">
              <w:rPr>
                <w:rFonts w:cstheme="minorHAnsi"/>
                <w:sz w:val="28"/>
                <w:szCs w:val="28"/>
              </w:rPr>
              <w:t>0,896</w:t>
            </w:r>
          </w:p>
        </w:tc>
      </w:tr>
      <w:tr w:rsidR="00F76679" w:rsidRPr="005E1103" w:rsidTr="005B72C1">
        <w:trPr>
          <w:trHeight w:val="283"/>
        </w:trPr>
        <w:tc>
          <w:tcPr>
            <w:tcW w:w="4394" w:type="dxa"/>
            <w:gridSpan w:val="3"/>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both"/>
              <w:rPr>
                <w:rFonts w:cstheme="minorHAnsi"/>
                <w:sz w:val="28"/>
                <w:szCs w:val="28"/>
              </w:rPr>
            </w:pPr>
            <w:r w:rsidRPr="005E1103">
              <w:rPr>
                <w:rFonts w:cstheme="minorHAnsi"/>
                <w:sz w:val="28"/>
                <w:szCs w:val="28"/>
              </w:rPr>
              <w:t>Trato general</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center"/>
              <w:rPr>
                <w:rFonts w:cstheme="minorHAnsi"/>
                <w:sz w:val="28"/>
                <w:szCs w:val="28"/>
              </w:rPr>
            </w:pPr>
            <w:r w:rsidRPr="005E1103">
              <w:rPr>
                <w:rFonts w:cstheme="minorHAnsi"/>
                <w:sz w:val="28"/>
                <w:szCs w:val="28"/>
              </w:rPr>
              <w:t>4,90</w:t>
            </w:r>
          </w:p>
        </w:tc>
        <w:tc>
          <w:tcPr>
            <w:tcW w:w="1417" w:type="dxa"/>
            <w:tcBorders>
              <w:top w:val="single" w:sz="4" w:space="0" w:color="auto"/>
              <w:left w:val="single" w:sz="4" w:space="0" w:color="auto"/>
              <w:bottom w:val="single" w:sz="4" w:space="0" w:color="auto"/>
              <w:right w:val="single" w:sz="4" w:space="0" w:color="auto"/>
            </w:tcBorders>
            <w:shd w:val="clear" w:color="auto" w:fill="EEECE1"/>
          </w:tcPr>
          <w:p w:rsidR="00F76679" w:rsidRPr="005E1103" w:rsidRDefault="00F76679" w:rsidP="005B72C1">
            <w:pPr>
              <w:jc w:val="center"/>
              <w:rPr>
                <w:rFonts w:cstheme="minorHAnsi"/>
                <w:sz w:val="28"/>
                <w:szCs w:val="28"/>
              </w:rPr>
            </w:pPr>
            <w:r w:rsidRPr="005E1103">
              <w:rPr>
                <w:rFonts w:cstheme="minorHAnsi"/>
                <w:sz w:val="28"/>
                <w:szCs w:val="28"/>
              </w:rPr>
              <w:t>4,80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center"/>
              <w:rPr>
                <w:rFonts w:cstheme="minorHAnsi"/>
                <w:sz w:val="28"/>
                <w:szCs w:val="28"/>
              </w:rPr>
            </w:pPr>
            <w:r w:rsidRPr="005E1103">
              <w:rPr>
                <w:rFonts w:cstheme="minorHAnsi"/>
                <w:sz w:val="28"/>
                <w:szCs w:val="28"/>
              </w:rPr>
              <w:t>0,467</w:t>
            </w:r>
          </w:p>
        </w:tc>
      </w:tr>
    </w:tbl>
    <w:p w:rsidR="00F76679" w:rsidRPr="005E1103" w:rsidRDefault="00F76679" w:rsidP="00F76679">
      <w:pPr>
        <w:jc w:val="both"/>
        <w:rPr>
          <w:rFonts w:cstheme="minorHAnsi"/>
          <w:sz w:val="28"/>
          <w:szCs w:val="28"/>
        </w:rPr>
      </w:pPr>
    </w:p>
    <w:p w:rsidR="00F76679" w:rsidRPr="005E1103" w:rsidRDefault="00F76679" w:rsidP="00F76679">
      <w:pPr>
        <w:jc w:val="both"/>
        <w:rPr>
          <w:rFonts w:cstheme="minorHAnsi"/>
          <w:sz w:val="28"/>
          <w:szCs w:val="28"/>
        </w:rPr>
      </w:pPr>
      <w:r w:rsidRPr="005E1103">
        <w:rPr>
          <w:rFonts w:cstheme="minorHAnsi"/>
          <w:sz w:val="28"/>
          <w:szCs w:val="28"/>
        </w:rPr>
        <w:t xml:space="preserve">Por último, analizando la satisfacción con la experiencia de los Campus Inclusivos, se midió la valoración global del Campus teniendo en cuenta todos sus componentes, la intención de repetir la experiencia, la probabilidad de recomendar el Campus, la confirmación de las expectativas </w:t>
      </w:r>
      <w:r w:rsidR="00E142CC" w:rsidRPr="005E1103">
        <w:rPr>
          <w:rFonts w:cstheme="minorHAnsi"/>
          <w:sz w:val="28"/>
          <w:szCs w:val="28"/>
        </w:rPr>
        <w:t>iniciales,</w:t>
      </w:r>
      <w:r w:rsidRPr="005E1103">
        <w:rPr>
          <w:rFonts w:cstheme="minorHAnsi"/>
          <w:sz w:val="28"/>
          <w:szCs w:val="28"/>
        </w:rPr>
        <w:t xml:space="preserve"> así como la satisfacción general. En el gráfico 4 se ofrecen los resultados alcanzados (destaca que de nuevo en ningún ítem hubo diferencias significativas en la prueba de Mann-Whitney según si participaraon en la edición de 2014 o 2015 (p&gt;0,00)).</w:t>
      </w:r>
    </w:p>
    <w:p w:rsidR="00F76679" w:rsidRPr="005E1103" w:rsidRDefault="00F76679" w:rsidP="00F76679">
      <w:pPr>
        <w:jc w:val="both"/>
        <w:rPr>
          <w:rFonts w:cstheme="minorHAnsi"/>
          <w:sz w:val="28"/>
          <w:szCs w:val="28"/>
        </w:rPr>
      </w:pPr>
    </w:p>
    <w:p w:rsidR="00F76679" w:rsidRPr="005E1103" w:rsidRDefault="00F76679" w:rsidP="00F76679">
      <w:pPr>
        <w:jc w:val="both"/>
        <w:rPr>
          <w:rFonts w:cstheme="minorHAnsi"/>
          <w:sz w:val="28"/>
          <w:szCs w:val="28"/>
        </w:rPr>
      </w:pPr>
      <w:r w:rsidRPr="005E1103">
        <w:rPr>
          <w:rFonts w:cstheme="minorHAnsi"/>
          <w:sz w:val="28"/>
          <w:szCs w:val="28"/>
        </w:rPr>
        <w:t>En todos los casos se encuentran muy altas valoraciones (incluso en todas se alcanza el 4,4 de media) donde destacan la satisfacción general con el Campus. El aspecto que obtiene una peor valoración es la posibilidad de repetir la experiencia, por lo que se hace necesario investigar y conocer más profundamente cuáles era la visión de lo que iban a realizar los alumnos previamente antes de comenzar el Campus.</w:t>
      </w:r>
    </w:p>
    <w:p w:rsidR="00F76679" w:rsidRPr="005E1103" w:rsidRDefault="00F76679" w:rsidP="00F76679">
      <w:pPr>
        <w:jc w:val="both"/>
        <w:rPr>
          <w:rFonts w:cstheme="minorHAnsi"/>
          <w:sz w:val="28"/>
          <w:szCs w:val="28"/>
        </w:rPr>
      </w:pPr>
    </w:p>
    <w:tbl>
      <w:tblPr>
        <w:tblW w:w="8363" w:type="dxa"/>
        <w:tblInd w:w="25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284"/>
        <w:gridCol w:w="1559"/>
        <w:gridCol w:w="2410"/>
        <w:gridCol w:w="1417"/>
        <w:gridCol w:w="1559"/>
        <w:gridCol w:w="1134"/>
      </w:tblGrid>
      <w:tr w:rsidR="00F76679" w:rsidRPr="005E1103" w:rsidTr="005B72C1">
        <w:tc>
          <w:tcPr>
            <w:tcW w:w="284" w:type="dxa"/>
            <w:tcBorders>
              <w:top w:val="nil"/>
              <w:left w:val="nil"/>
              <w:bottom w:val="single" w:sz="4" w:space="0" w:color="auto"/>
              <w:right w:val="nil"/>
            </w:tcBorders>
          </w:tcPr>
          <w:p w:rsidR="00F76679" w:rsidRPr="005E1103" w:rsidRDefault="00F76679" w:rsidP="005B72C1">
            <w:pPr>
              <w:jc w:val="both"/>
              <w:rPr>
                <w:rFonts w:cstheme="minorHAnsi"/>
                <w:b/>
                <w:sz w:val="28"/>
                <w:szCs w:val="28"/>
              </w:rPr>
            </w:pPr>
          </w:p>
        </w:tc>
        <w:tc>
          <w:tcPr>
            <w:tcW w:w="1559" w:type="dxa"/>
            <w:tcBorders>
              <w:top w:val="nil"/>
              <w:left w:val="nil"/>
              <w:bottom w:val="single" w:sz="4" w:space="0" w:color="auto"/>
              <w:right w:val="nil"/>
            </w:tcBorders>
          </w:tcPr>
          <w:p w:rsidR="00F76679" w:rsidRPr="005E1103" w:rsidRDefault="00F76679" w:rsidP="005B72C1">
            <w:pPr>
              <w:jc w:val="both"/>
              <w:rPr>
                <w:rFonts w:cstheme="minorHAnsi"/>
                <w:b/>
                <w:sz w:val="28"/>
                <w:szCs w:val="28"/>
              </w:rPr>
            </w:pPr>
          </w:p>
        </w:tc>
        <w:tc>
          <w:tcPr>
            <w:tcW w:w="6520" w:type="dxa"/>
            <w:gridSpan w:val="4"/>
            <w:tcBorders>
              <w:top w:val="nil"/>
              <w:left w:val="nil"/>
              <w:bottom w:val="single" w:sz="4" w:space="0" w:color="auto"/>
              <w:right w:val="nil"/>
            </w:tcBorders>
            <w:shd w:val="clear" w:color="auto" w:fill="auto"/>
          </w:tcPr>
          <w:p w:rsidR="00F76679" w:rsidRPr="005E1103" w:rsidRDefault="00F76679" w:rsidP="005B72C1">
            <w:pPr>
              <w:jc w:val="both"/>
              <w:rPr>
                <w:rFonts w:cstheme="minorHAnsi"/>
                <w:b/>
                <w:sz w:val="28"/>
                <w:szCs w:val="28"/>
              </w:rPr>
            </w:pPr>
            <w:r w:rsidRPr="005E1103">
              <w:rPr>
                <w:rFonts w:cstheme="minorHAnsi"/>
                <w:b/>
                <w:sz w:val="28"/>
                <w:szCs w:val="28"/>
              </w:rPr>
              <w:t>Tabla 4. Satisfacción con el Campus</w:t>
            </w:r>
          </w:p>
          <w:p w:rsidR="00F76679" w:rsidRPr="005E1103" w:rsidRDefault="00F76679" w:rsidP="005B72C1">
            <w:pPr>
              <w:jc w:val="both"/>
              <w:rPr>
                <w:rFonts w:cstheme="minorHAnsi"/>
                <w:b/>
                <w:sz w:val="28"/>
                <w:szCs w:val="28"/>
              </w:rPr>
            </w:pPr>
          </w:p>
        </w:tc>
      </w:tr>
      <w:tr w:rsidR="00F76679" w:rsidRPr="005E1103" w:rsidTr="005B72C1">
        <w:tc>
          <w:tcPr>
            <w:tcW w:w="4253" w:type="dxa"/>
            <w:gridSpan w:val="3"/>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both"/>
              <w:rPr>
                <w:rFonts w:cstheme="minorHAnsi"/>
                <w:sz w:val="28"/>
                <w:szCs w:val="28"/>
              </w:rPr>
            </w:pP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center"/>
              <w:rPr>
                <w:rFonts w:cstheme="minorHAnsi"/>
                <w:b/>
                <w:sz w:val="28"/>
                <w:szCs w:val="28"/>
              </w:rPr>
            </w:pPr>
            <w:r w:rsidRPr="005E1103">
              <w:rPr>
                <w:rFonts w:cstheme="minorHAnsi"/>
                <w:b/>
                <w:sz w:val="28"/>
                <w:szCs w:val="28"/>
              </w:rPr>
              <w:t>2014</w:t>
            </w:r>
          </w:p>
        </w:tc>
        <w:tc>
          <w:tcPr>
            <w:tcW w:w="1559" w:type="dxa"/>
            <w:tcBorders>
              <w:top w:val="single" w:sz="4" w:space="0" w:color="auto"/>
              <w:left w:val="single" w:sz="4" w:space="0" w:color="auto"/>
              <w:bottom w:val="single" w:sz="4" w:space="0" w:color="auto"/>
              <w:right w:val="single" w:sz="4" w:space="0" w:color="auto"/>
            </w:tcBorders>
            <w:shd w:val="clear" w:color="auto" w:fill="EEECE1"/>
          </w:tcPr>
          <w:p w:rsidR="00F76679" w:rsidRPr="005E1103" w:rsidRDefault="00F76679" w:rsidP="005B72C1">
            <w:pPr>
              <w:jc w:val="center"/>
              <w:rPr>
                <w:rFonts w:cstheme="minorHAnsi"/>
                <w:b/>
                <w:sz w:val="28"/>
                <w:szCs w:val="28"/>
              </w:rPr>
            </w:pPr>
            <w:r w:rsidRPr="005E1103">
              <w:rPr>
                <w:rFonts w:cstheme="minorHAnsi"/>
                <w:b/>
                <w:sz w:val="28"/>
                <w:szCs w:val="28"/>
              </w:rPr>
              <w:t>2015</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center"/>
              <w:rPr>
                <w:rFonts w:cstheme="minorHAnsi"/>
                <w:b/>
                <w:sz w:val="28"/>
                <w:szCs w:val="28"/>
              </w:rPr>
            </w:pPr>
            <w:r w:rsidRPr="005E1103">
              <w:rPr>
                <w:rFonts w:cstheme="minorHAnsi"/>
                <w:b/>
                <w:sz w:val="28"/>
                <w:szCs w:val="28"/>
              </w:rPr>
              <w:t>Sig.</w:t>
            </w:r>
          </w:p>
        </w:tc>
      </w:tr>
      <w:tr w:rsidR="00F76679" w:rsidRPr="005E1103" w:rsidTr="005B72C1">
        <w:tc>
          <w:tcPr>
            <w:tcW w:w="4253" w:type="dxa"/>
            <w:gridSpan w:val="3"/>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both"/>
              <w:rPr>
                <w:rFonts w:cstheme="minorHAnsi"/>
                <w:sz w:val="28"/>
                <w:szCs w:val="28"/>
              </w:rPr>
            </w:pPr>
            <w:r w:rsidRPr="005E1103">
              <w:rPr>
                <w:rFonts w:cstheme="minorHAnsi"/>
                <w:sz w:val="28"/>
                <w:szCs w:val="28"/>
              </w:rPr>
              <w:t>Valoración global del Campus Inclusivo</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center"/>
              <w:rPr>
                <w:rFonts w:cstheme="minorHAnsi"/>
                <w:sz w:val="28"/>
                <w:szCs w:val="28"/>
              </w:rPr>
            </w:pPr>
            <w:r w:rsidRPr="005E1103">
              <w:rPr>
                <w:rFonts w:cstheme="minorHAnsi"/>
                <w:sz w:val="28"/>
                <w:szCs w:val="28"/>
              </w:rPr>
              <w:t>4,83</w:t>
            </w:r>
          </w:p>
        </w:tc>
        <w:tc>
          <w:tcPr>
            <w:tcW w:w="1559" w:type="dxa"/>
            <w:tcBorders>
              <w:top w:val="single" w:sz="4" w:space="0" w:color="auto"/>
              <w:left w:val="single" w:sz="4" w:space="0" w:color="auto"/>
              <w:bottom w:val="single" w:sz="4" w:space="0" w:color="auto"/>
              <w:right w:val="single" w:sz="4" w:space="0" w:color="auto"/>
            </w:tcBorders>
            <w:shd w:val="clear" w:color="auto" w:fill="EEECE1"/>
          </w:tcPr>
          <w:p w:rsidR="00F76679" w:rsidRPr="005E1103" w:rsidRDefault="00F76679" w:rsidP="005B72C1">
            <w:pPr>
              <w:jc w:val="center"/>
              <w:rPr>
                <w:rFonts w:cstheme="minorHAnsi"/>
                <w:sz w:val="28"/>
                <w:szCs w:val="28"/>
              </w:rPr>
            </w:pPr>
            <w:r w:rsidRPr="005E1103">
              <w:rPr>
                <w:rFonts w:cstheme="minorHAnsi"/>
                <w:sz w:val="28"/>
                <w:szCs w:val="28"/>
              </w:rPr>
              <w:t>4,70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center"/>
              <w:rPr>
                <w:rFonts w:cstheme="minorHAnsi"/>
                <w:sz w:val="28"/>
                <w:szCs w:val="28"/>
              </w:rPr>
            </w:pPr>
            <w:r w:rsidRPr="005E1103">
              <w:rPr>
                <w:rFonts w:cstheme="minorHAnsi"/>
                <w:sz w:val="28"/>
                <w:szCs w:val="28"/>
              </w:rPr>
              <w:t>0,670</w:t>
            </w:r>
          </w:p>
        </w:tc>
      </w:tr>
      <w:tr w:rsidR="00F76679" w:rsidRPr="005E1103" w:rsidTr="005B72C1">
        <w:tc>
          <w:tcPr>
            <w:tcW w:w="4253" w:type="dxa"/>
            <w:gridSpan w:val="3"/>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both"/>
              <w:rPr>
                <w:rFonts w:cstheme="minorHAnsi"/>
                <w:sz w:val="28"/>
                <w:szCs w:val="28"/>
              </w:rPr>
            </w:pPr>
            <w:r w:rsidRPr="005E1103">
              <w:rPr>
                <w:rFonts w:cstheme="minorHAnsi"/>
                <w:sz w:val="28"/>
                <w:szCs w:val="28"/>
              </w:rPr>
              <w:t>Intención de repetir la experiencia</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center"/>
              <w:rPr>
                <w:rFonts w:cstheme="minorHAnsi"/>
                <w:sz w:val="28"/>
                <w:szCs w:val="28"/>
              </w:rPr>
            </w:pPr>
            <w:r w:rsidRPr="005E1103">
              <w:rPr>
                <w:rFonts w:cstheme="minorHAnsi"/>
                <w:sz w:val="28"/>
                <w:szCs w:val="28"/>
              </w:rPr>
              <w:t>4,88</w:t>
            </w:r>
          </w:p>
        </w:tc>
        <w:tc>
          <w:tcPr>
            <w:tcW w:w="1559" w:type="dxa"/>
            <w:tcBorders>
              <w:top w:val="single" w:sz="4" w:space="0" w:color="auto"/>
              <w:left w:val="single" w:sz="4" w:space="0" w:color="auto"/>
              <w:bottom w:val="single" w:sz="4" w:space="0" w:color="auto"/>
              <w:right w:val="single" w:sz="4" w:space="0" w:color="auto"/>
            </w:tcBorders>
            <w:shd w:val="clear" w:color="auto" w:fill="EEECE1"/>
          </w:tcPr>
          <w:p w:rsidR="00F76679" w:rsidRPr="005E1103" w:rsidRDefault="00F76679" w:rsidP="005B72C1">
            <w:pPr>
              <w:jc w:val="center"/>
              <w:rPr>
                <w:rFonts w:cstheme="minorHAnsi"/>
                <w:sz w:val="28"/>
                <w:szCs w:val="28"/>
              </w:rPr>
            </w:pPr>
            <w:r w:rsidRPr="005E1103">
              <w:rPr>
                <w:rFonts w:cstheme="minorHAnsi"/>
                <w:sz w:val="28"/>
                <w:szCs w:val="28"/>
              </w:rPr>
              <w:t>4,40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center"/>
              <w:rPr>
                <w:rFonts w:cstheme="minorHAnsi"/>
                <w:sz w:val="28"/>
                <w:szCs w:val="28"/>
              </w:rPr>
            </w:pPr>
            <w:r w:rsidRPr="005E1103">
              <w:rPr>
                <w:rFonts w:cstheme="minorHAnsi"/>
                <w:sz w:val="28"/>
                <w:szCs w:val="28"/>
              </w:rPr>
              <w:t>0,124</w:t>
            </w:r>
          </w:p>
        </w:tc>
      </w:tr>
      <w:tr w:rsidR="00F76679" w:rsidRPr="005E1103" w:rsidTr="005B72C1">
        <w:tc>
          <w:tcPr>
            <w:tcW w:w="4253" w:type="dxa"/>
            <w:gridSpan w:val="3"/>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both"/>
              <w:rPr>
                <w:rFonts w:cstheme="minorHAnsi"/>
                <w:sz w:val="28"/>
                <w:szCs w:val="28"/>
              </w:rPr>
            </w:pPr>
            <w:r w:rsidRPr="005E1103">
              <w:rPr>
                <w:rFonts w:cstheme="minorHAnsi"/>
                <w:sz w:val="28"/>
                <w:szCs w:val="28"/>
              </w:rPr>
              <w:t>Probabilidad de recomendar la experiencia a tus amigos</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center"/>
              <w:rPr>
                <w:rFonts w:cstheme="minorHAnsi"/>
                <w:sz w:val="28"/>
                <w:szCs w:val="28"/>
              </w:rPr>
            </w:pPr>
            <w:r w:rsidRPr="005E1103">
              <w:rPr>
                <w:rFonts w:cstheme="minorHAnsi"/>
                <w:sz w:val="28"/>
                <w:szCs w:val="28"/>
              </w:rPr>
              <w:t>4,92</w:t>
            </w:r>
          </w:p>
        </w:tc>
        <w:tc>
          <w:tcPr>
            <w:tcW w:w="1559" w:type="dxa"/>
            <w:tcBorders>
              <w:top w:val="single" w:sz="4" w:space="0" w:color="auto"/>
              <w:left w:val="single" w:sz="4" w:space="0" w:color="auto"/>
              <w:bottom w:val="single" w:sz="4" w:space="0" w:color="auto"/>
              <w:right w:val="single" w:sz="4" w:space="0" w:color="auto"/>
            </w:tcBorders>
            <w:shd w:val="clear" w:color="auto" w:fill="EEECE1"/>
          </w:tcPr>
          <w:p w:rsidR="00F76679" w:rsidRPr="005E1103" w:rsidRDefault="00F76679" w:rsidP="005B72C1">
            <w:pPr>
              <w:jc w:val="center"/>
              <w:rPr>
                <w:rFonts w:cstheme="minorHAnsi"/>
                <w:sz w:val="28"/>
                <w:szCs w:val="28"/>
              </w:rPr>
            </w:pPr>
            <w:r w:rsidRPr="005E1103">
              <w:rPr>
                <w:rFonts w:cstheme="minorHAnsi"/>
                <w:sz w:val="28"/>
                <w:szCs w:val="28"/>
              </w:rPr>
              <w:t>4,79</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center"/>
              <w:rPr>
                <w:rFonts w:cstheme="minorHAnsi"/>
                <w:sz w:val="28"/>
                <w:szCs w:val="28"/>
              </w:rPr>
            </w:pPr>
            <w:r w:rsidRPr="005E1103">
              <w:rPr>
                <w:rFonts w:cstheme="minorHAnsi"/>
                <w:sz w:val="28"/>
                <w:szCs w:val="28"/>
              </w:rPr>
              <w:t>0,441</w:t>
            </w:r>
          </w:p>
        </w:tc>
      </w:tr>
      <w:tr w:rsidR="00F76679" w:rsidRPr="005E1103" w:rsidTr="005B72C1">
        <w:tc>
          <w:tcPr>
            <w:tcW w:w="4253" w:type="dxa"/>
            <w:gridSpan w:val="3"/>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rPr>
                <w:rFonts w:cstheme="minorHAnsi"/>
                <w:sz w:val="28"/>
                <w:szCs w:val="28"/>
              </w:rPr>
            </w:pPr>
            <w:r w:rsidRPr="005E1103">
              <w:rPr>
                <w:rFonts w:cstheme="minorHAnsi"/>
                <w:sz w:val="28"/>
                <w:szCs w:val="28"/>
              </w:rPr>
              <w:t>El campus se ha ajustado a mis expectativas</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center"/>
              <w:rPr>
                <w:rFonts w:cstheme="minorHAnsi"/>
                <w:sz w:val="28"/>
                <w:szCs w:val="28"/>
              </w:rPr>
            </w:pPr>
            <w:r w:rsidRPr="005E1103">
              <w:rPr>
                <w:rFonts w:cstheme="minorHAnsi"/>
                <w:sz w:val="28"/>
                <w:szCs w:val="28"/>
              </w:rPr>
              <w:t>4,71</w:t>
            </w:r>
          </w:p>
        </w:tc>
        <w:tc>
          <w:tcPr>
            <w:tcW w:w="1559" w:type="dxa"/>
            <w:tcBorders>
              <w:top w:val="single" w:sz="4" w:space="0" w:color="auto"/>
              <w:left w:val="single" w:sz="4" w:space="0" w:color="auto"/>
              <w:bottom w:val="single" w:sz="4" w:space="0" w:color="auto"/>
              <w:right w:val="single" w:sz="4" w:space="0" w:color="auto"/>
            </w:tcBorders>
            <w:shd w:val="clear" w:color="auto" w:fill="EEECE1"/>
          </w:tcPr>
          <w:p w:rsidR="00F76679" w:rsidRPr="005E1103" w:rsidRDefault="00F76679" w:rsidP="005B72C1">
            <w:pPr>
              <w:jc w:val="center"/>
              <w:rPr>
                <w:rFonts w:cstheme="minorHAnsi"/>
                <w:sz w:val="28"/>
                <w:szCs w:val="28"/>
              </w:rPr>
            </w:pPr>
            <w:r w:rsidRPr="005E1103">
              <w:rPr>
                <w:rFonts w:cstheme="minorHAnsi"/>
                <w:sz w:val="28"/>
                <w:szCs w:val="28"/>
              </w:rPr>
              <w:t>4,65</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center"/>
              <w:rPr>
                <w:rFonts w:cstheme="minorHAnsi"/>
                <w:sz w:val="28"/>
                <w:szCs w:val="28"/>
              </w:rPr>
            </w:pPr>
            <w:r w:rsidRPr="005E1103">
              <w:rPr>
                <w:rFonts w:cstheme="minorHAnsi"/>
                <w:sz w:val="28"/>
                <w:szCs w:val="28"/>
              </w:rPr>
              <w:t>0,664</w:t>
            </w:r>
          </w:p>
        </w:tc>
      </w:tr>
      <w:tr w:rsidR="00F76679" w:rsidRPr="005E1103" w:rsidTr="005B72C1">
        <w:trPr>
          <w:trHeight w:val="283"/>
        </w:trPr>
        <w:tc>
          <w:tcPr>
            <w:tcW w:w="4253" w:type="dxa"/>
            <w:gridSpan w:val="3"/>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both"/>
              <w:rPr>
                <w:rFonts w:cstheme="minorHAnsi"/>
                <w:sz w:val="28"/>
                <w:szCs w:val="28"/>
              </w:rPr>
            </w:pPr>
            <w:r w:rsidRPr="005E1103">
              <w:rPr>
                <w:rFonts w:cstheme="minorHAnsi"/>
                <w:sz w:val="28"/>
                <w:szCs w:val="28"/>
              </w:rPr>
              <w:t>Satisfacción general</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center"/>
              <w:rPr>
                <w:rFonts w:cstheme="minorHAnsi"/>
                <w:sz w:val="28"/>
                <w:szCs w:val="28"/>
              </w:rPr>
            </w:pPr>
            <w:r w:rsidRPr="005E1103">
              <w:rPr>
                <w:rFonts w:cstheme="minorHAnsi"/>
                <w:sz w:val="28"/>
                <w:szCs w:val="28"/>
              </w:rPr>
              <w:t>4,88</w:t>
            </w:r>
          </w:p>
        </w:tc>
        <w:tc>
          <w:tcPr>
            <w:tcW w:w="1559" w:type="dxa"/>
            <w:tcBorders>
              <w:top w:val="single" w:sz="4" w:space="0" w:color="auto"/>
              <w:left w:val="single" w:sz="4" w:space="0" w:color="auto"/>
              <w:bottom w:val="single" w:sz="4" w:space="0" w:color="auto"/>
              <w:right w:val="single" w:sz="4" w:space="0" w:color="auto"/>
            </w:tcBorders>
            <w:shd w:val="clear" w:color="auto" w:fill="EEECE1"/>
          </w:tcPr>
          <w:p w:rsidR="00F76679" w:rsidRPr="005E1103" w:rsidRDefault="00F76679" w:rsidP="005B72C1">
            <w:pPr>
              <w:jc w:val="center"/>
              <w:rPr>
                <w:rFonts w:cstheme="minorHAnsi"/>
                <w:sz w:val="28"/>
                <w:szCs w:val="28"/>
              </w:rPr>
            </w:pPr>
            <w:r w:rsidRPr="005E1103">
              <w:rPr>
                <w:rFonts w:cstheme="minorHAnsi"/>
                <w:sz w:val="28"/>
                <w:szCs w:val="28"/>
              </w:rPr>
              <w:t>4,80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76679" w:rsidRPr="005E1103" w:rsidRDefault="00F76679" w:rsidP="005B72C1">
            <w:pPr>
              <w:jc w:val="center"/>
              <w:rPr>
                <w:rFonts w:cstheme="minorHAnsi"/>
                <w:sz w:val="28"/>
                <w:szCs w:val="28"/>
              </w:rPr>
            </w:pPr>
            <w:r w:rsidRPr="005E1103">
              <w:rPr>
                <w:rFonts w:cstheme="minorHAnsi"/>
                <w:sz w:val="28"/>
                <w:szCs w:val="28"/>
              </w:rPr>
              <w:t>0.722</w:t>
            </w:r>
          </w:p>
        </w:tc>
      </w:tr>
    </w:tbl>
    <w:p w:rsidR="00F76679" w:rsidRPr="005E1103" w:rsidRDefault="00F76679" w:rsidP="00F76679">
      <w:pPr>
        <w:jc w:val="both"/>
        <w:rPr>
          <w:rFonts w:cstheme="minorHAnsi"/>
          <w:sz w:val="28"/>
          <w:szCs w:val="28"/>
        </w:rPr>
      </w:pPr>
    </w:p>
    <w:p w:rsidR="00F76679" w:rsidRPr="005E1103" w:rsidRDefault="00F76679" w:rsidP="00F76679">
      <w:pPr>
        <w:jc w:val="both"/>
        <w:rPr>
          <w:rFonts w:cstheme="minorHAnsi"/>
          <w:sz w:val="28"/>
          <w:szCs w:val="28"/>
        </w:rPr>
      </w:pPr>
    </w:p>
    <w:p w:rsidR="00F76679" w:rsidRPr="005E1103" w:rsidRDefault="00F76679" w:rsidP="00F76679">
      <w:pPr>
        <w:ind w:left="360"/>
        <w:jc w:val="both"/>
        <w:rPr>
          <w:rFonts w:cstheme="minorHAnsi"/>
          <w:b/>
          <w:sz w:val="28"/>
          <w:szCs w:val="28"/>
        </w:rPr>
      </w:pPr>
      <w:r w:rsidRPr="005E1103">
        <w:rPr>
          <w:rFonts w:cstheme="minorHAnsi"/>
          <w:b/>
          <w:sz w:val="28"/>
          <w:szCs w:val="28"/>
        </w:rPr>
        <w:t>6. Conclusiones</w:t>
      </w:r>
    </w:p>
    <w:p w:rsidR="00F76679" w:rsidRPr="005E1103" w:rsidRDefault="00F76679" w:rsidP="00F76679">
      <w:pPr>
        <w:rPr>
          <w:rFonts w:cstheme="minorHAnsi"/>
          <w:sz w:val="28"/>
          <w:szCs w:val="28"/>
        </w:rPr>
      </w:pPr>
    </w:p>
    <w:p w:rsidR="00F76679" w:rsidRPr="005E1103" w:rsidRDefault="00F76679" w:rsidP="00F76679">
      <w:pPr>
        <w:jc w:val="both"/>
        <w:rPr>
          <w:rFonts w:cstheme="minorHAnsi"/>
          <w:sz w:val="28"/>
          <w:szCs w:val="28"/>
        </w:rPr>
      </w:pPr>
      <w:r w:rsidRPr="005E1103">
        <w:rPr>
          <w:rFonts w:cstheme="minorHAnsi"/>
          <w:sz w:val="28"/>
          <w:szCs w:val="28"/>
        </w:rPr>
        <w:t>La inclusión es un tema prioritario para la mejora de la calidad educativa tal como se formulan en las diferentes estrategias europeas de educación o las propias legislaciones referidas a igualdad. Con el objetivo de fomentar una mayor presencia de personas con discapacidad en las universidades presenciales, fomentar la convivencia y, sobretodo, conseguir una mayor normalización en las relaciones de personas con y sin discapacidad se llevaron a cabo los terceros Campus Inclusivos de la Universidad de Granada a través de su Campus de Excelencia (CEI BioTic) celebrados en 2015.</w:t>
      </w:r>
    </w:p>
    <w:p w:rsidR="00F76679" w:rsidRPr="005E1103" w:rsidRDefault="00F76679" w:rsidP="00F76679">
      <w:pPr>
        <w:jc w:val="both"/>
        <w:rPr>
          <w:rFonts w:cstheme="minorHAnsi"/>
          <w:sz w:val="28"/>
          <w:szCs w:val="28"/>
        </w:rPr>
      </w:pPr>
    </w:p>
    <w:p w:rsidR="00F76679" w:rsidRPr="005E1103" w:rsidRDefault="00F76679" w:rsidP="00F76679">
      <w:pPr>
        <w:jc w:val="both"/>
        <w:rPr>
          <w:rFonts w:cstheme="minorHAnsi"/>
          <w:sz w:val="28"/>
          <w:szCs w:val="28"/>
        </w:rPr>
      </w:pPr>
      <w:r w:rsidRPr="005E1103">
        <w:rPr>
          <w:rFonts w:cstheme="minorHAnsi"/>
          <w:sz w:val="28"/>
          <w:szCs w:val="28"/>
        </w:rPr>
        <w:t>El presente estudio ha permitido conocer y comparar la idoneidad, la repercusión y la satisfacción con el Campus de la edición 2015, desde el punto de vista de sus participantes, lo cual resulta fundamental como un eje estratégico a vista de mejorar aquellos aspectos más deficitarios y lograr una mejor consecución de los objetivos en el futuro. Además, el presente estudio aporta como novedad un análisis longitudinal pues se comparan los resultados de la edición del 2014 con las del 2015.</w:t>
      </w:r>
    </w:p>
    <w:p w:rsidR="00F76679" w:rsidRPr="005E1103" w:rsidRDefault="00F76679" w:rsidP="00F76679">
      <w:pPr>
        <w:jc w:val="both"/>
        <w:rPr>
          <w:rFonts w:cstheme="minorHAnsi"/>
          <w:sz w:val="28"/>
          <w:szCs w:val="28"/>
        </w:rPr>
      </w:pPr>
    </w:p>
    <w:p w:rsidR="00F76679" w:rsidRPr="005E1103" w:rsidRDefault="00F76679" w:rsidP="00F76679">
      <w:pPr>
        <w:jc w:val="both"/>
        <w:rPr>
          <w:rFonts w:cstheme="minorHAnsi"/>
          <w:sz w:val="28"/>
          <w:szCs w:val="28"/>
        </w:rPr>
      </w:pPr>
      <w:r w:rsidRPr="005E1103">
        <w:rPr>
          <w:rFonts w:cstheme="minorHAnsi"/>
          <w:sz w:val="28"/>
          <w:szCs w:val="28"/>
        </w:rPr>
        <w:t>En primer lugar, con respecto a la valoración de la utilidad de los campus inclusivos, en ambas ediciones los resultados en términos generales son altos, no existiendo diferencias significativas entre el año 2014 y 2015 y coincidiendo en sus máximas puntuaciones en la valoración del componente personal y social de esta experiencia, al otorgar importancia a la creación de nuevas amistades e inclusión con otras personas. Por lo tanto se mantiene la consecución de los objetivos referidos al fomento de la inclusión con sus iguales como experiencia positiva.</w:t>
      </w:r>
    </w:p>
    <w:p w:rsidR="00F76679" w:rsidRPr="005E1103" w:rsidRDefault="00F76679" w:rsidP="00F76679">
      <w:pPr>
        <w:jc w:val="both"/>
        <w:rPr>
          <w:rFonts w:cstheme="minorHAnsi"/>
          <w:sz w:val="28"/>
          <w:szCs w:val="28"/>
        </w:rPr>
      </w:pPr>
      <w:r w:rsidRPr="005E1103">
        <w:rPr>
          <w:rFonts w:cstheme="minorHAnsi"/>
          <w:sz w:val="28"/>
          <w:szCs w:val="28"/>
        </w:rPr>
        <w:t xml:space="preserve"> </w:t>
      </w:r>
    </w:p>
    <w:p w:rsidR="00F76679" w:rsidRPr="005E1103" w:rsidRDefault="00F76679" w:rsidP="00F76679">
      <w:pPr>
        <w:jc w:val="both"/>
        <w:rPr>
          <w:rFonts w:cstheme="minorHAnsi"/>
          <w:sz w:val="28"/>
          <w:szCs w:val="28"/>
        </w:rPr>
      </w:pPr>
      <w:r w:rsidRPr="005E1103">
        <w:rPr>
          <w:rFonts w:cstheme="minorHAnsi"/>
          <w:sz w:val="28"/>
          <w:szCs w:val="28"/>
        </w:rPr>
        <w:t xml:space="preserve">Continuando con la utilidad percibida de la participación en el Campus desde la perspectiva de sus participantes, el Campus ha sido realmente útil a la hora de animar a estudiar una carrera universitaria.  Así se ha mejorado el hecho de que el Campus sirva tanto para encauzar y levantar ciertas vocaciones en áreas de conocimiento. Este fue el punto más crítico en la edición anterior y que se ha visto mejorado en la edición del 2015. </w:t>
      </w:r>
    </w:p>
    <w:p w:rsidR="00F76679" w:rsidRPr="005E1103" w:rsidRDefault="00F76679" w:rsidP="00F76679">
      <w:pPr>
        <w:jc w:val="both"/>
        <w:rPr>
          <w:rFonts w:cstheme="minorHAnsi"/>
          <w:sz w:val="28"/>
          <w:szCs w:val="28"/>
        </w:rPr>
      </w:pPr>
    </w:p>
    <w:p w:rsidR="00F76679" w:rsidRPr="005E1103" w:rsidRDefault="00F76679" w:rsidP="00F76679">
      <w:pPr>
        <w:jc w:val="both"/>
        <w:rPr>
          <w:rFonts w:cstheme="minorHAnsi"/>
          <w:sz w:val="28"/>
          <w:szCs w:val="28"/>
        </w:rPr>
      </w:pPr>
      <w:r w:rsidRPr="005E1103">
        <w:rPr>
          <w:rFonts w:cstheme="minorHAnsi"/>
          <w:sz w:val="28"/>
          <w:szCs w:val="28"/>
        </w:rPr>
        <w:t>Con respecto a la valoración del campus en términos de organización y gestión las puntuaciones se mantienen elevadas, aunque se ha descendido en la percepción de dos aspectos: horario y cronograma de actividades, así como la puntualidad. Estos resultados se han tenido en consideración para la propuesta de 2016 de manera que los horarios y planificación de actividades se han establecido conforme a criterios de flexibilidad y distribución adecuada, contando con tiempo de descansos entre las actuaciones.</w:t>
      </w:r>
    </w:p>
    <w:p w:rsidR="00F76679" w:rsidRPr="005E1103" w:rsidRDefault="00F76679" w:rsidP="00F76679">
      <w:pPr>
        <w:jc w:val="both"/>
        <w:rPr>
          <w:rFonts w:cstheme="minorHAnsi"/>
          <w:sz w:val="28"/>
          <w:szCs w:val="28"/>
        </w:rPr>
      </w:pPr>
    </w:p>
    <w:p w:rsidR="00F76679" w:rsidRPr="005E1103" w:rsidRDefault="00F76679" w:rsidP="00F76679">
      <w:pPr>
        <w:jc w:val="both"/>
        <w:rPr>
          <w:rFonts w:cstheme="minorHAnsi"/>
          <w:sz w:val="28"/>
          <w:szCs w:val="28"/>
        </w:rPr>
      </w:pPr>
      <w:r w:rsidRPr="005E1103">
        <w:rPr>
          <w:rFonts w:cstheme="minorHAnsi"/>
          <w:sz w:val="28"/>
          <w:szCs w:val="28"/>
        </w:rPr>
        <w:t>Sobre la satisfacción con el campus en términos generales, destaca la alta percepción obtenida, la cual se mantiene en las dos ediciones a las que nos referimos. En el resto de cuestiones referidas no existen diferencias significativas entre 2014 y 2016.</w:t>
      </w:r>
    </w:p>
    <w:p w:rsidR="00F76679" w:rsidRPr="005E1103" w:rsidRDefault="00F76679" w:rsidP="00F76679">
      <w:pPr>
        <w:jc w:val="both"/>
        <w:rPr>
          <w:rFonts w:cstheme="minorHAnsi"/>
          <w:sz w:val="28"/>
          <w:szCs w:val="28"/>
        </w:rPr>
      </w:pPr>
    </w:p>
    <w:p w:rsidR="00F76679" w:rsidRPr="005E1103" w:rsidRDefault="00F76679" w:rsidP="00F76679">
      <w:pPr>
        <w:jc w:val="both"/>
        <w:rPr>
          <w:rFonts w:cstheme="minorHAnsi"/>
          <w:sz w:val="28"/>
          <w:szCs w:val="28"/>
        </w:rPr>
      </w:pPr>
      <w:r w:rsidRPr="005E1103">
        <w:rPr>
          <w:rFonts w:cstheme="minorHAnsi"/>
          <w:sz w:val="28"/>
          <w:szCs w:val="28"/>
        </w:rPr>
        <w:t xml:space="preserve">Por último, dentro de los resultados y output de estos Campus, destacar el hecho de que se han celebrado durante 2016 y hasta 2017 los Campus a nivel </w:t>
      </w:r>
      <w:r w:rsidR="00E142CC" w:rsidRPr="005E1103">
        <w:rPr>
          <w:rFonts w:cstheme="minorHAnsi"/>
          <w:sz w:val="28"/>
          <w:szCs w:val="28"/>
        </w:rPr>
        <w:t>europeo</w:t>
      </w:r>
      <w:r w:rsidRPr="005E1103">
        <w:rPr>
          <w:rFonts w:cstheme="minorHAnsi"/>
          <w:sz w:val="28"/>
          <w:szCs w:val="28"/>
        </w:rPr>
        <w:t xml:space="preserve"> (InnetCampus) para enmarcar estas iniciativas en la actual política europea. Estos resultados han sido utilizados para la organización y realización de tales campus en la UGR. Por otro lado, es importante desarrollar actividades de inclusión desde la propia Universidad para aquellas personas con discapacidad una vez entren en la universidad. Es importante para futuras ediciones mejorar los aspectos críticos detectados en este estudio relacionados con la organización. Por </w:t>
      </w:r>
      <w:r w:rsidR="00E142CC" w:rsidRPr="005E1103">
        <w:rPr>
          <w:rFonts w:cstheme="minorHAnsi"/>
          <w:sz w:val="28"/>
          <w:szCs w:val="28"/>
        </w:rPr>
        <w:t>último,</w:t>
      </w:r>
      <w:r w:rsidRPr="005E1103">
        <w:rPr>
          <w:rFonts w:cstheme="minorHAnsi"/>
          <w:sz w:val="28"/>
          <w:szCs w:val="28"/>
        </w:rPr>
        <w:t xml:space="preserve"> como vía futura de investigación, la continuidad de estudios longitudinales entre las diferentes ediciones de los Campus y una vez que se cuente con una mayor muestra, analizar la importancia e incidencia de otras variables como la edad, el sexo o la motivación. </w:t>
      </w:r>
    </w:p>
    <w:p w:rsidR="00F76679" w:rsidRPr="005E1103" w:rsidRDefault="00F76679" w:rsidP="00F76679">
      <w:pPr>
        <w:jc w:val="both"/>
        <w:rPr>
          <w:rFonts w:cstheme="minorHAnsi"/>
          <w:sz w:val="28"/>
          <w:szCs w:val="28"/>
        </w:rPr>
      </w:pPr>
    </w:p>
    <w:p w:rsidR="00F76679" w:rsidRPr="005E1103" w:rsidRDefault="00F76679" w:rsidP="00F76679">
      <w:pPr>
        <w:jc w:val="both"/>
        <w:rPr>
          <w:rFonts w:cstheme="minorHAnsi"/>
          <w:sz w:val="28"/>
          <w:szCs w:val="28"/>
        </w:rPr>
      </w:pPr>
      <w:r w:rsidRPr="005E1103">
        <w:rPr>
          <w:rFonts w:cstheme="minorHAnsi"/>
          <w:sz w:val="28"/>
          <w:szCs w:val="28"/>
        </w:rPr>
        <w:t xml:space="preserve">Entre las limitaciones del presente estudio señalar la realización de la prueba no paramétrica de Man-Whitney el cual se basa en rangos medios y se ha utilizado como una medida de comprensión de qué ítems presentan diferencias entre las dos ediciones analizadas. </w:t>
      </w:r>
      <w:r w:rsidR="00E142CC" w:rsidRPr="005E1103">
        <w:rPr>
          <w:rFonts w:cstheme="minorHAnsi"/>
          <w:sz w:val="28"/>
          <w:szCs w:val="28"/>
        </w:rPr>
        <w:t>Además,</w:t>
      </w:r>
      <w:r w:rsidRPr="005E1103">
        <w:rPr>
          <w:rFonts w:cstheme="minorHAnsi"/>
          <w:sz w:val="28"/>
          <w:szCs w:val="28"/>
        </w:rPr>
        <w:t xml:space="preserve"> no se han utilizado escalas de satisfacción estandarizadas y validadas dentro de la literatura académica.</w:t>
      </w:r>
    </w:p>
    <w:p w:rsidR="00F76679" w:rsidRPr="005E1103" w:rsidRDefault="00F76679" w:rsidP="00F76679">
      <w:pPr>
        <w:jc w:val="both"/>
        <w:rPr>
          <w:rFonts w:cstheme="minorHAnsi"/>
          <w:sz w:val="28"/>
          <w:szCs w:val="28"/>
        </w:rPr>
      </w:pPr>
    </w:p>
    <w:p w:rsidR="00F76679" w:rsidRPr="005E1103" w:rsidRDefault="00F76679" w:rsidP="00F76679">
      <w:pPr>
        <w:jc w:val="both"/>
        <w:rPr>
          <w:rFonts w:cstheme="minorHAnsi"/>
          <w:sz w:val="28"/>
          <w:szCs w:val="28"/>
        </w:rPr>
      </w:pPr>
      <w:r w:rsidRPr="005E1103">
        <w:rPr>
          <w:rFonts w:cstheme="minorHAnsi"/>
          <w:sz w:val="28"/>
          <w:szCs w:val="28"/>
        </w:rPr>
        <w:t xml:space="preserve">Los Campus han supuesto una experiencia única que ha fomentado y estrechado fuertes lazos entre personas con y sin discapacidad, ha permitido fomentar nuevas vías académica para los alumnos, ha conectado la vida universitaria y no universitaria, y más </w:t>
      </w:r>
      <w:r w:rsidRPr="005E1103">
        <w:rPr>
          <w:rFonts w:cstheme="minorHAnsi"/>
          <w:sz w:val="28"/>
          <w:szCs w:val="28"/>
        </w:rPr>
        <w:lastRenderedPageBreak/>
        <w:t>importante, permite normalizar y visualizar este tipo de actuaciones dentro del ámbito de la Educación Superior.</w:t>
      </w:r>
    </w:p>
    <w:p w:rsidR="00F76679" w:rsidRPr="005E1103" w:rsidRDefault="00F76679" w:rsidP="00F76679">
      <w:pPr>
        <w:rPr>
          <w:rFonts w:cstheme="minorHAnsi"/>
          <w:sz w:val="28"/>
          <w:szCs w:val="28"/>
        </w:rPr>
      </w:pPr>
    </w:p>
    <w:p w:rsidR="00F76679" w:rsidRPr="005E1103" w:rsidRDefault="00F76679" w:rsidP="00F76679">
      <w:pPr>
        <w:rPr>
          <w:rFonts w:cstheme="minorHAnsi"/>
          <w:b/>
          <w:sz w:val="28"/>
          <w:szCs w:val="28"/>
        </w:rPr>
      </w:pPr>
      <w:r w:rsidRPr="005E1103">
        <w:rPr>
          <w:rFonts w:cstheme="minorHAnsi"/>
          <w:b/>
          <w:sz w:val="28"/>
          <w:szCs w:val="28"/>
        </w:rPr>
        <w:t>Referencias:</w:t>
      </w:r>
    </w:p>
    <w:p w:rsidR="00F76679" w:rsidRPr="005E1103" w:rsidRDefault="00F76679" w:rsidP="00F76679">
      <w:pPr>
        <w:ind w:firstLine="708"/>
        <w:rPr>
          <w:rFonts w:cstheme="minorHAnsi"/>
          <w:sz w:val="28"/>
          <w:szCs w:val="28"/>
        </w:rPr>
      </w:pPr>
    </w:p>
    <w:p w:rsidR="00F76679" w:rsidRPr="005E1103" w:rsidRDefault="00F76679" w:rsidP="00F76679">
      <w:pPr>
        <w:jc w:val="both"/>
        <w:rPr>
          <w:rFonts w:cstheme="minorHAnsi"/>
          <w:bCs/>
          <w:iCs/>
          <w:sz w:val="28"/>
          <w:szCs w:val="28"/>
        </w:rPr>
      </w:pPr>
      <w:r w:rsidRPr="005E1103">
        <w:rPr>
          <w:rFonts w:cstheme="minorHAnsi"/>
          <w:bCs/>
          <w:iCs/>
          <w:sz w:val="28"/>
          <w:szCs w:val="28"/>
        </w:rPr>
        <w:t xml:space="preserve">Ainscow, M. (2002). Rutas para el desarrollo de prácticas inclusivas en los Sistemas Educativos. </w:t>
      </w:r>
      <w:r w:rsidRPr="005E1103">
        <w:rPr>
          <w:rFonts w:cstheme="minorHAnsi"/>
          <w:bCs/>
          <w:i/>
          <w:iCs/>
          <w:sz w:val="28"/>
          <w:szCs w:val="28"/>
        </w:rPr>
        <w:t>Revista de Educación, 327</w:t>
      </w:r>
      <w:r w:rsidRPr="005E1103">
        <w:rPr>
          <w:rFonts w:cstheme="minorHAnsi"/>
          <w:bCs/>
          <w:iCs/>
          <w:sz w:val="28"/>
          <w:szCs w:val="28"/>
        </w:rPr>
        <w:t>, 69-82.</w:t>
      </w:r>
    </w:p>
    <w:p w:rsidR="00F76679" w:rsidRPr="005E1103" w:rsidRDefault="00F76679" w:rsidP="00F76679">
      <w:pPr>
        <w:jc w:val="both"/>
        <w:rPr>
          <w:rFonts w:cstheme="minorHAnsi"/>
          <w:sz w:val="28"/>
          <w:szCs w:val="28"/>
        </w:rPr>
      </w:pPr>
    </w:p>
    <w:p w:rsidR="00F76679" w:rsidRPr="005E1103" w:rsidRDefault="00F76679" w:rsidP="00F76679">
      <w:pPr>
        <w:jc w:val="both"/>
        <w:rPr>
          <w:rFonts w:cstheme="minorHAnsi"/>
          <w:i/>
          <w:iCs/>
          <w:sz w:val="28"/>
          <w:szCs w:val="28"/>
        </w:rPr>
      </w:pPr>
      <w:r w:rsidRPr="005E1103">
        <w:rPr>
          <w:rFonts w:cstheme="minorHAnsi"/>
          <w:sz w:val="28"/>
          <w:szCs w:val="28"/>
        </w:rPr>
        <w:t xml:space="preserve">Alonso, M. J., Navarro, R. y Vicente, L. (2008). </w:t>
      </w:r>
      <w:r w:rsidRPr="005E1103">
        <w:rPr>
          <w:rFonts w:cstheme="minorHAnsi"/>
          <w:i/>
          <w:iCs/>
          <w:sz w:val="28"/>
          <w:szCs w:val="28"/>
        </w:rPr>
        <w:t xml:space="preserve">Actitudes hacia la diversidad en estudiantes universitarios. </w:t>
      </w:r>
      <w:r w:rsidRPr="005E1103">
        <w:rPr>
          <w:rFonts w:cstheme="minorHAnsi"/>
          <w:sz w:val="28"/>
          <w:szCs w:val="28"/>
        </w:rPr>
        <w:t>Comunicacion presentada en las XIII Jornadas de Fomento</w:t>
      </w:r>
    </w:p>
    <w:p w:rsidR="00F76679" w:rsidRPr="005E1103" w:rsidRDefault="00F76679" w:rsidP="00F76679">
      <w:pPr>
        <w:jc w:val="both"/>
        <w:rPr>
          <w:rFonts w:cstheme="minorHAnsi"/>
          <w:sz w:val="28"/>
          <w:szCs w:val="28"/>
        </w:rPr>
      </w:pPr>
      <w:r w:rsidRPr="005E1103">
        <w:rPr>
          <w:rFonts w:cstheme="minorHAnsi"/>
          <w:sz w:val="28"/>
          <w:szCs w:val="28"/>
        </w:rPr>
        <w:t>de la Investigacion. Universitat Jaume I, Castellon.</w:t>
      </w:r>
    </w:p>
    <w:p w:rsidR="00F76679" w:rsidRPr="005E1103" w:rsidRDefault="00F76679" w:rsidP="00F76679">
      <w:pPr>
        <w:jc w:val="both"/>
        <w:rPr>
          <w:rFonts w:cstheme="minorHAnsi"/>
          <w:sz w:val="28"/>
          <w:szCs w:val="28"/>
        </w:rPr>
      </w:pPr>
    </w:p>
    <w:p w:rsidR="00F76679" w:rsidRPr="005E1103" w:rsidRDefault="00F76679" w:rsidP="00F76679">
      <w:pPr>
        <w:jc w:val="both"/>
        <w:rPr>
          <w:rFonts w:cstheme="minorHAnsi"/>
          <w:bCs/>
          <w:iCs/>
          <w:sz w:val="28"/>
          <w:szCs w:val="28"/>
        </w:rPr>
      </w:pPr>
      <w:r w:rsidRPr="005E1103">
        <w:rPr>
          <w:rFonts w:cstheme="minorHAnsi"/>
          <w:sz w:val="28"/>
          <w:szCs w:val="28"/>
        </w:rPr>
        <w:t xml:space="preserve">Comes Nolla, G., Parera Pozuelo, B., Vedriel Sánchez, G., Vives García, M. (2011). </w:t>
      </w:r>
      <w:r w:rsidRPr="005E1103">
        <w:rPr>
          <w:rFonts w:cstheme="minorHAnsi"/>
          <w:bCs/>
          <w:iCs/>
          <w:sz w:val="28"/>
          <w:szCs w:val="28"/>
        </w:rPr>
        <w:t xml:space="preserve">La inclusión del alumnado con discapacidad en la universidad: la opinión del profesorado. </w:t>
      </w:r>
      <w:r w:rsidRPr="005E1103">
        <w:rPr>
          <w:rFonts w:cstheme="minorHAnsi"/>
          <w:bCs/>
          <w:i/>
          <w:iCs/>
          <w:sz w:val="28"/>
          <w:szCs w:val="28"/>
        </w:rPr>
        <w:t>Innovación Educativa, 21</w:t>
      </w:r>
      <w:r w:rsidRPr="005E1103">
        <w:rPr>
          <w:rFonts w:cstheme="minorHAnsi"/>
          <w:bCs/>
          <w:iCs/>
          <w:sz w:val="28"/>
          <w:szCs w:val="28"/>
        </w:rPr>
        <w:t>, 173-183.</w:t>
      </w:r>
    </w:p>
    <w:p w:rsidR="00F76679" w:rsidRPr="005E1103" w:rsidRDefault="00F76679" w:rsidP="00F76679">
      <w:pPr>
        <w:jc w:val="both"/>
        <w:rPr>
          <w:rFonts w:cstheme="minorHAnsi"/>
          <w:bCs/>
          <w:iCs/>
          <w:sz w:val="28"/>
          <w:szCs w:val="28"/>
        </w:rPr>
      </w:pPr>
    </w:p>
    <w:p w:rsidR="00F76679" w:rsidRPr="005E1103" w:rsidRDefault="00F76679" w:rsidP="00F76679">
      <w:pPr>
        <w:jc w:val="both"/>
        <w:rPr>
          <w:rFonts w:cstheme="minorHAnsi"/>
          <w:bCs/>
          <w:iCs/>
          <w:sz w:val="28"/>
          <w:szCs w:val="28"/>
        </w:rPr>
      </w:pPr>
      <w:r w:rsidRPr="005E1103">
        <w:rPr>
          <w:rFonts w:cstheme="minorHAnsi"/>
          <w:bCs/>
          <w:iCs/>
          <w:sz w:val="28"/>
          <w:szCs w:val="28"/>
        </w:rPr>
        <w:t>Convención Internacional sobre los Derechos de las Personas con Discapacidad, de 13 de diciembre de 2006.</w:t>
      </w:r>
    </w:p>
    <w:p w:rsidR="00F76679" w:rsidRPr="005E1103" w:rsidRDefault="00F76679" w:rsidP="00F76679">
      <w:pPr>
        <w:jc w:val="both"/>
        <w:rPr>
          <w:rFonts w:cstheme="minorHAnsi"/>
          <w:sz w:val="28"/>
          <w:szCs w:val="28"/>
        </w:rPr>
      </w:pPr>
    </w:p>
    <w:p w:rsidR="00F76679" w:rsidRPr="005E1103" w:rsidRDefault="00F76679" w:rsidP="00F76679">
      <w:pPr>
        <w:jc w:val="both"/>
        <w:rPr>
          <w:rFonts w:cstheme="minorHAnsi"/>
          <w:sz w:val="28"/>
          <w:szCs w:val="28"/>
        </w:rPr>
      </w:pPr>
      <w:r w:rsidRPr="005E1103">
        <w:rPr>
          <w:rFonts w:cstheme="minorHAnsi"/>
          <w:sz w:val="28"/>
          <w:szCs w:val="28"/>
        </w:rPr>
        <w:t xml:space="preserve">Egido Galvez, I., Cerrillo Martin, R. y Camina Durantes, A. (2009). La inclusión social y laboral de las personas con discapacidad intelectual mediante los programas de empleo con apoyo. Un reto para la orientacion. </w:t>
      </w:r>
      <w:r w:rsidRPr="005E1103">
        <w:rPr>
          <w:rFonts w:cstheme="minorHAnsi"/>
          <w:i/>
          <w:iCs/>
          <w:sz w:val="28"/>
          <w:szCs w:val="28"/>
        </w:rPr>
        <w:t>Revista Española de</w:t>
      </w:r>
      <w:r w:rsidRPr="005E1103">
        <w:rPr>
          <w:rFonts w:cstheme="minorHAnsi"/>
          <w:sz w:val="28"/>
          <w:szCs w:val="28"/>
        </w:rPr>
        <w:t xml:space="preserve"> </w:t>
      </w:r>
      <w:r w:rsidRPr="005E1103">
        <w:rPr>
          <w:rFonts w:cstheme="minorHAnsi"/>
          <w:i/>
          <w:iCs/>
          <w:sz w:val="28"/>
          <w:szCs w:val="28"/>
        </w:rPr>
        <w:t>Orientación y Psicopedagogía, 20</w:t>
      </w:r>
      <w:r w:rsidRPr="005E1103">
        <w:rPr>
          <w:rFonts w:cstheme="minorHAnsi"/>
          <w:sz w:val="28"/>
          <w:szCs w:val="28"/>
        </w:rPr>
        <w:t>(2), 135-146.</w:t>
      </w:r>
    </w:p>
    <w:p w:rsidR="00F76679" w:rsidRPr="005E1103" w:rsidRDefault="00F76679" w:rsidP="00F76679">
      <w:pPr>
        <w:jc w:val="both"/>
        <w:rPr>
          <w:rFonts w:cstheme="minorHAnsi"/>
          <w:sz w:val="28"/>
          <w:szCs w:val="28"/>
        </w:rPr>
      </w:pPr>
    </w:p>
    <w:p w:rsidR="00F76679" w:rsidRPr="005E1103" w:rsidRDefault="00F76679" w:rsidP="00F76679">
      <w:pPr>
        <w:autoSpaceDE w:val="0"/>
        <w:autoSpaceDN w:val="0"/>
        <w:adjustRightInd w:val="0"/>
        <w:jc w:val="both"/>
        <w:rPr>
          <w:rFonts w:eastAsia="JansonText-Roman" w:cstheme="minorHAnsi"/>
          <w:sz w:val="28"/>
          <w:szCs w:val="28"/>
        </w:rPr>
      </w:pPr>
      <w:r w:rsidRPr="005E1103">
        <w:rPr>
          <w:rFonts w:eastAsia="JansonText-Roman" w:cstheme="minorHAnsi"/>
          <w:sz w:val="28"/>
          <w:szCs w:val="28"/>
          <w:lang w:val="en-GB"/>
        </w:rPr>
        <w:t xml:space="preserve">ENQA (European Association for Quality Assurance in Higher Education) (2005). </w:t>
      </w:r>
      <w:r w:rsidRPr="005E1103">
        <w:rPr>
          <w:rFonts w:eastAsia="JansonText-Roman" w:cstheme="minorHAnsi"/>
          <w:i/>
          <w:iCs/>
          <w:sz w:val="28"/>
          <w:szCs w:val="28"/>
        </w:rPr>
        <w:t>Criterios y Directrices para la Garantía de Calidad en el Espacio Europeo de Educación Superior</w:t>
      </w:r>
      <w:r w:rsidRPr="005E1103">
        <w:rPr>
          <w:rFonts w:eastAsia="JansonText-Roman" w:cstheme="minorHAnsi"/>
          <w:sz w:val="28"/>
          <w:szCs w:val="28"/>
        </w:rPr>
        <w:t>. Helsinki: ENQA.</w:t>
      </w:r>
    </w:p>
    <w:p w:rsidR="00F76679" w:rsidRPr="005E1103" w:rsidRDefault="00F76679" w:rsidP="00F76679">
      <w:pPr>
        <w:autoSpaceDE w:val="0"/>
        <w:autoSpaceDN w:val="0"/>
        <w:adjustRightInd w:val="0"/>
        <w:jc w:val="both"/>
        <w:rPr>
          <w:rFonts w:eastAsia="JansonText-Roman" w:cstheme="minorHAnsi"/>
          <w:sz w:val="28"/>
          <w:szCs w:val="28"/>
        </w:rPr>
      </w:pPr>
    </w:p>
    <w:p w:rsidR="00F76679" w:rsidRPr="005E1103" w:rsidRDefault="00F76679" w:rsidP="00F76679">
      <w:pPr>
        <w:jc w:val="both"/>
        <w:rPr>
          <w:rFonts w:cstheme="minorHAnsi"/>
          <w:bCs/>
          <w:iCs/>
          <w:sz w:val="28"/>
          <w:szCs w:val="28"/>
        </w:rPr>
      </w:pPr>
      <w:r w:rsidRPr="005E1103">
        <w:rPr>
          <w:rFonts w:cstheme="minorHAnsi"/>
          <w:bCs/>
          <w:iCs/>
          <w:sz w:val="28"/>
          <w:szCs w:val="28"/>
        </w:rPr>
        <w:t xml:space="preserve">Echeita, G. (2006). </w:t>
      </w:r>
      <w:r w:rsidRPr="005E1103">
        <w:rPr>
          <w:rFonts w:cstheme="minorHAnsi"/>
          <w:bCs/>
          <w:i/>
          <w:iCs/>
          <w:sz w:val="28"/>
          <w:szCs w:val="28"/>
        </w:rPr>
        <w:t xml:space="preserve">Educación para la inclusión o educación sin exclusiones. </w:t>
      </w:r>
      <w:r w:rsidRPr="005E1103">
        <w:rPr>
          <w:rFonts w:cstheme="minorHAnsi"/>
          <w:bCs/>
          <w:iCs/>
          <w:sz w:val="28"/>
          <w:szCs w:val="28"/>
        </w:rPr>
        <w:t>Madrid. Narcea.</w:t>
      </w:r>
    </w:p>
    <w:p w:rsidR="00F76679" w:rsidRPr="005E1103" w:rsidRDefault="00F76679" w:rsidP="00F76679">
      <w:pPr>
        <w:jc w:val="both"/>
        <w:rPr>
          <w:rFonts w:cstheme="minorHAnsi"/>
          <w:sz w:val="28"/>
          <w:szCs w:val="28"/>
        </w:rPr>
      </w:pPr>
    </w:p>
    <w:p w:rsidR="00F76679" w:rsidRPr="005E1103" w:rsidRDefault="00F76679" w:rsidP="00F76679">
      <w:pPr>
        <w:jc w:val="both"/>
        <w:rPr>
          <w:rFonts w:cstheme="minorHAnsi"/>
          <w:sz w:val="28"/>
          <w:szCs w:val="28"/>
        </w:rPr>
      </w:pPr>
      <w:r w:rsidRPr="005E1103">
        <w:rPr>
          <w:rFonts w:cstheme="minorHAnsi"/>
          <w:sz w:val="28"/>
          <w:szCs w:val="28"/>
        </w:rPr>
        <w:t xml:space="preserve">Fundación Universia; CERMI. (2013). </w:t>
      </w:r>
      <w:r w:rsidRPr="005E1103">
        <w:rPr>
          <w:rFonts w:cstheme="minorHAnsi"/>
          <w:i/>
          <w:sz w:val="28"/>
          <w:szCs w:val="28"/>
        </w:rPr>
        <w:t xml:space="preserve">Universidad y Discapacidad. </w:t>
      </w:r>
      <w:r w:rsidRPr="005E1103">
        <w:rPr>
          <w:rFonts w:cstheme="minorHAnsi"/>
          <w:sz w:val="28"/>
          <w:szCs w:val="28"/>
        </w:rPr>
        <w:t>Recurso electrónico.</w:t>
      </w:r>
    </w:p>
    <w:p w:rsidR="00F76679" w:rsidRPr="005E1103" w:rsidRDefault="00F76679" w:rsidP="00F76679">
      <w:pPr>
        <w:jc w:val="both"/>
        <w:rPr>
          <w:rFonts w:cstheme="minorHAnsi"/>
          <w:sz w:val="28"/>
          <w:szCs w:val="28"/>
        </w:rPr>
      </w:pPr>
    </w:p>
    <w:p w:rsidR="00F76679" w:rsidRPr="005E1103" w:rsidRDefault="00F76679" w:rsidP="00F76679">
      <w:pPr>
        <w:jc w:val="both"/>
        <w:rPr>
          <w:rFonts w:cstheme="minorHAnsi"/>
          <w:sz w:val="28"/>
          <w:szCs w:val="28"/>
        </w:rPr>
      </w:pPr>
      <w:r w:rsidRPr="005E1103">
        <w:rPr>
          <w:rFonts w:cstheme="minorHAnsi"/>
          <w:sz w:val="28"/>
          <w:szCs w:val="28"/>
        </w:rPr>
        <w:t xml:space="preserve">Lagoke, B. A., Komolafe, M. D., Ige, N. A. y Oladejo, M. A. (2010). </w:t>
      </w:r>
      <w:r w:rsidRPr="005E1103">
        <w:rPr>
          <w:rFonts w:cstheme="minorHAnsi"/>
          <w:sz w:val="28"/>
          <w:szCs w:val="28"/>
          <w:lang w:val="en-GB"/>
        </w:rPr>
        <w:t xml:space="preserve">Disability status and academic performance in a Nigerian university: Instructional implications for inclusive distance education practice. </w:t>
      </w:r>
      <w:r w:rsidRPr="005E1103">
        <w:rPr>
          <w:rFonts w:cstheme="minorHAnsi"/>
          <w:i/>
          <w:iCs/>
          <w:sz w:val="28"/>
          <w:szCs w:val="28"/>
        </w:rPr>
        <w:t>European Journal of Social Sciences, 17</w:t>
      </w:r>
      <w:r w:rsidRPr="005E1103">
        <w:rPr>
          <w:rFonts w:cstheme="minorHAnsi"/>
          <w:sz w:val="28"/>
          <w:szCs w:val="28"/>
        </w:rPr>
        <w:t>(3), 303-315.</w:t>
      </w:r>
    </w:p>
    <w:p w:rsidR="00F76679" w:rsidRPr="005E1103" w:rsidRDefault="00F76679" w:rsidP="00F76679">
      <w:pPr>
        <w:jc w:val="both"/>
        <w:rPr>
          <w:rFonts w:cstheme="minorHAnsi"/>
          <w:sz w:val="28"/>
          <w:szCs w:val="28"/>
        </w:rPr>
      </w:pPr>
    </w:p>
    <w:p w:rsidR="00F76679" w:rsidRPr="005E1103" w:rsidRDefault="00F76679" w:rsidP="00F76679">
      <w:pPr>
        <w:jc w:val="both"/>
        <w:rPr>
          <w:rFonts w:cstheme="minorHAnsi"/>
          <w:sz w:val="28"/>
          <w:szCs w:val="28"/>
        </w:rPr>
      </w:pPr>
      <w:r w:rsidRPr="005E1103">
        <w:rPr>
          <w:rFonts w:cstheme="minorHAnsi"/>
          <w:bCs/>
          <w:iCs/>
          <w:sz w:val="28"/>
          <w:szCs w:val="28"/>
        </w:rPr>
        <w:t xml:space="preserve">Ley Orgánica de </w:t>
      </w:r>
      <w:r w:rsidRPr="005E1103">
        <w:rPr>
          <w:rFonts w:cstheme="minorHAnsi"/>
          <w:sz w:val="28"/>
          <w:szCs w:val="28"/>
        </w:rPr>
        <w:t>8/2013, de 9 de diciembre, para la mejora de la calidad educativa.</w:t>
      </w:r>
    </w:p>
    <w:p w:rsidR="00F76679" w:rsidRPr="005E1103" w:rsidRDefault="00F76679" w:rsidP="00F76679">
      <w:pPr>
        <w:jc w:val="both"/>
        <w:rPr>
          <w:rFonts w:cstheme="minorHAnsi"/>
          <w:bCs/>
          <w:iCs/>
          <w:sz w:val="28"/>
          <w:szCs w:val="28"/>
        </w:rPr>
      </w:pPr>
    </w:p>
    <w:p w:rsidR="00F76679" w:rsidRPr="005E1103" w:rsidRDefault="00F76679" w:rsidP="00F76679">
      <w:pPr>
        <w:jc w:val="both"/>
        <w:rPr>
          <w:rFonts w:cstheme="minorHAnsi"/>
          <w:bCs/>
          <w:iCs/>
          <w:sz w:val="28"/>
          <w:szCs w:val="28"/>
        </w:rPr>
      </w:pPr>
      <w:r w:rsidRPr="005E1103">
        <w:rPr>
          <w:rFonts w:cstheme="minorHAnsi"/>
          <w:bCs/>
          <w:iCs/>
          <w:sz w:val="28"/>
          <w:szCs w:val="28"/>
        </w:rPr>
        <w:t>Ley Orgánica 6/2001, de 21 de diciembre, de Universidades.</w:t>
      </w:r>
    </w:p>
    <w:p w:rsidR="00F76679" w:rsidRPr="005E1103" w:rsidRDefault="00F76679" w:rsidP="00F76679">
      <w:pPr>
        <w:jc w:val="both"/>
        <w:rPr>
          <w:rFonts w:cstheme="minorHAnsi"/>
          <w:bCs/>
          <w:iCs/>
          <w:sz w:val="28"/>
          <w:szCs w:val="28"/>
        </w:rPr>
      </w:pPr>
    </w:p>
    <w:p w:rsidR="00F76679" w:rsidRPr="005E1103" w:rsidRDefault="00F76679" w:rsidP="00F76679">
      <w:pPr>
        <w:jc w:val="both"/>
        <w:rPr>
          <w:rFonts w:cstheme="minorHAnsi"/>
          <w:iCs/>
          <w:sz w:val="28"/>
          <w:szCs w:val="28"/>
        </w:rPr>
      </w:pPr>
      <w:r w:rsidRPr="005E1103">
        <w:rPr>
          <w:rFonts w:cstheme="minorHAnsi"/>
          <w:iCs/>
          <w:sz w:val="28"/>
          <w:szCs w:val="28"/>
        </w:rPr>
        <w:t>Luque Martínez, T., Del Barrio García, S. y Aguayo Moral, J.M. (2009).</w:t>
      </w:r>
      <w:r w:rsidRPr="005E1103">
        <w:rPr>
          <w:rFonts w:cstheme="minorHAnsi"/>
          <w:i/>
          <w:iCs/>
          <w:sz w:val="28"/>
          <w:szCs w:val="28"/>
        </w:rPr>
        <w:t xml:space="preserve"> Estudio del Impacto Económico de la Universidad de Granada en su Entorno. </w:t>
      </w:r>
      <w:r w:rsidRPr="005E1103">
        <w:rPr>
          <w:rFonts w:cstheme="minorHAnsi"/>
          <w:iCs/>
          <w:sz w:val="28"/>
          <w:szCs w:val="28"/>
        </w:rPr>
        <w:t>Granada: Editorial Universidad de Granada.</w:t>
      </w:r>
    </w:p>
    <w:p w:rsidR="00F76679" w:rsidRPr="005E1103" w:rsidRDefault="00F76679" w:rsidP="00F76679">
      <w:pPr>
        <w:jc w:val="both"/>
        <w:rPr>
          <w:rFonts w:cstheme="minorHAnsi"/>
          <w:sz w:val="28"/>
          <w:szCs w:val="28"/>
        </w:rPr>
      </w:pPr>
    </w:p>
    <w:p w:rsidR="00F76679" w:rsidRPr="005E1103" w:rsidRDefault="00F76679" w:rsidP="00F76679">
      <w:pPr>
        <w:rPr>
          <w:rFonts w:cstheme="minorHAnsi"/>
          <w:sz w:val="28"/>
          <w:szCs w:val="28"/>
          <w:lang w:val="en-US"/>
        </w:rPr>
      </w:pPr>
      <w:r w:rsidRPr="005E1103">
        <w:rPr>
          <w:rFonts w:cstheme="minorHAnsi"/>
          <w:sz w:val="28"/>
          <w:szCs w:val="28"/>
        </w:rPr>
        <w:t xml:space="preserve">Morina Diez, A. (2008). </w:t>
      </w:r>
      <w:r w:rsidR="00D80C03" w:rsidRPr="005E1103">
        <w:rPr>
          <w:rFonts w:cstheme="minorHAnsi"/>
          <w:sz w:val="28"/>
          <w:szCs w:val="28"/>
        </w:rPr>
        <w:t>. Como</w:t>
      </w:r>
      <w:r w:rsidRPr="005E1103">
        <w:rPr>
          <w:rFonts w:cstheme="minorHAnsi"/>
          <w:sz w:val="28"/>
          <w:szCs w:val="28"/>
        </w:rPr>
        <w:t xml:space="preserve"> hacer que un centro sea inclusivo? Analisis de diseno, desarrollo y resultados de un programa formativo. </w:t>
      </w:r>
      <w:r w:rsidRPr="005E1103">
        <w:rPr>
          <w:rFonts w:cstheme="minorHAnsi"/>
          <w:i/>
          <w:iCs/>
          <w:sz w:val="28"/>
          <w:szCs w:val="28"/>
          <w:lang w:val="en-US"/>
        </w:rPr>
        <w:t>Revista de Investigación</w:t>
      </w:r>
      <w:r w:rsidRPr="005E1103">
        <w:rPr>
          <w:rFonts w:cstheme="minorHAnsi"/>
          <w:sz w:val="28"/>
          <w:szCs w:val="28"/>
          <w:lang w:val="en-US"/>
        </w:rPr>
        <w:t xml:space="preserve"> </w:t>
      </w:r>
      <w:r w:rsidRPr="005E1103">
        <w:rPr>
          <w:rFonts w:cstheme="minorHAnsi"/>
          <w:i/>
          <w:iCs/>
          <w:sz w:val="28"/>
          <w:szCs w:val="28"/>
          <w:lang w:val="en-US"/>
        </w:rPr>
        <w:t>Educativa, 26</w:t>
      </w:r>
      <w:r w:rsidRPr="005E1103">
        <w:rPr>
          <w:rFonts w:cstheme="minorHAnsi"/>
          <w:sz w:val="28"/>
          <w:szCs w:val="28"/>
          <w:lang w:val="en-US"/>
        </w:rPr>
        <w:t>(2), 521-538.</w:t>
      </w:r>
    </w:p>
    <w:p w:rsidR="00F76679" w:rsidRPr="005E1103" w:rsidRDefault="00F76679" w:rsidP="00F76679">
      <w:pPr>
        <w:jc w:val="both"/>
        <w:rPr>
          <w:rFonts w:cstheme="minorHAnsi"/>
          <w:sz w:val="28"/>
          <w:szCs w:val="28"/>
          <w:lang w:val="en-US"/>
        </w:rPr>
      </w:pPr>
    </w:p>
    <w:p w:rsidR="00F76679" w:rsidRPr="005E1103" w:rsidRDefault="00F76679" w:rsidP="00F76679">
      <w:pPr>
        <w:jc w:val="both"/>
        <w:rPr>
          <w:rFonts w:cstheme="minorHAnsi"/>
          <w:sz w:val="28"/>
          <w:szCs w:val="28"/>
          <w:lang w:val="en-GB"/>
        </w:rPr>
      </w:pPr>
      <w:r w:rsidRPr="005E1103">
        <w:rPr>
          <w:rFonts w:cstheme="minorHAnsi"/>
          <w:sz w:val="28"/>
          <w:szCs w:val="28"/>
          <w:lang w:val="en-GB"/>
        </w:rPr>
        <w:t xml:space="preserve">Mortimore, T. (2013). Dyslexia in higher education: Creating a fully inclusive institution. </w:t>
      </w:r>
      <w:r w:rsidRPr="005E1103">
        <w:rPr>
          <w:rFonts w:cstheme="minorHAnsi"/>
          <w:i/>
          <w:iCs/>
          <w:sz w:val="28"/>
          <w:szCs w:val="28"/>
          <w:lang w:val="en-GB"/>
        </w:rPr>
        <w:t>Journal of Research in Special Educational Needs, 13</w:t>
      </w:r>
      <w:r w:rsidRPr="005E1103">
        <w:rPr>
          <w:rFonts w:cstheme="minorHAnsi"/>
          <w:sz w:val="28"/>
          <w:szCs w:val="28"/>
          <w:lang w:val="en-GB"/>
        </w:rPr>
        <w:t>(1), 38-47.</w:t>
      </w:r>
    </w:p>
    <w:p w:rsidR="00F76679" w:rsidRPr="005E1103" w:rsidRDefault="00F76679" w:rsidP="00F76679">
      <w:pPr>
        <w:jc w:val="both"/>
        <w:rPr>
          <w:rFonts w:cstheme="minorHAnsi"/>
          <w:sz w:val="28"/>
          <w:szCs w:val="28"/>
          <w:lang w:val="en-GB"/>
        </w:rPr>
      </w:pPr>
    </w:p>
    <w:p w:rsidR="00F76679" w:rsidRPr="005E1103" w:rsidRDefault="00F76679" w:rsidP="00F76679">
      <w:pPr>
        <w:jc w:val="both"/>
        <w:rPr>
          <w:rFonts w:cstheme="minorHAnsi"/>
          <w:sz w:val="28"/>
          <w:szCs w:val="28"/>
        </w:rPr>
      </w:pPr>
      <w:r w:rsidRPr="005E1103">
        <w:rPr>
          <w:rFonts w:cstheme="minorHAnsi"/>
          <w:sz w:val="28"/>
          <w:szCs w:val="28"/>
          <w:lang w:val="en-US"/>
        </w:rPr>
        <w:t>Muñoz-Cantero, J. M.</w:t>
      </w:r>
      <w:r w:rsidR="00D80C03" w:rsidRPr="005E1103">
        <w:rPr>
          <w:rFonts w:cstheme="minorHAnsi"/>
          <w:sz w:val="28"/>
          <w:szCs w:val="28"/>
          <w:lang w:val="en-US"/>
        </w:rPr>
        <w:t>; Novo</w:t>
      </w:r>
      <w:r w:rsidRPr="005E1103">
        <w:rPr>
          <w:rFonts w:cstheme="minorHAnsi"/>
          <w:sz w:val="28"/>
          <w:szCs w:val="28"/>
          <w:lang w:val="en-US"/>
        </w:rPr>
        <w:t xml:space="preserve">-Corti, I. y Espiñeria-Bellón, E. M. (2013). </w:t>
      </w:r>
      <w:r w:rsidRPr="005E1103">
        <w:rPr>
          <w:rFonts w:cstheme="minorHAnsi"/>
          <w:sz w:val="28"/>
          <w:szCs w:val="28"/>
        </w:rPr>
        <w:t xml:space="preserve">La inclusión de los estudiantes universitarios con discapacidad en las universidades presenciales: actitudes e intención de apoyo por parte de sus compañeros. </w:t>
      </w:r>
      <w:r w:rsidRPr="005E1103">
        <w:rPr>
          <w:rFonts w:cstheme="minorHAnsi"/>
          <w:i/>
          <w:sz w:val="28"/>
          <w:szCs w:val="28"/>
        </w:rPr>
        <w:t>Estudios sobre Educación, 24</w:t>
      </w:r>
      <w:r w:rsidRPr="005E1103">
        <w:rPr>
          <w:rFonts w:cstheme="minorHAnsi"/>
          <w:sz w:val="28"/>
          <w:szCs w:val="28"/>
        </w:rPr>
        <w:t>, 103-124.</w:t>
      </w:r>
    </w:p>
    <w:p w:rsidR="00F76679" w:rsidRPr="005E1103" w:rsidRDefault="00F76679" w:rsidP="00F76679">
      <w:pPr>
        <w:jc w:val="both"/>
        <w:rPr>
          <w:rFonts w:cstheme="minorHAnsi"/>
          <w:sz w:val="28"/>
          <w:szCs w:val="28"/>
        </w:rPr>
      </w:pPr>
    </w:p>
    <w:p w:rsidR="00F76679" w:rsidRPr="005E1103" w:rsidRDefault="00F76679" w:rsidP="00F76679">
      <w:pPr>
        <w:jc w:val="both"/>
        <w:rPr>
          <w:rFonts w:cstheme="minorHAnsi"/>
          <w:iCs/>
          <w:sz w:val="28"/>
          <w:szCs w:val="28"/>
          <w:lang w:val="fr-FR"/>
        </w:rPr>
      </w:pPr>
      <w:r w:rsidRPr="005E1103">
        <w:rPr>
          <w:rFonts w:cstheme="minorHAnsi"/>
          <w:iCs/>
          <w:sz w:val="28"/>
          <w:szCs w:val="28"/>
        </w:rPr>
        <w:t>OCDE (2011).</w:t>
      </w:r>
      <w:r w:rsidRPr="005E1103">
        <w:rPr>
          <w:rFonts w:cstheme="minorHAnsi"/>
          <w:i/>
          <w:iCs/>
          <w:sz w:val="28"/>
          <w:szCs w:val="28"/>
        </w:rPr>
        <w:t xml:space="preserve"> Education at a Glance 2011: OECD Indicators, OECD. </w:t>
      </w:r>
      <w:r w:rsidRPr="005E1103">
        <w:rPr>
          <w:rFonts w:cstheme="minorHAnsi"/>
          <w:iCs/>
          <w:sz w:val="28"/>
          <w:szCs w:val="28"/>
          <w:lang w:val="fr-FR"/>
        </w:rPr>
        <w:t>DOI: http://dx.doi.org/10.1787/eag-2011-en</w:t>
      </w:r>
    </w:p>
    <w:p w:rsidR="00F76679" w:rsidRPr="005E1103" w:rsidRDefault="00F76679" w:rsidP="00F76679">
      <w:pPr>
        <w:jc w:val="both"/>
        <w:rPr>
          <w:rFonts w:cstheme="minorHAnsi"/>
          <w:sz w:val="28"/>
          <w:szCs w:val="28"/>
          <w:lang w:val="fr-FR"/>
        </w:rPr>
      </w:pPr>
    </w:p>
    <w:p w:rsidR="00F76679" w:rsidRPr="005E1103" w:rsidRDefault="00F76679" w:rsidP="00F76679">
      <w:pPr>
        <w:jc w:val="both"/>
        <w:rPr>
          <w:rFonts w:cstheme="minorHAnsi"/>
          <w:sz w:val="28"/>
          <w:szCs w:val="28"/>
          <w:lang w:val="fr-FR"/>
        </w:rPr>
      </w:pPr>
    </w:p>
    <w:p w:rsidR="00F76679" w:rsidRPr="005E1103" w:rsidRDefault="00F76679" w:rsidP="00F76679">
      <w:pPr>
        <w:jc w:val="both"/>
        <w:rPr>
          <w:rFonts w:cstheme="minorHAnsi"/>
          <w:sz w:val="28"/>
          <w:szCs w:val="28"/>
        </w:rPr>
      </w:pPr>
      <w:r w:rsidRPr="005E1103">
        <w:rPr>
          <w:rFonts w:cstheme="minorHAnsi"/>
          <w:sz w:val="28"/>
          <w:szCs w:val="28"/>
        </w:rPr>
        <w:t>Real Decreto Legislativo 1/2013, de 29 de noviembre, por el que se aprueba el Texto Refundido de la Ley General de derechos de las personas con discapacidad y de su inclusión social.</w:t>
      </w:r>
    </w:p>
    <w:p w:rsidR="00F76679" w:rsidRPr="005E1103" w:rsidRDefault="00F76679" w:rsidP="00F76679">
      <w:pPr>
        <w:jc w:val="both"/>
        <w:rPr>
          <w:rFonts w:cstheme="minorHAnsi"/>
          <w:sz w:val="28"/>
          <w:szCs w:val="28"/>
        </w:rPr>
      </w:pPr>
      <w:r w:rsidRPr="005E1103">
        <w:rPr>
          <w:rFonts w:cstheme="minorHAnsi"/>
          <w:sz w:val="28"/>
          <w:szCs w:val="28"/>
          <w:lang w:val="en-US"/>
        </w:rPr>
        <w:t xml:space="preserve">Richardson, J. T. E. (2010). </w:t>
      </w:r>
      <w:r w:rsidRPr="005E1103">
        <w:rPr>
          <w:rFonts w:cstheme="minorHAnsi"/>
          <w:sz w:val="28"/>
          <w:szCs w:val="28"/>
          <w:lang w:val="en-GB"/>
        </w:rPr>
        <w:t xml:space="preserve">Course completion and attainment in disabled students taking courses with the open university UK. </w:t>
      </w:r>
      <w:r w:rsidRPr="005E1103">
        <w:rPr>
          <w:rFonts w:cstheme="minorHAnsi"/>
          <w:i/>
          <w:iCs/>
          <w:sz w:val="28"/>
          <w:szCs w:val="28"/>
        </w:rPr>
        <w:t>Open Learning, 25</w:t>
      </w:r>
      <w:r w:rsidRPr="005E1103">
        <w:rPr>
          <w:rFonts w:cstheme="minorHAnsi"/>
          <w:sz w:val="28"/>
          <w:szCs w:val="28"/>
        </w:rPr>
        <w:t>(2), 81-94.</w:t>
      </w:r>
    </w:p>
    <w:p w:rsidR="00F76679" w:rsidRPr="005E1103" w:rsidRDefault="00F76679" w:rsidP="00F76679">
      <w:pPr>
        <w:jc w:val="both"/>
        <w:rPr>
          <w:rFonts w:cstheme="minorHAnsi"/>
          <w:sz w:val="28"/>
          <w:szCs w:val="28"/>
        </w:rPr>
      </w:pPr>
    </w:p>
    <w:p w:rsidR="00F76679" w:rsidRPr="005E1103" w:rsidRDefault="00F76679" w:rsidP="00F76679">
      <w:pPr>
        <w:jc w:val="both"/>
        <w:rPr>
          <w:rFonts w:cstheme="minorHAnsi"/>
          <w:sz w:val="28"/>
          <w:szCs w:val="28"/>
        </w:rPr>
      </w:pPr>
      <w:r w:rsidRPr="005E1103">
        <w:rPr>
          <w:rFonts w:cstheme="minorHAnsi"/>
          <w:sz w:val="28"/>
          <w:szCs w:val="28"/>
        </w:rPr>
        <w:t xml:space="preserve">Suarez Riveiro, J.M. (2011). </w:t>
      </w:r>
      <w:r w:rsidRPr="005E1103">
        <w:rPr>
          <w:rFonts w:cstheme="minorHAnsi"/>
          <w:i/>
          <w:iCs/>
          <w:sz w:val="28"/>
          <w:szCs w:val="28"/>
        </w:rPr>
        <w:t xml:space="preserve">Discapacidad y contextos de intervención. </w:t>
      </w:r>
      <w:r w:rsidRPr="005E1103">
        <w:rPr>
          <w:rFonts w:cstheme="minorHAnsi"/>
          <w:sz w:val="28"/>
          <w:szCs w:val="28"/>
        </w:rPr>
        <w:t>Madrid: Sanz y Torres.</w:t>
      </w:r>
    </w:p>
    <w:p w:rsidR="00F76679" w:rsidRPr="005E1103" w:rsidRDefault="00F76679" w:rsidP="00F76679">
      <w:pPr>
        <w:jc w:val="both"/>
        <w:rPr>
          <w:rFonts w:cstheme="minorHAnsi"/>
          <w:sz w:val="28"/>
          <w:szCs w:val="28"/>
        </w:rPr>
      </w:pPr>
    </w:p>
    <w:p w:rsidR="00F76679" w:rsidRPr="005E1103" w:rsidRDefault="00F76679" w:rsidP="00F76679">
      <w:pPr>
        <w:jc w:val="both"/>
        <w:rPr>
          <w:rFonts w:cstheme="minorHAnsi"/>
          <w:sz w:val="28"/>
          <w:szCs w:val="28"/>
        </w:rPr>
      </w:pPr>
      <w:r w:rsidRPr="005E1103">
        <w:rPr>
          <w:rFonts w:cstheme="minorHAnsi"/>
          <w:sz w:val="28"/>
          <w:szCs w:val="28"/>
        </w:rPr>
        <w:t xml:space="preserve">Vieira Aller, M. J. y Ferreira Villa, C. (2011). Los servicios de atencion a estudiantes con discapacidad en las Universidades de Castilla y Leon. </w:t>
      </w:r>
      <w:r w:rsidRPr="005E1103">
        <w:rPr>
          <w:rFonts w:cstheme="minorHAnsi"/>
          <w:i/>
          <w:iCs/>
          <w:sz w:val="28"/>
          <w:szCs w:val="28"/>
        </w:rPr>
        <w:t>Revista Española de Orientación y Psicopedagogía, 22</w:t>
      </w:r>
      <w:r w:rsidRPr="005E1103">
        <w:rPr>
          <w:rFonts w:cstheme="minorHAnsi"/>
          <w:sz w:val="28"/>
          <w:szCs w:val="28"/>
        </w:rPr>
        <w:t>(2), 185-1999</w:t>
      </w:r>
    </w:p>
    <w:p w:rsidR="00F76679" w:rsidRPr="005E1103" w:rsidRDefault="00F76679">
      <w:pPr>
        <w:rPr>
          <w:rFonts w:cstheme="minorHAnsi"/>
          <w:sz w:val="28"/>
          <w:szCs w:val="28"/>
        </w:rPr>
      </w:pPr>
      <w:r w:rsidRPr="005E1103">
        <w:rPr>
          <w:rFonts w:cstheme="minorHAnsi"/>
          <w:sz w:val="28"/>
          <w:szCs w:val="28"/>
        </w:rPr>
        <w:br w:type="page"/>
      </w:r>
    </w:p>
    <w:p w:rsidR="007B19F2" w:rsidRPr="005E1103" w:rsidRDefault="007B19F2" w:rsidP="007B19F2">
      <w:pPr>
        <w:spacing w:line="360" w:lineRule="auto"/>
        <w:jc w:val="center"/>
        <w:rPr>
          <w:rFonts w:cstheme="minorHAnsi"/>
          <w:b/>
          <w:sz w:val="28"/>
          <w:szCs w:val="28"/>
        </w:rPr>
      </w:pPr>
      <w:r w:rsidRPr="005E1103">
        <w:rPr>
          <w:rFonts w:cstheme="minorHAnsi"/>
          <w:b/>
          <w:sz w:val="28"/>
          <w:szCs w:val="28"/>
        </w:rPr>
        <w:lastRenderedPageBreak/>
        <w:t>COMUNICACIÓN 12</w:t>
      </w:r>
    </w:p>
    <w:p w:rsidR="007B19F2" w:rsidRPr="00D80C03" w:rsidRDefault="007B19F2" w:rsidP="007B19F2">
      <w:pPr>
        <w:pBdr>
          <w:top w:val="single" w:sz="4" w:space="1" w:color="auto"/>
          <w:left w:val="single" w:sz="4" w:space="4" w:color="auto"/>
          <w:bottom w:val="single" w:sz="4" w:space="1" w:color="auto"/>
          <w:right w:val="single" w:sz="4" w:space="4" w:color="auto"/>
        </w:pBdr>
        <w:jc w:val="center"/>
        <w:rPr>
          <w:rFonts w:cstheme="minorHAnsi"/>
          <w:b/>
          <w:sz w:val="28"/>
          <w:szCs w:val="28"/>
        </w:rPr>
      </w:pPr>
      <w:r w:rsidRPr="00D80C03">
        <w:rPr>
          <w:rFonts w:cstheme="minorHAnsi"/>
          <w:b/>
          <w:sz w:val="28"/>
          <w:szCs w:val="28"/>
        </w:rPr>
        <w:t>Evaluación de los Campus Inclusivos de la Universidad de Granada-CEI BioTic 2015 como experiencia pre-universitaria. Diferencias por año de participación</w:t>
      </w:r>
    </w:p>
    <w:p w:rsidR="007B19F2" w:rsidRPr="005E1103" w:rsidRDefault="007B19F2" w:rsidP="007B19F2">
      <w:pPr>
        <w:rPr>
          <w:rFonts w:cstheme="minorHAnsi"/>
          <w:sz w:val="28"/>
          <w:szCs w:val="28"/>
        </w:rPr>
      </w:pPr>
    </w:p>
    <w:p w:rsidR="007B19F2" w:rsidRPr="005E1103" w:rsidRDefault="007B19F2" w:rsidP="007B19F2">
      <w:pPr>
        <w:jc w:val="right"/>
        <w:rPr>
          <w:rFonts w:cstheme="minorHAnsi"/>
          <w:sz w:val="28"/>
          <w:szCs w:val="28"/>
        </w:rPr>
      </w:pPr>
      <w:r w:rsidRPr="005E1103">
        <w:rPr>
          <w:rFonts w:cstheme="minorHAnsi"/>
          <w:sz w:val="28"/>
          <w:szCs w:val="28"/>
        </w:rPr>
        <w:t>Luis Doña Toledo</w:t>
      </w:r>
    </w:p>
    <w:p w:rsidR="007B19F2" w:rsidRPr="005E1103" w:rsidRDefault="007B19F2" w:rsidP="007B19F2">
      <w:pPr>
        <w:jc w:val="right"/>
        <w:rPr>
          <w:rFonts w:cstheme="minorHAnsi"/>
          <w:sz w:val="28"/>
          <w:szCs w:val="28"/>
        </w:rPr>
      </w:pPr>
      <w:r w:rsidRPr="005E1103">
        <w:rPr>
          <w:rFonts w:cstheme="minorHAnsi"/>
          <w:sz w:val="28"/>
          <w:szCs w:val="28"/>
        </w:rPr>
        <w:t>Profesor de Marketing. Universidad de Sevilla</w:t>
      </w:r>
    </w:p>
    <w:p w:rsidR="007B19F2" w:rsidRPr="005E1103" w:rsidRDefault="007B19F2" w:rsidP="007B19F2">
      <w:pPr>
        <w:jc w:val="right"/>
        <w:rPr>
          <w:rFonts w:cstheme="minorHAnsi"/>
          <w:sz w:val="28"/>
          <w:szCs w:val="28"/>
        </w:rPr>
      </w:pPr>
      <w:r w:rsidRPr="005E1103">
        <w:rPr>
          <w:rFonts w:cstheme="minorHAnsi"/>
          <w:sz w:val="28"/>
          <w:szCs w:val="28"/>
        </w:rPr>
        <w:t xml:space="preserve">Responsable de Comunicación y Marketing del proyecto </w:t>
      </w:r>
    </w:p>
    <w:p w:rsidR="007B19F2" w:rsidRPr="005E1103" w:rsidRDefault="007B19F2" w:rsidP="007B19F2">
      <w:pPr>
        <w:jc w:val="right"/>
        <w:rPr>
          <w:rFonts w:cstheme="minorHAnsi"/>
          <w:sz w:val="28"/>
          <w:szCs w:val="28"/>
        </w:rPr>
      </w:pPr>
      <w:r w:rsidRPr="005E1103">
        <w:rPr>
          <w:rFonts w:cstheme="minorHAnsi"/>
          <w:sz w:val="28"/>
          <w:szCs w:val="28"/>
        </w:rPr>
        <w:t>CEI BioTic de la Universidad de Granada</w:t>
      </w:r>
    </w:p>
    <w:p w:rsidR="007B19F2" w:rsidRPr="005E1103" w:rsidRDefault="007B19F2" w:rsidP="007B19F2">
      <w:pPr>
        <w:jc w:val="right"/>
        <w:rPr>
          <w:rFonts w:cstheme="minorHAnsi"/>
          <w:sz w:val="28"/>
          <w:szCs w:val="28"/>
        </w:rPr>
      </w:pPr>
    </w:p>
    <w:p w:rsidR="007B19F2" w:rsidRPr="005E1103" w:rsidRDefault="007B19F2" w:rsidP="007B19F2">
      <w:pPr>
        <w:jc w:val="right"/>
        <w:rPr>
          <w:rFonts w:cstheme="minorHAnsi"/>
          <w:sz w:val="28"/>
          <w:szCs w:val="28"/>
        </w:rPr>
      </w:pPr>
    </w:p>
    <w:p w:rsidR="007B19F2" w:rsidRPr="005E1103" w:rsidRDefault="007B19F2" w:rsidP="007B19F2">
      <w:pPr>
        <w:jc w:val="right"/>
        <w:rPr>
          <w:rFonts w:cstheme="minorHAnsi"/>
          <w:sz w:val="28"/>
          <w:szCs w:val="28"/>
        </w:rPr>
      </w:pPr>
      <w:r w:rsidRPr="005E1103">
        <w:rPr>
          <w:rFonts w:cstheme="minorHAnsi"/>
          <w:sz w:val="28"/>
          <w:szCs w:val="28"/>
        </w:rPr>
        <w:t>Marta Medina García</w:t>
      </w:r>
    </w:p>
    <w:p w:rsidR="007B19F2" w:rsidRPr="005E1103" w:rsidRDefault="007B19F2" w:rsidP="007B19F2">
      <w:pPr>
        <w:jc w:val="right"/>
        <w:rPr>
          <w:rFonts w:cstheme="minorHAnsi"/>
          <w:sz w:val="28"/>
          <w:szCs w:val="28"/>
        </w:rPr>
      </w:pPr>
      <w:r w:rsidRPr="005E1103">
        <w:rPr>
          <w:rFonts w:cstheme="minorHAnsi"/>
          <w:sz w:val="28"/>
          <w:szCs w:val="28"/>
        </w:rPr>
        <w:t>Coordinadora de los Campus Inclusivos. Doctoranda en Pedagogía</w:t>
      </w:r>
    </w:p>
    <w:p w:rsidR="007B19F2" w:rsidRPr="005E1103" w:rsidRDefault="007B19F2" w:rsidP="007B19F2">
      <w:pPr>
        <w:jc w:val="right"/>
        <w:rPr>
          <w:rFonts w:cstheme="minorHAnsi"/>
          <w:sz w:val="28"/>
          <w:szCs w:val="28"/>
        </w:rPr>
      </w:pPr>
      <w:r w:rsidRPr="005E1103">
        <w:rPr>
          <w:rFonts w:cstheme="minorHAnsi"/>
          <w:sz w:val="28"/>
          <w:szCs w:val="28"/>
        </w:rPr>
        <w:t>Universidad de Granada</w:t>
      </w:r>
    </w:p>
    <w:p w:rsidR="007B19F2" w:rsidRPr="005E1103" w:rsidRDefault="007B19F2" w:rsidP="007B19F2">
      <w:pPr>
        <w:rPr>
          <w:rFonts w:cstheme="minorHAnsi"/>
          <w:sz w:val="28"/>
          <w:szCs w:val="28"/>
        </w:rPr>
      </w:pPr>
    </w:p>
    <w:p w:rsidR="007B19F2" w:rsidRPr="005E1103" w:rsidRDefault="007B19F2" w:rsidP="007B19F2">
      <w:pPr>
        <w:rPr>
          <w:rFonts w:cstheme="minorHAnsi"/>
          <w:b/>
          <w:sz w:val="28"/>
          <w:szCs w:val="28"/>
        </w:rPr>
      </w:pPr>
      <w:r w:rsidRPr="005E1103">
        <w:rPr>
          <w:rFonts w:cstheme="minorHAnsi"/>
          <w:b/>
          <w:sz w:val="28"/>
          <w:szCs w:val="28"/>
        </w:rPr>
        <w:t>Resumen:</w:t>
      </w:r>
    </w:p>
    <w:p w:rsidR="007B19F2" w:rsidRPr="005E1103" w:rsidRDefault="007B19F2" w:rsidP="007B19F2">
      <w:pPr>
        <w:jc w:val="both"/>
        <w:rPr>
          <w:rFonts w:cstheme="minorHAnsi"/>
          <w:sz w:val="28"/>
          <w:szCs w:val="28"/>
        </w:rPr>
      </w:pPr>
      <w:r w:rsidRPr="005E1103">
        <w:rPr>
          <w:rFonts w:cstheme="minorHAnsi"/>
          <w:sz w:val="28"/>
          <w:szCs w:val="28"/>
        </w:rPr>
        <w:t xml:space="preserve">Desde el año 2013 la Universidad de Granada lleva desarrollando la experiencia de los “Campus Inclusivos. Campus sin Límites” dentro de su Campus de Excelencia Internacional CEI BioTic, con el objetivo de promover la accesibilidad universal como elemento favorecedor de la inclusión y motivar a los estudiantes sobre la importancia de continuar la formación académica de orden superior como medio para la obtención de un proyecto de vida pleno. El presente estudio analiza la experiencia desarrollada en el año 2015 donde acudieron 20 alumnos de 4º ESO y Bachillerato, 12 de ellos con distintas discapacidades (discapacidad auditiva, discapacidad visual, discapacidad física, discapacidad psicosocial). Se analizan los siguientes aspectos del Campus: valoración de las actividades desarrolladas, organización del campus, utilidad y satisfacción y probabilidad de repetir. También se compara la valoración general según año de realización (2014 y 2015) a través de pruebas no paramétricas dada la limitación de la muestra. Entre los resultados más significativos destaca la alta valoración de actividades de ocio y académicas, la utilidad del Campus para desarrollar nuevas habilidades y </w:t>
      </w:r>
      <w:r w:rsidR="003321BB" w:rsidRPr="005E1103">
        <w:rPr>
          <w:rFonts w:cstheme="minorHAnsi"/>
          <w:sz w:val="28"/>
          <w:szCs w:val="28"/>
        </w:rPr>
        <w:t>capacidad,</w:t>
      </w:r>
      <w:r w:rsidRPr="005E1103">
        <w:rPr>
          <w:rFonts w:cstheme="minorHAnsi"/>
          <w:sz w:val="28"/>
          <w:szCs w:val="28"/>
        </w:rPr>
        <w:t xml:space="preserve"> así como mejorar la integración de personas con discapacidad. Resulta fundamental la evaluación continua de esta actividad para su mejora. Entre las </w:t>
      </w:r>
      <w:r w:rsidRPr="005E1103">
        <w:rPr>
          <w:rFonts w:cstheme="minorHAnsi"/>
          <w:sz w:val="28"/>
          <w:szCs w:val="28"/>
        </w:rPr>
        <w:lastRenderedPageBreak/>
        <w:t>implicaciones del estudio, resaltar la importancia de estos datos para la toma de decisiones de la gestión universitaria. Esta información también es relevante para los padres con hijos con discapacidad y para los propios jóvenes.</w:t>
      </w:r>
    </w:p>
    <w:p w:rsidR="007B19F2" w:rsidRPr="005E1103" w:rsidRDefault="007B19F2" w:rsidP="007B19F2">
      <w:pPr>
        <w:rPr>
          <w:rFonts w:cstheme="minorHAnsi"/>
          <w:sz w:val="28"/>
          <w:szCs w:val="28"/>
        </w:rPr>
      </w:pPr>
    </w:p>
    <w:p w:rsidR="007B19F2" w:rsidRPr="005E1103" w:rsidRDefault="007B19F2" w:rsidP="007B19F2">
      <w:pPr>
        <w:jc w:val="both"/>
        <w:rPr>
          <w:rFonts w:cstheme="minorHAnsi"/>
          <w:i/>
          <w:sz w:val="28"/>
          <w:szCs w:val="28"/>
        </w:rPr>
      </w:pPr>
      <w:r w:rsidRPr="005E1103">
        <w:rPr>
          <w:rFonts w:cstheme="minorHAnsi"/>
          <w:b/>
          <w:i/>
          <w:sz w:val="28"/>
          <w:szCs w:val="28"/>
        </w:rPr>
        <w:t>Palabras clave:</w:t>
      </w:r>
      <w:r w:rsidRPr="005E1103">
        <w:rPr>
          <w:rFonts w:cstheme="minorHAnsi"/>
          <w:i/>
          <w:sz w:val="28"/>
          <w:szCs w:val="28"/>
        </w:rPr>
        <w:t xml:space="preserve"> inclusión, universidad, discapacidad e integración, innovación docente, cambio de actitudes</w:t>
      </w:r>
    </w:p>
    <w:p w:rsidR="007B19F2" w:rsidRPr="005E1103" w:rsidRDefault="007B19F2" w:rsidP="007B19F2">
      <w:pPr>
        <w:rPr>
          <w:rFonts w:cstheme="minorHAnsi"/>
          <w:sz w:val="28"/>
          <w:szCs w:val="28"/>
        </w:rPr>
      </w:pPr>
    </w:p>
    <w:p w:rsidR="007B19F2" w:rsidRPr="005E1103" w:rsidRDefault="007B19F2" w:rsidP="007B19F2">
      <w:pPr>
        <w:numPr>
          <w:ilvl w:val="0"/>
          <w:numId w:val="12"/>
        </w:numPr>
        <w:spacing w:after="0" w:line="240" w:lineRule="auto"/>
        <w:rPr>
          <w:rFonts w:cstheme="minorHAnsi"/>
          <w:b/>
          <w:sz w:val="28"/>
          <w:szCs w:val="28"/>
        </w:rPr>
      </w:pPr>
      <w:r w:rsidRPr="005E1103">
        <w:rPr>
          <w:rFonts w:cstheme="minorHAnsi"/>
          <w:b/>
          <w:sz w:val="28"/>
          <w:szCs w:val="28"/>
        </w:rPr>
        <w:t>Introducción</w:t>
      </w:r>
    </w:p>
    <w:p w:rsidR="007B19F2" w:rsidRPr="005E1103" w:rsidRDefault="007B19F2" w:rsidP="007B19F2">
      <w:pPr>
        <w:rPr>
          <w:rFonts w:cstheme="minorHAnsi"/>
          <w:sz w:val="28"/>
          <w:szCs w:val="28"/>
        </w:rPr>
      </w:pPr>
    </w:p>
    <w:p w:rsidR="007B19F2" w:rsidRPr="005E1103" w:rsidRDefault="007B19F2" w:rsidP="007B19F2">
      <w:pPr>
        <w:jc w:val="both"/>
        <w:rPr>
          <w:rFonts w:cstheme="minorHAnsi"/>
          <w:sz w:val="28"/>
          <w:szCs w:val="28"/>
        </w:rPr>
      </w:pPr>
      <w:r w:rsidRPr="005E1103">
        <w:rPr>
          <w:rFonts w:cstheme="minorHAnsi"/>
          <w:sz w:val="28"/>
          <w:szCs w:val="28"/>
        </w:rPr>
        <w:t>El abandono escolar temprano por estudiantes con discapacidad es una realidad en nuestro sistema educativo. Si tomamos como muestra los datos, nos encontramos que las cifras ofrecidas por el Ministerio de Educación, Cultura y Deporte, concretamente del documento “</w:t>
      </w:r>
      <w:r w:rsidRPr="005E1103">
        <w:rPr>
          <w:rFonts w:cstheme="minorHAnsi"/>
          <w:i/>
          <w:sz w:val="28"/>
          <w:szCs w:val="28"/>
        </w:rPr>
        <w:t>Datos y cifras curso escolar 2014/2015</w:t>
      </w:r>
      <w:r w:rsidRPr="005E1103">
        <w:rPr>
          <w:rFonts w:cstheme="minorHAnsi"/>
          <w:sz w:val="28"/>
          <w:szCs w:val="28"/>
        </w:rPr>
        <w:t xml:space="preserve">”, destacan el gran salto en las cifras, una vez comienza la etapa postobligatoria, en la cual disminuye drásticamente el número de estudiantes con necesidades educativas especiales hasta llegar a cifras irrelevantes como 0,3/ en bachillerato o 0,5% en la formación profesional. </w:t>
      </w:r>
    </w:p>
    <w:p w:rsidR="007B19F2" w:rsidRPr="005E1103" w:rsidRDefault="007B19F2" w:rsidP="007B19F2">
      <w:pPr>
        <w:jc w:val="both"/>
        <w:rPr>
          <w:rFonts w:cstheme="minorHAnsi"/>
          <w:sz w:val="28"/>
          <w:szCs w:val="28"/>
        </w:rPr>
      </w:pPr>
    </w:p>
    <w:p w:rsidR="007B19F2" w:rsidRPr="005E1103" w:rsidRDefault="007B19F2" w:rsidP="007B19F2">
      <w:pPr>
        <w:jc w:val="both"/>
        <w:rPr>
          <w:rFonts w:cstheme="minorHAnsi"/>
          <w:sz w:val="28"/>
          <w:szCs w:val="28"/>
        </w:rPr>
      </w:pPr>
      <w:r w:rsidRPr="005E1103">
        <w:rPr>
          <w:rFonts w:cstheme="minorHAnsi"/>
          <w:sz w:val="28"/>
          <w:szCs w:val="28"/>
        </w:rPr>
        <w:t>Junto a ello, los resultados del estudio llevado a cabo por la Fundación Universia, revelan un descenso en el número de estudiantes con discapacidad matriculados en las universidades españolas. Exponiendo que durante el curso académico 2014-2015 ha disminuido hasta 21.577, lo que supone un descenso del 1,6% respecto al curso anterior. Este descenso también afecta al porcentaje de universitarios con discapacidad representados en el total de estudiantes de la comunidad universitaria, el cual representa el 1,3% en este curso. Junto a ello, otros datos del estudio revelan que un 43% de los estudiantes con discapacidad siguen prefiriendo las universidades a distancia.</w:t>
      </w:r>
    </w:p>
    <w:p w:rsidR="007B19F2" w:rsidRPr="005E1103" w:rsidRDefault="007B19F2" w:rsidP="007B19F2">
      <w:pPr>
        <w:jc w:val="both"/>
        <w:rPr>
          <w:rFonts w:cstheme="minorHAnsi"/>
          <w:sz w:val="28"/>
          <w:szCs w:val="28"/>
        </w:rPr>
      </w:pPr>
    </w:p>
    <w:p w:rsidR="007B19F2" w:rsidRPr="005E1103" w:rsidRDefault="007B19F2" w:rsidP="007B19F2">
      <w:pPr>
        <w:jc w:val="both"/>
        <w:rPr>
          <w:rFonts w:cstheme="minorHAnsi"/>
          <w:sz w:val="28"/>
          <w:szCs w:val="28"/>
        </w:rPr>
      </w:pPr>
      <w:r w:rsidRPr="005E1103">
        <w:rPr>
          <w:rFonts w:cstheme="minorHAnsi"/>
          <w:sz w:val="28"/>
          <w:szCs w:val="28"/>
        </w:rPr>
        <w:t xml:space="preserve">En definitiva, estos datos son la evidencia de que existe un problema de justicia social en torno a los estudiantes con discapacidad. Por tanto, ante esta situación, cabe preguntarse cómo contempla la normativa en materia de educación y discapacidad, la inclusión de los estudiantes con discapacidad. </w:t>
      </w:r>
    </w:p>
    <w:p w:rsidR="007B19F2" w:rsidRPr="005E1103" w:rsidRDefault="007B19F2" w:rsidP="007B19F2">
      <w:pPr>
        <w:jc w:val="both"/>
        <w:rPr>
          <w:rFonts w:cstheme="minorHAnsi"/>
          <w:sz w:val="28"/>
          <w:szCs w:val="28"/>
        </w:rPr>
      </w:pPr>
    </w:p>
    <w:p w:rsidR="007B19F2" w:rsidRPr="005E1103" w:rsidRDefault="007B19F2" w:rsidP="007B19F2">
      <w:pPr>
        <w:jc w:val="both"/>
        <w:rPr>
          <w:rFonts w:cstheme="minorHAnsi"/>
          <w:sz w:val="28"/>
          <w:szCs w:val="28"/>
        </w:rPr>
      </w:pPr>
      <w:r w:rsidRPr="005E1103">
        <w:rPr>
          <w:rFonts w:cstheme="minorHAnsi"/>
          <w:sz w:val="28"/>
          <w:szCs w:val="28"/>
        </w:rPr>
        <w:t xml:space="preserve">El propio sistema educativo español a través de su Ley Orgánica actual 8/2013, de 9 de diciembre, para la mejora de la calidad educativa (LOMCE) establece en términos </w:t>
      </w:r>
      <w:r w:rsidRPr="005E1103">
        <w:rPr>
          <w:rFonts w:cstheme="minorHAnsi"/>
          <w:sz w:val="28"/>
          <w:szCs w:val="28"/>
        </w:rPr>
        <w:lastRenderedPageBreak/>
        <w:t>generales que se actuará conforme a la equidad, la igualdad de oportunidades y la inclusión educativa, como elemento compensador de desigualdades, especialmente las que se deriven de cualquier tipo de discapacidad. Asimismo, la Ley 6/2001, de 21 de diciembre, orgánica de universidades (LOU) (posteriormente modificada por la Ley 4/2007, de 12 de abril, LOMLOU), reconocen el derecho a la igualdad de oportunidades y no discriminación por circunstancias personales, sociales, o de discapacidad, en el acceso a todos los centros educativos, incluida la Universidad</w:t>
      </w:r>
    </w:p>
    <w:p w:rsidR="007B19F2" w:rsidRPr="005E1103" w:rsidRDefault="007B19F2" w:rsidP="007B19F2">
      <w:pPr>
        <w:jc w:val="both"/>
        <w:rPr>
          <w:rFonts w:cstheme="minorHAnsi"/>
          <w:sz w:val="28"/>
          <w:szCs w:val="28"/>
        </w:rPr>
      </w:pPr>
    </w:p>
    <w:p w:rsidR="007B19F2" w:rsidRPr="005E1103" w:rsidRDefault="007B19F2" w:rsidP="007B19F2">
      <w:pPr>
        <w:jc w:val="both"/>
        <w:rPr>
          <w:rFonts w:cstheme="minorHAnsi"/>
          <w:sz w:val="28"/>
          <w:szCs w:val="28"/>
        </w:rPr>
      </w:pPr>
      <w:r w:rsidRPr="005E1103">
        <w:rPr>
          <w:rFonts w:cstheme="minorHAnsi"/>
          <w:sz w:val="28"/>
          <w:szCs w:val="28"/>
        </w:rPr>
        <w:t>Por otro lado, de la normativa en materia de discapacidad, debemos destacar el artículo 24 de la Convención Internacional de Derechos de las Personas con Discapacidad, aprobada en el seno de la Organización de las Naciones Unidas en el año 2006, y que entró en vigor en el Ordenamiento Jurídico español el 3 de mayo de 2008, reconoce que “</w:t>
      </w:r>
      <w:r w:rsidRPr="005E1103">
        <w:rPr>
          <w:rFonts w:cstheme="minorHAnsi"/>
          <w:i/>
          <w:sz w:val="28"/>
          <w:szCs w:val="28"/>
        </w:rPr>
        <w:t>Los Estados Partes reconocen el derecho de las personas con discapacidad a la educación. Con miras a hacer efectivo este derecho sin discriminación y sobre la base de igualdad de oportunidades, los Estados Partes asegurarán un sistema de educación inclusivo a todos los niveles, así como la enseñanza a lo largo de la vida.”</w:t>
      </w:r>
    </w:p>
    <w:p w:rsidR="007B19F2" w:rsidRPr="005E1103" w:rsidRDefault="007B19F2" w:rsidP="007B19F2">
      <w:pPr>
        <w:jc w:val="both"/>
        <w:rPr>
          <w:rFonts w:cstheme="minorHAnsi"/>
          <w:sz w:val="28"/>
          <w:szCs w:val="28"/>
        </w:rPr>
      </w:pPr>
    </w:p>
    <w:p w:rsidR="007B19F2" w:rsidRPr="005E1103" w:rsidRDefault="007B19F2" w:rsidP="007B19F2">
      <w:pPr>
        <w:jc w:val="both"/>
        <w:rPr>
          <w:rFonts w:cstheme="minorHAnsi"/>
          <w:sz w:val="28"/>
          <w:szCs w:val="28"/>
        </w:rPr>
      </w:pPr>
      <w:r w:rsidRPr="005E1103">
        <w:rPr>
          <w:rFonts w:cstheme="minorHAnsi"/>
          <w:sz w:val="28"/>
          <w:szCs w:val="28"/>
        </w:rPr>
        <w:t xml:space="preserve">De la misma manera, </w:t>
      </w:r>
      <w:r w:rsidRPr="005E1103">
        <w:rPr>
          <w:rFonts w:cstheme="minorHAnsi"/>
          <w:i/>
          <w:iCs/>
          <w:sz w:val="28"/>
          <w:szCs w:val="28"/>
        </w:rPr>
        <w:t xml:space="preserve">Real Decreto Legislativo 1/2013, de 29 de noviembre, por el que se aprueba el Texto Refundido de la Ley General de derechos de las personas con discapacidad y de su inclusión social. </w:t>
      </w:r>
      <w:r w:rsidRPr="005E1103">
        <w:rPr>
          <w:rFonts w:cstheme="minorHAnsi"/>
          <w:iCs/>
          <w:sz w:val="28"/>
          <w:szCs w:val="28"/>
        </w:rPr>
        <w:t>En su Capítulo IV Derecho a la educación, el artículo 18.2. determina que “</w:t>
      </w:r>
      <w:r w:rsidRPr="005E1103">
        <w:rPr>
          <w:rFonts w:cstheme="minorHAnsi"/>
          <w:i/>
          <w:iCs/>
          <w:sz w:val="28"/>
          <w:szCs w:val="28"/>
        </w:rPr>
        <w:t xml:space="preserve">Corresponde a las administraciones educativas asegurar un sistema educativo inclusivo en todos los niveles </w:t>
      </w:r>
      <w:r w:rsidR="003321BB" w:rsidRPr="005E1103">
        <w:rPr>
          <w:rFonts w:cstheme="minorHAnsi"/>
          <w:i/>
          <w:iCs/>
          <w:sz w:val="28"/>
          <w:szCs w:val="28"/>
        </w:rPr>
        <w:t>educativos,</w:t>
      </w:r>
      <w:r w:rsidRPr="005E1103">
        <w:rPr>
          <w:rFonts w:cstheme="minorHAnsi"/>
          <w:i/>
          <w:iCs/>
          <w:sz w:val="28"/>
          <w:szCs w:val="28"/>
        </w:rPr>
        <w:t xml:space="preserve"> así como la enseñanza a lo largo de la vida”</w:t>
      </w:r>
      <w:r w:rsidRPr="005E1103">
        <w:rPr>
          <w:rFonts w:cstheme="minorHAnsi"/>
          <w:iCs/>
          <w:sz w:val="28"/>
          <w:szCs w:val="28"/>
        </w:rPr>
        <w:t>.</w:t>
      </w:r>
    </w:p>
    <w:p w:rsidR="007B19F2" w:rsidRPr="005E1103" w:rsidRDefault="007B19F2" w:rsidP="007B19F2">
      <w:pPr>
        <w:jc w:val="both"/>
        <w:rPr>
          <w:rFonts w:cstheme="minorHAnsi"/>
          <w:sz w:val="28"/>
          <w:szCs w:val="28"/>
        </w:rPr>
      </w:pPr>
    </w:p>
    <w:p w:rsidR="007B19F2" w:rsidRPr="005E1103" w:rsidRDefault="007B19F2" w:rsidP="007B19F2">
      <w:pPr>
        <w:jc w:val="both"/>
        <w:rPr>
          <w:rFonts w:cstheme="minorHAnsi"/>
          <w:sz w:val="28"/>
          <w:szCs w:val="28"/>
        </w:rPr>
      </w:pPr>
      <w:r w:rsidRPr="005E1103">
        <w:rPr>
          <w:rFonts w:cstheme="minorHAnsi"/>
          <w:sz w:val="28"/>
          <w:szCs w:val="28"/>
        </w:rPr>
        <w:t>No sólo desde el ámbito español, también desde las políticas europeas educativas se insiste en este aspecto, un ejemplo de ello es la Estrategia Europea sobre Discapacidad 2010-2020, aprobada en 2010 por la Comisión Europea, que indica que a las personas con discapacidad se les habrá de garantizar una educación y una formación inclusivas y de calidad. Y lo mismo ocurre con el Informe de la European Association for Quality Assurance in Higher Education (ENQA, 2005) que establece como un criterio prioritario de calidad de la Educación Superior, la inclusión en las universidades europeas.</w:t>
      </w:r>
    </w:p>
    <w:p w:rsidR="007B19F2" w:rsidRPr="005E1103" w:rsidRDefault="007B19F2" w:rsidP="007B19F2">
      <w:pPr>
        <w:jc w:val="both"/>
        <w:rPr>
          <w:rFonts w:cstheme="minorHAnsi"/>
          <w:sz w:val="28"/>
          <w:szCs w:val="28"/>
        </w:rPr>
      </w:pPr>
    </w:p>
    <w:p w:rsidR="007B19F2" w:rsidRPr="005E1103" w:rsidRDefault="007B19F2" w:rsidP="007B19F2">
      <w:pPr>
        <w:jc w:val="both"/>
        <w:rPr>
          <w:rFonts w:cstheme="minorHAnsi"/>
          <w:sz w:val="28"/>
          <w:szCs w:val="28"/>
        </w:rPr>
      </w:pPr>
      <w:r w:rsidRPr="005E1103">
        <w:rPr>
          <w:rFonts w:cstheme="minorHAnsi"/>
          <w:sz w:val="28"/>
          <w:szCs w:val="28"/>
        </w:rPr>
        <w:t xml:space="preserve">Por último, para concluir con el análisis de la situación, es necesario conocer qué expone la literatura sobre esta cuestión. Según Richardson (2010) Lagoke, Komolafe, Ige y </w:t>
      </w:r>
      <w:r w:rsidRPr="005E1103">
        <w:rPr>
          <w:rFonts w:cstheme="minorHAnsi"/>
          <w:sz w:val="28"/>
          <w:szCs w:val="28"/>
        </w:rPr>
        <w:lastRenderedPageBreak/>
        <w:t xml:space="preserve">Oladejo (2010) más de la mitad de estudiantes con discapacidad realizan sus estudios de forma no presencial o a distancia. Y en concreto, en la realidad española es precisamente la Universidad Nacional a Distancia (UNED) la que cuenta con un mayor número de estudiantes con discapacidad. Por lo </w:t>
      </w:r>
      <w:r w:rsidR="003321BB" w:rsidRPr="005E1103">
        <w:rPr>
          <w:rFonts w:cstheme="minorHAnsi"/>
          <w:sz w:val="28"/>
          <w:szCs w:val="28"/>
        </w:rPr>
        <w:t>tanto,</w:t>
      </w:r>
      <w:r w:rsidRPr="005E1103">
        <w:rPr>
          <w:rFonts w:cstheme="minorHAnsi"/>
          <w:sz w:val="28"/>
          <w:szCs w:val="28"/>
        </w:rPr>
        <w:t xml:space="preserve"> tal como señalan Muñoz-Cantero, Novo-Corti y Espiñeria-Bellón (2013) se hace necesario llevar a cabo herramientas y experiencias que creen un entorno favorable entre los compañeros con quienes los jóvenes con discapacidad han de compartir aulas dentro de las universidades presenciales con el objetivo de lograr una mayor conciencia de la inclusión y normalización de la situación de personas con alguna discapacidad.</w:t>
      </w:r>
    </w:p>
    <w:p w:rsidR="007B19F2" w:rsidRPr="005E1103" w:rsidRDefault="007B19F2" w:rsidP="007B19F2">
      <w:pPr>
        <w:jc w:val="both"/>
        <w:rPr>
          <w:rFonts w:cstheme="minorHAnsi"/>
          <w:sz w:val="28"/>
          <w:szCs w:val="28"/>
        </w:rPr>
      </w:pPr>
    </w:p>
    <w:p w:rsidR="007B19F2" w:rsidRPr="005E1103" w:rsidRDefault="007B19F2" w:rsidP="007B19F2">
      <w:pPr>
        <w:jc w:val="both"/>
        <w:rPr>
          <w:rFonts w:cstheme="minorHAnsi"/>
          <w:sz w:val="28"/>
          <w:szCs w:val="28"/>
        </w:rPr>
      </w:pPr>
      <w:r w:rsidRPr="005E1103">
        <w:rPr>
          <w:rFonts w:cstheme="minorHAnsi"/>
          <w:sz w:val="28"/>
          <w:szCs w:val="28"/>
        </w:rPr>
        <w:t>Por otro lado, a pesar de que dentro de las universidades se cuentan con diversas unidades y servicios de ayuda al estudiante con discapacidad, es escasa la prestación de ayuda y formación a la hora de elegir y seleccionar los estudios universitarios (Vieira y Ferreira, 2011). Como norma general, los estudiantes con discapacidad acceden aún en menor medida que el conjunto de la población a las enseñanzas universitarias (Comes-Nolla et al., 2011) debido a motivos como la falta de información o entornos sociales y educativos no adecuados. Ainscow (2002) asegura que no es posible considerar una educación de calidad si no se flexibilizan los procesos de formación y se fomenta el principio de igualdad de oportunidades en el acceso a la formación universitaria de personas con discapacidad.</w:t>
      </w:r>
    </w:p>
    <w:p w:rsidR="007B19F2" w:rsidRPr="005E1103" w:rsidRDefault="007B19F2" w:rsidP="007B19F2">
      <w:pPr>
        <w:jc w:val="both"/>
        <w:rPr>
          <w:rFonts w:cstheme="minorHAnsi"/>
          <w:sz w:val="28"/>
          <w:szCs w:val="28"/>
        </w:rPr>
      </w:pPr>
    </w:p>
    <w:p w:rsidR="007B19F2" w:rsidRPr="005E1103" w:rsidRDefault="007B19F2" w:rsidP="007B19F2">
      <w:pPr>
        <w:jc w:val="both"/>
        <w:rPr>
          <w:rFonts w:cstheme="minorHAnsi"/>
          <w:sz w:val="28"/>
          <w:szCs w:val="28"/>
        </w:rPr>
      </w:pPr>
      <w:r w:rsidRPr="005E1103">
        <w:rPr>
          <w:rFonts w:cstheme="minorHAnsi"/>
          <w:sz w:val="28"/>
          <w:szCs w:val="28"/>
        </w:rPr>
        <w:t xml:space="preserve">Uno de los principales problemas que suponen una barrera para el estudiante con discapacidad a la universidad es la propia relación con sus futuros compañeros de clase ya que uno de los aspectos cruciales para la inclusión del alumnado con discapacidad radica precisamente en las relaciones interpersonales que este establezca con su grupo de iguales (Alonso, Navarro y Vicente, 2008). Resulta de vital importancia realizar el salto de la integración a la inclusión y aceptar que este alumnado debe adquirir, como los demás, las competencias básicas y que alcancen altos grados de </w:t>
      </w:r>
      <w:r w:rsidR="003321BB" w:rsidRPr="005E1103">
        <w:rPr>
          <w:rFonts w:cstheme="minorHAnsi"/>
          <w:sz w:val="28"/>
          <w:szCs w:val="28"/>
        </w:rPr>
        <w:t>socialización,</w:t>
      </w:r>
      <w:r w:rsidRPr="005E1103">
        <w:rPr>
          <w:rFonts w:cstheme="minorHAnsi"/>
          <w:sz w:val="28"/>
          <w:szCs w:val="28"/>
        </w:rPr>
        <w:t xml:space="preserve"> así como que deben desarrollar al máximo sus capacidades y alcanzar las competencias precisas para su incorporación al mundo laboral y social, dentro de sus posibilidades personales (Echeita, 2006).</w:t>
      </w:r>
    </w:p>
    <w:p w:rsidR="007B19F2" w:rsidRPr="005E1103" w:rsidRDefault="007B19F2" w:rsidP="007B19F2">
      <w:pPr>
        <w:rPr>
          <w:rFonts w:cstheme="minorHAnsi"/>
          <w:sz w:val="28"/>
          <w:szCs w:val="28"/>
        </w:rPr>
      </w:pPr>
    </w:p>
    <w:p w:rsidR="007B19F2" w:rsidRPr="005E1103" w:rsidRDefault="007B19F2" w:rsidP="007B19F2">
      <w:pPr>
        <w:jc w:val="both"/>
        <w:rPr>
          <w:rFonts w:cstheme="minorHAnsi"/>
          <w:sz w:val="28"/>
          <w:szCs w:val="28"/>
        </w:rPr>
      </w:pPr>
      <w:r w:rsidRPr="005E1103">
        <w:rPr>
          <w:rFonts w:cstheme="minorHAnsi"/>
          <w:sz w:val="28"/>
          <w:szCs w:val="28"/>
        </w:rPr>
        <w:t xml:space="preserve">Por lo tanto, resulta un objetivo prioritario mejorar la integración de estudiantes con discapacidad ya que la universidad inclusiva no solo favorece a éstos sino a todos los estudiantes en general (Morina, 2008) puesto que la enseñanza superior es mas eficaz </w:t>
      </w:r>
      <w:r w:rsidRPr="005E1103">
        <w:rPr>
          <w:rFonts w:cstheme="minorHAnsi"/>
          <w:sz w:val="28"/>
          <w:szCs w:val="28"/>
        </w:rPr>
        <w:lastRenderedPageBreak/>
        <w:t>cuanto mas inclusiva es la institución (Muñoz-Cantero, Novo-Corti y Espiñeria-Bellón, 2013). Puesto que un alumnado heterogéneo es algo deseable y positivo ya que aporta valor a la universidad y permite el avance de estudiantes con discapacidad tal como lo confirman numerosos estudios que demuestran que es posible un cambio de mentalidad que permita la inclusión en actividades de ocio, culturales, deportivas y, lo más importante, educativas (Egido et al., 2009).</w:t>
      </w:r>
    </w:p>
    <w:p w:rsidR="007B19F2" w:rsidRPr="005E1103" w:rsidRDefault="007B19F2" w:rsidP="007B19F2">
      <w:pPr>
        <w:jc w:val="both"/>
        <w:rPr>
          <w:rFonts w:cstheme="minorHAnsi"/>
          <w:sz w:val="28"/>
          <w:szCs w:val="28"/>
        </w:rPr>
      </w:pPr>
    </w:p>
    <w:p w:rsidR="007B19F2" w:rsidRPr="005E1103" w:rsidRDefault="007B19F2" w:rsidP="007B19F2">
      <w:pPr>
        <w:numPr>
          <w:ilvl w:val="0"/>
          <w:numId w:val="12"/>
        </w:numPr>
        <w:spacing w:after="0" w:line="240" w:lineRule="auto"/>
        <w:jc w:val="both"/>
        <w:rPr>
          <w:rFonts w:cstheme="minorHAnsi"/>
          <w:b/>
          <w:sz w:val="28"/>
          <w:szCs w:val="28"/>
        </w:rPr>
      </w:pPr>
      <w:r w:rsidRPr="005E1103">
        <w:rPr>
          <w:rFonts w:cstheme="minorHAnsi"/>
          <w:b/>
          <w:sz w:val="28"/>
          <w:szCs w:val="28"/>
        </w:rPr>
        <w:t>Respuesta a las necesidades detectadas: Campus Inclusivos de la Universidad de Granada (CEI BioTic).</w:t>
      </w:r>
    </w:p>
    <w:p w:rsidR="007B19F2" w:rsidRPr="005E1103" w:rsidRDefault="007B19F2" w:rsidP="007B19F2">
      <w:pPr>
        <w:jc w:val="both"/>
        <w:rPr>
          <w:rFonts w:cstheme="minorHAnsi"/>
          <w:b/>
          <w:sz w:val="28"/>
          <w:szCs w:val="28"/>
        </w:rPr>
      </w:pPr>
    </w:p>
    <w:p w:rsidR="007B19F2" w:rsidRPr="005E1103" w:rsidRDefault="007B19F2" w:rsidP="007B19F2">
      <w:pPr>
        <w:jc w:val="both"/>
        <w:rPr>
          <w:rFonts w:cstheme="minorHAnsi"/>
          <w:sz w:val="28"/>
          <w:szCs w:val="28"/>
        </w:rPr>
      </w:pPr>
      <w:r w:rsidRPr="005E1103">
        <w:rPr>
          <w:rFonts w:cstheme="minorHAnsi"/>
          <w:sz w:val="28"/>
          <w:szCs w:val="28"/>
        </w:rPr>
        <w:t xml:space="preserve">En este contexto mencionado en el apartado anterior se puede concluir que la universidad necesita estimular la inclusión, pero no únicamente durante la etapa </w:t>
      </w:r>
      <w:r w:rsidR="003321BB" w:rsidRPr="005E1103">
        <w:rPr>
          <w:rFonts w:cstheme="minorHAnsi"/>
          <w:sz w:val="28"/>
          <w:szCs w:val="28"/>
        </w:rPr>
        <w:t>universitaria,</w:t>
      </w:r>
      <w:r w:rsidRPr="005E1103">
        <w:rPr>
          <w:rFonts w:cstheme="minorHAnsi"/>
          <w:sz w:val="28"/>
          <w:szCs w:val="28"/>
        </w:rPr>
        <w:t xml:space="preserve"> sino que es necesario una precoz educación y concienciación de la educación inclusiva entre los jóvenes pre-universitarios. No debe obviarse que el papel de la universidad no es sólo un papel </w:t>
      </w:r>
      <w:r w:rsidR="003321BB" w:rsidRPr="005E1103">
        <w:rPr>
          <w:rFonts w:cstheme="minorHAnsi"/>
          <w:sz w:val="28"/>
          <w:szCs w:val="28"/>
        </w:rPr>
        <w:t>académico,</w:t>
      </w:r>
      <w:r w:rsidRPr="005E1103">
        <w:rPr>
          <w:rFonts w:cstheme="minorHAnsi"/>
          <w:sz w:val="28"/>
          <w:szCs w:val="28"/>
        </w:rPr>
        <w:t xml:space="preserve"> sino que es una de las principales instituciones que deben generar y fomentar el progreso y desarrollo humano y social.   La </w:t>
      </w:r>
      <w:r w:rsidRPr="005E1103">
        <w:rPr>
          <w:rFonts w:cstheme="minorHAnsi"/>
          <w:bCs/>
          <w:sz w:val="28"/>
          <w:szCs w:val="28"/>
        </w:rPr>
        <w:t>Organización para la Cooperación y Desarrollo Económicos (OCDE) (2011) a</w:t>
      </w:r>
      <w:r w:rsidRPr="005E1103">
        <w:rPr>
          <w:rFonts w:cstheme="minorHAnsi"/>
          <w:sz w:val="28"/>
          <w:szCs w:val="28"/>
        </w:rPr>
        <w:t>firma que existe una relación positiva entre el nivel de educación de la sociedad en general y aspectos como la salud, la calidad de vida o la felicidad de los integrantes de un país</w:t>
      </w:r>
      <w:r w:rsidRPr="005E1103" w:rsidDel="004A355A">
        <w:rPr>
          <w:rFonts w:cstheme="minorHAnsi"/>
          <w:sz w:val="28"/>
          <w:szCs w:val="28"/>
        </w:rPr>
        <w:t xml:space="preserve"> </w:t>
      </w:r>
      <w:r w:rsidRPr="005E1103">
        <w:rPr>
          <w:rFonts w:cstheme="minorHAnsi"/>
          <w:sz w:val="28"/>
          <w:szCs w:val="28"/>
        </w:rPr>
        <w:t>donde la universidad facilita el progreso y evolución social. Dentro de la dimensión de la responsabilidad social de la universidad (Luque, Del Barrio y Aguayo, 2009) se enmarca la igual de oportunidades y el tema de la inclusión.</w:t>
      </w:r>
    </w:p>
    <w:p w:rsidR="007B19F2" w:rsidRPr="005E1103" w:rsidRDefault="007B19F2" w:rsidP="007B19F2">
      <w:pPr>
        <w:jc w:val="both"/>
        <w:rPr>
          <w:rFonts w:cstheme="minorHAnsi"/>
          <w:sz w:val="28"/>
          <w:szCs w:val="28"/>
        </w:rPr>
      </w:pPr>
    </w:p>
    <w:p w:rsidR="007B19F2" w:rsidRPr="005E1103" w:rsidRDefault="007B19F2" w:rsidP="007B19F2">
      <w:pPr>
        <w:jc w:val="both"/>
        <w:rPr>
          <w:rFonts w:cstheme="minorHAnsi"/>
          <w:sz w:val="28"/>
          <w:szCs w:val="28"/>
        </w:rPr>
      </w:pPr>
      <w:r w:rsidRPr="005E1103">
        <w:rPr>
          <w:rFonts w:cstheme="minorHAnsi"/>
          <w:sz w:val="28"/>
          <w:szCs w:val="28"/>
        </w:rPr>
        <w:t xml:space="preserve">Con el objetivo de mejorar la inclusión y el acceso y éxito universitario de los estudiantes con discapacidad, la Universidad de Granada a través de su Campus de Excelencia Internacional (CEI BioTic) llevan realizando desde el 2013 los denominados “Campus Inclusivos. Campus sin límites”. Una iniciativa financiada por </w:t>
      </w:r>
      <w:r w:rsidRPr="005E1103">
        <w:rPr>
          <w:rFonts w:cstheme="minorHAnsi"/>
          <w:sz w:val="28"/>
          <w:szCs w:val="28"/>
          <w:lang w:val="es"/>
        </w:rPr>
        <w:t>por el Ministerio de Educación, Cultura y Deporte, Fundación REPSOL y Fundación ONCE. Y que en nuestra Universidad se enmarca dentro de las acciones</w:t>
      </w:r>
      <w:r w:rsidRPr="005E1103">
        <w:rPr>
          <w:rFonts w:cstheme="minorHAnsi"/>
          <w:sz w:val="28"/>
          <w:szCs w:val="28"/>
        </w:rPr>
        <w:t xml:space="preserve"> del proyecto CEI BioTic que persigue precisamente mejorar la accesibilidad, la inclusión y adaptar la educación al Espacio Europeo de la Educación Superior (EEES) donde mejorar las posibilidades de personas con discapacidad resulta prioritario. Dentro de este proyecto CEI se ha impulsado la movilidad internacional y la realización de prácticas de personas con discapacidad con ayudas especiales entre otras acciones.</w:t>
      </w:r>
    </w:p>
    <w:p w:rsidR="007B19F2" w:rsidRPr="005E1103" w:rsidRDefault="007B19F2" w:rsidP="007B19F2">
      <w:pPr>
        <w:jc w:val="both"/>
        <w:rPr>
          <w:rFonts w:cstheme="minorHAnsi"/>
          <w:sz w:val="28"/>
          <w:szCs w:val="28"/>
        </w:rPr>
      </w:pPr>
    </w:p>
    <w:p w:rsidR="003321BB" w:rsidRDefault="003321BB">
      <w:pPr>
        <w:rPr>
          <w:rFonts w:cstheme="minorHAnsi"/>
          <w:sz w:val="28"/>
          <w:szCs w:val="28"/>
        </w:rPr>
      </w:pPr>
      <w:r>
        <w:rPr>
          <w:rFonts w:cstheme="minorHAnsi"/>
          <w:sz w:val="28"/>
          <w:szCs w:val="28"/>
        </w:rPr>
        <w:lastRenderedPageBreak/>
        <w:br w:type="page"/>
      </w:r>
    </w:p>
    <w:p w:rsidR="007B19F2" w:rsidRPr="005E1103" w:rsidRDefault="007B19F2" w:rsidP="007B19F2">
      <w:pPr>
        <w:jc w:val="both"/>
        <w:rPr>
          <w:rFonts w:cstheme="minorHAnsi"/>
          <w:sz w:val="28"/>
          <w:szCs w:val="28"/>
        </w:rPr>
      </w:pPr>
      <w:r w:rsidRPr="005E1103">
        <w:rPr>
          <w:rFonts w:cstheme="minorHAnsi"/>
          <w:sz w:val="28"/>
          <w:szCs w:val="28"/>
        </w:rPr>
        <w:lastRenderedPageBreak/>
        <w:t>De forma específica estos Campus Inclusivos tenían como principales objetivos los siguientes:</w:t>
      </w:r>
    </w:p>
    <w:p w:rsidR="007B19F2" w:rsidRPr="005E1103" w:rsidRDefault="007B19F2" w:rsidP="007B19F2">
      <w:pPr>
        <w:jc w:val="both"/>
        <w:rPr>
          <w:rFonts w:cstheme="minorHAnsi"/>
          <w:sz w:val="28"/>
          <w:szCs w:val="28"/>
          <w:lang w:val="es"/>
        </w:rPr>
      </w:pPr>
    </w:p>
    <w:p w:rsidR="007B19F2" w:rsidRPr="005E1103" w:rsidRDefault="007B19F2" w:rsidP="007B19F2">
      <w:pPr>
        <w:numPr>
          <w:ilvl w:val="0"/>
          <w:numId w:val="13"/>
        </w:numPr>
        <w:tabs>
          <w:tab w:val="clear" w:pos="1080"/>
        </w:tabs>
        <w:spacing w:after="0" w:line="240" w:lineRule="auto"/>
        <w:ind w:left="540"/>
        <w:jc w:val="both"/>
        <w:rPr>
          <w:rFonts w:cstheme="minorHAnsi"/>
          <w:sz w:val="28"/>
          <w:szCs w:val="28"/>
          <w:lang w:val="es"/>
        </w:rPr>
      </w:pPr>
      <w:r w:rsidRPr="005E1103">
        <w:rPr>
          <w:rFonts w:cstheme="minorHAnsi"/>
          <w:sz w:val="28"/>
          <w:szCs w:val="28"/>
          <w:lang w:val="es"/>
        </w:rPr>
        <w:t>Fomentar que estudiantes con discapacidad no abandonen los estudios al término de la ESO, continuando su formación en el ámbito universitario.</w:t>
      </w:r>
    </w:p>
    <w:p w:rsidR="007B19F2" w:rsidRPr="005E1103" w:rsidRDefault="007B19F2" w:rsidP="007B19F2">
      <w:pPr>
        <w:numPr>
          <w:ilvl w:val="0"/>
          <w:numId w:val="13"/>
        </w:numPr>
        <w:tabs>
          <w:tab w:val="clear" w:pos="1080"/>
        </w:tabs>
        <w:spacing w:after="0" w:line="240" w:lineRule="auto"/>
        <w:ind w:left="540"/>
        <w:jc w:val="both"/>
        <w:rPr>
          <w:rFonts w:cstheme="minorHAnsi"/>
          <w:sz w:val="28"/>
          <w:szCs w:val="28"/>
          <w:lang w:val="es"/>
        </w:rPr>
      </w:pPr>
      <w:r w:rsidRPr="005E1103">
        <w:rPr>
          <w:rFonts w:cstheme="minorHAnsi"/>
          <w:sz w:val="28"/>
          <w:szCs w:val="28"/>
          <w:lang w:val="es"/>
        </w:rPr>
        <w:t>Sensibilizar el entorno universitario acerca de las necesidades de los estudiantes con discapacidad, de manera que la experiencia del desarrollo del programa “Campus inclusivos, Campus sin límites” sirva para promover en el entorno universitario la adecuación de sus sistemas, método y materiales educativos a dichos estudiantes con discapacidad, facilitando así el desarrollo de su talento, creatividad y la plena adquisición de competencias.</w:t>
      </w:r>
    </w:p>
    <w:p w:rsidR="007B19F2" w:rsidRPr="005E1103" w:rsidRDefault="007B19F2" w:rsidP="007B19F2">
      <w:pPr>
        <w:numPr>
          <w:ilvl w:val="0"/>
          <w:numId w:val="13"/>
        </w:numPr>
        <w:tabs>
          <w:tab w:val="clear" w:pos="1080"/>
        </w:tabs>
        <w:spacing w:after="0" w:line="240" w:lineRule="auto"/>
        <w:ind w:left="540"/>
        <w:jc w:val="both"/>
        <w:rPr>
          <w:rFonts w:cstheme="minorHAnsi"/>
          <w:sz w:val="28"/>
          <w:szCs w:val="28"/>
          <w:lang w:val="es"/>
        </w:rPr>
      </w:pPr>
      <w:r w:rsidRPr="005E1103">
        <w:rPr>
          <w:rFonts w:cstheme="minorHAnsi"/>
          <w:sz w:val="28"/>
          <w:szCs w:val="28"/>
          <w:lang w:val="es"/>
        </w:rPr>
        <w:t>Propiciar el conocimiento mutuo de las realidades de los jóvenes con y sin discapacidad, en un entorno realmente inclusivo.</w:t>
      </w:r>
    </w:p>
    <w:p w:rsidR="007B19F2" w:rsidRPr="005E1103" w:rsidRDefault="007B19F2" w:rsidP="007B19F2">
      <w:pPr>
        <w:numPr>
          <w:ilvl w:val="0"/>
          <w:numId w:val="13"/>
        </w:numPr>
        <w:tabs>
          <w:tab w:val="clear" w:pos="1080"/>
        </w:tabs>
        <w:spacing w:after="0" w:line="240" w:lineRule="auto"/>
        <w:ind w:left="540"/>
        <w:jc w:val="both"/>
        <w:rPr>
          <w:rFonts w:cstheme="minorHAnsi"/>
          <w:sz w:val="28"/>
          <w:szCs w:val="28"/>
          <w:lang w:val="es"/>
        </w:rPr>
      </w:pPr>
      <w:r w:rsidRPr="005E1103">
        <w:rPr>
          <w:rFonts w:cstheme="minorHAnsi"/>
          <w:sz w:val="28"/>
          <w:szCs w:val="28"/>
        </w:rPr>
        <w:t>Difundir la idea de que la finalización de estudios universitarios facilita el acceso a puestos de trabajo de mejor calidad, que a su vez aseguran un mayor grado de autonomía e independencia en la edad adulta.</w:t>
      </w:r>
    </w:p>
    <w:p w:rsidR="007B19F2" w:rsidRPr="005E1103" w:rsidRDefault="007B19F2" w:rsidP="007B19F2">
      <w:pPr>
        <w:numPr>
          <w:ilvl w:val="0"/>
          <w:numId w:val="13"/>
        </w:numPr>
        <w:tabs>
          <w:tab w:val="clear" w:pos="1080"/>
        </w:tabs>
        <w:spacing w:after="0" w:line="240" w:lineRule="auto"/>
        <w:ind w:left="540"/>
        <w:jc w:val="both"/>
        <w:rPr>
          <w:rFonts w:cstheme="minorHAnsi"/>
          <w:sz w:val="28"/>
          <w:szCs w:val="28"/>
        </w:rPr>
      </w:pPr>
      <w:r w:rsidRPr="005E1103">
        <w:rPr>
          <w:rFonts w:cstheme="minorHAnsi"/>
          <w:sz w:val="28"/>
          <w:szCs w:val="28"/>
        </w:rPr>
        <w:t>Concienciar a la sociedad, a través de la comunidad educativa, de la importancia del derecho a la educación superior en igualdad de condiciones para las personas con discapacidad, en aras del desarrollo de nuestra sociedad.</w:t>
      </w:r>
    </w:p>
    <w:p w:rsidR="007B19F2" w:rsidRPr="005E1103" w:rsidRDefault="007B19F2" w:rsidP="007B19F2">
      <w:pPr>
        <w:numPr>
          <w:ilvl w:val="0"/>
          <w:numId w:val="13"/>
        </w:numPr>
        <w:tabs>
          <w:tab w:val="clear" w:pos="1080"/>
        </w:tabs>
        <w:spacing w:after="0" w:line="240" w:lineRule="auto"/>
        <w:ind w:left="540"/>
        <w:jc w:val="both"/>
        <w:rPr>
          <w:rFonts w:cstheme="minorHAnsi"/>
          <w:sz w:val="28"/>
          <w:szCs w:val="28"/>
        </w:rPr>
      </w:pPr>
      <w:r w:rsidRPr="005E1103">
        <w:rPr>
          <w:rFonts w:cstheme="minorHAnsi"/>
          <w:sz w:val="28"/>
          <w:szCs w:val="28"/>
        </w:rPr>
        <w:t>Lograr una experiencia inclusiva real que se extrapole a sus vidas cotidianas y establecer lazos de amistad entre nuestros participantes que sirvan de apoyo y referente.</w:t>
      </w:r>
    </w:p>
    <w:p w:rsidR="007B19F2" w:rsidRPr="005E1103" w:rsidRDefault="007B19F2" w:rsidP="007B19F2">
      <w:pPr>
        <w:jc w:val="both"/>
        <w:rPr>
          <w:rFonts w:cstheme="minorHAnsi"/>
          <w:sz w:val="28"/>
          <w:szCs w:val="28"/>
        </w:rPr>
      </w:pPr>
    </w:p>
    <w:p w:rsidR="007B19F2" w:rsidRPr="005E1103" w:rsidRDefault="007B19F2" w:rsidP="007B19F2">
      <w:pPr>
        <w:jc w:val="both"/>
        <w:rPr>
          <w:rFonts w:cstheme="minorHAnsi"/>
          <w:sz w:val="28"/>
          <w:szCs w:val="28"/>
          <w:lang w:val="es"/>
        </w:rPr>
      </w:pPr>
      <w:r w:rsidRPr="005E1103">
        <w:rPr>
          <w:rFonts w:cstheme="minorHAnsi"/>
          <w:sz w:val="28"/>
          <w:szCs w:val="28"/>
        </w:rPr>
        <w:t xml:space="preserve">La tercera edición de estos Campus Inclusivos se llevó a cabo del 19 al 27 de julio de 2015 donde participaron </w:t>
      </w:r>
      <w:r w:rsidRPr="005E1103">
        <w:rPr>
          <w:rFonts w:cstheme="minorHAnsi"/>
          <w:sz w:val="28"/>
          <w:szCs w:val="28"/>
          <w:lang w:val="es"/>
        </w:rPr>
        <w:t>20 estudiantes de 4º ESO y Bachillerato, 13 de ellos con distintas discapacidades (discapacidad auditiva, discapacidad visual, discapacidad física y discapacidad psicosocial).</w:t>
      </w:r>
    </w:p>
    <w:p w:rsidR="007B19F2" w:rsidRPr="005E1103" w:rsidRDefault="007B19F2" w:rsidP="007B19F2">
      <w:pPr>
        <w:jc w:val="both"/>
        <w:rPr>
          <w:rFonts w:cstheme="minorHAnsi"/>
          <w:sz w:val="28"/>
          <w:szCs w:val="28"/>
          <w:lang w:val="es"/>
        </w:rPr>
      </w:pPr>
    </w:p>
    <w:p w:rsidR="007B19F2" w:rsidRPr="005E1103" w:rsidRDefault="007B19F2" w:rsidP="007B19F2">
      <w:pPr>
        <w:jc w:val="both"/>
        <w:rPr>
          <w:rFonts w:cstheme="minorHAnsi"/>
          <w:sz w:val="28"/>
          <w:szCs w:val="28"/>
          <w:lang w:val="es"/>
        </w:rPr>
      </w:pPr>
      <w:r w:rsidRPr="005E1103">
        <w:rPr>
          <w:rFonts w:cstheme="minorHAnsi"/>
          <w:sz w:val="28"/>
          <w:szCs w:val="28"/>
          <w:lang w:val="es"/>
        </w:rPr>
        <w:t xml:space="preserve">A lo largo de los 9 días que duraba el Campus Inclusivo los estudiantes realizaron distintas actividades académicas y de ocio, con el objetivo de fomentar la inclusión entre estudiantes con y sin </w:t>
      </w:r>
      <w:r w:rsidR="00EE68E8" w:rsidRPr="005E1103">
        <w:rPr>
          <w:rFonts w:cstheme="minorHAnsi"/>
          <w:sz w:val="28"/>
          <w:szCs w:val="28"/>
          <w:lang w:val="es"/>
        </w:rPr>
        <w:t>discapacidad,</w:t>
      </w:r>
      <w:r w:rsidRPr="005E1103">
        <w:rPr>
          <w:rFonts w:cstheme="minorHAnsi"/>
          <w:sz w:val="28"/>
          <w:szCs w:val="28"/>
          <w:lang w:val="es"/>
        </w:rPr>
        <w:t xml:space="preserve"> así como acercarles al ámbito universitario de un modo atractivo y divulgativo con la visita de distintos centros, charlas sobre los grados, información acerca de las ayudas en la Universidad, actividades que fomentasen la inclusión y la normalización entre los compañeros. </w:t>
      </w:r>
    </w:p>
    <w:p w:rsidR="007B19F2" w:rsidRPr="005E1103" w:rsidRDefault="007B19F2" w:rsidP="007B19F2">
      <w:pPr>
        <w:jc w:val="both"/>
        <w:rPr>
          <w:rFonts w:cstheme="minorHAnsi"/>
          <w:sz w:val="28"/>
          <w:szCs w:val="28"/>
          <w:lang w:val="es"/>
        </w:rPr>
      </w:pPr>
    </w:p>
    <w:p w:rsidR="007B19F2" w:rsidRPr="005E1103" w:rsidRDefault="007B19F2" w:rsidP="007B19F2">
      <w:pPr>
        <w:jc w:val="both"/>
        <w:rPr>
          <w:rFonts w:cstheme="minorHAnsi"/>
          <w:sz w:val="28"/>
          <w:szCs w:val="28"/>
          <w:lang w:val="es"/>
        </w:rPr>
      </w:pPr>
      <w:r w:rsidRPr="005E1103">
        <w:rPr>
          <w:rFonts w:cstheme="minorHAnsi"/>
          <w:sz w:val="28"/>
          <w:szCs w:val="28"/>
          <w:lang w:val="es"/>
        </w:rPr>
        <w:lastRenderedPageBreak/>
        <w:t>Entre tales actividades se pueden destacar: charlas sobre la experiencia de estudiantes con discapacidad que actualmente cursan sus estudios en la universidad, sesiones de atracción a las distintas carreras que oferta la universidad, visitas culturales y de ocio que fomentasen la inclusión (visita a la Alhambra, Museos, etc.), sesiones que fomentasen también la inclusión deportiva (actividades en Sierra Nevada, Club Náutico, etc.) o talleres de orientación educativa y laboral (por ejemplo, de emprendimiento).</w:t>
      </w:r>
    </w:p>
    <w:p w:rsidR="007B19F2" w:rsidRPr="005E1103" w:rsidRDefault="007B19F2" w:rsidP="007B19F2">
      <w:pPr>
        <w:jc w:val="both"/>
        <w:rPr>
          <w:rFonts w:cstheme="minorHAnsi"/>
          <w:sz w:val="28"/>
          <w:szCs w:val="28"/>
          <w:lang w:val="es"/>
        </w:rPr>
      </w:pPr>
    </w:p>
    <w:p w:rsidR="007B19F2" w:rsidRPr="005E1103" w:rsidRDefault="007B19F2" w:rsidP="007B19F2">
      <w:pPr>
        <w:ind w:left="360"/>
        <w:jc w:val="both"/>
        <w:rPr>
          <w:rFonts w:cstheme="minorHAnsi"/>
          <w:b/>
          <w:sz w:val="28"/>
          <w:szCs w:val="28"/>
        </w:rPr>
      </w:pPr>
      <w:r w:rsidRPr="005E1103">
        <w:rPr>
          <w:rFonts w:cstheme="minorHAnsi"/>
          <w:b/>
          <w:sz w:val="28"/>
          <w:szCs w:val="28"/>
        </w:rPr>
        <w:t>3. Objetivos</w:t>
      </w:r>
    </w:p>
    <w:p w:rsidR="007B19F2" w:rsidRPr="005E1103" w:rsidRDefault="007B19F2" w:rsidP="007B19F2">
      <w:pPr>
        <w:jc w:val="both"/>
        <w:rPr>
          <w:rFonts w:cstheme="minorHAnsi"/>
          <w:b/>
          <w:sz w:val="28"/>
          <w:szCs w:val="28"/>
        </w:rPr>
      </w:pPr>
    </w:p>
    <w:p w:rsidR="007B19F2" w:rsidRPr="005E1103" w:rsidRDefault="007B19F2" w:rsidP="007B19F2">
      <w:pPr>
        <w:jc w:val="both"/>
        <w:rPr>
          <w:rFonts w:cstheme="minorHAnsi"/>
          <w:sz w:val="28"/>
          <w:szCs w:val="28"/>
        </w:rPr>
      </w:pPr>
      <w:r w:rsidRPr="005E1103">
        <w:rPr>
          <w:rFonts w:cstheme="minorHAnsi"/>
          <w:sz w:val="28"/>
          <w:szCs w:val="28"/>
        </w:rPr>
        <w:t>En el presente trabajo se pretenden analizar la práctica del Campus Inclusivo de la Universidad de Granada (CEI BioTic) para comprender si se puede establecer como un ejemplo de buenas prácticas. De forma específica se pretende conocer distintos aspectos detectados en la literatura revisada:</w:t>
      </w:r>
    </w:p>
    <w:p w:rsidR="007B19F2" w:rsidRPr="005E1103" w:rsidRDefault="007B19F2" w:rsidP="007B19F2">
      <w:pPr>
        <w:jc w:val="both"/>
        <w:rPr>
          <w:rFonts w:cstheme="minorHAnsi"/>
          <w:sz w:val="28"/>
          <w:szCs w:val="28"/>
        </w:rPr>
      </w:pPr>
    </w:p>
    <w:p w:rsidR="007B19F2" w:rsidRPr="005E1103" w:rsidRDefault="007B19F2" w:rsidP="007B19F2">
      <w:pPr>
        <w:numPr>
          <w:ilvl w:val="0"/>
          <w:numId w:val="14"/>
        </w:numPr>
        <w:spacing w:after="0" w:line="240" w:lineRule="auto"/>
        <w:jc w:val="both"/>
        <w:rPr>
          <w:rFonts w:cstheme="minorHAnsi"/>
          <w:sz w:val="28"/>
          <w:szCs w:val="28"/>
        </w:rPr>
      </w:pPr>
      <w:r w:rsidRPr="005E1103">
        <w:rPr>
          <w:rFonts w:cstheme="minorHAnsi"/>
          <w:sz w:val="28"/>
          <w:szCs w:val="28"/>
        </w:rPr>
        <w:t>Evaluar si se ha logrado fomentar la inclusión entre estudiantes con y sin discapacidad,</w:t>
      </w:r>
    </w:p>
    <w:p w:rsidR="007B19F2" w:rsidRPr="005E1103" w:rsidRDefault="007B19F2" w:rsidP="007B19F2">
      <w:pPr>
        <w:numPr>
          <w:ilvl w:val="0"/>
          <w:numId w:val="14"/>
        </w:numPr>
        <w:spacing w:after="0" w:line="240" w:lineRule="auto"/>
        <w:jc w:val="both"/>
        <w:rPr>
          <w:rFonts w:cstheme="minorHAnsi"/>
          <w:sz w:val="28"/>
          <w:szCs w:val="28"/>
        </w:rPr>
      </w:pPr>
      <w:r w:rsidRPr="005E1103">
        <w:rPr>
          <w:rFonts w:cstheme="minorHAnsi"/>
          <w:sz w:val="28"/>
          <w:szCs w:val="28"/>
        </w:rPr>
        <w:t>Conocer si se ha estimulado el acceso a la Universidad de los estudiantes pre-universitarios con discapacidad de forma exploratoria.</w:t>
      </w:r>
    </w:p>
    <w:p w:rsidR="007B19F2" w:rsidRPr="005E1103" w:rsidRDefault="007B19F2" w:rsidP="007B19F2">
      <w:pPr>
        <w:numPr>
          <w:ilvl w:val="0"/>
          <w:numId w:val="14"/>
        </w:numPr>
        <w:spacing w:after="0" w:line="240" w:lineRule="auto"/>
        <w:jc w:val="both"/>
        <w:rPr>
          <w:rFonts w:cstheme="minorHAnsi"/>
          <w:sz w:val="28"/>
          <w:szCs w:val="28"/>
        </w:rPr>
      </w:pPr>
      <w:r w:rsidRPr="005E1103">
        <w:rPr>
          <w:rFonts w:cstheme="minorHAnsi"/>
          <w:sz w:val="28"/>
          <w:szCs w:val="28"/>
        </w:rPr>
        <w:t>Analizar los Campus Inclusivos como método de inclusión y como experiencia positiva.</w:t>
      </w:r>
    </w:p>
    <w:p w:rsidR="007B19F2" w:rsidRPr="005E1103" w:rsidRDefault="007B19F2" w:rsidP="007B19F2">
      <w:pPr>
        <w:jc w:val="both"/>
        <w:rPr>
          <w:rFonts w:cstheme="minorHAnsi"/>
          <w:sz w:val="28"/>
          <w:szCs w:val="28"/>
        </w:rPr>
      </w:pPr>
    </w:p>
    <w:p w:rsidR="007B19F2" w:rsidRPr="005E1103" w:rsidRDefault="00EE68E8" w:rsidP="007B19F2">
      <w:pPr>
        <w:jc w:val="both"/>
        <w:rPr>
          <w:rFonts w:cstheme="minorHAnsi"/>
          <w:sz w:val="28"/>
          <w:szCs w:val="28"/>
        </w:rPr>
      </w:pPr>
      <w:r w:rsidRPr="005E1103">
        <w:rPr>
          <w:rFonts w:cstheme="minorHAnsi"/>
          <w:sz w:val="28"/>
          <w:szCs w:val="28"/>
        </w:rPr>
        <w:t>Además,</w:t>
      </w:r>
      <w:r w:rsidR="007B19F2" w:rsidRPr="005E1103">
        <w:rPr>
          <w:rFonts w:cstheme="minorHAnsi"/>
          <w:sz w:val="28"/>
          <w:szCs w:val="28"/>
        </w:rPr>
        <w:t xml:space="preserve"> se persigue:</w:t>
      </w:r>
    </w:p>
    <w:p w:rsidR="007B19F2" w:rsidRPr="005E1103" w:rsidRDefault="007B19F2" w:rsidP="007B19F2">
      <w:pPr>
        <w:jc w:val="both"/>
        <w:rPr>
          <w:rFonts w:cstheme="minorHAnsi"/>
          <w:sz w:val="28"/>
          <w:szCs w:val="28"/>
        </w:rPr>
      </w:pPr>
    </w:p>
    <w:p w:rsidR="007B19F2" w:rsidRPr="005E1103" w:rsidRDefault="007B19F2" w:rsidP="007B19F2">
      <w:pPr>
        <w:numPr>
          <w:ilvl w:val="0"/>
          <w:numId w:val="14"/>
        </w:numPr>
        <w:spacing w:after="0" w:line="240" w:lineRule="auto"/>
        <w:jc w:val="both"/>
        <w:rPr>
          <w:rFonts w:cstheme="minorHAnsi"/>
          <w:sz w:val="28"/>
          <w:szCs w:val="28"/>
        </w:rPr>
      </w:pPr>
      <w:r w:rsidRPr="005E1103">
        <w:rPr>
          <w:rFonts w:cstheme="minorHAnsi"/>
          <w:sz w:val="28"/>
          <w:szCs w:val="28"/>
        </w:rPr>
        <w:t>Conocer la evaluación de los participantes en los Campus Inclusivos.</w:t>
      </w:r>
    </w:p>
    <w:p w:rsidR="007B19F2" w:rsidRPr="005E1103" w:rsidRDefault="007B19F2" w:rsidP="007B19F2">
      <w:pPr>
        <w:numPr>
          <w:ilvl w:val="0"/>
          <w:numId w:val="14"/>
        </w:numPr>
        <w:spacing w:after="0" w:line="240" w:lineRule="auto"/>
        <w:jc w:val="both"/>
        <w:rPr>
          <w:rFonts w:cstheme="minorHAnsi"/>
          <w:sz w:val="28"/>
          <w:szCs w:val="28"/>
        </w:rPr>
      </w:pPr>
      <w:r w:rsidRPr="005E1103">
        <w:rPr>
          <w:rFonts w:cstheme="minorHAnsi"/>
          <w:sz w:val="28"/>
          <w:szCs w:val="28"/>
        </w:rPr>
        <w:t>Averiguar la satisfacción de los estudiantes con las actividades realizadas.</w:t>
      </w:r>
    </w:p>
    <w:p w:rsidR="007B19F2" w:rsidRPr="005E1103" w:rsidRDefault="007B19F2" w:rsidP="007B19F2">
      <w:pPr>
        <w:numPr>
          <w:ilvl w:val="0"/>
          <w:numId w:val="14"/>
        </w:numPr>
        <w:spacing w:after="0" w:line="240" w:lineRule="auto"/>
        <w:jc w:val="both"/>
        <w:rPr>
          <w:rFonts w:cstheme="minorHAnsi"/>
          <w:sz w:val="28"/>
          <w:szCs w:val="28"/>
        </w:rPr>
      </w:pPr>
      <w:r w:rsidRPr="005E1103">
        <w:rPr>
          <w:rFonts w:cstheme="minorHAnsi"/>
          <w:sz w:val="28"/>
          <w:szCs w:val="28"/>
        </w:rPr>
        <w:t>Analizar si existen diferencias en la satisfacción según el criterio de la discapacidad.</w:t>
      </w:r>
      <w:r w:rsidRPr="005E1103">
        <w:rPr>
          <w:rFonts w:cstheme="minorHAnsi"/>
          <w:b/>
          <w:sz w:val="28"/>
          <w:szCs w:val="28"/>
        </w:rPr>
        <w:tab/>
      </w:r>
    </w:p>
    <w:p w:rsidR="007B19F2" w:rsidRPr="005E1103" w:rsidRDefault="007B19F2" w:rsidP="007B19F2">
      <w:pPr>
        <w:ind w:left="360"/>
        <w:jc w:val="both"/>
        <w:rPr>
          <w:rFonts w:cstheme="minorHAnsi"/>
          <w:b/>
          <w:sz w:val="28"/>
          <w:szCs w:val="28"/>
        </w:rPr>
      </w:pPr>
    </w:p>
    <w:p w:rsidR="00EE68E8" w:rsidRDefault="00EE68E8">
      <w:pPr>
        <w:rPr>
          <w:rFonts w:cstheme="minorHAnsi"/>
          <w:b/>
          <w:sz w:val="28"/>
          <w:szCs w:val="28"/>
        </w:rPr>
      </w:pPr>
      <w:r>
        <w:rPr>
          <w:rFonts w:cstheme="minorHAnsi"/>
          <w:b/>
          <w:sz w:val="28"/>
          <w:szCs w:val="28"/>
        </w:rPr>
        <w:br w:type="page"/>
      </w:r>
    </w:p>
    <w:p w:rsidR="007B19F2" w:rsidRPr="005E1103" w:rsidRDefault="007B19F2" w:rsidP="007B19F2">
      <w:pPr>
        <w:ind w:left="360"/>
        <w:jc w:val="both"/>
        <w:rPr>
          <w:rFonts w:cstheme="minorHAnsi"/>
          <w:b/>
          <w:sz w:val="28"/>
          <w:szCs w:val="28"/>
        </w:rPr>
      </w:pPr>
      <w:r w:rsidRPr="005E1103">
        <w:rPr>
          <w:rFonts w:cstheme="minorHAnsi"/>
          <w:b/>
          <w:sz w:val="28"/>
          <w:szCs w:val="28"/>
        </w:rPr>
        <w:lastRenderedPageBreak/>
        <w:t>4. Metodología</w:t>
      </w:r>
    </w:p>
    <w:p w:rsidR="007B19F2" w:rsidRPr="005E1103" w:rsidRDefault="007B19F2" w:rsidP="007B19F2">
      <w:pPr>
        <w:ind w:left="360"/>
        <w:jc w:val="both"/>
        <w:rPr>
          <w:rFonts w:cstheme="minorHAnsi"/>
          <w:b/>
          <w:sz w:val="28"/>
          <w:szCs w:val="28"/>
        </w:rPr>
      </w:pPr>
    </w:p>
    <w:p w:rsidR="007B19F2" w:rsidRPr="005E1103" w:rsidRDefault="007B19F2" w:rsidP="007B19F2">
      <w:pPr>
        <w:ind w:left="360"/>
        <w:jc w:val="both"/>
        <w:rPr>
          <w:rFonts w:cstheme="minorHAnsi"/>
          <w:b/>
          <w:sz w:val="28"/>
          <w:szCs w:val="28"/>
        </w:rPr>
      </w:pPr>
      <w:r w:rsidRPr="005E1103">
        <w:rPr>
          <w:rFonts w:cstheme="minorHAnsi"/>
          <w:b/>
          <w:sz w:val="28"/>
          <w:szCs w:val="28"/>
        </w:rPr>
        <w:t>4.1. Cuestionario</w:t>
      </w:r>
    </w:p>
    <w:p w:rsidR="007B19F2" w:rsidRPr="005E1103" w:rsidRDefault="007B19F2" w:rsidP="007B19F2">
      <w:pPr>
        <w:ind w:left="360"/>
        <w:jc w:val="both"/>
        <w:rPr>
          <w:rFonts w:cstheme="minorHAnsi"/>
          <w:b/>
          <w:sz w:val="28"/>
          <w:szCs w:val="28"/>
        </w:rPr>
      </w:pPr>
    </w:p>
    <w:p w:rsidR="007B19F2" w:rsidRPr="005E1103" w:rsidRDefault="007B19F2" w:rsidP="007B19F2">
      <w:pPr>
        <w:jc w:val="both"/>
        <w:rPr>
          <w:rFonts w:cstheme="minorHAnsi"/>
          <w:sz w:val="28"/>
          <w:szCs w:val="28"/>
        </w:rPr>
      </w:pPr>
      <w:r w:rsidRPr="005E1103">
        <w:rPr>
          <w:rFonts w:cstheme="minorHAnsi"/>
          <w:sz w:val="28"/>
          <w:szCs w:val="28"/>
        </w:rPr>
        <w:t>Para evaluar los distintos objetivos y conocer la satisfacción de los estudiantes participantes se elaboró un cuestionario que fue completado por los estudiantes (y los asistentes) el último día del Campus. El cuestionario constaba de los siguientes apartados con el fin de lograr una visión más completa y posible de los distintos aspectos que participan en su evaluación:</w:t>
      </w:r>
    </w:p>
    <w:p w:rsidR="007B19F2" w:rsidRPr="005E1103" w:rsidRDefault="007B19F2" w:rsidP="007B19F2">
      <w:pPr>
        <w:jc w:val="both"/>
        <w:rPr>
          <w:rFonts w:cstheme="minorHAnsi"/>
          <w:sz w:val="28"/>
          <w:szCs w:val="28"/>
        </w:rPr>
      </w:pPr>
    </w:p>
    <w:p w:rsidR="007B19F2" w:rsidRPr="005E1103" w:rsidRDefault="007B19F2" w:rsidP="007B19F2">
      <w:pPr>
        <w:jc w:val="both"/>
        <w:rPr>
          <w:rFonts w:cstheme="minorHAnsi"/>
          <w:sz w:val="28"/>
          <w:szCs w:val="28"/>
        </w:rPr>
      </w:pPr>
      <w:r w:rsidRPr="005E1103">
        <w:rPr>
          <w:rFonts w:cstheme="minorHAnsi"/>
          <w:b/>
          <w:sz w:val="28"/>
          <w:szCs w:val="28"/>
        </w:rPr>
        <w:t>1º</w:t>
      </w:r>
      <w:r w:rsidRPr="005E1103">
        <w:rPr>
          <w:rFonts w:cstheme="minorHAnsi"/>
          <w:sz w:val="28"/>
          <w:szCs w:val="28"/>
        </w:rPr>
        <w:t xml:space="preserve"> Elección del Campus Inclusivo de la Universidad de Granada: fuente de información, motivos de elección.</w:t>
      </w:r>
    </w:p>
    <w:p w:rsidR="007B19F2" w:rsidRPr="005E1103" w:rsidRDefault="007B19F2" w:rsidP="007B19F2">
      <w:pPr>
        <w:jc w:val="both"/>
        <w:rPr>
          <w:rFonts w:cstheme="minorHAnsi"/>
          <w:sz w:val="28"/>
          <w:szCs w:val="28"/>
        </w:rPr>
      </w:pPr>
    </w:p>
    <w:p w:rsidR="007B19F2" w:rsidRPr="005E1103" w:rsidRDefault="007B19F2" w:rsidP="007B19F2">
      <w:pPr>
        <w:jc w:val="both"/>
        <w:rPr>
          <w:rFonts w:cstheme="minorHAnsi"/>
          <w:sz w:val="28"/>
          <w:szCs w:val="28"/>
        </w:rPr>
      </w:pPr>
      <w:r w:rsidRPr="005E1103">
        <w:rPr>
          <w:rFonts w:cstheme="minorHAnsi"/>
          <w:b/>
          <w:sz w:val="28"/>
          <w:szCs w:val="28"/>
        </w:rPr>
        <w:t>2º</w:t>
      </w:r>
      <w:r w:rsidRPr="005E1103">
        <w:rPr>
          <w:rFonts w:cstheme="minorHAnsi"/>
          <w:sz w:val="28"/>
          <w:szCs w:val="28"/>
        </w:rPr>
        <w:t xml:space="preserve"> Valoración de las actividades realizadas: satisfacción y opinión de todas actividades académica, formativas y de ocio que realizaron los participantes. Las preguntas eran formuladas en escala tipo Likert de 1 a 5 puntos en este apartado y los tres siguientes.</w:t>
      </w:r>
    </w:p>
    <w:p w:rsidR="007B19F2" w:rsidRPr="005E1103" w:rsidRDefault="007B19F2" w:rsidP="007B19F2">
      <w:pPr>
        <w:jc w:val="both"/>
        <w:rPr>
          <w:rFonts w:cstheme="minorHAnsi"/>
          <w:sz w:val="28"/>
          <w:szCs w:val="28"/>
        </w:rPr>
      </w:pPr>
    </w:p>
    <w:p w:rsidR="007B19F2" w:rsidRPr="005E1103" w:rsidRDefault="007B19F2" w:rsidP="007B19F2">
      <w:pPr>
        <w:jc w:val="both"/>
        <w:rPr>
          <w:rFonts w:cstheme="minorHAnsi"/>
          <w:sz w:val="28"/>
          <w:szCs w:val="28"/>
        </w:rPr>
      </w:pPr>
      <w:r w:rsidRPr="005E1103">
        <w:rPr>
          <w:rFonts w:cstheme="minorHAnsi"/>
          <w:b/>
          <w:sz w:val="28"/>
          <w:szCs w:val="28"/>
        </w:rPr>
        <w:t xml:space="preserve">3º </w:t>
      </w:r>
      <w:r w:rsidRPr="005E1103">
        <w:rPr>
          <w:rFonts w:cstheme="minorHAnsi"/>
          <w:sz w:val="28"/>
          <w:szCs w:val="28"/>
        </w:rPr>
        <w:t>Valoración de la organización del Campus: monitores, intérpretes de lenguas de signos, coordinación, alojamiento, desplazamiento, comidas, horario, etc.</w:t>
      </w:r>
    </w:p>
    <w:p w:rsidR="007B19F2" w:rsidRPr="005E1103" w:rsidRDefault="007B19F2" w:rsidP="007B19F2">
      <w:pPr>
        <w:jc w:val="both"/>
        <w:rPr>
          <w:rFonts w:cstheme="minorHAnsi"/>
          <w:sz w:val="28"/>
          <w:szCs w:val="28"/>
        </w:rPr>
      </w:pPr>
    </w:p>
    <w:p w:rsidR="007B19F2" w:rsidRPr="005E1103" w:rsidRDefault="007B19F2" w:rsidP="007B19F2">
      <w:pPr>
        <w:jc w:val="both"/>
        <w:rPr>
          <w:rFonts w:cstheme="minorHAnsi"/>
          <w:sz w:val="28"/>
          <w:szCs w:val="28"/>
        </w:rPr>
      </w:pPr>
      <w:r w:rsidRPr="005E1103">
        <w:rPr>
          <w:rFonts w:cstheme="minorHAnsi"/>
          <w:b/>
          <w:sz w:val="28"/>
          <w:szCs w:val="28"/>
        </w:rPr>
        <w:t>4º</w:t>
      </w:r>
      <w:r w:rsidRPr="005E1103">
        <w:rPr>
          <w:rFonts w:cstheme="minorHAnsi"/>
          <w:sz w:val="28"/>
          <w:szCs w:val="28"/>
        </w:rPr>
        <w:t xml:space="preserve"> Utilidad de los Campus: evaluación de la inclusión, del impacto en la actitud en realizar una carrera universitaria, desarrollo personal y académico, etc.</w:t>
      </w:r>
    </w:p>
    <w:p w:rsidR="007B19F2" w:rsidRPr="005E1103" w:rsidRDefault="007B19F2" w:rsidP="007B19F2">
      <w:pPr>
        <w:jc w:val="both"/>
        <w:rPr>
          <w:rFonts w:cstheme="minorHAnsi"/>
          <w:sz w:val="28"/>
          <w:szCs w:val="28"/>
        </w:rPr>
      </w:pPr>
    </w:p>
    <w:p w:rsidR="007B19F2" w:rsidRPr="005E1103" w:rsidRDefault="007B19F2" w:rsidP="007B19F2">
      <w:pPr>
        <w:jc w:val="both"/>
        <w:rPr>
          <w:rFonts w:cstheme="minorHAnsi"/>
          <w:sz w:val="28"/>
          <w:szCs w:val="28"/>
        </w:rPr>
      </w:pPr>
      <w:r w:rsidRPr="005E1103">
        <w:rPr>
          <w:rFonts w:cstheme="minorHAnsi"/>
          <w:b/>
          <w:sz w:val="28"/>
          <w:szCs w:val="28"/>
        </w:rPr>
        <w:t>5º</w:t>
      </w:r>
      <w:r w:rsidRPr="005E1103">
        <w:rPr>
          <w:rFonts w:cstheme="minorHAnsi"/>
          <w:sz w:val="28"/>
          <w:szCs w:val="28"/>
        </w:rPr>
        <w:t xml:space="preserve"> Valoración general del Campus: satisfacción, intención de recomendar, cumplimiento de expectativas, etc.</w:t>
      </w:r>
    </w:p>
    <w:p w:rsidR="007B19F2" w:rsidRPr="005E1103" w:rsidRDefault="007B19F2" w:rsidP="007B19F2">
      <w:pPr>
        <w:jc w:val="both"/>
        <w:rPr>
          <w:rFonts w:cstheme="minorHAnsi"/>
          <w:sz w:val="28"/>
          <w:szCs w:val="28"/>
        </w:rPr>
      </w:pPr>
    </w:p>
    <w:p w:rsidR="007B19F2" w:rsidRPr="005E1103" w:rsidRDefault="00EE68E8" w:rsidP="007B19F2">
      <w:pPr>
        <w:jc w:val="both"/>
        <w:rPr>
          <w:rFonts w:cstheme="minorHAnsi"/>
          <w:sz w:val="28"/>
          <w:szCs w:val="28"/>
        </w:rPr>
      </w:pPr>
      <w:r w:rsidRPr="005E1103">
        <w:rPr>
          <w:rFonts w:cstheme="minorHAnsi"/>
          <w:sz w:val="28"/>
          <w:szCs w:val="28"/>
        </w:rPr>
        <w:t>Además,</w:t>
      </w:r>
      <w:r w:rsidR="007B19F2" w:rsidRPr="005E1103">
        <w:rPr>
          <w:rFonts w:cstheme="minorHAnsi"/>
          <w:sz w:val="28"/>
          <w:szCs w:val="28"/>
        </w:rPr>
        <w:t xml:space="preserve"> también se preguntaron preguntas abiertas (de tipo cualitativo) con el fin de conocer en mayor profundidad la opinión y sugerencias de mejora.</w:t>
      </w:r>
    </w:p>
    <w:p w:rsidR="007B19F2" w:rsidRPr="005E1103" w:rsidRDefault="007B19F2" w:rsidP="007B19F2">
      <w:pPr>
        <w:jc w:val="both"/>
        <w:rPr>
          <w:rFonts w:cstheme="minorHAnsi"/>
          <w:sz w:val="28"/>
          <w:szCs w:val="28"/>
        </w:rPr>
      </w:pPr>
    </w:p>
    <w:p w:rsidR="00EE68E8" w:rsidRDefault="00EE68E8">
      <w:pPr>
        <w:rPr>
          <w:rFonts w:cstheme="minorHAnsi"/>
          <w:b/>
          <w:sz w:val="28"/>
          <w:szCs w:val="28"/>
        </w:rPr>
      </w:pPr>
      <w:r>
        <w:rPr>
          <w:rFonts w:cstheme="minorHAnsi"/>
          <w:b/>
          <w:sz w:val="28"/>
          <w:szCs w:val="28"/>
        </w:rPr>
        <w:br w:type="page"/>
      </w:r>
    </w:p>
    <w:p w:rsidR="007B19F2" w:rsidRPr="005E1103" w:rsidRDefault="007B19F2" w:rsidP="007B19F2">
      <w:pPr>
        <w:ind w:left="426"/>
        <w:jc w:val="both"/>
        <w:rPr>
          <w:rFonts w:cstheme="minorHAnsi"/>
          <w:b/>
          <w:sz w:val="28"/>
          <w:szCs w:val="28"/>
        </w:rPr>
      </w:pPr>
      <w:r w:rsidRPr="005E1103">
        <w:rPr>
          <w:rFonts w:cstheme="minorHAnsi"/>
          <w:b/>
          <w:sz w:val="28"/>
          <w:szCs w:val="28"/>
        </w:rPr>
        <w:lastRenderedPageBreak/>
        <w:t>4.2. Muestra</w:t>
      </w:r>
    </w:p>
    <w:p w:rsidR="007B19F2" w:rsidRPr="005E1103" w:rsidRDefault="007B19F2" w:rsidP="007B19F2">
      <w:pPr>
        <w:ind w:left="360"/>
        <w:jc w:val="both"/>
        <w:rPr>
          <w:rFonts w:cstheme="minorHAnsi"/>
          <w:b/>
          <w:sz w:val="28"/>
          <w:szCs w:val="28"/>
        </w:rPr>
      </w:pPr>
    </w:p>
    <w:p w:rsidR="007B19F2" w:rsidRPr="005E1103" w:rsidRDefault="007B19F2" w:rsidP="007B19F2">
      <w:pPr>
        <w:jc w:val="both"/>
        <w:rPr>
          <w:rFonts w:cstheme="minorHAnsi"/>
          <w:sz w:val="28"/>
          <w:szCs w:val="28"/>
        </w:rPr>
      </w:pPr>
      <w:r w:rsidRPr="005E1103">
        <w:rPr>
          <w:rFonts w:cstheme="minorHAnsi"/>
          <w:sz w:val="28"/>
          <w:szCs w:val="28"/>
        </w:rPr>
        <w:t xml:space="preserve">Durante los Campus Inclusivos del año 2015 participaron un total de 20 alumnos, 6 monitores, 2 asistentes y 3 intérpretes de lengua de signos. En algunos casos se compara con los alumnos del año 2014 que fueron un total de 21 alumnos. El objetivo es la evaluación de los alumnos por que se obtuvo un total de 20 respuestas (porcentaje de 100% entre </w:t>
      </w:r>
      <w:r w:rsidR="00EE68E8" w:rsidRPr="005E1103">
        <w:rPr>
          <w:rFonts w:cstheme="minorHAnsi"/>
          <w:sz w:val="28"/>
          <w:szCs w:val="28"/>
        </w:rPr>
        <w:t>los estudiantes</w:t>
      </w:r>
      <w:r w:rsidRPr="005E1103">
        <w:rPr>
          <w:rFonts w:cstheme="minorHAnsi"/>
          <w:sz w:val="28"/>
          <w:szCs w:val="28"/>
        </w:rPr>
        <w:t xml:space="preserve">). A </w:t>
      </w:r>
      <w:r w:rsidR="00EE68E8" w:rsidRPr="005E1103">
        <w:rPr>
          <w:rFonts w:cstheme="minorHAnsi"/>
          <w:sz w:val="28"/>
          <w:szCs w:val="28"/>
        </w:rPr>
        <w:t>continuación,</w:t>
      </w:r>
      <w:r w:rsidRPr="005E1103">
        <w:rPr>
          <w:rFonts w:cstheme="minorHAnsi"/>
          <w:sz w:val="28"/>
          <w:szCs w:val="28"/>
        </w:rPr>
        <w:t xml:space="preserve"> aparece el cuadro-resumen de las características de la muestra:</w:t>
      </w:r>
    </w:p>
    <w:p w:rsidR="007B19F2" w:rsidRPr="005E1103" w:rsidRDefault="007B19F2" w:rsidP="007B19F2">
      <w:pPr>
        <w:jc w:val="both"/>
        <w:rPr>
          <w:rFonts w:cstheme="minorHAnsi"/>
          <w:sz w:val="28"/>
          <w:szCs w:val="28"/>
        </w:rPr>
      </w:pPr>
    </w:p>
    <w:p w:rsidR="007B19F2" w:rsidRPr="005E1103" w:rsidRDefault="007B19F2" w:rsidP="007B19F2">
      <w:pPr>
        <w:jc w:val="both"/>
        <w:rPr>
          <w:rFonts w:cstheme="minorHAnsi"/>
          <w:sz w:val="28"/>
          <w:szCs w:val="28"/>
        </w:rPr>
      </w:pPr>
      <w:r w:rsidRPr="005E1103">
        <w:rPr>
          <w:rFonts w:cstheme="minorHAnsi"/>
          <w:sz w:val="28"/>
          <w:szCs w:val="28"/>
        </w:rPr>
        <w:t>Tabla 1: Características de la muestra</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85"/>
        <w:gridCol w:w="3827"/>
        <w:gridCol w:w="1175"/>
        <w:gridCol w:w="1441"/>
      </w:tblGrid>
      <w:tr w:rsidR="007B19F2" w:rsidRPr="005E1103" w:rsidTr="005B72C1">
        <w:trPr>
          <w:trHeight w:val="207"/>
        </w:trPr>
        <w:tc>
          <w:tcPr>
            <w:tcW w:w="1985" w:type="dxa"/>
            <w:vMerge w:val="restart"/>
            <w:shd w:val="clear" w:color="auto" w:fill="auto"/>
          </w:tcPr>
          <w:p w:rsidR="007B19F2" w:rsidRPr="005E1103" w:rsidRDefault="007B19F2" w:rsidP="005B72C1">
            <w:pPr>
              <w:spacing w:line="312" w:lineRule="auto"/>
              <w:ind w:right="-1"/>
              <w:jc w:val="center"/>
              <w:rPr>
                <w:rFonts w:eastAsia="Calibri" w:cstheme="minorHAnsi"/>
                <w:b/>
                <w:spacing w:val="-4"/>
                <w:sz w:val="28"/>
                <w:szCs w:val="28"/>
              </w:rPr>
            </w:pPr>
            <w:r w:rsidRPr="005E1103">
              <w:rPr>
                <w:rFonts w:eastAsia="Calibri" w:cstheme="minorHAnsi"/>
                <w:b/>
                <w:spacing w:val="-4"/>
                <w:sz w:val="28"/>
                <w:szCs w:val="28"/>
              </w:rPr>
              <w:t>Variable</w:t>
            </w:r>
          </w:p>
        </w:tc>
        <w:tc>
          <w:tcPr>
            <w:tcW w:w="3827" w:type="dxa"/>
            <w:vMerge w:val="restart"/>
            <w:shd w:val="clear" w:color="auto" w:fill="auto"/>
          </w:tcPr>
          <w:p w:rsidR="007B19F2" w:rsidRPr="005E1103" w:rsidRDefault="007B19F2" w:rsidP="005B72C1">
            <w:pPr>
              <w:spacing w:line="312" w:lineRule="auto"/>
              <w:ind w:right="-1"/>
              <w:jc w:val="center"/>
              <w:rPr>
                <w:rFonts w:eastAsia="Calibri" w:cstheme="minorHAnsi"/>
                <w:b/>
                <w:spacing w:val="-4"/>
                <w:sz w:val="28"/>
                <w:szCs w:val="28"/>
              </w:rPr>
            </w:pPr>
            <w:r w:rsidRPr="005E1103">
              <w:rPr>
                <w:rFonts w:eastAsia="Calibri" w:cstheme="minorHAnsi"/>
                <w:b/>
                <w:spacing w:val="-4"/>
                <w:sz w:val="28"/>
                <w:szCs w:val="28"/>
              </w:rPr>
              <w:t>Categoría</w:t>
            </w:r>
          </w:p>
        </w:tc>
        <w:tc>
          <w:tcPr>
            <w:tcW w:w="2616" w:type="dxa"/>
            <w:gridSpan w:val="2"/>
            <w:shd w:val="clear" w:color="auto" w:fill="auto"/>
          </w:tcPr>
          <w:p w:rsidR="007B19F2" w:rsidRPr="005E1103" w:rsidRDefault="007B19F2" w:rsidP="005B72C1">
            <w:pPr>
              <w:spacing w:line="312" w:lineRule="auto"/>
              <w:ind w:right="-1"/>
              <w:jc w:val="center"/>
              <w:rPr>
                <w:rFonts w:eastAsia="Calibri" w:cstheme="minorHAnsi"/>
                <w:b/>
                <w:spacing w:val="-4"/>
                <w:sz w:val="28"/>
                <w:szCs w:val="28"/>
              </w:rPr>
            </w:pPr>
            <w:r w:rsidRPr="005E1103">
              <w:rPr>
                <w:rFonts w:eastAsia="Calibri" w:cstheme="minorHAnsi"/>
                <w:b/>
                <w:spacing w:val="-4"/>
                <w:sz w:val="28"/>
                <w:szCs w:val="28"/>
              </w:rPr>
              <w:t>Muestra</w:t>
            </w:r>
          </w:p>
        </w:tc>
      </w:tr>
      <w:tr w:rsidR="007B19F2" w:rsidRPr="005E1103" w:rsidTr="005B72C1">
        <w:trPr>
          <w:trHeight w:val="206"/>
        </w:trPr>
        <w:tc>
          <w:tcPr>
            <w:tcW w:w="1985" w:type="dxa"/>
            <w:vMerge/>
            <w:shd w:val="clear" w:color="auto" w:fill="auto"/>
          </w:tcPr>
          <w:p w:rsidR="007B19F2" w:rsidRPr="005E1103" w:rsidRDefault="007B19F2" w:rsidP="005B72C1">
            <w:pPr>
              <w:spacing w:line="312" w:lineRule="auto"/>
              <w:ind w:right="-1"/>
              <w:jc w:val="center"/>
              <w:rPr>
                <w:rFonts w:eastAsia="Calibri" w:cstheme="minorHAnsi"/>
                <w:b/>
                <w:spacing w:val="-4"/>
                <w:sz w:val="28"/>
                <w:szCs w:val="28"/>
              </w:rPr>
            </w:pPr>
          </w:p>
        </w:tc>
        <w:tc>
          <w:tcPr>
            <w:tcW w:w="3827" w:type="dxa"/>
            <w:vMerge/>
            <w:shd w:val="clear" w:color="auto" w:fill="auto"/>
          </w:tcPr>
          <w:p w:rsidR="007B19F2" w:rsidRPr="005E1103" w:rsidRDefault="007B19F2" w:rsidP="005B72C1">
            <w:pPr>
              <w:spacing w:line="312" w:lineRule="auto"/>
              <w:ind w:right="-1"/>
              <w:jc w:val="center"/>
              <w:rPr>
                <w:rFonts w:eastAsia="Calibri" w:cstheme="minorHAnsi"/>
                <w:b/>
                <w:spacing w:val="-4"/>
                <w:sz w:val="28"/>
                <w:szCs w:val="28"/>
              </w:rPr>
            </w:pPr>
          </w:p>
        </w:tc>
        <w:tc>
          <w:tcPr>
            <w:tcW w:w="1175" w:type="dxa"/>
            <w:shd w:val="clear" w:color="auto" w:fill="auto"/>
          </w:tcPr>
          <w:p w:rsidR="007B19F2" w:rsidRPr="005E1103" w:rsidRDefault="007B19F2" w:rsidP="005B72C1">
            <w:pPr>
              <w:spacing w:line="312" w:lineRule="auto"/>
              <w:ind w:right="-1"/>
              <w:jc w:val="center"/>
              <w:rPr>
                <w:rFonts w:eastAsia="Calibri" w:cstheme="minorHAnsi"/>
                <w:b/>
                <w:spacing w:val="-4"/>
                <w:sz w:val="28"/>
                <w:szCs w:val="28"/>
              </w:rPr>
            </w:pPr>
            <w:r w:rsidRPr="005E1103">
              <w:rPr>
                <w:rFonts w:eastAsia="Calibri" w:cstheme="minorHAnsi"/>
                <w:b/>
                <w:spacing w:val="-4"/>
                <w:sz w:val="28"/>
                <w:szCs w:val="28"/>
              </w:rPr>
              <w:t>N</w:t>
            </w:r>
          </w:p>
        </w:tc>
        <w:tc>
          <w:tcPr>
            <w:tcW w:w="1441" w:type="dxa"/>
            <w:shd w:val="clear" w:color="auto" w:fill="auto"/>
          </w:tcPr>
          <w:p w:rsidR="007B19F2" w:rsidRPr="005E1103" w:rsidRDefault="007B19F2" w:rsidP="005B72C1">
            <w:pPr>
              <w:spacing w:line="312" w:lineRule="auto"/>
              <w:ind w:right="-1"/>
              <w:jc w:val="center"/>
              <w:rPr>
                <w:rFonts w:eastAsia="Calibri" w:cstheme="minorHAnsi"/>
                <w:b/>
                <w:spacing w:val="-4"/>
                <w:sz w:val="28"/>
                <w:szCs w:val="28"/>
              </w:rPr>
            </w:pPr>
            <w:r w:rsidRPr="005E1103">
              <w:rPr>
                <w:rFonts w:eastAsia="Calibri" w:cstheme="minorHAnsi"/>
                <w:b/>
                <w:spacing w:val="-4"/>
                <w:sz w:val="28"/>
                <w:szCs w:val="28"/>
              </w:rPr>
              <w:t>%</w:t>
            </w:r>
          </w:p>
        </w:tc>
      </w:tr>
      <w:tr w:rsidR="007B19F2" w:rsidRPr="005E1103" w:rsidTr="005B72C1">
        <w:trPr>
          <w:trHeight w:val="207"/>
        </w:trPr>
        <w:tc>
          <w:tcPr>
            <w:tcW w:w="1985" w:type="dxa"/>
            <w:vMerge w:val="restart"/>
            <w:shd w:val="clear" w:color="auto" w:fill="auto"/>
          </w:tcPr>
          <w:p w:rsidR="007B19F2" w:rsidRPr="005E1103" w:rsidRDefault="007B19F2" w:rsidP="005B72C1">
            <w:pPr>
              <w:spacing w:line="312" w:lineRule="auto"/>
              <w:ind w:right="-1"/>
              <w:jc w:val="both"/>
              <w:rPr>
                <w:rFonts w:eastAsia="Calibri" w:cstheme="minorHAnsi"/>
                <w:spacing w:val="-4"/>
                <w:sz w:val="28"/>
                <w:szCs w:val="28"/>
              </w:rPr>
            </w:pPr>
            <w:r w:rsidRPr="005E1103">
              <w:rPr>
                <w:rFonts w:eastAsia="Calibri" w:cstheme="minorHAnsi"/>
                <w:spacing w:val="-4"/>
                <w:sz w:val="28"/>
                <w:szCs w:val="28"/>
              </w:rPr>
              <w:t>Género</w:t>
            </w:r>
          </w:p>
        </w:tc>
        <w:tc>
          <w:tcPr>
            <w:tcW w:w="3827" w:type="dxa"/>
            <w:shd w:val="clear" w:color="auto" w:fill="auto"/>
          </w:tcPr>
          <w:p w:rsidR="007B19F2" w:rsidRPr="005E1103" w:rsidRDefault="007B19F2" w:rsidP="005B72C1">
            <w:pPr>
              <w:spacing w:line="312" w:lineRule="auto"/>
              <w:ind w:right="-1"/>
              <w:rPr>
                <w:rFonts w:cstheme="minorHAnsi"/>
                <w:spacing w:val="-4"/>
                <w:sz w:val="28"/>
                <w:szCs w:val="28"/>
              </w:rPr>
            </w:pPr>
            <w:r w:rsidRPr="005E1103">
              <w:rPr>
                <w:rFonts w:cstheme="minorHAnsi"/>
                <w:spacing w:val="-4"/>
                <w:sz w:val="28"/>
                <w:szCs w:val="28"/>
              </w:rPr>
              <w:t>Hombre</w:t>
            </w:r>
          </w:p>
        </w:tc>
        <w:tc>
          <w:tcPr>
            <w:tcW w:w="1175" w:type="dxa"/>
            <w:shd w:val="clear" w:color="auto" w:fill="auto"/>
          </w:tcPr>
          <w:p w:rsidR="007B19F2" w:rsidRPr="005E1103" w:rsidRDefault="007B19F2"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10</w:t>
            </w:r>
          </w:p>
        </w:tc>
        <w:tc>
          <w:tcPr>
            <w:tcW w:w="1441" w:type="dxa"/>
            <w:shd w:val="clear" w:color="auto" w:fill="auto"/>
          </w:tcPr>
          <w:p w:rsidR="007B19F2" w:rsidRPr="005E1103" w:rsidRDefault="007B19F2"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50,0</w:t>
            </w:r>
          </w:p>
        </w:tc>
      </w:tr>
      <w:tr w:rsidR="007B19F2" w:rsidRPr="005E1103" w:rsidTr="005B72C1">
        <w:trPr>
          <w:trHeight w:val="206"/>
        </w:trPr>
        <w:tc>
          <w:tcPr>
            <w:tcW w:w="1985" w:type="dxa"/>
            <w:vMerge/>
            <w:shd w:val="clear" w:color="auto" w:fill="auto"/>
          </w:tcPr>
          <w:p w:rsidR="007B19F2" w:rsidRPr="005E1103" w:rsidRDefault="007B19F2" w:rsidP="005B72C1">
            <w:pPr>
              <w:spacing w:line="312" w:lineRule="auto"/>
              <w:ind w:right="-1"/>
              <w:jc w:val="both"/>
              <w:rPr>
                <w:rFonts w:eastAsia="Calibri" w:cstheme="minorHAnsi"/>
                <w:spacing w:val="-4"/>
                <w:sz w:val="28"/>
                <w:szCs w:val="28"/>
              </w:rPr>
            </w:pPr>
          </w:p>
        </w:tc>
        <w:tc>
          <w:tcPr>
            <w:tcW w:w="3827" w:type="dxa"/>
            <w:shd w:val="clear" w:color="auto" w:fill="auto"/>
          </w:tcPr>
          <w:p w:rsidR="007B19F2" w:rsidRPr="005E1103" w:rsidRDefault="007B19F2" w:rsidP="005B72C1">
            <w:pPr>
              <w:spacing w:line="312" w:lineRule="auto"/>
              <w:ind w:right="-1"/>
              <w:rPr>
                <w:rFonts w:cstheme="minorHAnsi"/>
                <w:spacing w:val="-4"/>
                <w:sz w:val="28"/>
                <w:szCs w:val="28"/>
              </w:rPr>
            </w:pPr>
            <w:r w:rsidRPr="005E1103">
              <w:rPr>
                <w:rFonts w:cstheme="minorHAnsi"/>
                <w:spacing w:val="-4"/>
                <w:sz w:val="28"/>
                <w:szCs w:val="28"/>
              </w:rPr>
              <w:t>Mujer</w:t>
            </w:r>
          </w:p>
        </w:tc>
        <w:tc>
          <w:tcPr>
            <w:tcW w:w="1175" w:type="dxa"/>
            <w:shd w:val="clear" w:color="auto" w:fill="auto"/>
          </w:tcPr>
          <w:p w:rsidR="007B19F2" w:rsidRPr="005E1103" w:rsidRDefault="007B19F2"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10</w:t>
            </w:r>
          </w:p>
        </w:tc>
        <w:tc>
          <w:tcPr>
            <w:tcW w:w="1441" w:type="dxa"/>
            <w:shd w:val="clear" w:color="auto" w:fill="auto"/>
          </w:tcPr>
          <w:p w:rsidR="007B19F2" w:rsidRPr="005E1103" w:rsidRDefault="007B19F2"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50,0</w:t>
            </w:r>
          </w:p>
        </w:tc>
      </w:tr>
      <w:tr w:rsidR="007B19F2" w:rsidRPr="005E1103" w:rsidTr="005B72C1">
        <w:trPr>
          <w:trHeight w:val="207"/>
        </w:trPr>
        <w:tc>
          <w:tcPr>
            <w:tcW w:w="1985" w:type="dxa"/>
            <w:vMerge w:val="restart"/>
            <w:shd w:val="clear" w:color="auto" w:fill="auto"/>
          </w:tcPr>
          <w:p w:rsidR="007B19F2" w:rsidRPr="005E1103" w:rsidRDefault="007B19F2" w:rsidP="005B72C1">
            <w:pPr>
              <w:spacing w:line="312" w:lineRule="auto"/>
              <w:ind w:right="-1"/>
              <w:jc w:val="both"/>
              <w:rPr>
                <w:rFonts w:eastAsia="Calibri" w:cstheme="minorHAnsi"/>
                <w:spacing w:val="-4"/>
                <w:sz w:val="28"/>
                <w:szCs w:val="28"/>
              </w:rPr>
            </w:pPr>
            <w:r w:rsidRPr="005E1103">
              <w:rPr>
                <w:rFonts w:eastAsia="Calibri" w:cstheme="minorHAnsi"/>
                <w:spacing w:val="-4"/>
                <w:sz w:val="28"/>
                <w:szCs w:val="28"/>
              </w:rPr>
              <w:t>Curso</w:t>
            </w:r>
          </w:p>
        </w:tc>
        <w:tc>
          <w:tcPr>
            <w:tcW w:w="3827" w:type="dxa"/>
            <w:shd w:val="clear" w:color="auto" w:fill="auto"/>
          </w:tcPr>
          <w:p w:rsidR="007B19F2" w:rsidRPr="005E1103" w:rsidRDefault="007B19F2" w:rsidP="005B72C1">
            <w:pPr>
              <w:spacing w:line="312" w:lineRule="auto"/>
              <w:ind w:right="-1"/>
              <w:rPr>
                <w:rFonts w:cstheme="minorHAnsi"/>
                <w:spacing w:val="-4"/>
                <w:sz w:val="28"/>
                <w:szCs w:val="28"/>
              </w:rPr>
            </w:pPr>
            <w:r w:rsidRPr="005E1103">
              <w:rPr>
                <w:rFonts w:cstheme="minorHAnsi"/>
                <w:spacing w:val="-4"/>
                <w:sz w:val="28"/>
                <w:szCs w:val="28"/>
              </w:rPr>
              <w:t>3º ESO</w:t>
            </w:r>
          </w:p>
        </w:tc>
        <w:tc>
          <w:tcPr>
            <w:tcW w:w="1175" w:type="dxa"/>
            <w:shd w:val="clear" w:color="auto" w:fill="auto"/>
          </w:tcPr>
          <w:p w:rsidR="007B19F2" w:rsidRPr="005E1103" w:rsidRDefault="007B19F2"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3</w:t>
            </w:r>
          </w:p>
        </w:tc>
        <w:tc>
          <w:tcPr>
            <w:tcW w:w="1441" w:type="dxa"/>
            <w:shd w:val="clear" w:color="auto" w:fill="auto"/>
          </w:tcPr>
          <w:p w:rsidR="007B19F2" w:rsidRPr="005E1103" w:rsidRDefault="007B19F2"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15,0</w:t>
            </w:r>
          </w:p>
        </w:tc>
      </w:tr>
      <w:tr w:rsidR="007B19F2" w:rsidRPr="005E1103" w:rsidTr="005B72C1">
        <w:trPr>
          <w:trHeight w:val="75"/>
        </w:trPr>
        <w:tc>
          <w:tcPr>
            <w:tcW w:w="1985" w:type="dxa"/>
            <w:vMerge/>
            <w:shd w:val="clear" w:color="auto" w:fill="auto"/>
          </w:tcPr>
          <w:p w:rsidR="007B19F2" w:rsidRPr="005E1103" w:rsidRDefault="007B19F2" w:rsidP="005B72C1">
            <w:pPr>
              <w:spacing w:line="312" w:lineRule="auto"/>
              <w:ind w:right="-1"/>
              <w:jc w:val="both"/>
              <w:rPr>
                <w:rFonts w:eastAsia="Calibri" w:cstheme="minorHAnsi"/>
                <w:spacing w:val="-4"/>
                <w:sz w:val="28"/>
                <w:szCs w:val="28"/>
              </w:rPr>
            </w:pPr>
          </w:p>
        </w:tc>
        <w:tc>
          <w:tcPr>
            <w:tcW w:w="3827" w:type="dxa"/>
            <w:shd w:val="clear" w:color="auto" w:fill="auto"/>
          </w:tcPr>
          <w:p w:rsidR="007B19F2" w:rsidRPr="005E1103" w:rsidRDefault="007B19F2" w:rsidP="005B72C1">
            <w:pPr>
              <w:spacing w:line="312" w:lineRule="auto"/>
              <w:ind w:right="-1"/>
              <w:rPr>
                <w:rFonts w:cstheme="minorHAnsi"/>
                <w:spacing w:val="-4"/>
                <w:sz w:val="28"/>
                <w:szCs w:val="28"/>
              </w:rPr>
            </w:pPr>
            <w:r w:rsidRPr="005E1103">
              <w:rPr>
                <w:rFonts w:cstheme="minorHAnsi"/>
                <w:spacing w:val="-4"/>
                <w:sz w:val="28"/>
                <w:szCs w:val="28"/>
              </w:rPr>
              <w:t>4º ESO</w:t>
            </w:r>
          </w:p>
        </w:tc>
        <w:tc>
          <w:tcPr>
            <w:tcW w:w="1175" w:type="dxa"/>
            <w:shd w:val="clear" w:color="auto" w:fill="auto"/>
          </w:tcPr>
          <w:p w:rsidR="007B19F2" w:rsidRPr="005E1103" w:rsidRDefault="007B19F2"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9</w:t>
            </w:r>
          </w:p>
        </w:tc>
        <w:tc>
          <w:tcPr>
            <w:tcW w:w="1441" w:type="dxa"/>
            <w:shd w:val="clear" w:color="auto" w:fill="auto"/>
          </w:tcPr>
          <w:p w:rsidR="007B19F2" w:rsidRPr="005E1103" w:rsidRDefault="007B19F2"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45,0</w:t>
            </w:r>
          </w:p>
        </w:tc>
      </w:tr>
      <w:tr w:rsidR="007B19F2" w:rsidRPr="005E1103" w:rsidTr="005B72C1">
        <w:trPr>
          <w:trHeight w:val="75"/>
        </w:trPr>
        <w:tc>
          <w:tcPr>
            <w:tcW w:w="1985" w:type="dxa"/>
            <w:vMerge/>
            <w:shd w:val="clear" w:color="auto" w:fill="auto"/>
          </w:tcPr>
          <w:p w:rsidR="007B19F2" w:rsidRPr="005E1103" w:rsidRDefault="007B19F2" w:rsidP="005B72C1">
            <w:pPr>
              <w:spacing w:line="312" w:lineRule="auto"/>
              <w:ind w:right="-1"/>
              <w:jc w:val="both"/>
              <w:rPr>
                <w:rFonts w:eastAsia="Calibri" w:cstheme="minorHAnsi"/>
                <w:spacing w:val="-4"/>
                <w:sz w:val="28"/>
                <w:szCs w:val="28"/>
              </w:rPr>
            </w:pPr>
          </w:p>
        </w:tc>
        <w:tc>
          <w:tcPr>
            <w:tcW w:w="3827" w:type="dxa"/>
            <w:shd w:val="clear" w:color="auto" w:fill="auto"/>
          </w:tcPr>
          <w:p w:rsidR="007B19F2" w:rsidRPr="005E1103" w:rsidRDefault="007B19F2" w:rsidP="005B72C1">
            <w:pPr>
              <w:spacing w:line="312" w:lineRule="auto"/>
              <w:ind w:right="-1"/>
              <w:rPr>
                <w:rFonts w:cstheme="minorHAnsi"/>
                <w:spacing w:val="-4"/>
                <w:sz w:val="28"/>
                <w:szCs w:val="28"/>
              </w:rPr>
            </w:pPr>
            <w:r w:rsidRPr="005E1103">
              <w:rPr>
                <w:rFonts w:cstheme="minorHAnsi"/>
                <w:spacing w:val="-4"/>
                <w:sz w:val="28"/>
                <w:szCs w:val="28"/>
              </w:rPr>
              <w:t>1º Bachillerato</w:t>
            </w:r>
          </w:p>
        </w:tc>
        <w:tc>
          <w:tcPr>
            <w:tcW w:w="1175" w:type="dxa"/>
            <w:shd w:val="clear" w:color="auto" w:fill="auto"/>
          </w:tcPr>
          <w:p w:rsidR="007B19F2" w:rsidRPr="005E1103" w:rsidRDefault="007B19F2"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1</w:t>
            </w:r>
          </w:p>
        </w:tc>
        <w:tc>
          <w:tcPr>
            <w:tcW w:w="1441" w:type="dxa"/>
            <w:shd w:val="clear" w:color="auto" w:fill="auto"/>
          </w:tcPr>
          <w:p w:rsidR="007B19F2" w:rsidRPr="005E1103" w:rsidRDefault="007B19F2"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5,0</w:t>
            </w:r>
          </w:p>
        </w:tc>
      </w:tr>
      <w:tr w:rsidR="007B19F2" w:rsidRPr="005E1103" w:rsidTr="005B72C1">
        <w:trPr>
          <w:trHeight w:val="75"/>
        </w:trPr>
        <w:tc>
          <w:tcPr>
            <w:tcW w:w="1985" w:type="dxa"/>
            <w:vMerge/>
            <w:shd w:val="clear" w:color="auto" w:fill="auto"/>
          </w:tcPr>
          <w:p w:rsidR="007B19F2" w:rsidRPr="005E1103" w:rsidRDefault="007B19F2" w:rsidP="005B72C1">
            <w:pPr>
              <w:spacing w:line="312" w:lineRule="auto"/>
              <w:ind w:right="-1"/>
              <w:jc w:val="both"/>
              <w:rPr>
                <w:rFonts w:eastAsia="Calibri" w:cstheme="minorHAnsi"/>
                <w:spacing w:val="-4"/>
                <w:sz w:val="28"/>
                <w:szCs w:val="28"/>
              </w:rPr>
            </w:pPr>
          </w:p>
        </w:tc>
        <w:tc>
          <w:tcPr>
            <w:tcW w:w="3827" w:type="dxa"/>
            <w:shd w:val="clear" w:color="auto" w:fill="auto"/>
          </w:tcPr>
          <w:p w:rsidR="007B19F2" w:rsidRPr="005E1103" w:rsidRDefault="007B19F2" w:rsidP="005B72C1">
            <w:pPr>
              <w:spacing w:line="312" w:lineRule="auto"/>
              <w:ind w:right="-1"/>
              <w:rPr>
                <w:rFonts w:cstheme="minorHAnsi"/>
                <w:spacing w:val="-4"/>
                <w:sz w:val="28"/>
                <w:szCs w:val="28"/>
              </w:rPr>
            </w:pPr>
            <w:r w:rsidRPr="005E1103">
              <w:rPr>
                <w:rFonts w:cstheme="minorHAnsi"/>
                <w:spacing w:val="-4"/>
                <w:sz w:val="28"/>
                <w:szCs w:val="28"/>
              </w:rPr>
              <w:t>2º Bachillerato</w:t>
            </w:r>
          </w:p>
        </w:tc>
        <w:tc>
          <w:tcPr>
            <w:tcW w:w="1175" w:type="dxa"/>
            <w:shd w:val="clear" w:color="auto" w:fill="auto"/>
          </w:tcPr>
          <w:p w:rsidR="007B19F2" w:rsidRPr="005E1103" w:rsidRDefault="007B19F2"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4</w:t>
            </w:r>
          </w:p>
        </w:tc>
        <w:tc>
          <w:tcPr>
            <w:tcW w:w="1441" w:type="dxa"/>
            <w:shd w:val="clear" w:color="auto" w:fill="auto"/>
          </w:tcPr>
          <w:p w:rsidR="007B19F2" w:rsidRPr="005E1103" w:rsidRDefault="007B19F2"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20,0</w:t>
            </w:r>
          </w:p>
        </w:tc>
      </w:tr>
      <w:tr w:rsidR="007B19F2" w:rsidRPr="005E1103" w:rsidTr="005B72C1">
        <w:trPr>
          <w:trHeight w:val="75"/>
        </w:trPr>
        <w:tc>
          <w:tcPr>
            <w:tcW w:w="1985" w:type="dxa"/>
            <w:vMerge/>
            <w:shd w:val="clear" w:color="auto" w:fill="auto"/>
          </w:tcPr>
          <w:p w:rsidR="007B19F2" w:rsidRPr="005E1103" w:rsidRDefault="007B19F2" w:rsidP="005B72C1">
            <w:pPr>
              <w:spacing w:line="312" w:lineRule="auto"/>
              <w:ind w:right="-1"/>
              <w:jc w:val="both"/>
              <w:rPr>
                <w:rFonts w:eastAsia="Calibri" w:cstheme="minorHAnsi"/>
                <w:spacing w:val="-4"/>
                <w:sz w:val="28"/>
                <w:szCs w:val="28"/>
              </w:rPr>
            </w:pPr>
          </w:p>
        </w:tc>
        <w:tc>
          <w:tcPr>
            <w:tcW w:w="3827" w:type="dxa"/>
            <w:shd w:val="clear" w:color="auto" w:fill="auto"/>
          </w:tcPr>
          <w:p w:rsidR="007B19F2" w:rsidRPr="005E1103" w:rsidRDefault="007B19F2" w:rsidP="005B72C1">
            <w:pPr>
              <w:spacing w:line="312" w:lineRule="auto"/>
              <w:ind w:right="-1"/>
              <w:rPr>
                <w:rFonts w:cstheme="minorHAnsi"/>
                <w:spacing w:val="-4"/>
                <w:sz w:val="28"/>
                <w:szCs w:val="28"/>
              </w:rPr>
            </w:pPr>
            <w:r w:rsidRPr="005E1103">
              <w:rPr>
                <w:rFonts w:cstheme="minorHAnsi"/>
                <w:spacing w:val="-4"/>
                <w:sz w:val="28"/>
                <w:szCs w:val="28"/>
              </w:rPr>
              <w:t>F.P.</w:t>
            </w:r>
          </w:p>
        </w:tc>
        <w:tc>
          <w:tcPr>
            <w:tcW w:w="1175" w:type="dxa"/>
            <w:shd w:val="clear" w:color="auto" w:fill="auto"/>
          </w:tcPr>
          <w:p w:rsidR="007B19F2" w:rsidRPr="005E1103" w:rsidRDefault="007B19F2"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2</w:t>
            </w:r>
          </w:p>
        </w:tc>
        <w:tc>
          <w:tcPr>
            <w:tcW w:w="1441" w:type="dxa"/>
            <w:shd w:val="clear" w:color="auto" w:fill="auto"/>
          </w:tcPr>
          <w:p w:rsidR="007B19F2" w:rsidRPr="005E1103" w:rsidRDefault="007B19F2"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10,0</w:t>
            </w:r>
          </w:p>
        </w:tc>
      </w:tr>
      <w:tr w:rsidR="007B19F2" w:rsidRPr="005E1103" w:rsidTr="005B72C1">
        <w:trPr>
          <w:trHeight w:val="299"/>
        </w:trPr>
        <w:tc>
          <w:tcPr>
            <w:tcW w:w="1985" w:type="dxa"/>
            <w:vMerge w:val="restart"/>
            <w:shd w:val="clear" w:color="auto" w:fill="auto"/>
          </w:tcPr>
          <w:p w:rsidR="007B19F2" w:rsidRPr="005E1103" w:rsidRDefault="007B19F2" w:rsidP="005B72C1">
            <w:pPr>
              <w:ind w:right="-1"/>
              <w:rPr>
                <w:rFonts w:eastAsia="Calibri" w:cstheme="minorHAnsi"/>
                <w:spacing w:val="-4"/>
                <w:sz w:val="28"/>
                <w:szCs w:val="28"/>
              </w:rPr>
            </w:pPr>
            <w:r w:rsidRPr="005E1103">
              <w:rPr>
                <w:rFonts w:eastAsia="Calibri" w:cstheme="minorHAnsi"/>
                <w:spacing w:val="-4"/>
                <w:sz w:val="28"/>
                <w:szCs w:val="28"/>
              </w:rPr>
              <w:t>Motivo de elección</w:t>
            </w:r>
          </w:p>
        </w:tc>
        <w:tc>
          <w:tcPr>
            <w:tcW w:w="3827" w:type="dxa"/>
            <w:shd w:val="clear" w:color="auto" w:fill="auto"/>
          </w:tcPr>
          <w:p w:rsidR="007B19F2" w:rsidRPr="005E1103" w:rsidRDefault="007B19F2" w:rsidP="005B72C1">
            <w:pPr>
              <w:rPr>
                <w:rFonts w:eastAsia="Calibri" w:cstheme="minorHAnsi"/>
                <w:spacing w:val="-4"/>
                <w:sz w:val="28"/>
                <w:szCs w:val="28"/>
              </w:rPr>
            </w:pPr>
            <w:r w:rsidRPr="005E1103">
              <w:rPr>
                <w:rFonts w:eastAsia="Calibri" w:cstheme="minorHAnsi"/>
                <w:spacing w:val="-4"/>
                <w:sz w:val="28"/>
                <w:szCs w:val="28"/>
              </w:rPr>
              <w:t>Por la ciudad de Granada</w:t>
            </w:r>
          </w:p>
        </w:tc>
        <w:tc>
          <w:tcPr>
            <w:tcW w:w="1175" w:type="dxa"/>
            <w:shd w:val="clear" w:color="auto" w:fill="auto"/>
          </w:tcPr>
          <w:p w:rsidR="007B19F2" w:rsidRPr="005E1103" w:rsidRDefault="007B19F2"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3</w:t>
            </w:r>
          </w:p>
        </w:tc>
        <w:tc>
          <w:tcPr>
            <w:tcW w:w="1441" w:type="dxa"/>
            <w:shd w:val="clear" w:color="auto" w:fill="auto"/>
          </w:tcPr>
          <w:p w:rsidR="007B19F2" w:rsidRPr="005E1103" w:rsidRDefault="007B19F2"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15,0</w:t>
            </w:r>
          </w:p>
        </w:tc>
      </w:tr>
      <w:tr w:rsidR="007B19F2" w:rsidRPr="005E1103" w:rsidTr="005B72C1">
        <w:trPr>
          <w:trHeight w:val="75"/>
        </w:trPr>
        <w:tc>
          <w:tcPr>
            <w:tcW w:w="1985" w:type="dxa"/>
            <w:vMerge/>
            <w:shd w:val="clear" w:color="auto" w:fill="auto"/>
          </w:tcPr>
          <w:p w:rsidR="007B19F2" w:rsidRPr="005E1103" w:rsidRDefault="007B19F2" w:rsidP="005B72C1">
            <w:pPr>
              <w:spacing w:line="312" w:lineRule="auto"/>
              <w:ind w:right="-1"/>
              <w:jc w:val="both"/>
              <w:rPr>
                <w:rFonts w:eastAsia="Calibri" w:cstheme="minorHAnsi"/>
                <w:spacing w:val="-4"/>
                <w:sz w:val="28"/>
                <w:szCs w:val="28"/>
              </w:rPr>
            </w:pPr>
          </w:p>
        </w:tc>
        <w:tc>
          <w:tcPr>
            <w:tcW w:w="3827" w:type="dxa"/>
            <w:shd w:val="clear" w:color="auto" w:fill="auto"/>
          </w:tcPr>
          <w:p w:rsidR="007B19F2" w:rsidRPr="005E1103" w:rsidRDefault="007B19F2" w:rsidP="005B72C1">
            <w:pPr>
              <w:rPr>
                <w:rFonts w:eastAsia="Calibri" w:cstheme="minorHAnsi"/>
                <w:spacing w:val="-4"/>
                <w:sz w:val="28"/>
                <w:szCs w:val="28"/>
              </w:rPr>
            </w:pPr>
            <w:r w:rsidRPr="005E1103">
              <w:rPr>
                <w:rFonts w:eastAsia="Calibri" w:cstheme="minorHAnsi"/>
                <w:spacing w:val="-4"/>
                <w:sz w:val="28"/>
                <w:szCs w:val="28"/>
              </w:rPr>
              <w:t>Por la Universidad de Granada</w:t>
            </w:r>
          </w:p>
        </w:tc>
        <w:tc>
          <w:tcPr>
            <w:tcW w:w="1175" w:type="dxa"/>
            <w:shd w:val="clear" w:color="auto" w:fill="auto"/>
          </w:tcPr>
          <w:p w:rsidR="007B19F2" w:rsidRPr="005E1103" w:rsidRDefault="007B19F2"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1</w:t>
            </w:r>
          </w:p>
        </w:tc>
        <w:tc>
          <w:tcPr>
            <w:tcW w:w="1441" w:type="dxa"/>
            <w:shd w:val="clear" w:color="auto" w:fill="auto"/>
          </w:tcPr>
          <w:p w:rsidR="007B19F2" w:rsidRPr="005E1103" w:rsidRDefault="007B19F2"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5,0</w:t>
            </w:r>
          </w:p>
        </w:tc>
      </w:tr>
      <w:tr w:rsidR="007B19F2" w:rsidRPr="005E1103" w:rsidTr="005B72C1">
        <w:trPr>
          <w:trHeight w:val="75"/>
        </w:trPr>
        <w:tc>
          <w:tcPr>
            <w:tcW w:w="1985" w:type="dxa"/>
            <w:vMerge/>
            <w:shd w:val="clear" w:color="auto" w:fill="auto"/>
          </w:tcPr>
          <w:p w:rsidR="007B19F2" w:rsidRPr="005E1103" w:rsidRDefault="007B19F2" w:rsidP="005B72C1">
            <w:pPr>
              <w:spacing w:line="312" w:lineRule="auto"/>
              <w:ind w:right="-1"/>
              <w:jc w:val="both"/>
              <w:rPr>
                <w:rFonts w:eastAsia="Calibri" w:cstheme="minorHAnsi"/>
                <w:spacing w:val="-4"/>
                <w:sz w:val="28"/>
                <w:szCs w:val="28"/>
              </w:rPr>
            </w:pPr>
          </w:p>
        </w:tc>
        <w:tc>
          <w:tcPr>
            <w:tcW w:w="3827" w:type="dxa"/>
            <w:shd w:val="clear" w:color="auto" w:fill="auto"/>
          </w:tcPr>
          <w:p w:rsidR="007B19F2" w:rsidRPr="005E1103" w:rsidRDefault="007B19F2" w:rsidP="005B72C1">
            <w:pPr>
              <w:rPr>
                <w:rFonts w:eastAsia="Calibri" w:cstheme="minorHAnsi"/>
                <w:spacing w:val="-4"/>
                <w:sz w:val="28"/>
                <w:szCs w:val="28"/>
              </w:rPr>
            </w:pPr>
            <w:r w:rsidRPr="005E1103">
              <w:rPr>
                <w:rFonts w:eastAsia="Calibri" w:cstheme="minorHAnsi"/>
                <w:spacing w:val="-4"/>
                <w:sz w:val="28"/>
                <w:szCs w:val="28"/>
              </w:rPr>
              <w:t>Por recomendación de amigos o familiares</w:t>
            </w:r>
          </w:p>
        </w:tc>
        <w:tc>
          <w:tcPr>
            <w:tcW w:w="1175" w:type="dxa"/>
            <w:shd w:val="clear" w:color="auto" w:fill="auto"/>
          </w:tcPr>
          <w:p w:rsidR="007B19F2" w:rsidRPr="005E1103" w:rsidRDefault="007B19F2"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9</w:t>
            </w:r>
          </w:p>
        </w:tc>
        <w:tc>
          <w:tcPr>
            <w:tcW w:w="1441" w:type="dxa"/>
            <w:shd w:val="clear" w:color="auto" w:fill="auto"/>
          </w:tcPr>
          <w:p w:rsidR="007B19F2" w:rsidRPr="005E1103" w:rsidRDefault="007B19F2"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45,0</w:t>
            </w:r>
          </w:p>
        </w:tc>
      </w:tr>
      <w:tr w:rsidR="007B19F2" w:rsidRPr="005E1103" w:rsidTr="005B72C1">
        <w:trPr>
          <w:trHeight w:val="75"/>
        </w:trPr>
        <w:tc>
          <w:tcPr>
            <w:tcW w:w="1985" w:type="dxa"/>
            <w:vMerge/>
            <w:shd w:val="clear" w:color="auto" w:fill="auto"/>
          </w:tcPr>
          <w:p w:rsidR="007B19F2" w:rsidRPr="005E1103" w:rsidRDefault="007B19F2" w:rsidP="005B72C1">
            <w:pPr>
              <w:spacing w:line="312" w:lineRule="auto"/>
              <w:ind w:right="-1"/>
              <w:jc w:val="both"/>
              <w:rPr>
                <w:rFonts w:eastAsia="Calibri" w:cstheme="minorHAnsi"/>
                <w:spacing w:val="-4"/>
                <w:sz w:val="28"/>
                <w:szCs w:val="28"/>
              </w:rPr>
            </w:pPr>
          </w:p>
        </w:tc>
        <w:tc>
          <w:tcPr>
            <w:tcW w:w="3827" w:type="dxa"/>
            <w:shd w:val="clear" w:color="auto" w:fill="auto"/>
          </w:tcPr>
          <w:p w:rsidR="007B19F2" w:rsidRPr="005E1103" w:rsidRDefault="007B19F2" w:rsidP="005B72C1">
            <w:pPr>
              <w:rPr>
                <w:rFonts w:eastAsia="Calibri" w:cstheme="minorHAnsi"/>
                <w:spacing w:val="-4"/>
                <w:sz w:val="28"/>
                <w:szCs w:val="28"/>
              </w:rPr>
            </w:pPr>
            <w:r w:rsidRPr="005E1103">
              <w:rPr>
                <w:rFonts w:eastAsia="Calibri" w:cstheme="minorHAnsi"/>
                <w:spacing w:val="-4"/>
                <w:sz w:val="28"/>
                <w:szCs w:val="28"/>
              </w:rPr>
              <w:t>Por cercanía a mi ciudad/pueblo de origen</w:t>
            </w:r>
          </w:p>
        </w:tc>
        <w:tc>
          <w:tcPr>
            <w:tcW w:w="1175" w:type="dxa"/>
            <w:shd w:val="clear" w:color="auto" w:fill="auto"/>
          </w:tcPr>
          <w:p w:rsidR="007B19F2" w:rsidRPr="005E1103" w:rsidRDefault="007B19F2"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1</w:t>
            </w:r>
          </w:p>
        </w:tc>
        <w:tc>
          <w:tcPr>
            <w:tcW w:w="1441" w:type="dxa"/>
            <w:shd w:val="clear" w:color="auto" w:fill="auto"/>
          </w:tcPr>
          <w:p w:rsidR="007B19F2" w:rsidRPr="005E1103" w:rsidRDefault="007B19F2"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5,0</w:t>
            </w:r>
          </w:p>
        </w:tc>
      </w:tr>
      <w:tr w:rsidR="007B19F2" w:rsidRPr="005E1103" w:rsidTr="005B72C1">
        <w:trPr>
          <w:trHeight w:val="150"/>
        </w:trPr>
        <w:tc>
          <w:tcPr>
            <w:tcW w:w="1985" w:type="dxa"/>
            <w:vMerge/>
            <w:shd w:val="clear" w:color="auto" w:fill="auto"/>
          </w:tcPr>
          <w:p w:rsidR="007B19F2" w:rsidRPr="005E1103" w:rsidRDefault="007B19F2" w:rsidP="005B72C1">
            <w:pPr>
              <w:spacing w:line="312" w:lineRule="auto"/>
              <w:ind w:right="-1"/>
              <w:jc w:val="both"/>
              <w:rPr>
                <w:rFonts w:eastAsia="Calibri" w:cstheme="minorHAnsi"/>
                <w:spacing w:val="-4"/>
                <w:sz w:val="28"/>
                <w:szCs w:val="28"/>
              </w:rPr>
            </w:pPr>
          </w:p>
        </w:tc>
        <w:tc>
          <w:tcPr>
            <w:tcW w:w="3827" w:type="dxa"/>
            <w:shd w:val="clear" w:color="auto" w:fill="auto"/>
          </w:tcPr>
          <w:p w:rsidR="007B19F2" w:rsidRPr="005E1103" w:rsidRDefault="007B19F2" w:rsidP="005B72C1">
            <w:pPr>
              <w:rPr>
                <w:rFonts w:eastAsia="Calibri" w:cstheme="minorHAnsi"/>
                <w:spacing w:val="-4"/>
                <w:sz w:val="28"/>
                <w:szCs w:val="28"/>
              </w:rPr>
            </w:pPr>
            <w:r w:rsidRPr="005E1103">
              <w:rPr>
                <w:rFonts w:eastAsia="Calibri" w:cstheme="minorHAnsi"/>
                <w:spacing w:val="-4"/>
                <w:sz w:val="28"/>
                <w:szCs w:val="28"/>
              </w:rPr>
              <w:t>No tuve otra opción</w:t>
            </w:r>
          </w:p>
        </w:tc>
        <w:tc>
          <w:tcPr>
            <w:tcW w:w="1175" w:type="dxa"/>
            <w:shd w:val="clear" w:color="auto" w:fill="auto"/>
          </w:tcPr>
          <w:p w:rsidR="007B19F2" w:rsidRPr="005E1103" w:rsidRDefault="007B19F2"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2</w:t>
            </w:r>
          </w:p>
        </w:tc>
        <w:tc>
          <w:tcPr>
            <w:tcW w:w="1441" w:type="dxa"/>
            <w:shd w:val="clear" w:color="auto" w:fill="auto"/>
          </w:tcPr>
          <w:p w:rsidR="007B19F2" w:rsidRPr="005E1103" w:rsidRDefault="007B19F2"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10,0</w:t>
            </w:r>
          </w:p>
        </w:tc>
      </w:tr>
      <w:tr w:rsidR="007B19F2" w:rsidRPr="005E1103" w:rsidTr="005B72C1">
        <w:trPr>
          <w:trHeight w:val="150"/>
        </w:trPr>
        <w:tc>
          <w:tcPr>
            <w:tcW w:w="1985" w:type="dxa"/>
            <w:vMerge/>
            <w:tcBorders>
              <w:bottom w:val="single" w:sz="18" w:space="0" w:color="auto"/>
            </w:tcBorders>
            <w:shd w:val="clear" w:color="auto" w:fill="auto"/>
          </w:tcPr>
          <w:p w:rsidR="007B19F2" w:rsidRPr="005E1103" w:rsidRDefault="007B19F2" w:rsidP="005B72C1">
            <w:pPr>
              <w:spacing w:line="312" w:lineRule="auto"/>
              <w:ind w:right="-1"/>
              <w:jc w:val="both"/>
              <w:rPr>
                <w:rFonts w:eastAsia="Calibri" w:cstheme="minorHAnsi"/>
                <w:spacing w:val="-4"/>
                <w:sz w:val="28"/>
                <w:szCs w:val="28"/>
              </w:rPr>
            </w:pPr>
          </w:p>
        </w:tc>
        <w:tc>
          <w:tcPr>
            <w:tcW w:w="3827" w:type="dxa"/>
            <w:tcBorders>
              <w:bottom w:val="single" w:sz="18" w:space="0" w:color="auto"/>
            </w:tcBorders>
            <w:shd w:val="clear" w:color="auto" w:fill="auto"/>
          </w:tcPr>
          <w:p w:rsidR="007B19F2" w:rsidRPr="005E1103" w:rsidRDefault="007B19F2" w:rsidP="005B72C1">
            <w:pPr>
              <w:rPr>
                <w:rFonts w:eastAsia="Calibri" w:cstheme="minorHAnsi"/>
                <w:spacing w:val="-4"/>
                <w:sz w:val="28"/>
                <w:szCs w:val="28"/>
              </w:rPr>
            </w:pPr>
            <w:r w:rsidRPr="005E1103">
              <w:rPr>
                <w:rFonts w:eastAsia="Calibri" w:cstheme="minorHAnsi"/>
                <w:spacing w:val="-4"/>
                <w:sz w:val="28"/>
                <w:szCs w:val="28"/>
              </w:rPr>
              <w:t>Otros</w:t>
            </w:r>
          </w:p>
        </w:tc>
        <w:tc>
          <w:tcPr>
            <w:tcW w:w="1175" w:type="dxa"/>
            <w:tcBorders>
              <w:bottom w:val="single" w:sz="18" w:space="0" w:color="auto"/>
            </w:tcBorders>
            <w:shd w:val="clear" w:color="auto" w:fill="auto"/>
          </w:tcPr>
          <w:p w:rsidR="007B19F2" w:rsidRPr="005E1103" w:rsidRDefault="007B19F2"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4</w:t>
            </w:r>
          </w:p>
        </w:tc>
        <w:tc>
          <w:tcPr>
            <w:tcW w:w="1441" w:type="dxa"/>
            <w:tcBorders>
              <w:bottom w:val="single" w:sz="18" w:space="0" w:color="auto"/>
            </w:tcBorders>
            <w:shd w:val="clear" w:color="auto" w:fill="auto"/>
          </w:tcPr>
          <w:p w:rsidR="007B19F2" w:rsidRPr="005E1103" w:rsidRDefault="007B19F2"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20,0</w:t>
            </w:r>
          </w:p>
        </w:tc>
      </w:tr>
      <w:tr w:rsidR="007B19F2" w:rsidRPr="005E1103" w:rsidTr="005B72C1">
        <w:trPr>
          <w:trHeight w:val="206"/>
        </w:trPr>
        <w:tc>
          <w:tcPr>
            <w:tcW w:w="1985" w:type="dxa"/>
            <w:tcBorders>
              <w:top w:val="single" w:sz="18" w:space="0" w:color="auto"/>
              <w:bottom w:val="nil"/>
            </w:tcBorders>
            <w:shd w:val="clear" w:color="auto" w:fill="auto"/>
          </w:tcPr>
          <w:p w:rsidR="007B19F2" w:rsidRPr="005E1103" w:rsidRDefault="007B19F2" w:rsidP="005B72C1">
            <w:pPr>
              <w:spacing w:line="312" w:lineRule="auto"/>
              <w:ind w:right="-1"/>
              <w:jc w:val="both"/>
              <w:rPr>
                <w:rFonts w:eastAsia="Calibri" w:cstheme="minorHAnsi"/>
                <w:spacing w:val="-4"/>
                <w:sz w:val="28"/>
                <w:szCs w:val="28"/>
              </w:rPr>
            </w:pPr>
            <w:r w:rsidRPr="005E1103">
              <w:rPr>
                <w:rFonts w:eastAsia="Calibri" w:cstheme="minorHAnsi"/>
                <w:spacing w:val="-4"/>
                <w:sz w:val="28"/>
                <w:szCs w:val="28"/>
              </w:rPr>
              <w:t>Año de participación</w:t>
            </w:r>
          </w:p>
        </w:tc>
        <w:tc>
          <w:tcPr>
            <w:tcW w:w="3827" w:type="dxa"/>
            <w:tcBorders>
              <w:top w:val="single" w:sz="18" w:space="0" w:color="auto"/>
            </w:tcBorders>
            <w:shd w:val="clear" w:color="auto" w:fill="auto"/>
          </w:tcPr>
          <w:p w:rsidR="007B19F2" w:rsidRPr="005E1103" w:rsidRDefault="007B19F2" w:rsidP="005B72C1">
            <w:pPr>
              <w:spacing w:line="312" w:lineRule="auto"/>
              <w:ind w:right="-1"/>
              <w:rPr>
                <w:rFonts w:cstheme="minorHAnsi"/>
                <w:spacing w:val="-4"/>
                <w:sz w:val="28"/>
                <w:szCs w:val="28"/>
              </w:rPr>
            </w:pPr>
            <w:r w:rsidRPr="005E1103">
              <w:rPr>
                <w:rFonts w:cstheme="minorHAnsi"/>
                <w:spacing w:val="-4"/>
                <w:sz w:val="28"/>
                <w:szCs w:val="28"/>
              </w:rPr>
              <w:t>2014</w:t>
            </w:r>
          </w:p>
        </w:tc>
        <w:tc>
          <w:tcPr>
            <w:tcW w:w="1175" w:type="dxa"/>
            <w:tcBorders>
              <w:top w:val="single" w:sz="18" w:space="0" w:color="auto"/>
            </w:tcBorders>
            <w:shd w:val="clear" w:color="auto" w:fill="auto"/>
          </w:tcPr>
          <w:p w:rsidR="007B19F2" w:rsidRPr="005E1103" w:rsidRDefault="007B19F2"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21</w:t>
            </w:r>
          </w:p>
        </w:tc>
        <w:tc>
          <w:tcPr>
            <w:tcW w:w="1441" w:type="dxa"/>
            <w:tcBorders>
              <w:top w:val="single" w:sz="18" w:space="0" w:color="auto"/>
            </w:tcBorders>
            <w:shd w:val="clear" w:color="auto" w:fill="auto"/>
          </w:tcPr>
          <w:p w:rsidR="007B19F2" w:rsidRPr="005E1103" w:rsidRDefault="007B19F2"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51,2</w:t>
            </w:r>
          </w:p>
        </w:tc>
      </w:tr>
      <w:tr w:rsidR="007B19F2" w:rsidRPr="005E1103" w:rsidTr="005B72C1">
        <w:trPr>
          <w:trHeight w:val="206"/>
        </w:trPr>
        <w:tc>
          <w:tcPr>
            <w:tcW w:w="1985" w:type="dxa"/>
            <w:tcBorders>
              <w:top w:val="nil"/>
            </w:tcBorders>
            <w:shd w:val="clear" w:color="auto" w:fill="auto"/>
          </w:tcPr>
          <w:p w:rsidR="007B19F2" w:rsidRPr="005E1103" w:rsidRDefault="007B19F2" w:rsidP="005B72C1">
            <w:pPr>
              <w:spacing w:line="312" w:lineRule="auto"/>
              <w:ind w:right="-1"/>
              <w:jc w:val="both"/>
              <w:rPr>
                <w:rFonts w:eastAsia="Calibri" w:cstheme="minorHAnsi"/>
                <w:spacing w:val="-4"/>
                <w:sz w:val="28"/>
                <w:szCs w:val="28"/>
              </w:rPr>
            </w:pPr>
          </w:p>
        </w:tc>
        <w:tc>
          <w:tcPr>
            <w:tcW w:w="3827" w:type="dxa"/>
            <w:shd w:val="clear" w:color="auto" w:fill="auto"/>
          </w:tcPr>
          <w:p w:rsidR="007B19F2" w:rsidRPr="005E1103" w:rsidRDefault="007B19F2" w:rsidP="005B72C1">
            <w:pPr>
              <w:spacing w:line="312" w:lineRule="auto"/>
              <w:ind w:right="-1"/>
              <w:rPr>
                <w:rFonts w:cstheme="minorHAnsi"/>
                <w:spacing w:val="-4"/>
                <w:sz w:val="28"/>
                <w:szCs w:val="28"/>
              </w:rPr>
            </w:pPr>
            <w:r w:rsidRPr="005E1103">
              <w:rPr>
                <w:rFonts w:cstheme="minorHAnsi"/>
                <w:spacing w:val="-4"/>
                <w:sz w:val="28"/>
                <w:szCs w:val="28"/>
              </w:rPr>
              <w:t>2015</w:t>
            </w:r>
          </w:p>
        </w:tc>
        <w:tc>
          <w:tcPr>
            <w:tcW w:w="1175" w:type="dxa"/>
            <w:shd w:val="clear" w:color="auto" w:fill="auto"/>
          </w:tcPr>
          <w:p w:rsidR="007B19F2" w:rsidRPr="005E1103" w:rsidRDefault="007B19F2"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20</w:t>
            </w:r>
          </w:p>
        </w:tc>
        <w:tc>
          <w:tcPr>
            <w:tcW w:w="1441" w:type="dxa"/>
            <w:shd w:val="clear" w:color="auto" w:fill="auto"/>
          </w:tcPr>
          <w:p w:rsidR="007B19F2" w:rsidRPr="005E1103" w:rsidRDefault="007B19F2" w:rsidP="005B72C1">
            <w:pPr>
              <w:spacing w:line="312" w:lineRule="auto"/>
              <w:ind w:right="-1"/>
              <w:jc w:val="center"/>
              <w:rPr>
                <w:rFonts w:eastAsia="Calibri" w:cstheme="minorHAnsi"/>
                <w:spacing w:val="-4"/>
                <w:sz w:val="28"/>
                <w:szCs w:val="28"/>
              </w:rPr>
            </w:pPr>
            <w:r w:rsidRPr="005E1103">
              <w:rPr>
                <w:rFonts w:eastAsia="Calibri" w:cstheme="minorHAnsi"/>
                <w:spacing w:val="-4"/>
                <w:sz w:val="28"/>
                <w:szCs w:val="28"/>
              </w:rPr>
              <w:t>48,8</w:t>
            </w:r>
          </w:p>
        </w:tc>
      </w:tr>
    </w:tbl>
    <w:p w:rsidR="007B19F2" w:rsidRPr="005E1103" w:rsidRDefault="007B19F2" w:rsidP="007B19F2">
      <w:pPr>
        <w:jc w:val="both"/>
        <w:rPr>
          <w:rFonts w:cstheme="minorHAnsi"/>
          <w:sz w:val="28"/>
          <w:szCs w:val="28"/>
        </w:rPr>
      </w:pPr>
    </w:p>
    <w:p w:rsidR="007B19F2" w:rsidRPr="005E1103" w:rsidRDefault="007B19F2" w:rsidP="007B19F2">
      <w:pPr>
        <w:jc w:val="both"/>
        <w:rPr>
          <w:rFonts w:cstheme="minorHAnsi"/>
          <w:sz w:val="28"/>
          <w:szCs w:val="28"/>
        </w:rPr>
      </w:pPr>
    </w:p>
    <w:p w:rsidR="007B19F2" w:rsidRPr="005E1103" w:rsidRDefault="007B19F2" w:rsidP="007B19F2">
      <w:pPr>
        <w:jc w:val="both"/>
        <w:rPr>
          <w:rFonts w:cstheme="minorHAnsi"/>
          <w:sz w:val="28"/>
          <w:szCs w:val="28"/>
        </w:rPr>
      </w:pPr>
      <w:r w:rsidRPr="005E1103">
        <w:rPr>
          <w:rFonts w:cstheme="minorHAnsi"/>
          <w:sz w:val="28"/>
          <w:szCs w:val="28"/>
        </w:rPr>
        <w:t>Tal como se puede comprobar hay el mismo porcentaje de hombres que de mujeres así como que casi la mitad se encontraban cursando 4º ESO a punto de entrar en 1º de Bachillerato. Por último, la recomendación de amigos y familiares fue el principal motivo de elección del Campus Inclusivo de la Universidad de Granada, coincidiendo ese aspecto con los participantes del año 2014.</w:t>
      </w:r>
    </w:p>
    <w:p w:rsidR="007B19F2" w:rsidRPr="005E1103" w:rsidRDefault="007B19F2" w:rsidP="007B19F2">
      <w:pPr>
        <w:jc w:val="both"/>
        <w:rPr>
          <w:rFonts w:cstheme="minorHAnsi"/>
          <w:sz w:val="28"/>
          <w:szCs w:val="28"/>
        </w:rPr>
      </w:pPr>
    </w:p>
    <w:p w:rsidR="007B19F2" w:rsidRPr="005E1103" w:rsidRDefault="007B19F2" w:rsidP="007B19F2">
      <w:pPr>
        <w:ind w:left="426"/>
        <w:jc w:val="both"/>
        <w:rPr>
          <w:rFonts w:cstheme="minorHAnsi"/>
          <w:b/>
          <w:sz w:val="28"/>
          <w:szCs w:val="28"/>
        </w:rPr>
      </w:pPr>
      <w:r w:rsidRPr="005E1103">
        <w:rPr>
          <w:rFonts w:cstheme="minorHAnsi"/>
          <w:b/>
          <w:sz w:val="28"/>
          <w:szCs w:val="28"/>
        </w:rPr>
        <w:t>4.3. Análisis de datos</w:t>
      </w:r>
    </w:p>
    <w:p w:rsidR="007B19F2" w:rsidRPr="005E1103" w:rsidRDefault="007B19F2" w:rsidP="007B19F2">
      <w:pPr>
        <w:ind w:left="426"/>
        <w:jc w:val="both"/>
        <w:rPr>
          <w:rFonts w:cstheme="minorHAnsi"/>
          <w:b/>
          <w:sz w:val="28"/>
          <w:szCs w:val="28"/>
        </w:rPr>
      </w:pPr>
    </w:p>
    <w:p w:rsidR="007B19F2" w:rsidRPr="005E1103" w:rsidRDefault="007B19F2" w:rsidP="007B19F2">
      <w:pPr>
        <w:jc w:val="both"/>
        <w:rPr>
          <w:rFonts w:cstheme="minorHAnsi"/>
          <w:sz w:val="28"/>
          <w:szCs w:val="28"/>
        </w:rPr>
      </w:pPr>
      <w:r w:rsidRPr="005E1103">
        <w:rPr>
          <w:rFonts w:cstheme="minorHAnsi"/>
          <w:sz w:val="28"/>
          <w:szCs w:val="28"/>
        </w:rPr>
        <w:t>Para la codificación, análisis y pruebas estadísticas de las respuestas del cuestionario se utilizó el paquete estadístico SPSS 20.0. Las técnicas de datos utilizadas para contrastar los objetivos planteados son básicamente análisis descriptivos y pruebas no paramétricas.</w:t>
      </w:r>
    </w:p>
    <w:p w:rsidR="007B19F2" w:rsidRPr="005E1103" w:rsidRDefault="007B19F2" w:rsidP="007B19F2">
      <w:pPr>
        <w:jc w:val="both"/>
        <w:rPr>
          <w:rFonts w:cstheme="minorHAnsi"/>
          <w:b/>
          <w:sz w:val="28"/>
          <w:szCs w:val="28"/>
        </w:rPr>
      </w:pPr>
    </w:p>
    <w:p w:rsidR="007B19F2" w:rsidRPr="005E1103" w:rsidRDefault="007B19F2" w:rsidP="007B19F2">
      <w:pPr>
        <w:ind w:left="360"/>
        <w:jc w:val="both"/>
        <w:rPr>
          <w:rFonts w:cstheme="minorHAnsi"/>
          <w:b/>
          <w:sz w:val="28"/>
          <w:szCs w:val="28"/>
        </w:rPr>
      </w:pPr>
      <w:r w:rsidRPr="005E1103">
        <w:rPr>
          <w:rFonts w:cstheme="minorHAnsi"/>
          <w:b/>
          <w:sz w:val="28"/>
          <w:szCs w:val="28"/>
        </w:rPr>
        <w:t>5. Resultados</w:t>
      </w:r>
    </w:p>
    <w:p w:rsidR="007B19F2" w:rsidRPr="005E1103" w:rsidRDefault="007B19F2" w:rsidP="007B19F2">
      <w:pPr>
        <w:jc w:val="both"/>
        <w:rPr>
          <w:rFonts w:cstheme="minorHAnsi"/>
          <w:sz w:val="28"/>
          <w:szCs w:val="28"/>
        </w:rPr>
      </w:pPr>
    </w:p>
    <w:p w:rsidR="00EE68E8" w:rsidRDefault="007B19F2" w:rsidP="007B19F2">
      <w:pPr>
        <w:jc w:val="both"/>
        <w:rPr>
          <w:rFonts w:cstheme="minorHAnsi"/>
          <w:sz w:val="28"/>
          <w:szCs w:val="28"/>
        </w:rPr>
      </w:pPr>
      <w:r w:rsidRPr="005E1103">
        <w:rPr>
          <w:rFonts w:cstheme="minorHAnsi"/>
          <w:sz w:val="28"/>
          <w:szCs w:val="28"/>
        </w:rPr>
        <w:t xml:space="preserve">En primer lugar para conocer uno de los principales objetivos planteados en cuanto a si se ha logrado una mayor inclusión, se preguntó a los encuestados por su opinión una vez finalizados los Campus acerca de si creían que éstos les había ayudado a tener una mayor integración con otras personas (referido a la convivencia de personas con y sin discapacidad) además de si creían que el Campus les había sido útil para establecer nuevas amistades y normalizar la relación como iguales entre personas con y sin discapacidad y que ello ha redundado en un mayor desarrollo personal y académico. En definitiva, conocer la utilidad de la participación en los Campus donde también entran en juego los aspectos funcionales y académicos. </w:t>
      </w:r>
    </w:p>
    <w:p w:rsidR="00EE68E8" w:rsidRDefault="00EE68E8">
      <w:pPr>
        <w:rPr>
          <w:rFonts w:cstheme="minorHAnsi"/>
          <w:sz w:val="28"/>
          <w:szCs w:val="28"/>
        </w:rPr>
      </w:pPr>
      <w:r>
        <w:rPr>
          <w:rFonts w:cstheme="minorHAnsi"/>
          <w:sz w:val="28"/>
          <w:szCs w:val="28"/>
        </w:rPr>
        <w:lastRenderedPageBreak/>
        <w:br w:type="page"/>
      </w:r>
    </w:p>
    <w:p w:rsidR="007B19F2" w:rsidRPr="005E1103" w:rsidRDefault="007B19F2" w:rsidP="007B19F2">
      <w:pPr>
        <w:jc w:val="both"/>
        <w:rPr>
          <w:rFonts w:cstheme="minorHAnsi"/>
          <w:sz w:val="28"/>
          <w:szCs w:val="28"/>
        </w:rPr>
      </w:pPr>
      <w:r w:rsidRPr="005E1103">
        <w:rPr>
          <w:rFonts w:cstheme="minorHAnsi"/>
          <w:sz w:val="28"/>
          <w:szCs w:val="28"/>
        </w:rPr>
        <w:lastRenderedPageBreak/>
        <w:t>Los resultados se ofrecen en la siguiente tabla:</w:t>
      </w:r>
    </w:p>
    <w:p w:rsidR="007B19F2" w:rsidRPr="005E1103" w:rsidRDefault="007B19F2" w:rsidP="007B19F2">
      <w:pPr>
        <w:jc w:val="both"/>
        <w:rPr>
          <w:rFonts w:cstheme="minorHAnsi"/>
          <w:sz w:val="28"/>
          <w:szCs w:val="28"/>
        </w:rPr>
      </w:pPr>
    </w:p>
    <w:tbl>
      <w:tblPr>
        <w:tblW w:w="8505" w:type="dxa"/>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3969"/>
        <w:gridCol w:w="1560"/>
        <w:gridCol w:w="1701"/>
        <w:gridCol w:w="580"/>
        <w:gridCol w:w="695"/>
      </w:tblGrid>
      <w:tr w:rsidR="007B19F2" w:rsidRPr="005E1103" w:rsidTr="005B72C1">
        <w:trPr>
          <w:gridAfter w:val="1"/>
          <w:wAfter w:w="695" w:type="dxa"/>
        </w:trPr>
        <w:tc>
          <w:tcPr>
            <w:tcW w:w="3969" w:type="dxa"/>
            <w:tcBorders>
              <w:top w:val="nil"/>
              <w:left w:val="nil"/>
              <w:bottom w:val="single" w:sz="4" w:space="0" w:color="auto"/>
              <w:right w:val="nil"/>
            </w:tcBorders>
            <w:shd w:val="clear" w:color="auto" w:fill="auto"/>
          </w:tcPr>
          <w:p w:rsidR="007B19F2" w:rsidRPr="005E1103" w:rsidRDefault="007B19F2" w:rsidP="005B72C1">
            <w:pPr>
              <w:jc w:val="both"/>
              <w:rPr>
                <w:rFonts w:cstheme="minorHAnsi"/>
                <w:b/>
                <w:sz w:val="28"/>
                <w:szCs w:val="28"/>
              </w:rPr>
            </w:pPr>
            <w:r w:rsidRPr="005E1103">
              <w:rPr>
                <w:rFonts w:cstheme="minorHAnsi"/>
                <w:b/>
                <w:sz w:val="28"/>
                <w:szCs w:val="28"/>
              </w:rPr>
              <w:t>Tabla 2. Valoración de la utilidad de los Campus Inclusivos</w:t>
            </w:r>
          </w:p>
          <w:p w:rsidR="007B19F2" w:rsidRPr="005E1103" w:rsidRDefault="007B19F2" w:rsidP="005B72C1">
            <w:pPr>
              <w:jc w:val="both"/>
              <w:rPr>
                <w:rFonts w:cstheme="minorHAnsi"/>
                <w:b/>
                <w:sz w:val="28"/>
                <w:szCs w:val="28"/>
              </w:rPr>
            </w:pPr>
          </w:p>
        </w:tc>
        <w:tc>
          <w:tcPr>
            <w:tcW w:w="1560" w:type="dxa"/>
            <w:tcBorders>
              <w:top w:val="nil"/>
              <w:left w:val="nil"/>
              <w:bottom w:val="single" w:sz="4" w:space="0" w:color="auto"/>
              <w:right w:val="nil"/>
            </w:tcBorders>
          </w:tcPr>
          <w:p w:rsidR="007B19F2" w:rsidRPr="005E1103" w:rsidRDefault="007B19F2" w:rsidP="005B72C1">
            <w:pPr>
              <w:jc w:val="both"/>
              <w:rPr>
                <w:rFonts w:cstheme="minorHAnsi"/>
                <w:b/>
                <w:sz w:val="28"/>
                <w:szCs w:val="28"/>
              </w:rPr>
            </w:pPr>
          </w:p>
        </w:tc>
        <w:tc>
          <w:tcPr>
            <w:tcW w:w="1701" w:type="dxa"/>
            <w:tcBorders>
              <w:top w:val="nil"/>
              <w:left w:val="nil"/>
              <w:bottom w:val="single" w:sz="4" w:space="0" w:color="auto"/>
              <w:right w:val="nil"/>
            </w:tcBorders>
          </w:tcPr>
          <w:p w:rsidR="007B19F2" w:rsidRPr="005E1103" w:rsidRDefault="007B19F2" w:rsidP="005B72C1">
            <w:pPr>
              <w:jc w:val="both"/>
              <w:rPr>
                <w:rFonts w:cstheme="minorHAnsi"/>
                <w:b/>
                <w:sz w:val="28"/>
                <w:szCs w:val="28"/>
              </w:rPr>
            </w:pPr>
          </w:p>
        </w:tc>
        <w:tc>
          <w:tcPr>
            <w:tcW w:w="580" w:type="dxa"/>
            <w:tcBorders>
              <w:top w:val="nil"/>
              <w:left w:val="nil"/>
              <w:bottom w:val="single" w:sz="4" w:space="0" w:color="auto"/>
              <w:right w:val="nil"/>
            </w:tcBorders>
            <w:shd w:val="clear" w:color="auto" w:fill="auto"/>
          </w:tcPr>
          <w:p w:rsidR="007B19F2" w:rsidRPr="005E1103" w:rsidRDefault="007B19F2" w:rsidP="005B72C1">
            <w:pPr>
              <w:jc w:val="both"/>
              <w:rPr>
                <w:rFonts w:cstheme="minorHAnsi"/>
                <w:b/>
                <w:sz w:val="28"/>
                <w:szCs w:val="28"/>
              </w:rPr>
            </w:pPr>
          </w:p>
        </w:tc>
      </w:tr>
      <w:tr w:rsidR="007B19F2" w:rsidRPr="005E1103" w:rsidTr="005B72C1">
        <w:tc>
          <w:tcPr>
            <w:tcW w:w="3969" w:type="dxa"/>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both"/>
              <w:rPr>
                <w:rFonts w:cstheme="minorHAnsi"/>
                <w:sz w:val="28"/>
                <w:szCs w:val="28"/>
              </w:rPr>
            </w:pPr>
          </w:p>
        </w:tc>
        <w:tc>
          <w:tcPr>
            <w:tcW w:w="1560" w:type="dxa"/>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center"/>
              <w:rPr>
                <w:rFonts w:cstheme="minorHAnsi"/>
                <w:b/>
                <w:sz w:val="28"/>
                <w:szCs w:val="28"/>
              </w:rPr>
            </w:pPr>
            <w:r w:rsidRPr="005E1103">
              <w:rPr>
                <w:rFonts w:cstheme="minorHAnsi"/>
                <w:b/>
                <w:sz w:val="28"/>
                <w:szCs w:val="28"/>
              </w:rPr>
              <w:t>2014</w:t>
            </w:r>
          </w:p>
        </w:tc>
        <w:tc>
          <w:tcPr>
            <w:tcW w:w="1701" w:type="dxa"/>
            <w:tcBorders>
              <w:top w:val="single" w:sz="4" w:space="0" w:color="auto"/>
              <w:left w:val="single" w:sz="4" w:space="0" w:color="auto"/>
              <w:bottom w:val="single" w:sz="4" w:space="0" w:color="auto"/>
              <w:right w:val="single" w:sz="4" w:space="0" w:color="auto"/>
            </w:tcBorders>
            <w:shd w:val="clear" w:color="auto" w:fill="EEECE1"/>
          </w:tcPr>
          <w:p w:rsidR="007B19F2" w:rsidRPr="005E1103" w:rsidRDefault="007B19F2" w:rsidP="005B72C1">
            <w:pPr>
              <w:jc w:val="center"/>
              <w:rPr>
                <w:rFonts w:cstheme="minorHAnsi"/>
                <w:b/>
                <w:sz w:val="28"/>
                <w:szCs w:val="28"/>
              </w:rPr>
            </w:pPr>
            <w:r w:rsidRPr="005E1103">
              <w:rPr>
                <w:rFonts w:cstheme="minorHAnsi"/>
                <w:b/>
                <w:sz w:val="28"/>
                <w:szCs w:val="28"/>
              </w:rPr>
              <w:t>2015</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center"/>
              <w:rPr>
                <w:rFonts w:cstheme="minorHAnsi"/>
                <w:b/>
                <w:sz w:val="28"/>
                <w:szCs w:val="28"/>
              </w:rPr>
            </w:pPr>
            <w:r w:rsidRPr="005E1103">
              <w:rPr>
                <w:rFonts w:cstheme="minorHAnsi"/>
                <w:b/>
                <w:sz w:val="28"/>
                <w:szCs w:val="28"/>
              </w:rPr>
              <w:t>Sig.</w:t>
            </w:r>
          </w:p>
        </w:tc>
      </w:tr>
      <w:tr w:rsidR="007B19F2" w:rsidRPr="005E1103" w:rsidTr="005B72C1">
        <w:tc>
          <w:tcPr>
            <w:tcW w:w="3969" w:type="dxa"/>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rPr>
                <w:rFonts w:cstheme="minorHAnsi"/>
                <w:sz w:val="28"/>
                <w:szCs w:val="28"/>
              </w:rPr>
            </w:pPr>
            <w:r w:rsidRPr="005E1103">
              <w:rPr>
                <w:rFonts w:cstheme="minorHAnsi"/>
                <w:sz w:val="28"/>
                <w:szCs w:val="28"/>
              </w:rPr>
              <w:t>El Campus me ha animado e impulsado a estudiar una carrera universitaria</w:t>
            </w:r>
          </w:p>
        </w:tc>
        <w:tc>
          <w:tcPr>
            <w:tcW w:w="1560" w:type="dxa"/>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center"/>
              <w:rPr>
                <w:rFonts w:cstheme="minorHAnsi"/>
                <w:sz w:val="28"/>
                <w:szCs w:val="28"/>
              </w:rPr>
            </w:pPr>
            <w:r w:rsidRPr="005E1103">
              <w:rPr>
                <w:rFonts w:cstheme="minorHAnsi"/>
                <w:sz w:val="28"/>
                <w:szCs w:val="28"/>
              </w:rPr>
              <w:t>4,35</w:t>
            </w:r>
          </w:p>
        </w:tc>
        <w:tc>
          <w:tcPr>
            <w:tcW w:w="1701" w:type="dxa"/>
            <w:tcBorders>
              <w:top w:val="single" w:sz="4" w:space="0" w:color="auto"/>
              <w:left w:val="single" w:sz="4" w:space="0" w:color="auto"/>
              <w:bottom w:val="single" w:sz="4" w:space="0" w:color="auto"/>
              <w:right w:val="single" w:sz="4" w:space="0" w:color="auto"/>
            </w:tcBorders>
            <w:shd w:val="clear" w:color="auto" w:fill="EEECE1"/>
          </w:tcPr>
          <w:p w:rsidR="007B19F2" w:rsidRPr="005E1103" w:rsidRDefault="007B19F2" w:rsidP="005B72C1">
            <w:pPr>
              <w:jc w:val="center"/>
              <w:rPr>
                <w:rFonts w:cstheme="minorHAnsi"/>
                <w:sz w:val="28"/>
                <w:szCs w:val="28"/>
              </w:rPr>
            </w:pPr>
            <w:r w:rsidRPr="005E1103">
              <w:rPr>
                <w:rFonts w:cstheme="minorHAnsi"/>
                <w:sz w:val="28"/>
                <w:szCs w:val="28"/>
              </w:rPr>
              <w:t>4,15</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center"/>
              <w:rPr>
                <w:rFonts w:cstheme="minorHAnsi"/>
                <w:sz w:val="28"/>
                <w:szCs w:val="28"/>
              </w:rPr>
            </w:pPr>
            <w:r w:rsidRPr="005E1103">
              <w:rPr>
                <w:rFonts w:cstheme="minorHAnsi"/>
                <w:sz w:val="28"/>
                <w:szCs w:val="28"/>
              </w:rPr>
              <w:t>0,303</w:t>
            </w:r>
          </w:p>
        </w:tc>
      </w:tr>
      <w:tr w:rsidR="007B19F2" w:rsidRPr="005E1103" w:rsidTr="005B72C1">
        <w:tc>
          <w:tcPr>
            <w:tcW w:w="3969" w:type="dxa"/>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rPr>
                <w:rFonts w:cstheme="minorHAnsi"/>
                <w:sz w:val="28"/>
                <w:szCs w:val="28"/>
              </w:rPr>
            </w:pPr>
            <w:r w:rsidRPr="005E1103">
              <w:rPr>
                <w:rFonts w:cstheme="minorHAnsi"/>
                <w:sz w:val="28"/>
                <w:szCs w:val="28"/>
              </w:rPr>
              <w:t>El Campus me ha ayudado a aclarar que quiero estudiar en el futuro</w:t>
            </w:r>
          </w:p>
        </w:tc>
        <w:tc>
          <w:tcPr>
            <w:tcW w:w="1560" w:type="dxa"/>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center"/>
              <w:rPr>
                <w:rFonts w:cstheme="minorHAnsi"/>
                <w:sz w:val="28"/>
                <w:szCs w:val="28"/>
              </w:rPr>
            </w:pPr>
            <w:r w:rsidRPr="005E1103">
              <w:rPr>
                <w:rFonts w:cstheme="minorHAnsi"/>
                <w:sz w:val="28"/>
                <w:szCs w:val="28"/>
              </w:rPr>
              <w:t>4,00</w:t>
            </w:r>
          </w:p>
        </w:tc>
        <w:tc>
          <w:tcPr>
            <w:tcW w:w="1701" w:type="dxa"/>
            <w:tcBorders>
              <w:top w:val="single" w:sz="4" w:space="0" w:color="auto"/>
              <w:left w:val="single" w:sz="4" w:space="0" w:color="auto"/>
              <w:bottom w:val="single" w:sz="4" w:space="0" w:color="auto"/>
              <w:right w:val="single" w:sz="4" w:space="0" w:color="auto"/>
            </w:tcBorders>
            <w:shd w:val="clear" w:color="auto" w:fill="EEECE1"/>
          </w:tcPr>
          <w:p w:rsidR="007B19F2" w:rsidRPr="005E1103" w:rsidRDefault="007B19F2" w:rsidP="005B72C1">
            <w:pPr>
              <w:jc w:val="center"/>
              <w:rPr>
                <w:rFonts w:cstheme="minorHAnsi"/>
                <w:sz w:val="28"/>
                <w:szCs w:val="28"/>
              </w:rPr>
            </w:pPr>
            <w:r w:rsidRPr="005E1103">
              <w:rPr>
                <w:rFonts w:cstheme="minorHAnsi"/>
                <w:sz w:val="28"/>
                <w:szCs w:val="28"/>
              </w:rPr>
              <w:t>4,10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center"/>
              <w:rPr>
                <w:rFonts w:cstheme="minorHAnsi"/>
                <w:sz w:val="28"/>
                <w:szCs w:val="28"/>
              </w:rPr>
            </w:pPr>
            <w:r w:rsidRPr="005E1103">
              <w:rPr>
                <w:rFonts w:cstheme="minorHAnsi"/>
                <w:sz w:val="28"/>
                <w:szCs w:val="28"/>
              </w:rPr>
              <w:t>0,946</w:t>
            </w:r>
          </w:p>
        </w:tc>
      </w:tr>
      <w:tr w:rsidR="007B19F2" w:rsidRPr="005E1103" w:rsidTr="005B72C1">
        <w:tc>
          <w:tcPr>
            <w:tcW w:w="3969" w:type="dxa"/>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rPr>
                <w:rFonts w:cstheme="minorHAnsi"/>
                <w:sz w:val="28"/>
                <w:szCs w:val="28"/>
              </w:rPr>
            </w:pPr>
            <w:r w:rsidRPr="005E1103">
              <w:rPr>
                <w:rFonts w:cstheme="minorHAnsi"/>
                <w:sz w:val="28"/>
                <w:szCs w:val="28"/>
              </w:rPr>
              <w:t>El Campus me ha servido para conocer el funcionamiento y estructura de la Universidad de Granada</w:t>
            </w:r>
          </w:p>
        </w:tc>
        <w:tc>
          <w:tcPr>
            <w:tcW w:w="1560" w:type="dxa"/>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center"/>
              <w:rPr>
                <w:rFonts w:cstheme="minorHAnsi"/>
                <w:sz w:val="28"/>
                <w:szCs w:val="28"/>
              </w:rPr>
            </w:pPr>
            <w:r w:rsidRPr="005E1103">
              <w:rPr>
                <w:rFonts w:cstheme="minorHAnsi"/>
                <w:sz w:val="28"/>
                <w:szCs w:val="28"/>
              </w:rPr>
              <w:t>4,45</w:t>
            </w:r>
          </w:p>
        </w:tc>
        <w:tc>
          <w:tcPr>
            <w:tcW w:w="1701" w:type="dxa"/>
            <w:tcBorders>
              <w:top w:val="single" w:sz="4" w:space="0" w:color="auto"/>
              <w:left w:val="single" w:sz="4" w:space="0" w:color="auto"/>
              <w:bottom w:val="single" w:sz="4" w:space="0" w:color="auto"/>
              <w:right w:val="single" w:sz="4" w:space="0" w:color="auto"/>
            </w:tcBorders>
            <w:shd w:val="clear" w:color="auto" w:fill="EEECE1"/>
          </w:tcPr>
          <w:p w:rsidR="007B19F2" w:rsidRPr="005E1103" w:rsidRDefault="007B19F2" w:rsidP="005B72C1">
            <w:pPr>
              <w:jc w:val="center"/>
              <w:rPr>
                <w:rFonts w:cstheme="minorHAnsi"/>
                <w:sz w:val="28"/>
                <w:szCs w:val="28"/>
              </w:rPr>
            </w:pPr>
            <w:r w:rsidRPr="005E1103">
              <w:rPr>
                <w:rFonts w:cstheme="minorHAnsi"/>
                <w:sz w:val="28"/>
                <w:szCs w:val="28"/>
              </w:rPr>
              <w:t>4,45</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center"/>
              <w:rPr>
                <w:rFonts w:cstheme="minorHAnsi"/>
                <w:sz w:val="28"/>
                <w:szCs w:val="28"/>
              </w:rPr>
            </w:pPr>
            <w:r w:rsidRPr="005E1103">
              <w:rPr>
                <w:rFonts w:cstheme="minorHAnsi"/>
                <w:sz w:val="28"/>
                <w:szCs w:val="28"/>
              </w:rPr>
              <w:t>0,745</w:t>
            </w:r>
          </w:p>
        </w:tc>
      </w:tr>
      <w:tr w:rsidR="007B19F2" w:rsidRPr="005E1103" w:rsidTr="005B72C1">
        <w:tc>
          <w:tcPr>
            <w:tcW w:w="3969" w:type="dxa"/>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rPr>
                <w:rFonts w:cstheme="minorHAnsi"/>
                <w:sz w:val="28"/>
                <w:szCs w:val="28"/>
              </w:rPr>
            </w:pPr>
            <w:r w:rsidRPr="005E1103">
              <w:rPr>
                <w:rFonts w:cstheme="minorHAnsi"/>
                <w:sz w:val="28"/>
                <w:szCs w:val="28"/>
              </w:rPr>
              <w:t xml:space="preserve">El Campus me ha permitido desarrollar nuevas habilidades y capacidades </w:t>
            </w:r>
          </w:p>
        </w:tc>
        <w:tc>
          <w:tcPr>
            <w:tcW w:w="1560" w:type="dxa"/>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center"/>
              <w:rPr>
                <w:rFonts w:cstheme="minorHAnsi"/>
                <w:sz w:val="28"/>
                <w:szCs w:val="28"/>
              </w:rPr>
            </w:pPr>
            <w:r w:rsidRPr="005E1103">
              <w:rPr>
                <w:rFonts w:cstheme="minorHAnsi"/>
                <w:sz w:val="28"/>
                <w:szCs w:val="28"/>
              </w:rPr>
              <w:t>4,50</w:t>
            </w:r>
          </w:p>
        </w:tc>
        <w:tc>
          <w:tcPr>
            <w:tcW w:w="1701" w:type="dxa"/>
            <w:tcBorders>
              <w:top w:val="single" w:sz="4" w:space="0" w:color="auto"/>
              <w:left w:val="single" w:sz="4" w:space="0" w:color="auto"/>
              <w:bottom w:val="single" w:sz="4" w:space="0" w:color="auto"/>
              <w:right w:val="single" w:sz="4" w:space="0" w:color="auto"/>
            </w:tcBorders>
            <w:shd w:val="clear" w:color="auto" w:fill="EEECE1"/>
          </w:tcPr>
          <w:p w:rsidR="007B19F2" w:rsidRPr="005E1103" w:rsidRDefault="007B19F2" w:rsidP="005B72C1">
            <w:pPr>
              <w:jc w:val="center"/>
              <w:rPr>
                <w:rFonts w:cstheme="minorHAnsi"/>
                <w:sz w:val="28"/>
                <w:szCs w:val="28"/>
              </w:rPr>
            </w:pPr>
            <w:r w:rsidRPr="005E1103">
              <w:rPr>
                <w:rFonts w:cstheme="minorHAnsi"/>
                <w:sz w:val="28"/>
                <w:szCs w:val="28"/>
              </w:rPr>
              <w:t>4,45</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center"/>
              <w:rPr>
                <w:rFonts w:cstheme="minorHAnsi"/>
                <w:sz w:val="28"/>
                <w:szCs w:val="28"/>
              </w:rPr>
            </w:pPr>
            <w:r w:rsidRPr="005E1103">
              <w:rPr>
                <w:rFonts w:cstheme="minorHAnsi"/>
                <w:sz w:val="28"/>
                <w:szCs w:val="28"/>
              </w:rPr>
              <w:t>0,800</w:t>
            </w:r>
          </w:p>
        </w:tc>
      </w:tr>
      <w:tr w:rsidR="007B19F2" w:rsidRPr="005E1103" w:rsidTr="005B72C1">
        <w:tc>
          <w:tcPr>
            <w:tcW w:w="3969" w:type="dxa"/>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rPr>
                <w:rFonts w:cstheme="minorHAnsi"/>
                <w:sz w:val="28"/>
                <w:szCs w:val="28"/>
              </w:rPr>
            </w:pPr>
            <w:r w:rsidRPr="005E1103">
              <w:rPr>
                <w:rFonts w:cstheme="minorHAnsi"/>
                <w:sz w:val="28"/>
                <w:szCs w:val="28"/>
              </w:rPr>
              <w:t xml:space="preserve">El Campus me ha permitido establecer nuevas amistades y conocer </w:t>
            </w:r>
          </w:p>
        </w:tc>
        <w:tc>
          <w:tcPr>
            <w:tcW w:w="1560" w:type="dxa"/>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center"/>
              <w:rPr>
                <w:rFonts w:cstheme="minorHAnsi"/>
                <w:sz w:val="28"/>
                <w:szCs w:val="28"/>
              </w:rPr>
            </w:pPr>
            <w:r w:rsidRPr="005E1103">
              <w:rPr>
                <w:rFonts w:cstheme="minorHAnsi"/>
                <w:sz w:val="28"/>
                <w:szCs w:val="28"/>
              </w:rPr>
              <w:t>4,91</w:t>
            </w:r>
          </w:p>
        </w:tc>
        <w:tc>
          <w:tcPr>
            <w:tcW w:w="1701" w:type="dxa"/>
            <w:tcBorders>
              <w:top w:val="single" w:sz="4" w:space="0" w:color="auto"/>
              <w:left w:val="single" w:sz="4" w:space="0" w:color="auto"/>
              <w:bottom w:val="single" w:sz="4" w:space="0" w:color="auto"/>
              <w:right w:val="single" w:sz="4" w:space="0" w:color="auto"/>
            </w:tcBorders>
            <w:shd w:val="clear" w:color="auto" w:fill="EEECE1"/>
          </w:tcPr>
          <w:p w:rsidR="007B19F2" w:rsidRPr="005E1103" w:rsidRDefault="007B19F2" w:rsidP="005B72C1">
            <w:pPr>
              <w:jc w:val="center"/>
              <w:rPr>
                <w:rFonts w:cstheme="minorHAnsi"/>
                <w:sz w:val="28"/>
                <w:szCs w:val="28"/>
              </w:rPr>
            </w:pPr>
            <w:r w:rsidRPr="005E1103">
              <w:rPr>
                <w:rFonts w:cstheme="minorHAnsi"/>
                <w:sz w:val="28"/>
                <w:szCs w:val="28"/>
              </w:rPr>
              <w:t>4,60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center"/>
              <w:rPr>
                <w:rFonts w:cstheme="minorHAnsi"/>
                <w:sz w:val="28"/>
                <w:szCs w:val="28"/>
              </w:rPr>
            </w:pPr>
            <w:r w:rsidRPr="005E1103">
              <w:rPr>
                <w:rFonts w:cstheme="minorHAnsi"/>
                <w:sz w:val="28"/>
                <w:szCs w:val="28"/>
              </w:rPr>
              <w:t>0,281</w:t>
            </w:r>
          </w:p>
        </w:tc>
      </w:tr>
      <w:tr w:rsidR="007B19F2" w:rsidRPr="005E1103" w:rsidTr="005B72C1">
        <w:tc>
          <w:tcPr>
            <w:tcW w:w="3969" w:type="dxa"/>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rPr>
                <w:rFonts w:cstheme="minorHAnsi"/>
                <w:sz w:val="28"/>
                <w:szCs w:val="28"/>
              </w:rPr>
            </w:pPr>
            <w:r w:rsidRPr="005E1103">
              <w:rPr>
                <w:rFonts w:cstheme="minorHAnsi"/>
                <w:sz w:val="28"/>
                <w:szCs w:val="28"/>
              </w:rPr>
              <w:t>El Campus me ha ayudado a decidir que quiero estudiar en la Universidad de Granada</w:t>
            </w:r>
          </w:p>
        </w:tc>
        <w:tc>
          <w:tcPr>
            <w:tcW w:w="1560" w:type="dxa"/>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center"/>
              <w:rPr>
                <w:rFonts w:cstheme="minorHAnsi"/>
                <w:sz w:val="28"/>
                <w:szCs w:val="28"/>
              </w:rPr>
            </w:pPr>
            <w:r w:rsidRPr="005E1103">
              <w:rPr>
                <w:rFonts w:cstheme="minorHAnsi"/>
                <w:sz w:val="28"/>
                <w:szCs w:val="28"/>
              </w:rPr>
              <w:t>4,09</w:t>
            </w:r>
          </w:p>
        </w:tc>
        <w:tc>
          <w:tcPr>
            <w:tcW w:w="1701" w:type="dxa"/>
            <w:tcBorders>
              <w:top w:val="single" w:sz="4" w:space="0" w:color="auto"/>
              <w:left w:val="single" w:sz="4" w:space="0" w:color="auto"/>
              <w:bottom w:val="single" w:sz="4" w:space="0" w:color="auto"/>
              <w:right w:val="single" w:sz="4" w:space="0" w:color="auto"/>
            </w:tcBorders>
            <w:shd w:val="clear" w:color="auto" w:fill="EEECE1"/>
          </w:tcPr>
          <w:p w:rsidR="007B19F2" w:rsidRPr="005E1103" w:rsidRDefault="007B19F2" w:rsidP="005B72C1">
            <w:pPr>
              <w:jc w:val="center"/>
              <w:rPr>
                <w:rFonts w:cstheme="minorHAnsi"/>
                <w:sz w:val="28"/>
                <w:szCs w:val="28"/>
              </w:rPr>
            </w:pPr>
            <w:r w:rsidRPr="005E1103">
              <w:rPr>
                <w:rFonts w:cstheme="minorHAnsi"/>
                <w:sz w:val="28"/>
                <w:szCs w:val="28"/>
              </w:rPr>
              <w:t>4,00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center"/>
              <w:rPr>
                <w:rFonts w:cstheme="minorHAnsi"/>
                <w:sz w:val="28"/>
                <w:szCs w:val="28"/>
              </w:rPr>
            </w:pPr>
            <w:r w:rsidRPr="005E1103">
              <w:rPr>
                <w:rFonts w:cstheme="minorHAnsi"/>
                <w:sz w:val="28"/>
                <w:szCs w:val="28"/>
              </w:rPr>
              <w:t>0,547</w:t>
            </w:r>
          </w:p>
        </w:tc>
      </w:tr>
      <w:tr w:rsidR="007B19F2" w:rsidRPr="005E1103" w:rsidTr="005B72C1">
        <w:tc>
          <w:tcPr>
            <w:tcW w:w="3969" w:type="dxa"/>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rPr>
                <w:rFonts w:cstheme="minorHAnsi"/>
                <w:sz w:val="28"/>
                <w:szCs w:val="28"/>
              </w:rPr>
            </w:pPr>
            <w:r w:rsidRPr="005E1103">
              <w:rPr>
                <w:rFonts w:cstheme="minorHAnsi"/>
                <w:sz w:val="28"/>
                <w:szCs w:val="28"/>
              </w:rPr>
              <w:t>El Campus ha supuesto un desarrollo tanto personal como académico</w:t>
            </w:r>
          </w:p>
        </w:tc>
        <w:tc>
          <w:tcPr>
            <w:tcW w:w="1560" w:type="dxa"/>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center"/>
              <w:rPr>
                <w:rFonts w:cstheme="minorHAnsi"/>
                <w:sz w:val="28"/>
                <w:szCs w:val="28"/>
              </w:rPr>
            </w:pPr>
            <w:r w:rsidRPr="005E1103">
              <w:rPr>
                <w:rFonts w:cstheme="minorHAnsi"/>
                <w:sz w:val="28"/>
                <w:szCs w:val="28"/>
              </w:rPr>
              <w:t>4,73</w:t>
            </w:r>
          </w:p>
        </w:tc>
        <w:tc>
          <w:tcPr>
            <w:tcW w:w="1701" w:type="dxa"/>
            <w:tcBorders>
              <w:top w:val="single" w:sz="4" w:space="0" w:color="auto"/>
              <w:left w:val="single" w:sz="4" w:space="0" w:color="auto"/>
              <w:bottom w:val="single" w:sz="4" w:space="0" w:color="auto"/>
              <w:right w:val="single" w:sz="4" w:space="0" w:color="auto"/>
            </w:tcBorders>
            <w:shd w:val="clear" w:color="auto" w:fill="EEECE1"/>
          </w:tcPr>
          <w:p w:rsidR="007B19F2" w:rsidRPr="005E1103" w:rsidRDefault="007B19F2" w:rsidP="005B72C1">
            <w:pPr>
              <w:jc w:val="center"/>
              <w:rPr>
                <w:rFonts w:cstheme="minorHAnsi"/>
                <w:sz w:val="28"/>
                <w:szCs w:val="28"/>
              </w:rPr>
            </w:pPr>
            <w:r w:rsidRPr="005E1103">
              <w:rPr>
                <w:rFonts w:cstheme="minorHAnsi"/>
                <w:sz w:val="28"/>
                <w:szCs w:val="28"/>
              </w:rPr>
              <w:t>4,50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center"/>
              <w:rPr>
                <w:rFonts w:cstheme="minorHAnsi"/>
                <w:sz w:val="28"/>
                <w:szCs w:val="28"/>
              </w:rPr>
            </w:pPr>
            <w:r w:rsidRPr="005E1103">
              <w:rPr>
                <w:rFonts w:cstheme="minorHAnsi"/>
                <w:sz w:val="28"/>
                <w:szCs w:val="28"/>
              </w:rPr>
              <w:t>0,774</w:t>
            </w:r>
          </w:p>
        </w:tc>
      </w:tr>
      <w:tr w:rsidR="007B19F2" w:rsidRPr="005E1103" w:rsidTr="005B72C1">
        <w:tc>
          <w:tcPr>
            <w:tcW w:w="3969" w:type="dxa"/>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rPr>
                <w:rFonts w:cstheme="minorHAnsi"/>
                <w:sz w:val="28"/>
                <w:szCs w:val="28"/>
              </w:rPr>
            </w:pPr>
            <w:r w:rsidRPr="005E1103">
              <w:rPr>
                <w:rFonts w:cstheme="minorHAnsi"/>
                <w:sz w:val="28"/>
                <w:szCs w:val="28"/>
              </w:rPr>
              <w:t xml:space="preserve">El Campus me ha ayudado una mayor integración con otras </w:t>
            </w:r>
            <w:r w:rsidRPr="005E1103">
              <w:rPr>
                <w:rFonts w:cstheme="minorHAnsi"/>
                <w:sz w:val="28"/>
                <w:szCs w:val="28"/>
              </w:rPr>
              <w:lastRenderedPageBreak/>
              <w:t>personas</w:t>
            </w:r>
          </w:p>
        </w:tc>
        <w:tc>
          <w:tcPr>
            <w:tcW w:w="1560" w:type="dxa"/>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center"/>
              <w:rPr>
                <w:rFonts w:cstheme="minorHAnsi"/>
                <w:sz w:val="28"/>
                <w:szCs w:val="28"/>
              </w:rPr>
            </w:pPr>
            <w:r w:rsidRPr="005E1103">
              <w:rPr>
                <w:rFonts w:cstheme="minorHAnsi"/>
                <w:sz w:val="28"/>
                <w:szCs w:val="28"/>
              </w:rPr>
              <w:lastRenderedPageBreak/>
              <w:t>4,80</w:t>
            </w:r>
          </w:p>
        </w:tc>
        <w:tc>
          <w:tcPr>
            <w:tcW w:w="1701" w:type="dxa"/>
            <w:tcBorders>
              <w:top w:val="single" w:sz="4" w:space="0" w:color="auto"/>
              <w:left w:val="single" w:sz="4" w:space="0" w:color="auto"/>
              <w:bottom w:val="single" w:sz="4" w:space="0" w:color="auto"/>
              <w:right w:val="single" w:sz="4" w:space="0" w:color="auto"/>
            </w:tcBorders>
            <w:shd w:val="clear" w:color="auto" w:fill="EEECE1"/>
          </w:tcPr>
          <w:p w:rsidR="007B19F2" w:rsidRPr="005E1103" w:rsidRDefault="007B19F2" w:rsidP="005B72C1">
            <w:pPr>
              <w:jc w:val="center"/>
              <w:rPr>
                <w:rFonts w:cstheme="minorHAnsi"/>
                <w:sz w:val="28"/>
                <w:szCs w:val="28"/>
              </w:rPr>
            </w:pPr>
            <w:r w:rsidRPr="005E1103">
              <w:rPr>
                <w:rFonts w:cstheme="minorHAnsi"/>
                <w:sz w:val="28"/>
                <w:szCs w:val="28"/>
              </w:rPr>
              <w:t>4,75</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center"/>
              <w:rPr>
                <w:rFonts w:cstheme="minorHAnsi"/>
                <w:sz w:val="28"/>
                <w:szCs w:val="28"/>
              </w:rPr>
            </w:pPr>
            <w:r w:rsidRPr="005E1103">
              <w:rPr>
                <w:rFonts w:cstheme="minorHAnsi"/>
                <w:sz w:val="28"/>
                <w:szCs w:val="28"/>
              </w:rPr>
              <w:t>0,852</w:t>
            </w:r>
          </w:p>
        </w:tc>
      </w:tr>
    </w:tbl>
    <w:p w:rsidR="007B19F2" w:rsidRPr="005E1103" w:rsidRDefault="007B19F2" w:rsidP="007B19F2">
      <w:pPr>
        <w:jc w:val="both"/>
        <w:rPr>
          <w:rFonts w:cstheme="minorHAnsi"/>
          <w:sz w:val="28"/>
          <w:szCs w:val="28"/>
        </w:rPr>
      </w:pPr>
      <w:r w:rsidRPr="005E1103">
        <w:rPr>
          <w:rFonts w:cstheme="minorHAnsi"/>
          <w:sz w:val="28"/>
          <w:szCs w:val="28"/>
        </w:rPr>
        <w:lastRenderedPageBreak/>
        <w:t xml:space="preserve">Respecto a los resultados alcanzados que pueden extraerse destaca que en todos los casos se obtuvieron unas altas puntuaciones por parte de los participantes. En todos los casos se encuentran puntuaciones más altas de 4 puntos de la escala. Destaca que como media sin diferencias entre alumnos entre el año de edición (prueba no paramétrica de Mann-Whitney) el aspecto más importante fue el hecho de hacer nuevas amistades y normalizar la relación como iguales.  El Campus también destaca por el desarrollo de nuevas capacidades y </w:t>
      </w:r>
      <w:r w:rsidR="00EE68E8" w:rsidRPr="005E1103">
        <w:rPr>
          <w:rFonts w:cstheme="minorHAnsi"/>
          <w:sz w:val="28"/>
          <w:szCs w:val="28"/>
        </w:rPr>
        <w:t>habilidades,</w:t>
      </w:r>
      <w:r w:rsidRPr="005E1103">
        <w:rPr>
          <w:rFonts w:cstheme="minorHAnsi"/>
          <w:sz w:val="28"/>
          <w:szCs w:val="28"/>
        </w:rPr>
        <w:t xml:space="preserve"> así como por el hecho de acercar la realidad universitaria a los estudiantes. De este modo, la valoración ha sido bastante positiva en todos los casos. Sin embargo, en 7 de los 8 ítems se ha producido un descenso en la </w:t>
      </w:r>
      <w:r w:rsidR="00EE68E8" w:rsidRPr="005E1103">
        <w:rPr>
          <w:rFonts w:cstheme="minorHAnsi"/>
          <w:sz w:val="28"/>
          <w:szCs w:val="28"/>
        </w:rPr>
        <w:t>valoración,</w:t>
      </w:r>
      <w:r w:rsidRPr="005E1103">
        <w:rPr>
          <w:rFonts w:cstheme="minorHAnsi"/>
          <w:sz w:val="28"/>
          <w:szCs w:val="28"/>
        </w:rPr>
        <w:t xml:space="preserve"> aunque sin provocar diferencias a nivel estadístico por lo que se mantiene en el mismo nivel de valoración con respecto al año 2014.</w:t>
      </w:r>
    </w:p>
    <w:p w:rsidR="007B19F2" w:rsidRPr="005E1103" w:rsidRDefault="007B19F2" w:rsidP="007B19F2">
      <w:pPr>
        <w:jc w:val="both"/>
        <w:rPr>
          <w:rFonts w:cstheme="minorHAnsi"/>
          <w:sz w:val="28"/>
          <w:szCs w:val="28"/>
        </w:rPr>
      </w:pPr>
    </w:p>
    <w:p w:rsidR="007B19F2" w:rsidRPr="005E1103" w:rsidRDefault="007B19F2" w:rsidP="007B19F2">
      <w:pPr>
        <w:jc w:val="both"/>
        <w:rPr>
          <w:rFonts w:cstheme="minorHAnsi"/>
          <w:sz w:val="28"/>
          <w:szCs w:val="28"/>
        </w:rPr>
      </w:pPr>
      <w:r w:rsidRPr="005E1103">
        <w:rPr>
          <w:rFonts w:cstheme="minorHAnsi"/>
          <w:sz w:val="28"/>
          <w:szCs w:val="28"/>
        </w:rPr>
        <w:t xml:space="preserve">En general, los participantes han considerado el Campus como una experiencia positiva que les ha animado a considerar a estudiar una carrera universitaria. En cuanto a que los alumnos han percibido la utilidad del Campus como forma de querer estudiar en la Universidad de Granada es el ítem que obtiene una puntuación menor (en total, 4 puntos). Un aspecto importante de este año es que ha mejorado la percepción del ítem peor valorado en 2014, el hecho de ayudar a la orientación académica (decidir qué carrera estudiar). Por último, los participantes consideran que una de las grandes utilidades del Campus ha sido para comprender el funcionamiento, la oferta académica y la estructura de la Universidad (en nuestro caso, la de Granada). </w:t>
      </w:r>
    </w:p>
    <w:p w:rsidR="007B19F2" w:rsidRPr="005E1103" w:rsidRDefault="007B19F2" w:rsidP="007B19F2">
      <w:pPr>
        <w:jc w:val="both"/>
        <w:rPr>
          <w:rFonts w:cstheme="minorHAnsi"/>
          <w:sz w:val="28"/>
          <w:szCs w:val="28"/>
        </w:rPr>
      </w:pPr>
    </w:p>
    <w:p w:rsidR="007B19F2" w:rsidRPr="005E1103" w:rsidRDefault="007B19F2" w:rsidP="007B19F2">
      <w:pPr>
        <w:jc w:val="both"/>
        <w:rPr>
          <w:rFonts w:cstheme="minorHAnsi"/>
          <w:sz w:val="28"/>
          <w:szCs w:val="28"/>
        </w:rPr>
      </w:pPr>
      <w:r w:rsidRPr="005E1103">
        <w:rPr>
          <w:rFonts w:cstheme="minorHAnsi"/>
          <w:sz w:val="28"/>
          <w:szCs w:val="28"/>
        </w:rPr>
        <w:t xml:space="preserve">Continuando con los objetivos planteados en este estudio de evaluación de los Campus Inclusivos, en segundo lugar, procedemos a analizar la valoración del Campus en opinión de los participantes. Los resultados que aquí se ofrecen son acerca de los aspectos generales de organización y coordinación. A los alumnos se les preguntó por su satisfacción y evaluación de cada una de las actividades realizadas durante los 9 días de forma específica, pero teniendo en cuenta los aspectos generales (coordinación, desplazamiento, monitores, ponencias, trato general, horario, etc.) se pueden destacar los siguientes puntos: </w:t>
      </w:r>
    </w:p>
    <w:p w:rsidR="007B19F2" w:rsidRPr="005E1103" w:rsidRDefault="007B19F2" w:rsidP="007B19F2">
      <w:pPr>
        <w:jc w:val="both"/>
        <w:rPr>
          <w:rFonts w:cstheme="minorHAnsi"/>
          <w:sz w:val="28"/>
          <w:szCs w:val="28"/>
        </w:rPr>
      </w:pPr>
    </w:p>
    <w:p w:rsidR="007B19F2" w:rsidRPr="005E1103" w:rsidRDefault="007B19F2" w:rsidP="007B19F2">
      <w:pPr>
        <w:numPr>
          <w:ilvl w:val="0"/>
          <w:numId w:val="15"/>
        </w:numPr>
        <w:spacing w:after="0" w:line="240" w:lineRule="auto"/>
        <w:jc w:val="both"/>
        <w:rPr>
          <w:rFonts w:cstheme="minorHAnsi"/>
          <w:sz w:val="28"/>
          <w:szCs w:val="28"/>
        </w:rPr>
      </w:pPr>
      <w:r w:rsidRPr="005E1103">
        <w:rPr>
          <w:rFonts w:cstheme="minorHAnsi"/>
          <w:sz w:val="28"/>
          <w:szCs w:val="28"/>
        </w:rPr>
        <w:t xml:space="preserve">No se encontraron diferencias significativas en seis ítems acerca de la valoración de los ocho diferentes aspectos según el año de participación (2014 y 2015) a </w:t>
      </w:r>
      <w:r w:rsidRPr="005E1103">
        <w:rPr>
          <w:rFonts w:cstheme="minorHAnsi"/>
          <w:sz w:val="28"/>
          <w:szCs w:val="28"/>
        </w:rPr>
        <w:lastRenderedPageBreak/>
        <w:t>través de pruebas no paramétricas. Ello supone que en la mayoría de los casos no ha habido aspectos significativos en los cuáles ha habido una mejora o empeoramiento. Sin embargo, según la prueba de Mann-Whitney si hay diferencias en la puntualidad y en el horario produciéndose una puntuación más negativa en la edición de 2015 por lo que serán las prioridades en la edición del año 2016.</w:t>
      </w:r>
    </w:p>
    <w:p w:rsidR="007B19F2" w:rsidRPr="005E1103" w:rsidRDefault="007B19F2" w:rsidP="007B19F2">
      <w:pPr>
        <w:numPr>
          <w:ilvl w:val="0"/>
          <w:numId w:val="15"/>
        </w:numPr>
        <w:spacing w:after="0" w:line="240" w:lineRule="auto"/>
        <w:jc w:val="both"/>
        <w:rPr>
          <w:rFonts w:cstheme="minorHAnsi"/>
          <w:sz w:val="28"/>
          <w:szCs w:val="28"/>
        </w:rPr>
      </w:pPr>
      <w:r w:rsidRPr="005E1103">
        <w:rPr>
          <w:rFonts w:cstheme="minorHAnsi"/>
          <w:sz w:val="28"/>
          <w:szCs w:val="28"/>
        </w:rPr>
        <w:t xml:space="preserve">Todos los ítems tuvieron muy altas puntuaciones (todas por encima de 4 en la escala Likert de 5 puntos). La única excepción supone la valoración del horario y el cronograma que supone la primera vez que un ítem no supera los 4 puntos (3,80). De este modo, posiblemente la carga de actividades y ponencias, en definitiva, la sobreactividad (además duraba </w:t>
      </w:r>
      <w:r w:rsidR="00EE68E8" w:rsidRPr="005E1103">
        <w:rPr>
          <w:rFonts w:cstheme="minorHAnsi"/>
          <w:sz w:val="28"/>
          <w:szCs w:val="28"/>
        </w:rPr>
        <w:t>un día</w:t>
      </w:r>
      <w:r w:rsidRPr="005E1103">
        <w:rPr>
          <w:rFonts w:cstheme="minorHAnsi"/>
          <w:sz w:val="28"/>
          <w:szCs w:val="28"/>
        </w:rPr>
        <w:t xml:space="preserve"> más) ha sido el aspecto más crítico del los Campus Inclusivos de la Universidad de Granada.</w:t>
      </w:r>
    </w:p>
    <w:p w:rsidR="007B19F2" w:rsidRPr="005E1103" w:rsidRDefault="007B19F2" w:rsidP="007B19F2">
      <w:pPr>
        <w:numPr>
          <w:ilvl w:val="0"/>
          <w:numId w:val="15"/>
        </w:numPr>
        <w:spacing w:after="0" w:line="240" w:lineRule="auto"/>
        <w:jc w:val="both"/>
        <w:rPr>
          <w:rFonts w:cstheme="minorHAnsi"/>
          <w:sz w:val="28"/>
          <w:szCs w:val="28"/>
        </w:rPr>
      </w:pPr>
      <w:r w:rsidRPr="005E1103">
        <w:rPr>
          <w:rFonts w:cstheme="minorHAnsi"/>
          <w:sz w:val="28"/>
          <w:szCs w:val="28"/>
        </w:rPr>
        <w:t>Los aspectos mejor valorados fueron los intérpretes de lengua de signos con una media de 4,93, “el trato general durante todo el Campus” con una media de 4,80, la misma puntuación que el personal de coordinación. Finalmente destaca la valoración otorgada a los monitores (4,50).</w:t>
      </w:r>
    </w:p>
    <w:p w:rsidR="007B19F2" w:rsidRPr="005E1103" w:rsidRDefault="007B19F2" w:rsidP="007B19F2">
      <w:pPr>
        <w:numPr>
          <w:ilvl w:val="0"/>
          <w:numId w:val="15"/>
        </w:numPr>
        <w:spacing w:after="0" w:line="240" w:lineRule="auto"/>
        <w:jc w:val="both"/>
        <w:rPr>
          <w:rFonts w:cstheme="minorHAnsi"/>
          <w:sz w:val="28"/>
          <w:szCs w:val="28"/>
        </w:rPr>
      </w:pPr>
      <w:r w:rsidRPr="005E1103">
        <w:rPr>
          <w:rFonts w:cstheme="minorHAnsi"/>
          <w:sz w:val="28"/>
          <w:szCs w:val="28"/>
        </w:rPr>
        <w:t>Por otra parte, los que fueron menos valorados fueron la puntualidad (4,30), “el desplazamiento” (4,35), las ponencias (4,30) y la que menos valorada el ya mencionado horario y cronograma de actividades (3,80).</w:t>
      </w:r>
    </w:p>
    <w:p w:rsidR="007B19F2" w:rsidRPr="005E1103" w:rsidRDefault="007B19F2" w:rsidP="007B19F2">
      <w:pPr>
        <w:numPr>
          <w:ilvl w:val="0"/>
          <w:numId w:val="15"/>
        </w:numPr>
        <w:spacing w:after="0" w:line="240" w:lineRule="auto"/>
        <w:jc w:val="both"/>
        <w:rPr>
          <w:rFonts w:cstheme="minorHAnsi"/>
          <w:sz w:val="28"/>
          <w:szCs w:val="28"/>
        </w:rPr>
      </w:pPr>
      <w:r w:rsidRPr="005E1103">
        <w:rPr>
          <w:rFonts w:cstheme="minorHAnsi"/>
          <w:sz w:val="28"/>
          <w:szCs w:val="28"/>
        </w:rPr>
        <w:t>Aunque no se especifica en el gráfico, las actividades que tuvieron una mayor aceptación por parte de los alumnos fueron las actividades deportivas en Sierra Nevada (valoran altamente la integración mediante actividades deportivas) así como la visita a la Alhambra (donde se combinada aspectos culturales, históricos y de ocio).</w:t>
      </w:r>
    </w:p>
    <w:tbl>
      <w:tblPr>
        <w:tblW w:w="8363" w:type="dxa"/>
        <w:tblInd w:w="25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284"/>
        <w:gridCol w:w="283"/>
        <w:gridCol w:w="3827"/>
        <w:gridCol w:w="1418"/>
        <w:gridCol w:w="1417"/>
        <w:gridCol w:w="1134"/>
      </w:tblGrid>
      <w:tr w:rsidR="007B19F2" w:rsidRPr="005E1103" w:rsidTr="005B72C1">
        <w:tc>
          <w:tcPr>
            <w:tcW w:w="284" w:type="dxa"/>
            <w:tcBorders>
              <w:top w:val="nil"/>
              <w:left w:val="nil"/>
              <w:bottom w:val="single" w:sz="4" w:space="0" w:color="auto"/>
              <w:right w:val="nil"/>
            </w:tcBorders>
          </w:tcPr>
          <w:p w:rsidR="007B19F2" w:rsidRPr="005E1103" w:rsidRDefault="007B19F2" w:rsidP="005B72C1">
            <w:pPr>
              <w:jc w:val="both"/>
              <w:rPr>
                <w:rFonts w:cstheme="minorHAnsi"/>
                <w:b/>
                <w:sz w:val="28"/>
                <w:szCs w:val="28"/>
              </w:rPr>
            </w:pPr>
          </w:p>
        </w:tc>
        <w:tc>
          <w:tcPr>
            <w:tcW w:w="283" w:type="dxa"/>
            <w:tcBorders>
              <w:top w:val="nil"/>
              <w:left w:val="nil"/>
              <w:bottom w:val="single" w:sz="4" w:space="0" w:color="auto"/>
              <w:right w:val="nil"/>
            </w:tcBorders>
          </w:tcPr>
          <w:p w:rsidR="007B19F2" w:rsidRPr="005E1103" w:rsidRDefault="007B19F2" w:rsidP="005B72C1">
            <w:pPr>
              <w:jc w:val="both"/>
              <w:rPr>
                <w:rFonts w:cstheme="minorHAnsi"/>
                <w:b/>
                <w:sz w:val="28"/>
                <w:szCs w:val="28"/>
              </w:rPr>
            </w:pPr>
          </w:p>
        </w:tc>
        <w:tc>
          <w:tcPr>
            <w:tcW w:w="7796" w:type="dxa"/>
            <w:gridSpan w:val="4"/>
            <w:tcBorders>
              <w:top w:val="nil"/>
              <w:left w:val="nil"/>
              <w:bottom w:val="single" w:sz="4" w:space="0" w:color="auto"/>
              <w:right w:val="nil"/>
            </w:tcBorders>
            <w:shd w:val="clear" w:color="auto" w:fill="auto"/>
          </w:tcPr>
          <w:p w:rsidR="007B19F2" w:rsidRPr="005E1103" w:rsidRDefault="007B19F2" w:rsidP="005B72C1">
            <w:pPr>
              <w:jc w:val="both"/>
              <w:rPr>
                <w:rFonts w:cstheme="minorHAnsi"/>
                <w:b/>
                <w:sz w:val="28"/>
                <w:szCs w:val="28"/>
              </w:rPr>
            </w:pPr>
            <w:r w:rsidRPr="005E1103">
              <w:rPr>
                <w:rFonts w:cstheme="minorHAnsi"/>
                <w:b/>
                <w:sz w:val="28"/>
                <w:szCs w:val="28"/>
              </w:rPr>
              <w:t>Tabla 3. Valoración del Campus</w:t>
            </w:r>
          </w:p>
          <w:p w:rsidR="007B19F2" w:rsidRPr="005E1103" w:rsidRDefault="007B19F2" w:rsidP="005B72C1">
            <w:pPr>
              <w:jc w:val="both"/>
              <w:rPr>
                <w:rFonts w:cstheme="minorHAnsi"/>
                <w:b/>
                <w:sz w:val="28"/>
                <w:szCs w:val="28"/>
              </w:rPr>
            </w:pPr>
          </w:p>
        </w:tc>
      </w:tr>
      <w:tr w:rsidR="007B19F2" w:rsidRPr="005E1103" w:rsidTr="005B72C1">
        <w:tc>
          <w:tcPr>
            <w:tcW w:w="4394" w:type="dxa"/>
            <w:gridSpan w:val="3"/>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both"/>
              <w:rPr>
                <w:rFonts w:cstheme="minorHAnsi"/>
                <w:sz w:val="28"/>
                <w:szCs w:val="28"/>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center"/>
              <w:rPr>
                <w:rFonts w:cstheme="minorHAnsi"/>
                <w:b/>
                <w:sz w:val="28"/>
                <w:szCs w:val="28"/>
              </w:rPr>
            </w:pPr>
            <w:r w:rsidRPr="005E1103">
              <w:rPr>
                <w:rFonts w:cstheme="minorHAnsi"/>
                <w:b/>
                <w:sz w:val="28"/>
                <w:szCs w:val="28"/>
              </w:rPr>
              <w:t>2014</w:t>
            </w:r>
          </w:p>
        </w:tc>
        <w:tc>
          <w:tcPr>
            <w:tcW w:w="1417" w:type="dxa"/>
            <w:tcBorders>
              <w:top w:val="single" w:sz="4" w:space="0" w:color="auto"/>
              <w:left w:val="single" w:sz="4" w:space="0" w:color="auto"/>
              <w:bottom w:val="single" w:sz="4" w:space="0" w:color="auto"/>
              <w:right w:val="single" w:sz="4" w:space="0" w:color="auto"/>
            </w:tcBorders>
            <w:shd w:val="clear" w:color="auto" w:fill="EEECE1"/>
          </w:tcPr>
          <w:p w:rsidR="007B19F2" w:rsidRPr="005E1103" w:rsidRDefault="007B19F2" w:rsidP="005B72C1">
            <w:pPr>
              <w:jc w:val="center"/>
              <w:rPr>
                <w:rFonts w:cstheme="minorHAnsi"/>
                <w:b/>
                <w:sz w:val="28"/>
                <w:szCs w:val="28"/>
              </w:rPr>
            </w:pPr>
            <w:r w:rsidRPr="005E1103">
              <w:rPr>
                <w:rFonts w:cstheme="minorHAnsi"/>
                <w:b/>
                <w:sz w:val="28"/>
                <w:szCs w:val="28"/>
              </w:rPr>
              <w:t>2015</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center"/>
              <w:rPr>
                <w:rFonts w:cstheme="minorHAnsi"/>
                <w:b/>
                <w:sz w:val="28"/>
                <w:szCs w:val="28"/>
              </w:rPr>
            </w:pPr>
            <w:r w:rsidRPr="005E1103">
              <w:rPr>
                <w:rFonts w:cstheme="minorHAnsi"/>
                <w:b/>
                <w:sz w:val="28"/>
                <w:szCs w:val="28"/>
              </w:rPr>
              <w:t>Sig.</w:t>
            </w:r>
          </w:p>
        </w:tc>
      </w:tr>
      <w:tr w:rsidR="007B19F2" w:rsidRPr="005E1103" w:rsidTr="005B72C1">
        <w:tc>
          <w:tcPr>
            <w:tcW w:w="4394" w:type="dxa"/>
            <w:gridSpan w:val="3"/>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both"/>
              <w:rPr>
                <w:rFonts w:cstheme="minorHAnsi"/>
                <w:sz w:val="28"/>
                <w:szCs w:val="28"/>
              </w:rPr>
            </w:pPr>
            <w:r w:rsidRPr="005E1103">
              <w:rPr>
                <w:rFonts w:cstheme="minorHAnsi"/>
                <w:sz w:val="28"/>
                <w:szCs w:val="28"/>
              </w:rPr>
              <w:t>Monitores del Campus</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center"/>
              <w:rPr>
                <w:rFonts w:cstheme="minorHAnsi"/>
                <w:sz w:val="28"/>
                <w:szCs w:val="28"/>
              </w:rPr>
            </w:pPr>
            <w:r w:rsidRPr="005E1103">
              <w:rPr>
                <w:rFonts w:cstheme="minorHAnsi"/>
                <w:sz w:val="28"/>
                <w:szCs w:val="28"/>
              </w:rPr>
              <w:t>4,88</w:t>
            </w:r>
          </w:p>
        </w:tc>
        <w:tc>
          <w:tcPr>
            <w:tcW w:w="1417" w:type="dxa"/>
            <w:tcBorders>
              <w:top w:val="single" w:sz="4" w:space="0" w:color="auto"/>
              <w:left w:val="single" w:sz="4" w:space="0" w:color="auto"/>
              <w:bottom w:val="single" w:sz="4" w:space="0" w:color="auto"/>
              <w:right w:val="single" w:sz="4" w:space="0" w:color="auto"/>
            </w:tcBorders>
            <w:shd w:val="clear" w:color="auto" w:fill="EEECE1"/>
          </w:tcPr>
          <w:p w:rsidR="007B19F2" w:rsidRPr="005E1103" w:rsidRDefault="007B19F2" w:rsidP="005B72C1">
            <w:pPr>
              <w:jc w:val="center"/>
              <w:rPr>
                <w:rFonts w:cstheme="minorHAnsi"/>
                <w:sz w:val="28"/>
                <w:szCs w:val="28"/>
              </w:rPr>
            </w:pPr>
            <w:r w:rsidRPr="005E1103">
              <w:rPr>
                <w:rFonts w:cstheme="minorHAnsi"/>
                <w:sz w:val="28"/>
                <w:szCs w:val="28"/>
              </w:rPr>
              <w:t>4,50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center"/>
              <w:rPr>
                <w:rFonts w:cstheme="minorHAnsi"/>
                <w:sz w:val="28"/>
                <w:szCs w:val="28"/>
              </w:rPr>
            </w:pPr>
            <w:r w:rsidRPr="005E1103">
              <w:rPr>
                <w:rFonts w:cstheme="minorHAnsi"/>
                <w:sz w:val="28"/>
                <w:szCs w:val="28"/>
              </w:rPr>
              <w:t>0,059</w:t>
            </w:r>
          </w:p>
        </w:tc>
      </w:tr>
      <w:tr w:rsidR="007B19F2" w:rsidRPr="005E1103" w:rsidTr="005B72C1">
        <w:tc>
          <w:tcPr>
            <w:tcW w:w="4394" w:type="dxa"/>
            <w:gridSpan w:val="3"/>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both"/>
              <w:rPr>
                <w:rFonts w:cstheme="minorHAnsi"/>
                <w:sz w:val="28"/>
                <w:szCs w:val="28"/>
              </w:rPr>
            </w:pPr>
            <w:r w:rsidRPr="005E1103">
              <w:rPr>
                <w:rFonts w:cstheme="minorHAnsi"/>
                <w:sz w:val="28"/>
                <w:szCs w:val="28"/>
              </w:rPr>
              <w:t xml:space="preserve">Personal de coordinación y dirección </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center"/>
              <w:rPr>
                <w:rFonts w:cstheme="minorHAnsi"/>
                <w:sz w:val="28"/>
                <w:szCs w:val="28"/>
              </w:rPr>
            </w:pPr>
            <w:r w:rsidRPr="005E1103">
              <w:rPr>
                <w:rFonts w:cstheme="minorHAnsi"/>
                <w:sz w:val="28"/>
                <w:szCs w:val="28"/>
              </w:rPr>
              <w:t>4,75</w:t>
            </w:r>
          </w:p>
        </w:tc>
        <w:tc>
          <w:tcPr>
            <w:tcW w:w="1417" w:type="dxa"/>
            <w:tcBorders>
              <w:top w:val="single" w:sz="4" w:space="0" w:color="auto"/>
              <w:left w:val="single" w:sz="4" w:space="0" w:color="auto"/>
              <w:bottom w:val="single" w:sz="4" w:space="0" w:color="auto"/>
              <w:right w:val="single" w:sz="4" w:space="0" w:color="auto"/>
            </w:tcBorders>
            <w:shd w:val="clear" w:color="auto" w:fill="EEECE1"/>
          </w:tcPr>
          <w:p w:rsidR="007B19F2" w:rsidRPr="005E1103" w:rsidRDefault="007B19F2" w:rsidP="005B72C1">
            <w:pPr>
              <w:jc w:val="center"/>
              <w:rPr>
                <w:rFonts w:cstheme="minorHAnsi"/>
                <w:sz w:val="28"/>
                <w:szCs w:val="28"/>
              </w:rPr>
            </w:pPr>
            <w:r w:rsidRPr="005E1103">
              <w:rPr>
                <w:rFonts w:cstheme="minorHAnsi"/>
                <w:sz w:val="28"/>
                <w:szCs w:val="28"/>
              </w:rPr>
              <w:t>4,80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center"/>
              <w:rPr>
                <w:rFonts w:cstheme="minorHAnsi"/>
                <w:sz w:val="28"/>
                <w:szCs w:val="28"/>
              </w:rPr>
            </w:pPr>
            <w:r w:rsidRPr="005E1103">
              <w:rPr>
                <w:rFonts w:cstheme="minorHAnsi"/>
                <w:sz w:val="28"/>
                <w:szCs w:val="28"/>
              </w:rPr>
              <w:t>0,528</w:t>
            </w:r>
          </w:p>
        </w:tc>
      </w:tr>
      <w:tr w:rsidR="007B19F2" w:rsidRPr="005E1103" w:rsidTr="005B72C1">
        <w:tc>
          <w:tcPr>
            <w:tcW w:w="4394" w:type="dxa"/>
            <w:gridSpan w:val="3"/>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both"/>
              <w:rPr>
                <w:rFonts w:cstheme="minorHAnsi"/>
                <w:sz w:val="28"/>
                <w:szCs w:val="28"/>
              </w:rPr>
            </w:pPr>
            <w:r w:rsidRPr="005E1103">
              <w:rPr>
                <w:rFonts w:cstheme="minorHAnsi"/>
                <w:sz w:val="28"/>
                <w:szCs w:val="28"/>
              </w:rPr>
              <w:t>Ponentes de las diferentes actividades</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center"/>
              <w:rPr>
                <w:rFonts w:cstheme="minorHAnsi"/>
                <w:sz w:val="28"/>
                <w:szCs w:val="28"/>
              </w:rPr>
            </w:pPr>
            <w:r w:rsidRPr="005E1103">
              <w:rPr>
                <w:rFonts w:cstheme="minorHAnsi"/>
                <w:sz w:val="28"/>
                <w:szCs w:val="28"/>
              </w:rPr>
              <w:t>4,25</w:t>
            </w:r>
          </w:p>
        </w:tc>
        <w:tc>
          <w:tcPr>
            <w:tcW w:w="1417" w:type="dxa"/>
            <w:tcBorders>
              <w:top w:val="single" w:sz="4" w:space="0" w:color="auto"/>
              <w:left w:val="single" w:sz="4" w:space="0" w:color="auto"/>
              <w:bottom w:val="single" w:sz="4" w:space="0" w:color="auto"/>
              <w:right w:val="single" w:sz="4" w:space="0" w:color="auto"/>
            </w:tcBorders>
            <w:shd w:val="clear" w:color="auto" w:fill="EEECE1"/>
          </w:tcPr>
          <w:p w:rsidR="007B19F2" w:rsidRPr="005E1103" w:rsidRDefault="007B19F2" w:rsidP="005B72C1">
            <w:pPr>
              <w:jc w:val="center"/>
              <w:rPr>
                <w:rFonts w:cstheme="minorHAnsi"/>
                <w:sz w:val="28"/>
                <w:szCs w:val="28"/>
              </w:rPr>
            </w:pPr>
            <w:r w:rsidRPr="005E1103">
              <w:rPr>
                <w:rFonts w:cstheme="minorHAnsi"/>
                <w:sz w:val="28"/>
                <w:szCs w:val="28"/>
              </w:rPr>
              <w:t>4,30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center"/>
              <w:rPr>
                <w:rFonts w:cstheme="minorHAnsi"/>
                <w:sz w:val="28"/>
                <w:szCs w:val="28"/>
              </w:rPr>
            </w:pPr>
            <w:r w:rsidRPr="005E1103">
              <w:rPr>
                <w:rFonts w:cstheme="minorHAnsi"/>
                <w:sz w:val="28"/>
                <w:szCs w:val="28"/>
              </w:rPr>
              <w:t>0,959</w:t>
            </w:r>
          </w:p>
        </w:tc>
      </w:tr>
      <w:tr w:rsidR="007B19F2" w:rsidRPr="005E1103" w:rsidTr="005B72C1">
        <w:tc>
          <w:tcPr>
            <w:tcW w:w="4394" w:type="dxa"/>
            <w:gridSpan w:val="3"/>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both"/>
              <w:rPr>
                <w:rFonts w:cstheme="minorHAnsi"/>
                <w:sz w:val="28"/>
                <w:szCs w:val="28"/>
              </w:rPr>
            </w:pPr>
            <w:r w:rsidRPr="005E1103">
              <w:rPr>
                <w:rFonts w:cstheme="minorHAnsi"/>
                <w:sz w:val="28"/>
                <w:szCs w:val="28"/>
              </w:rPr>
              <w:t>Horario y cronograma de actividades realizadas</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center"/>
              <w:rPr>
                <w:rFonts w:cstheme="minorHAnsi"/>
                <w:sz w:val="28"/>
                <w:szCs w:val="28"/>
              </w:rPr>
            </w:pPr>
            <w:r w:rsidRPr="005E1103">
              <w:rPr>
                <w:rFonts w:cstheme="minorHAnsi"/>
                <w:sz w:val="28"/>
                <w:szCs w:val="28"/>
              </w:rPr>
              <w:t>4,21</w:t>
            </w:r>
          </w:p>
        </w:tc>
        <w:tc>
          <w:tcPr>
            <w:tcW w:w="1417" w:type="dxa"/>
            <w:tcBorders>
              <w:top w:val="single" w:sz="4" w:space="0" w:color="auto"/>
              <w:left w:val="single" w:sz="4" w:space="0" w:color="auto"/>
              <w:bottom w:val="single" w:sz="4" w:space="0" w:color="auto"/>
              <w:right w:val="single" w:sz="4" w:space="0" w:color="auto"/>
            </w:tcBorders>
            <w:shd w:val="clear" w:color="auto" w:fill="EEECE1"/>
          </w:tcPr>
          <w:p w:rsidR="007B19F2" w:rsidRPr="005E1103" w:rsidRDefault="007B19F2" w:rsidP="005B72C1">
            <w:pPr>
              <w:jc w:val="center"/>
              <w:rPr>
                <w:rFonts w:cstheme="minorHAnsi"/>
                <w:sz w:val="28"/>
                <w:szCs w:val="28"/>
              </w:rPr>
            </w:pPr>
            <w:r w:rsidRPr="005E1103">
              <w:rPr>
                <w:rFonts w:cstheme="minorHAnsi"/>
                <w:sz w:val="28"/>
                <w:szCs w:val="28"/>
              </w:rPr>
              <w:t>3,80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center"/>
              <w:rPr>
                <w:rFonts w:cstheme="minorHAnsi"/>
                <w:sz w:val="28"/>
                <w:szCs w:val="28"/>
              </w:rPr>
            </w:pPr>
            <w:r w:rsidRPr="005E1103">
              <w:rPr>
                <w:rFonts w:cstheme="minorHAnsi"/>
                <w:sz w:val="28"/>
                <w:szCs w:val="28"/>
              </w:rPr>
              <w:t>0,044</w:t>
            </w:r>
          </w:p>
        </w:tc>
      </w:tr>
      <w:tr w:rsidR="007B19F2" w:rsidRPr="005E1103" w:rsidTr="005B72C1">
        <w:trPr>
          <w:trHeight w:val="283"/>
        </w:trPr>
        <w:tc>
          <w:tcPr>
            <w:tcW w:w="4394" w:type="dxa"/>
            <w:gridSpan w:val="3"/>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both"/>
              <w:rPr>
                <w:rFonts w:cstheme="minorHAnsi"/>
                <w:sz w:val="28"/>
                <w:szCs w:val="28"/>
              </w:rPr>
            </w:pPr>
            <w:r w:rsidRPr="005E1103">
              <w:rPr>
                <w:rFonts w:cstheme="minorHAnsi"/>
                <w:sz w:val="28"/>
                <w:szCs w:val="28"/>
              </w:rPr>
              <w:t>Desplazamiento durante la semana</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center"/>
              <w:rPr>
                <w:rFonts w:cstheme="minorHAnsi"/>
                <w:sz w:val="28"/>
                <w:szCs w:val="28"/>
              </w:rPr>
            </w:pPr>
            <w:r w:rsidRPr="005E1103">
              <w:rPr>
                <w:rFonts w:cstheme="minorHAnsi"/>
                <w:sz w:val="28"/>
                <w:szCs w:val="28"/>
              </w:rPr>
              <w:t>4,63</w:t>
            </w:r>
          </w:p>
        </w:tc>
        <w:tc>
          <w:tcPr>
            <w:tcW w:w="1417" w:type="dxa"/>
            <w:tcBorders>
              <w:top w:val="single" w:sz="4" w:space="0" w:color="auto"/>
              <w:left w:val="single" w:sz="4" w:space="0" w:color="auto"/>
              <w:bottom w:val="single" w:sz="4" w:space="0" w:color="auto"/>
              <w:right w:val="single" w:sz="4" w:space="0" w:color="auto"/>
            </w:tcBorders>
            <w:shd w:val="clear" w:color="auto" w:fill="EEECE1"/>
          </w:tcPr>
          <w:p w:rsidR="007B19F2" w:rsidRPr="005E1103" w:rsidRDefault="007B19F2" w:rsidP="005B72C1">
            <w:pPr>
              <w:jc w:val="center"/>
              <w:rPr>
                <w:rFonts w:cstheme="minorHAnsi"/>
                <w:sz w:val="28"/>
                <w:szCs w:val="28"/>
              </w:rPr>
            </w:pPr>
            <w:r w:rsidRPr="005E1103">
              <w:rPr>
                <w:rFonts w:cstheme="minorHAnsi"/>
                <w:sz w:val="28"/>
                <w:szCs w:val="28"/>
              </w:rPr>
              <w:t>4,35</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center"/>
              <w:rPr>
                <w:rFonts w:cstheme="minorHAnsi"/>
                <w:sz w:val="28"/>
                <w:szCs w:val="28"/>
              </w:rPr>
            </w:pPr>
            <w:r w:rsidRPr="005E1103">
              <w:rPr>
                <w:rFonts w:cstheme="minorHAnsi"/>
                <w:sz w:val="28"/>
                <w:szCs w:val="28"/>
              </w:rPr>
              <w:t>0,117</w:t>
            </w:r>
          </w:p>
        </w:tc>
      </w:tr>
      <w:tr w:rsidR="007B19F2" w:rsidRPr="005E1103" w:rsidTr="005B72C1">
        <w:trPr>
          <w:trHeight w:val="283"/>
        </w:trPr>
        <w:tc>
          <w:tcPr>
            <w:tcW w:w="4394" w:type="dxa"/>
            <w:gridSpan w:val="3"/>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both"/>
              <w:rPr>
                <w:rFonts w:cstheme="minorHAnsi"/>
                <w:sz w:val="28"/>
                <w:szCs w:val="28"/>
              </w:rPr>
            </w:pPr>
            <w:r w:rsidRPr="005E1103">
              <w:rPr>
                <w:rFonts w:cstheme="minorHAnsi"/>
                <w:sz w:val="28"/>
                <w:szCs w:val="28"/>
              </w:rPr>
              <w:t>Puntualidad</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center"/>
              <w:rPr>
                <w:rFonts w:cstheme="minorHAnsi"/>
                <w:sz w:val="28"/>
                <w:szCs w:val="28"/>
              </w:rPr>
            </w:pPr>
            <w:r w:rsidRPr="005E1103">
              <w:rPr>
                <w:rFonts w:cstheme="minorHAnsi"/>
                <w:sz w:val="28"/>
                <w:szCs w:val="28"/>
              </w:rPr>
              <w:t>4,60</w:t>
            </w:r>
          </w:p>
        </w:tc>
        <w:tc>
          <w:tcPr>
            <w:tcW w:w="1417" w:type="dxa"/>
            <w:tcBorders>
              <w:top w:val="single" w:sz="4" w:space="0" w:color="auto"/>
              <w:left w:val="single" w:sz="4" w:space="0" w:color="auto"/>
              <w:bottom w:val="single" w:sz="4" w:space="0" w:color="auto"/>
              <w:right w:val="single" w:sz="4" w:space="0" w:color="auto"/>
            </w:tcBorders>
            <w:shd w:val="clear" w:color="auto" w:fill="EEECE1"/>
          </w:tcPr>
          <w:p w:rsidR="007B19F2" w:rsidRPr="005E1103" w:rsidRDefault="007B19F2" w:rsidP="005B72C1">
            <w:pPr>
              <w:jc w:val="center"/>
              <w:rPr>
                <w:rFonts w:cstheme="minorHAnsi"/>
                <w:sz w:val="28"/>
                <w:szCs w:val="28"/>
              </w:rPr>
            </w:pPr>
            <w:r w:rsidRPr="005E1103">
              <w:rPr>
                <w:rFonts w:cstheme="minorHAnsi"/>
                <w:sz w:val="28"/>
                <w:szCs w:val="28"/>
              </w:rPr>
              <w:t>4,30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center"/>
              <w:rPr>
                <w:rFonts w:cstheme="minorHAnsi"/>
                <w:sz w:val="28"/>
                <w:szCs w:val="28"/>
              </w:rPr>
            </w:pPr>
            <w:r w:rsidRPr="005E1103">
              <w:rPr>
                <w:rFonts w:cstheme="minorHAnsi"/>
                <w:sz w:val="28"/>
                <w:szCs w:val="28"/>
              </w:rPr>
              <w:t>0,033</w:t>
            </w:r>
          </w:p>
        </w:tc>
      </w:tr>
      <w:tr w:rsidR="007B19F2" w:rsidRPr="005E1103" w:rsidTr="005B72C1">
        <w:trPr>
          <w:trHeight w:val="283"/>
        </w:trPr>
        <w:tc>
          <w:tcPr>
            <w:tcW w:w="4394" w:type="dxa"/>
            <w:gridSpan w:val="3"/>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both"/>
              <w:rPr>
                <w:rFonts w:cstheme="minorHAnsi"/>
                <w:sz w:val="28"/>
                <w:szCs w:val="28"/>
              </w:rPr>
            </w:pPr>
            <w:r w:rsidRPr="005E1103">
              <w:rPr>
                <w:rFonts w:cstheme="minorHAnsi"/>
                <w:sz w:val="28"/>
                <w:szCs w:val="28"/>
              </w:rPr>
              <w:lastRenderedPageBreak/>
              <w:t>Intérpretes de lenguas de signos</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center"/>
              <w:rPr>
                <w:rFonts w:cstheme="minorHAnsi"/>
                <w:sz w:val="28"/>
                <w:szCs w:val="28"/>
              </w:rPr>
            </w:pPr>
            <w:r w:rsidRPr="005E1103">
              <w:rPr>
                <w:rFonts w:cstheme="minorHAnsi"/>
                <w:sz w:val="28"/>
                <w:szCs w:val="28"/>
              </w:rPr>
              <w:t>4,90</w:t>
            </w:r>
          </w:p>
        </w:tc>
        <w:tc>
          <w:tcPr>
            <w:tcW w:w="1417" w:type="dxa"/>
            <w:tcBorders>
              <w:top w:val="single" w:sz="4" w:space="0" w:color="auto"/>
              <w:left w:val="single" w:sz="4" w:space="0" w:color="auto"/>
              <w:bottom w:val="single" w:sz="4" w:space="0" w:color="auto"/>
              <w:right w:val="single" w:sz="4" w:space="0" w:color="auto"/>
            </w:tcBorders>
            <w:shd w:val="clear" w:color="auto" w:fill="EEECE1"/>
          </w:tcPr>
          <w:p w:rsidR="007B19F2" w:rsidRPr="005E1103" w:rsidRDefault="007B19F2" w:rsidP="005B72C1">
            <w:pPr>
              <w:jc w:val="center"/>
              <w:rPr>
                <w:rFonts w:cstheme="minorHAnsi"/>
                <w:sz w:val="28"/>
                <w:szCs w:val="28"/>
              </w:rPr>
            </w:pPr>
            <w:r w:rsidRPr="005E1103">
              <w:rPr>
                <w:rFonts w:cstheme="minorHAnsi"/>
                <w:sz w:val="28"/>
                <w:szCs w:val="28"/>
              </w:rPr>
              <w:t>4,93</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center"/>
              <w:rPr>
                <w:rFonts w:cstheme="minorHAnsi"/>
                <w:sz w:val="28"/>
                <w:szCs w:val="28"/>
              </w:rPr>
            </w:pPr>
            <w:r w:rsidRPr="005E1103">
              <w:rPr>
                <w:rFonts w:cstheme="minorHAnsi"/>
                <w:sz w:val="28"/>
                <w:szCs w:val="28"/>
              </w:rPr>
              <w:t>0,896</w:t>
            </w:r>
          </w:p>
        </w:tc>
      </w:tr>
      <w:tr w:rsidR="007B19F2" w:rsidRPr="005E1103" w:rsidTr="005B72C1">
        <w:trPr>
          <w:trHeight w:val="283"/>
        </w:trPr>
        <w:tc>
          <w:tcPr>
            <w:tcW w:w="4394" w:type="dxa"/>
            <w:gridSpan w:val="3"/>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both"/>
              <w:rPr>
                <w:rFonts w:cstheme="minorHAnsi"/>
                <w:sz w:val="28"/>
                <w:szCs w:val="28"/>
              </w:rPr>
            </w:pPr>
            <w:r w:rsidRPr="005E1103">
              <w:rPr>
                <w:rFonts w:cstheme="minorHAnsi"/>
                <w:sz w:val="28"/>
                <w:szCs w:val="28"/>
              </w:rPr>
              <w:t>Trato general</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center"/>
              <w:rPr>
                <w:rFonts w:cstheme="minorHAnsi"/>
                <w:sz w:val="28"/>
                <w:szCs w:val="28"/>
              </w:rPr>
            </w:pPr>
            <w:r w:rsidRPr="005E1103">
              <w:rPr>
                <w:rFonts w:cstheme="minorHAnsi"/>
                <w:sz w:val="28"/>
                <w:szCs w:val="28"/>
              </w:rPr>
              <w:t>4,90</w:t>
            </w:r>
          </w:p>
        </w:tc>
        <w:tc>
          <w:tcPr>
            <w:tcW w:w="1417" w:type="dxa"/>
            <w:tcBorders>
              <w:top w:val="single" w:sz="4" w:space="0" w:color="auto"/>
              <w:left w:val="single" w:sz="4" w:space="0" w:color="auto"/>
              <w:bottom w:val="single" w:sz="4" w:space="0" w:color="auto"/>
              <w:right w:val="single" w:sz="4" w:space="0" w:color="auto"/>
            </w:tcBorders>
            <w:shd w:val="clear" w:color="auto" w:fill="EEECE1"/>
          </w:tcPr>
          <w:p w:rsidR="007B19F2" w:rsidRPr="005E1103" w:rsidRDefault="007B19F2" w:rsidP="005B72C1">
            <w:pPr>
              <w:jc w:val="center"/>
              <w:rPr>
                <w:rFonts w:cstheme="minorHAnsi"/>
                <w:sz w:val="28"/>
                <w:szCs w:val="28"/>
              </w:rPr>
            </w:pPr>
            <w:r w:rsidRPr="005E1103">
              <w:rPr>
                <w:rFonts w:cstheme="minorHAnsi"/>
                <w:sz w:val="28"/>
                <w:szCs w:val="28"/>
              </w:rPr>
              <w:t>4,80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center"/>
              <w:rPr>
                <w:rFonts w:cstheme="minorHAnsi"/>
                <w:sz w:val="28"/>
                <w:szCs w:val="28"/>
              </w:rPr>
            </w:pPr>
            <w:r w:rsidRPr="005E1103">
              <w:rPr>
                <w:rFonts w:cstheme="minorHAnsi"/>
                <w:sz w:val="28"/>
                <w:szCs w:val="28"/>
              </w:rPr>
              <w:t>0,467</w:t>
            </w:r>
          </w:p>
        </w:tc>
      </w:tr>
    </w:tbl>
    <w:p w:rsidR="007B19F2" w:rsidRPr="005E1103" w:rsidRDefault="007B19F2" w:rsidP="007B19F2">
      <w:pPr>
        <w:jc w:val="both"/>
        <w:rPr>
          <w:rFonts w:cstheme="minorHAnsi"/>
          <w:sz w:val="28"/>
          <w:szCs w:val="28"/>
        </w:rPr>
      </w:pPr>
      <w:r w:rsidRPr="005E1103">
        <w:rPr>
          <w:rFonts w:cstheme="minorHAnsi"/>
          <w:sz w:val="28"/>
          <w:szCs w:val="28"/>
        </w:rPr>
        <w:t>Por último, analizando la satisfacción con la experiencia de los Campus Inclusivos, se midió la valoración global del Campus teniendo en cuenta todos sus componentes, la intención de repetir la experiencia, la probabilidad de recomendar el Campus, la confirmación de las expectativas iniciales así como la satisfacción general. En el gráfico 4 se ofrecen los resultados alcanzados (destaca que de nuevo en ningún ítem hubo diferencias significativas en la prueba de Mann-Whitney según si participaraon en la edición de 2014 o 2015 (p&gt;0,00)).</w:t>
      </w:r>
    </w:p>
    <w:p w:rsidR="007B19F2" w:rsidRPr="005E1103" w:rsidRDefault="007B19F2" w:rsidP="007B19F2">
      <w:pPr>
        <w:jc w:val="both"/>
        <w:rPr>
          <w:rFonts w:cstheme="minorHAnsi"/>
          <w:sz w:val="28"/>
          <w:szCs w:val="28"/>
        </w:rPr>
      </w:pPr>
    </w:p>
    <w:p w:rsidR="007B19F2" w:rsidRPr="005E1103" w:rsidRDefault="007B19F2" w:rsidP="007B19F2">
      <w:pPr>
        <w:jc w:val="both"/>
        <w:rPr>
          <w:rFonts w:cstheme="minorHAnsi"/>
          <w:sz w:val="28"/>
          <w:szCs w:val="28"/>
        </w:rPr>
      </w:pPr>
      <w:r w:rsidRPr="005E1103">
        <w:rPr>
          <w:rFonts w:cstheme="minorHAnsi"/>
          <w:sz w:val="28"/>
          <w:szCs w:val="28"/>
        </w:rPr>
        <w:t>En todos los casos se encuentran muy altas valoraciones (incluso en todas se alcanza el 4,4 de media) donde destacan la satisfacción general con el Campus. El aspecto que obtiene una peor valoración es la posibilidad de repetir la experiencia, por lo que se hace necesario investigar y conocer más profundamente cuáles era la visión de lo que iban a realizar los alumnos previamente antes de comenzar el Campus.</w:t>
      </w:r>
    </w:p>
    <w:p w:rsidR="007B19F2" w:rsidRPr="005E1103" w:rsidRDefault="007B19F2" w:rsidP="007B19F2">
      <w:pPr>
        <w:rPr>
          <w:rFonts w:cstheme="minorHAnsi"/>
          <w:sz w:val="28"/>
          <w:szCs w:val="28"/>
        </w:rPr>
      </w:pPr>
    </w:p>
    <w:tbl>
      <w:tblPr>
        <w:tblW w:w="8363" w:type="dxa"/>
        <w:tblInd w:w="25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284"/>
        <w:gridCol w:w="1559"/>
        <w:gridCol w:w="2410"/>
        <w:gridCol w:w="1417"/>
        <w:gridCol w:w="1559"/>
        <w:gridCol w:w="1134"/>
      </w:tblGrid>
      <w:tr w:rsidR="007B19F2" w:rsidRPr="005E1103" w:rsidTr="005B72C1">
        <w:tc>
          <w:tcPr>
            <w:tcW w:w="284" w:type="dxa"/>
            <w:tcBorders>
              <w:top w:val="nil"/>
              <w:left w:val="nil"/>
              <w:bottom w:val="single" w:sz="4" w:space="0" w:color="auto"/>
              <w:right w:val="nil"/>
            </w:tcBorders>
          </w:tcPr>
          <w:p w:rsidR="007B19F2" w:rsidRPr="005E1103" w:rsidRDefault="007B19F2" w:rsidP="005B72C1">
            <w:pPr>
              <w:jc w:val="both"/>
              <w:rPr>
                <w:rFonts w:cstheme="minorHAnsi"/>
                <w:b/>
                <w:sz w:val="28"/>
                <w:szCs w:val="28"/>
              </w:rPr>
            </w:pPr>
          </w:p>
        </w:tc>
        <w:tc>
          <w:tcPr>
            <w:tcW w:w="1559" w:type="dxa"/>
            <w:tcBorders>
              <w:top w:val="nil"/>
              <w:left w:val="nil"/>
              <w:bottom w:val="single" w:sz="4" w:space="0" w:color="auto"/>
              <w:right w:val="nil"/>
            </w:tcBorders>
          </w:tcPr>
          <w:p w:rsidR="007B19F2" w:rsidRPr="005E1103" w:rsidRDefault="007B19F2" w:rsidP="005B72C1">
            <w:pPr>
              <w:jc w:val="both"/>
              <w:rPr>
                <w:rFonts w:cstheme="minorHAnsi"/>
                <w:b/>
                <w:sz w:val="28"/>
                <w:szCs w:val="28"/>
              </w:rPr>
            </w:pPr>
          </w:p>
        </w:tc>
        <w:tc>
          <w:tcPr>
            <w:tcW w:w="6520" w:type="dxa"/>
            <w:gridSpan w:val="4"/>
            <w:tcBorders>
              <w:top w:val="nil"/>
              <w:left w:val="nil"/>
              <w:bottom w:val="single" w:sz="4" w:space="0" w:color="auto"/>
              <w:right w:val="nil"/>
            </w:tcBorders>
            <w:shd w:val="clear" w:color="auto" w:fill="auto"/>
          </w:tcPr>
          <w:p w:rsidR="007B19F2" w:rsidRPr="005E1103" w:rsidRDefault="007B19F2" w:rsidP="005B72C1">
            <w:pPr>
              <w:jc w:val="both"/>
              <w:rPr>
                <w:rFonts w:cstheme="minorHAnsi"/>
                <w:b/>
                <w:sz w:val="28"/>
                <w:szCs w:val="28"/>
              </w:rPr>
            </w:pPr>
            <w:r w:rsidRPr="005E1103">
              <w:rPr>
                <w:rFonts w:cstheme="minorHAnsi"/>
                <w:b/>
                <w:sz w:val="28"/>
                <w:szCs w:val="28"/>
              </w:rPr>
              <w:t>Tabla 4. Satisfacción con el Campus</w:t>
            </w:r>
          </w:p>
          <w:p w:rsidR="007B19F2" w:rsidRPr="005E1103" w:rsidRDefault="007B19F2" w:rsidP="005B72C1">
            <w:pPr>
              <w:jc w:val="both"/>
              <w:rPr>
                <w:rFonts w:cstheme="minorHAnsi"/>
                <w:b/>
                <w:sz w:val="28"/>
                <w:szCs w:val="28"/>
              </w:rPr>
            </w:pPr>
          </w:p>
        </w:tc>
      </w:tr>
      <w:tr w:rsidR="007B19F2" w:rsidRPr="005E1103" w:rsidTr="005B72C1">
        <w:tc>
          <w:tcPr>
            <w:tcW w:w="4253" w:type="dxa"/>
            <w:gridSpan w:val="3"/>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both"/>
              <w:rPr>
                <w:rFonts w:cstheme="minorHAnsi"/>
                <w:sz w:val="28"/>
                <w:szCs w:val="28"/>
              </w:rPr>
            </w:pP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center"/>
              <w:rPr>
                <w:rFonts w:cstheme="minorHAnsi"/>
                <w:b/>
                <w:sz w:val="28"/>
                <w:szCs w:val="28"/>
              </w:rPr>
            </w:pPr>
            <w:r w:rsidRPr="005E1103">
              <w:rPr>
                <w:rFonts w:cstheme="minorHAnsi"/>
                <w:b/>
                <w:sz w:val="28"/>
                <w:szCs w:val="28"/>
              </w:rPr>
              <w:t>2014</w:t>
            </w:r>
          </w:p>
        </w:tc>
        <w:tc>
          <w:tcPr>
            <w:tcW w:w="1559" w:type="dxa"/>
            <w:tcBorders>
              <w:top w:val="single" w:sz="4" w:space="0" w:color="auto"/>
              <w:left w:val="single" w:sz="4" w:space="0" w:color="auto"/>
              <w:bottom w:val="single" w:sz="4" w:space="0" w:color="auto"/>
              <w:right w:val="single" w:sz="4" w:space="0" w:color="auto"/>
            </w:tcBorders>
            <w:shd w:val="clear" w:color="auto" w:fill="EEECE1"/>
          </w:tcPr>
          <w:p w:rsidR="007B19F2" w:rsidRPr="005E1103" w:rsidRDefault="007B19F2" w:rsidP="005B72C1">
            <w:pPr>
              <w:jc w:val="center"/>
              <w:rPr>
                <w:rFonts w:cstheme="minorHAnsi"/>
                <w:b/>
                <w:sz w:val="28"/>
                <w:szCs w:val="28"/>
              </w:rPr>
            </w:pPr>
            <w:r w:rsidRPr="005E1103">
              <w:rPr>
                <w:rFonts w:cstheme="minorHAnsi"/>
                <w:b/>
                <w:sz w:val="28"/>
                <w:szCs w:val="28"/>
              </w:rPr>
              <w:t>2015</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center"/>
              <w:rPr>
                <w:rFonts w:cstheme="minorHAnsi"/>
                <w:b/>
                <w:sz w:val="28"/>
                <w:szCs w:val="28"/>
              </w:rPr>
            </w:pPr>
            <w:r w:rsidRPr="005E1103">
              <w:rPr>
                <w:rFonts w:cstheme="minorHAnsi"/>
                <w:b/>
                <w:sz w:val="28"/>
                <w:szCs w:val="28"/>
              </w:rPr>
              <w:t>Sig.</w:t>
            </w:r>
          </w:p>
        </w:tc>
      </w:tr>
      <w:tr w:rsidR="007B19F2" w:rsidRPr="005E1103" w:rsidTr="005B72C1">
        <w:tc>
          <w:tcPr>
            <w:tcW w:w="4253" w:type="dxa"/>
            <w:gridSpan w:val="3"/>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both"/>
              <w:rPr>
                <w:rFonts w:cstheme="minorHAnsi"/>
                <w:sz w:val="28"/>
                <w:szCs w:val="28"/>
              </w:rPr>
            </w:pPr>
            <w:r w:rsidRPr="005E1103">
              <w:rPr>
                <w:rFonts w:cstheme="minorHAnsi"/>
                <w:sz w:val="28"/>
                <w:szCs w:val="28"/>
              </w:rPr>
              <w:t>Valoración global del Campus Inclusivo</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center"/>
              <w:rPr>
                <w:rFonts w:cstheme="minorHAnsi"/>
                <w:sz w:val="28"/>
                <w:szCs w:val="28"/>
              </w:rPr>
            </w:pPr>
            <w:r w:rsidRPr="005E1103">
              <w:rPr>
                <w:rFonts w:cstheme="minorHAnsi"/>
                <w:sz w:val="28"/>
                <w:szCs w:val="28"/>
              </w:rPr>
              <w:t>4,83</w:t>
            </w:r>
          </w:p>
        </w:tc>
        <w:tc>
          <w:tcPr>
            <w:tcW w:w="1559" w:type="dxa"/>
            <w:tcBorders>
              <w:top w:val="single" w:sz="4" w:space="0" w:color="auto"/>
              <w:left w:val="single" w:sz="4" w:space="0" w:color="auto"/>
              <w:bottom w:val="single" w:sz="4" w:space="0" w:color="auto"/>
              <w:right w:val="single" w:sz="4" w:space="0" w:color="auto"/>
            </w:tcBorders>
            <w:shd w:val="clear" w:color="auto" w:fill="EEECE1"/>
          </w:tcPr>
          <w:p w:rsidR="007B19F2" w:rsidRPr="005E1103" w:rsidRDefault="007B19F2" w:rsidP="005B72C1">
            <w:pPr>
              <w:jc w:val="center"/>
              <w:rPr>
                <w:rFonts w:cstheme="minorHAnsi"/>
                <w:sz w:val="28"/>
                <w:szCs w:val="28"/>
              </w:rPr>
            </w:pPr>
            <w:r w:rsidRPr="005E1103">
              <w:rPr>
                <w:rFonts w:cstheme="minorHAnsi"/>
                <w:sz w:val="28"/>
                <w:szCs w:val="28"/>
              </w:rPr>
              <w:t>4,70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center"/>
              <w:rPr>
                <w:rFonts w:cstheme="minorHAnsi"/>
                <w:sz w:val="28"/>
                <w:szCs w:val="28"/>
              </w:rPr>
            </w:pPr>
            <w:r w:rsidRPr="005E1103">
              <w:rPr>
                <w:rFonts w:cstheme="minorHAnsi"/>
                <w:sz w:val="28"/>
                <w:szCs w:val="28"/>
              </w:rPr>
              <w:t>0,670</w:t>
            </w:r>
          </w:p>
        </w:tc>
      </w:tr>
      <w:tr w:rsidR="007B19F2" w:rsidRPr="005E1103" w:rsidTr="005B72C1">
        <w:tc>
          <w:tcPr>
            <w:tcW w:w="4253" w:type="dxa"/>
            <w:gridSpan w:val="3"/>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both"/>
              <w:rPr>
                <w:rFonts w:cstheme="minorHAnsi"/>
                <w:sz w:val="28"/>
                <w:szCs w:val="28"/>
              </w:rPr>
            </w:pPr>
            <w:r w:rsidRPr="005E1103">
              <w:rPr>
                <w:rFonts w:cstheme="minorHAnsi"/>
                <w:sz w:val="28"/>
                <w:szCs w:val="28"/>
              </w:rPr>
              <w:t>Intención de repetir la experiencia</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center"/>
              <w:rPr>
                <w:rFonts w:cstheme="minorHAnsi"/>
                <w:sz w:val="28"/>
                <w:szCs w:val="28"/>
              </w:rPr>
            </w:pPr>
            <w:r w:rsidRPr="005E1103">
              <w:rPr>
                <w:rFonts w:cstheme="minorHAnsi"/>
                <w:sz w:val="28"/>
                <w:szCs w:val="28"/>
              </w:rPr>
              <w:t>4,88</w:t>
            </w:r>
          </w:p>
        </w:tc>
        <w:tc>
          <w:tcPr>
            <w:tcW w:w="1559" w:type="dxa"/>
            <w:tcBorders>
              <w:top w:val="single" w:sz="4" w:space="0" w:color="auto"/>
              <w:left w:val="single" w:sz="4" w:space="0" w:color="auto"/>
              <w:bottom w:val="single" w:sz="4" w:space="0" w:color="auto"/>
              <w:right w:val="single" w:sz="4" w:space="0" w:color="auto"/>
            </w:tcBorders>
            <w:shd w:val="clear" w:color="auto" w:fill="EEECE1"/>
          </w:tcPr>
          <w:p w:rsidR="007B19F2" w:rsidRPr="005E1103" w:rsidRDefault="007B19F2" w:rsidP="005B72C1">
            <w:pPr>
              <w:jc w:val="center"/>
              <w:rPr>
                <w:rFonts w:cstheme="minorHAnsi"/>
                <w:sz w:val="28"/>
                <w:szCs w:val="28"/>
              </w:rPr>
            </w:pPr>
            <w:r w:rsidRPr="005E1103">
              <w:rPr>
                <w:rFonts w:cstheme="minorHAnsi"/>
                <w:sz w:val="28"/>
                <w:szCs w:val="28"/>
              </w:rPr>
              <w:t>4,40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center"/>
              <w:rPr>
                <w:rFonts w:cstheme="minorHAnsi"/>
                <w:sz w:val="28"/>
                <w:szCs w:val="28"/>
              </w:rPr>
            </w:pPr>
            <w:r w:rsidRPr="005E1103">
              <w:rPr>
                <w:rFonts w:cstheme="minorHAnsi"/>
                <w:sz w:val="28"/>
                <w:szCs w:val="28"/>
              </w:rPr>
              <w:t>0,124</w:t>
            </w:r>
          </w:p>
        </w:tc>
      </w:tr>
      <w:tr w:rsidR="007B19F2" w:rsidRPr="005E1103" w:rsidTr="005B72C1">
        <w:tc>
          <w:tcPr>
            <w:tcW w:w="4253" w:type="dxa"/>
            <w:gridSpan w:val="3"/>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both"/>
              <w:rPr>
                <w:rFonts w:cstheme="minorHAnsi"/>
                <w:sz w:val="28"/>
                <w:szCs w:val="28"/>
              </w:rPr>
            </w:pPr>
            <w:r w:rsidRPr="005E1103">
              <w:rPr>
                <w:rFonts w:cstheme="minorHAnsi"/>
                <w:sz w:val="28"/>
                <w:szCs w:val="28"/>
              </w:rPr>
              <w:t>Probabilidad de recomendar la experiencia a tus amigos</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center"/>
              <w:rPr>
                <w:rFonts w:cstheme="minorHAnsi"/>
                <w:sz w:val="28"/>
                <w:szCs w:val="28"/>
              </w:rPr>
            </w:pPr>
            <w:r w:rsidRPr="005E1103">
              <w:rPr>
                <w:rFonts w:cstheme="minorHAnsi"/>
                <w:sz w:val="28"/>
                <w:szCs w:val="28"/>
              </w:rPr>
              <w:t>4,92</w:t>
            </w:r>
          </w:p>
        </w:tc>
        <w:tc>
          <w:tcPr>
            <w:tcW w:w="1559" w:type="dxa"/>
            <w:tcBorders>
              <w:top w:val="single" w:sz="4" w:space="0" w:color="auto"/>
              <w:left w:val="single" w:sz="4" w:space="0" w:color="auto"/>
              <w:bottom w:val="single" w:sz="4" w:space="0" w:color="auto"/>
              <w:right w:val="single" w:sz="4" w:space="0" w:color="auto"/>
            </w:tcBorders>
            <w:shd w:val="clear" w:color="auto" w:fill="EEECE1"/>
          </w:tcPr>
          <w:p w:rsidR="007B19F2" w:rsidRPr="005E1103" w:rsidRDefault="007B19F2" w:rsidP="005B72C1">
            <w:pPr>
              <w:jc w:val="center"/>
              <w:rPr>
                <w:rFonts w:cstheme="minorHAnsi"/>
                <w:sz w:val="28"/>
                <w:szCs w:val="28"/>
              </w:rPr>
            </w:pPr>
            <w:r w:rsidRPr="005E1103">
              <w:rPr>
                <w:rFonts w:cstheme="minorHAnsi"/>
                <w:sz w:val="28"/>
                <w:szCs w:val="28"/>
              </w:rPr>
              <w:t>4,79</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center"/>
              <w:rPr>
                <w:rFonts w:cstheme="minorHAnsi"/>
                <w:sz w:val="28"/>
                <w:szCs w:val="28"/>
              </w:rPr>
            </w:pPr>
            <w:r w:rsidRPr="005E1103">
              <w:rPr>
                <w:rFonts w:cstheme="minorHAnsi"/>
                <w:sz w:val="28"/>
                <w:szCs w:val="28"/>
              </w:rPr>
              <w:t>0,441</w:t>
            </w:r>
          </w:p>
        </w:tc>
      </w:tr>
      <w:tr w:rsidR="007B19F2" w:rsidRPr="005E1103" w:rsidTr="005B72C1">
        <w:tc>
          <w:tcPr>
            <w:tcW w:w="4253" w:type="dxa"/>
            <w:gridSpan w:val="3"/>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rPr>
                <w:rFonts w:cstheme="minorHAnsi"/>
                <w:sz w:val="28"/>
                <w:szCs w:val="28"/>
              </w:rPr>
            </w:pPr>
            <w:r w:rsidRPr="005E1103">
              <w:rPr>
                <w:rFonts w:cstheme="minorHAnsi"/>
                <w:sz w:val="28"/>
                <w:szCs w:val="28"/>
              </w:rPr>
              <w:t>El campus se ha ajustado a mis expectativas</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center"/>
              <w:rPr>
                <w:rFonts w:cstheme="minorHAnsi"/>
                <w:sz w:val="28"/>
                <w:szCs w:val="28"/>
              </w:rPr>
            </w:pPr>
            <w:r w:rsidRPr="005E1103">
              <w:rPr>
                <w:rFonts w:cstheme="minorHAnsi"/>
                <w:sz w:val="28"/>
                <w:szCs w:val="28"/>
              </w:rPr>
              <w:t>4,71</w:t>
            </w:r>
          </w:p>
        </w:tc>
        <w:tc>
          <w:tcPr>
            <w:tcW w:w="1559" w:type="dxa"/>
            <w:tcBorders>
              <w:top w:val="single" w:sz="4" w:space="0" w:color="auto"/>
              <w:left w:val="single" w:sz="4" w:space="0" w:color="auto"/>
              <w:bottom w:val="single" w:sz="4" w:space="0" w:color="auto"/>
              <w:right w:val="single" w:sz="4" w:space="0" w:color="auto"/>
            </w:tcBorders>
            <w:shd w:val="clear" w:color="auto" w:fill="EEECE1"/>
          </w:tcPr>
          <w:p w:rsidR="007B19F2" w:rsidRPr="005E1103" w:rsidRDefault="007B19F2" w:rsidP="005B72C1">
            <w:pPr>
              <w:jc w:val="center"/>
              <w:rPr>
                <w:rFonts w:cstheme="minorHAnsi"/>
                <w:sz w:val="28"/>
                <w:szCs w:val="28"/>
              </w:rPr>
            </w:pPr>
            <w:r w:rsidRPr="005E1103">
              <w:rPr>
                <w:rFonts w:cstheme="minorHAnsi"/>
                <w:sz w:val="28"/>
                <w:szCs w:val="28"/>
              </w:rPr>
              <w:t>4,65</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center"/>
              <w:rPr>
                <w:rFonts w:cstheme="minorHAnsi"/>
                <w:sz w:val="28"/>
                <w:szCs w:val="28"/>
              </w:rPr>
            </w:pPr>
            <w:r w:rsidRPr="005E1103">
              <w:rPr>
                <w:rFonts w:cstheme="minorHAnsi"/>
                <w:sz w:val="28"/>
                <w:szCs w:val="28"/>
              </w:rPr>
              <w:t>0,664</w:t>
            </w:r>
          </w:p>
        </w:tc>
      </w:tr>
      <w:tr w:rsidR="007B19F2" w:rsidRPr="005E1103" w:rsidTr="005B72C1">
        <w:trPr>
          <w:trHeight w:val="283"/>
        </w:trPr>
        <w:tc>
          <w:tcPr>
            <w:tcW w:w="4253" w:type="dxa"/>
            <w:gridSpan w:val="3"/>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both"/>
              <w:rPr>
                <w:rFonts w:cstheme="minorHAnsi"/>
                <w:sz w:val="28"/>
                <w:szCs w:val="28"/>
              </w:rPr>
            </w:pPr>
            <w:r w:rsidRPr="005E1103">
              <w:rPr>
                <w:rFonts w:cstheme="minorHAnsi"/>
                <w:sz w:val="28"/>
                <w:szCs w:val="28"/>
              </w:rPr>
              <w:t>Satisfacción general</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center"/>
              <w:rPr>
                <w:rFonts w:cstheme="minorHAnsi"/>
                <w:sz w:val="28"/>
                <w:szCs w:val="28"/>
              </w:rPr>
            </w:pPr>
            <w:r w:rsidRPr="005E1103">
              <w:rPr>
                <w:rFonts w:cstheme="minorHAnsi"/>
                <w:sz w:val="28"/>
                <w:szCs w:val="28"/>
              </w:rPr>
              <w:t>4,88</w:t>
            </w:r>
          </w:p>
        </w:tc>
        <w:tc>
          <w:tcPr>
            <w:tcW w:w="1559" w:type="dxa"/>
            <w:tcBorders>
              <w:top w:val="single" w:sz="4" w:space="0" w:color="auto"/>
              <w:left w:val="single" w:sz="4" w:space="0" w:color="auto"/>
              <w:bottom w:val="single" w:sz="4" w:space="0" w:color="auto"/>
              <w:right w:val="single" w:sz="4" w:space="0" w:color="auto"/>
            </w:tcBorders>
            <w:shd w:val="clear" w:color="auto" w:fill="EEECE1"/>
          </w:tcPr>
          <w:p w:rsidR="007B19F2" w:rsidRPr="005E1103" w:rsidRDefault="007B19F2" w:rsidP="005B72C1">
            <w:pPr>
              <w:jc w:val="center"/>
              <w:rPr>
                <w:rFonts w:cstheme="minorHAnsi"/>
                <w:sz w:val="28"/>
                <w:szCs w:val="28"/>
              </w:rPr>
            </w:pPr>
            <w:r w:rsidRPr="005E1103">
              <w:rPr>
                <w:rFonts w:cstheme="minorHAnsi"/>
                <w:sz w:val="28"/>
                <w:szCs w:val="28"/>
              </w:rPr>
              <w:t>4,80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7B19F2" w:rsidRPr="005E1103" w:rsidRDefault="007B19F2" w:rsidP="005B72C1">
            <w:pPr>
              <w:jc w:val="center"/>
              <w:rPr>
                <w:rFonts w:cstheme="minorHAnsi"/>
                <w:sz w:val="28"/>
                <w:szCs w:val="28"/>
              </w:rPr>
            </w:pPr>
            <w:r w:rsidRPr="005E1103">
              <w:rPr>
                <w:rFonts w:cstheme="minorHAnsi"/>
                <w:sz w:val="28"/>
                <w:szCs w:val="28"/>
              </w:rPr>
              <w:t>0.722</w:t>
            </w:r>
          </w:p>
        </w:tc>
      </w:tr>
    </w:tbl>
    <w:p w:rsidR="007B19F2" w:rsidRPr="005E1103" w:rsidRDefault="007B19F2" w:rsidP="007B19F2">
      <w:pPr>
        <w:jc w:val="both"/>
        <w:rPr>
          <w:rFonts w:cstheme="minorHAnsi"/>
          <w:sz w:val="28"/>
          <w:szCs w:val="28"/>
        </w:rPr>
      </w:pPr>
    </w:p>
    <w:p w:rsidR="007B19F2" w:rsidRPr="005E1103" w:rsidRDefault="007B19F2" w:rsidP="007B19F2">
      <w:pPr>
        <w:ind w:left="360"/>
        <w:jc w:val="both"/>
        <w:rPr>
          <w:rFonts w:cstheme="minorHAnsi"/>
          <w:b/>
          <w:sz w:val="28"/>
          <w:szCs w:val="28"/>
        </w:rPr>
      </w:pPr>
      <w:r w:rsidRPr="005E1103">
        <w:rPr>
          <w:rFonts w:cstheme="minorHAnsi"/>
          <w:b/>
          <w:sz w:val="28"/>
          <w:szCs w:val="28"/>
        </w:rPr>
        <w:t>6. Conclusiones</w:t>
      </w:r>
    </w:p>
    <w:p w:rsidR="007B19F2" w:rsidRPr="005E1103" w:rsidRDefault="007B19F2" w:rsidP="007B19F2">
      <w:pPr>
        <w:rPr>
          <w:rFonts w:cstheme="minorHAnsi"/>
          <w:sz w:val="28"/>
          <w:szCs w:val="28"/>
        </w:rPr>
      </w:pPr>
    </w:p>
    <w:p w:rsidR="007B19F2" w:rsidRPr="005E1103" w:rsidRDefault="007B19F2" w:rsidP="007B19F2">
      <w:pPr>
        <w:jc w:val="both"/>
        <w:rPr>
          <w:rFonts w:cstheme="minorHAnsi"/>
          <w:sz w:val="28"/>
          <w:szCs w:val="28"/>
        </w:rPr>
      </w:pPr>
      <w:r w:rsidRPr="005E1103">
        <w:rPr>
          <w:rFonts w:cstheme="minorHAnsi"/>
          <w:sz w:val="28"/>
          <w:szCs w:val="28"/>
        </w:rPr>
        <w:lastRenderedPageBreak/>
        <w:t>La inclusión es un tema prioritario para la mejora de la calidad educativa tal como se formulan en las diferentes estrategias europeas de educación o las propias legislaciones referidas a igualdad. Con el objetivo de fomentar una mayor presencia de personas con discapacidad en las universidades presenciales, fomentar la convivencia y, sobretodo, conseguir una mayor normalización en las relaciones de personas con y sin discapacidad se llevaron a cabo los terceros Campus Inclusivos de la Universidad de Granada a través de su Campus de Excelencia (CEI BioTic) celebrados en 2015.</w:t>
      </w:r>
    </w:p>
    <w:p w:rsidR="007B19F2" w:rsidRPr="005E1103" w:rsidRDefault="007B19F2" w:rsidP="007B19F2">
      <w:pPr>
        <w:jc w:val="both"/>
        <w:rPr>
          <w:rFonts w:cstheme="minorHAnsi"/>
          <w:sz w:val="28"/>
          <w:szCs w:val="28"/>
        </w:rPr>
      </w:pPr>
    </w:p>
    <w:p w:rsidR="007B19F2" w:rsidRPr="005E1103" w:rsidRDefault="007B19F2" w:rsidP="007B19F2">
      <w:pPr>
        <w:jc w:val="both"/>
        <w:rPr>
          <w:rFonts w:cstheme="minorHAnsi"/>
          <w:sz w:val="28"/>
          <w:szCs w:val="28"/>
        </w:rPr>
      </w:pPr>
      <w:r w:rsidRPr="005E1103">
        <w:rPr>
          <w:rFonts w:cstheme="minorHAnsi"/>
          <w:sz w:val="28"/>
          <w:szCs w:val="28"/>
        </w:rPr>
        <w:t>El presente estudio ha permitido conocer y comparar la idoneidad, la repercusión y la satisfacción con el Campus de la edición 2015, desde el punto de vista de sus participantes, lo cual resulta fundamental como un eje estratégico a vista de mejorar aquellos aspectos más deficitarios y lograr una mejor consecución de los objetivos en el futuro. Además, el presente estudio aporta como novedad un análisis longitudinal pues se comparan los resultados de la edición del 2014 con las del 2015.</w:t>
      </w:r>
    </w:p>
    <w:p w:rsidR="007B19F2" w:rsidRPr="005E1103" w:rsidRDefault="007B19F2" w:rsidP="007B19F2">
      <w:pPr>
        <w:jc w:val="both"/>
        <w:rPr>
          <w:rFonts w:cstheme="minorHAnsi"/>
          <w:sz w:val="28"/>
          <w:szCs w:val="28"/>
        </w:rPr>
      </w:pPr>
    </w:p>
    <w:p w:rsidR="007B19F2" w:rsidRPr="005E1103" w:rsidRDefault="007B19F2" w:rsidP="007B19F2">
      <w:pPr>
        <w:jc w:val="both"/>
        <w:rPr>
          <w:rFonts w:cstheme="minorHAnsi"/>
          <w:sz w:val="28"/>
          <w:szCs w:val="28"/>
        </w:rPr>
      </w:pPr>
      <w:r w:rsidRPr="005E1103">
        <w:rPr>
          <w:rFonts w:cstheme="minorHAnsi"/>
          <w:sz w:val="28"/>
          <w:szCs w:val="28"/>
        </w:rPr>
        <w:t>En primer lugar, con respecto a la valoración de la utilidad de los campus inclusivos, en ambas ediciones los resultados en términos generales son altos, no existiendo diferencias significativas entre el año 2014 y 2015 y coincidiendo en sus máximas puntuaciones en la valoración del componente personal y social de esta experiencia, al otorgar importancia a la creación de nuevas amistades e inclusión con otras personas. Por lo tanto se mantiene la consecución de los objetivos referidos al fomento de la inclusión con sus iguales como experiencia positiva.</w:t>
      </w:r>
    </w:p>
    <w:p w:rsidR="007B19F2" w:rsidRPr="005E1103" w:rsidRDefault="007B19F2" w:rsidP="007B19F2">
      <w:pPr>
        <w:jc w:val="both"/>
        <w:rPr>
          <w:rFonts w:cstheme="minorHAnsi"/>
          <w:sz w:val="28"/>
          <w:szCs w:val="28"/>
        </w:rPr>
      </w:pPr>
      <w:r w:rsidRPr="005E1103">
        <w:rPr>
          <w:rFonts w:cstheme="minorHAnsi"/>
          <w:sz w:val="28"/>
          <w:szCs w:val="28"/>
        </w:rPr>
        <w:t xml:space="preserve"> </w:t>
      </w:r>
    </w:p>
    <w:p w:rsidR="007B19F2" w:rsidRPr="005E1103" w:rsidRDefault="007B19F2" w:rsidP="007B19F2">
      <w:pPr>
        <w:jc w:val="both"/>
        <w:rPr>
          <w:rFonts w:cstheme="minorHAnsi"/>
          <w:sz w:val="28"/>
          <w:szCs w:val="28"/>
        </w:rPr>
      </w:pPr>
      <w:r w:rsidRPr="005E1103">
        <w:rPr>
          <w:rFonts w:cstheme="minorHAnsi"/>
          <w:sz w:val="28"/>
          <w:szCs w:val="28"/>
        </w:rPr>
        <w:t xml:space="preserve">Continuando con la utilidad percibida de la participación en el Campus desde la perspectiva de sus participantes, el Campus ha sido realmente útil a la hora de animar a estudiar una carrera universitaria.  Así se ha mejorado el hecho de que el Campus sirva tanto para encauzar y levantar ciertas vocaciones en áreas de conocimiento. Este fue el punto más crítico en la edición anterior y que se ha visto mejorado en la edición del 2015. </w:t>
      </w:r>
    </w:p>
    <w:p w:rsidR="007B19F2" w:rsidRPr="005E1103" w:rsidRDefault="007B19F2" w:rsidP="007B19F2">
      <w:pPr>
        <w:jc w:val="both"/>
        <w:rPr>
          <w:rFonts w:cstheme="minorHAnsi"/>
          <w:sz w:val="28"/>
          <w:szCs w:val="28"/>
        </w:rPr>
      </w:pPr>
    </w:p>
    <w:p w:rsidR="007B19F2" w:rsidRPr="005E1103" w:rsidRDefault="007B19F2" w:rsidP="007B19F2">
      <w:pPr>
        <w:jc w:val="both"/>
        <w:rPr>
          <w:rFonts w:cstheme="minorHAnsi"/>
          <w:sz w:val="28"/>
          <w:szCs w:val="28"/>
        </w:rPr>
      </w:pPr>
      <w:r w:rsidRPr="005E1103">
        <w:rPr>
          <w:rFonts w:cstheme="minorHAnsi"/>
          <w:sz w:val="28"/>
          <w:szCs w:val="28"/>
        </w:rPr>
        <w:t xml:space="preserve">Con respecto a la valoración del campus en términos de organización y gestión las puntuaciones se mantienen elevadas, aunque se ha descendido en la percepción de dos aspectos: horario y cronograma de actividades, así como la puntualidad. Estos resultados se han tenido en consideración para la propuesta de 2016 de manera que los horarios y </w:t>
      </w:r>
      <w:r w:rsidRPr="005E1103">
        <w:rPr>
          <w:rFonts w:cstheme="minorHAnsi"/>
          <w:sz w:val="28"/>
          <w:szCs w:val="28"/>
        </w:rPr>
        <w:lastRenderedPageBreak/>
        <w:t>planificación de actividades se han establecido conforme a criterios de flexibilidad y distribución adecuada, contando con tiempo de descansos entre las actuaciones.</w:t>
      </w:r>
    </w:p>
    <w:p w:rsidR="007B19F2" w:rsidRPr="005E1103" w:rsidRDefault="007B19F2" w:rsidP="007B19F2">
      <w:pPr>
        <w:jc w:val="both"/>
        <w:rPr>
          <w:rFonts w:cstheme="minorHAnsi"/>
          <w:sz w:val="28"/>
          <w:szCs w:val="28"/>
        </w:rPr>
      </w:pPr>
    </w:p>
    <w:p w:rsidR="007B19F2" w:rsidRPr="005E1103" w:rsidRDefault="007B19F2" w:rsidP="007B19F2">
      <w:pPr>
        <w:jc w:val="both"/>
        <w:rPr>
          <w:rFonts w:cstheme="minorHAnsi"/>
          <w:sz w:val="28"/>
          <w:szCs w:val="28"/>
        </w:rPr>
      </w:pPr>
      <w:r w:rsidRPr="005E1103">
        <w:rPr>
          <w:rFonts w:cstheme="minorHAnsi"/>
          <w:sz w:val="28"/>
          <w:szCs w:val="28"/>
        </w:rPr>
        <w:t>Sobre la satisfacción con el campus en términos generales, destaca la alta percepción obtenida, la cual se mantiene en las dos ediciones a las que nos referimos. En el resto de cuestiones referidas no existen diferencias significativas entre 2014 y 2016.</w:t>
      </w:r>
    </w:p>
    <w:p w:rsidR="007B19F2" w:rsidRPr="005E1103" w:rsidRDefault="007B19F2" w:rsidP="007B19F2">
      <w:pPr>
        <w:jc w:val="both"/>
        <w:rPr>
          <w:rFonts w:cstheme="minorHAnsi"/>
          <w:sz w:val="28"/>
          <w:szCs w:val="28"/>
        </w:rPr>
      </w:pPr>
    </w:p>
    <w:p w:rsidR="007B19F2" w:rsidRPr="005E1103" w:rsidRDefault="007B19F2" w:rsidP="007B19F2">
      <w:pPr>
        <w:jc w:val="both"/>
        <w:rPr>
          <w:rFonts w:cstheme="minorHAnsi"/>
          <w:sz w:val="28"/>
          <w:szCs w:val="28"/>
        </w:rPr>
      </w:pPr>
      <w:r w:rsidRPr="005E1103">
        <w:rPr>
          <w:rFonts w:cstheme="minorHAnsi"/>
          <w:sz w:val="28"/>
          <w:szCs w:val="28"/>
        </w:rPr>
        <w:t xml:space="preserve">Por último, dentro de los resultados y output de estos Campus, destacar el hecho de que se han celebrado durante 2016 y hasta 2017 los Campus a nivel </w:t>
      </w:r>
      <w:r w:rsidR="00EE68E8" w:rsidRPr="005E1103">
        <w:rPr>
          <w:rFonts w:cstheme="minorHAnsi"/>
          <w:sz w:val="28"/>
          <w:szCs w:val="28"/>
        </w:rPr>
        <w:t>europeo</w:t>
      </w:r>
      <w:r w:rsidRPr="005E1103">
        <w:rPr>
          <w:rFonts w:cstheme="minorHAnsi"/>
          <w:sz w:val="28"/>
          <w:szCs w:val="28"/>
        </w:rPr>
        <w:t xml:space="preserve"> (InnetCampus) para enmarcar estas iniciativas en la actual política europea. Estos resultados han sido utilizados para la organización y realización de tales campus en la UGR. Por otro lado, es importante desarrollar actividades de inclusión desde la propia Universidad para aquellas personas con discapacidad una vez entren en la universidad. Es importante para futuras ediciones mejorar los aspectos críticos detectados en este estudio relacionados con la organización. Por </w:t>
      </w:r>
      <w:r w:rsidR="00EE68E8" w:rsidRPr="005E1103">
        <w:rPr>
          <w:rFonts w:cstheme="minorHAnsi"/>
          <w:sz w:val="28"/>
          <w:szCs w:val="28"/>
        </w:rPr>
        <w:t>último,</w:t>
      </w:r>
      <w:r w:rsidRPr="005E1103">
        <w:rPr>
          <w:rFonts w:cstheme="minorHAnsi"/>
          <w:sz w:val="28"/>
          <w:szCs w:val="28"/>
        </w:rPr>
        <w:t xml:space="preserve"> como vía futura de investigación, la continuidad de estudios longitudinales entre las diferentes ediciones de los Campus y una vez que se cuente con una mayor muestra, analizar la importancia e incidencia de otras variables como la edad, el sexo o la motivación. </w:t>
      </w:r>
    </w:p>
    <w:p w:rsidR="007B19F2" w:rsidRPr="005E1103" w:rsidRDefault="007B19F2" w:rsidP="007B19F2">
      <w:pPr>
        <w:jc w:val="both"/>
        <w:rPr>
          <w:rFonts w:cstheme="minorHAnsi"/>
          <w:sz w:val="28"/>
          <w:szCs w:val="28"/>
        </w:rPr>
      </w:pPr>
    </w:p>
    <w:p w:rsidR="007B19F2" w:rsidRPr="005E1103" w:rsidRDefault="007B19F2" w:rsidP="007B19F2">
      <w:pPr>
        <w:jc w:val="both"/>
        <w:rPr>
          <w:rFonts w:cstheme="minorHAnsi"/>
          <w:sz w:val="28"/>
          <w:szCs w:val="28"/>
        </w:rPr>
      </w:pPr>
      <w:r w:rsidRPr="005E1103">
        <w:rPr>
          <w:rFonts w:cstheme="minorHAnsi"/>
          <w:sz w:val="28"/>
          <w:szCs w:val="28"/>
        </w:rPr>
        <w:t>Entre las limitaciones del presente estudio señalar la realización de la prueba no paramétrica de Man-Whitney el cual se basa en rangos medios y se ha utilizado como una medida de comprensión de qué ítems presentan diferencias entre las dos ediciones analizadas. Además, no se han utilizado escalas de satisfacción estandarizadas y validadas dentro de la literatura académica.</w:t>
      </w:r>
    </w:p>
    <w:p w:rsidR="007B19F2" w:rsidRPr="005E1103" w:rsidRDefault="007B19F2" w:rsidP="007B19F2">
      <w:pPr>
        <w:jc w:val="both"/>
        <w:rPr>
          <w:rFonts w:cstheme="minorHAnsi"/>
          <w:sz w:val="28"/>
          <w:szCs w:val="28"/>
        </w:rPr>
      </w:pPr>
    </w:p>
    <w:p w:rsidR="007B19F2" w:rsidRPr="005E1103" w:rsidRDefault="007B19F2" w:rsidP="007B19F2">
      <w:pPr>
        <w:jc w:val="both"/>
        <w:rPr>
          <w:rFonts w:cstheme="minorHAnsi"/>
          <w:sz w:val="28"/>
          <w:szCs w:val="28"/>
        </w:rPr>
      </w:pPr>
      <w:r w:rsidRPr="005E1103">
        <w:rPr>
          <w:rFonts w:cstheme="minorHAnsi"/>
          <w:sz w:val="28"/>
          <w:szCs w:val="28"/>
        </w:rPr>
        <w:t>Los Campus han supuesto una experiencia única que ha fomentado y estrechado fuertes lazos entre personas con y sin discapacidad, ha permitido fomentar nuevas vías académica para los alumnos, ha conectado la vida universitaria y no universitaria, y más importante, permite normalizar y visualizar este tipo de actuaciones dentro del ámbito de la Educación Superior.</w:t>
      </w:r>
    </w:p>
    <w:p w:rsidR="00EE68E8" w:rsidRDefault="00EE68E8">
      <w:pPr>
        <w:rPr>
          <w:rFonts w:cstheme="minorHAnsi"/>
          <w:b/>
          <w:sz w:val="28"/>
          <w:szCs w:val="28"/>
        </w:rPr>
      </w:pPr>
      <w:r>
        <w:rPr>
          <w:rFonts w:cstheme="minorHAnsi"/>
          <w:b/>
          <w:sz w:val="28"/>
          <w:szCs w:val="28"/>
        </w:rPr>
        <w:br w:type="page"/>
      </w:r>
    </w:p>
    <w:p w:rsidR="007B19F2" w:rsidRPr="005E1103" w:rsidRDefault="007B19F2" w:rsidP="007B19F2">
      <w:pPr>
        <w:rPr>
          <w:rFonts w:cstheme="minorHAnsi"/>
          <w:b/>
          <w:sz w:val="28"/>
          <w:szCs w:val="28"/>
        </w:rPr>
      </w:pPr>
      <w:r w:rsidRPr="005E1103">
        <w:rPr>
          <w:rFonts w:cstheme="minorHAnsi"/>
          <w:b/>
          <w:sz w:val="28"/>
          <w:szCs w:val="28"/>
        </w:rPr>
        <w:lastRenderedPageBreak/>
        <w:t>Referencias:</w:t>
      </w:r>
    </w:p>
    <w:p w:rsidR="007B19F2" w:rsidRPr="005E1103" w:rsidRDefault="007B19F2" w:rsidP="007B19F2">
      <w:pPr>
        <w:jc w:val="both"/>
        <w:rPr>
          <w:rFonts w:cstheme="minorHAnsi"/>
          <w:bCs/>
          <w:iCs/>
          <w:sz w:val="28"/>
          <w:szCs w:val="28"/>
        </w:rPr>
      </w:pPr>
      <w:r w:rsidRPr="005E1103">
        <w:rPr>
          <w:rFonts w:cstheme="minorHAnsi"/>
          <w:bCs/>
          <w:iCs/>
          <w:sz w:val="28"/>
          <w:szCs w:val="28"/>
        </w:rPr>
        <w:t xml:space="preserve">Ainscow, M. (2002). Rutas para el desarrollo de prácticas inclusivas en los Sistemas Educativos. </w:t>
      </w:r>
      <w:r w:rsidRPr="005E1103">
        <w:rPr>
          <w:rFonts w:cstheme="minorHAnsi"/>
          <w:bCs/>
          <w:i/>
          <w:iCs/>
          <w:sz w:val="28"/>
          <w:szCs w:val="28"/>
        </w:rPr>
        <w:t>Revista de Educación, 327</w:t>
      </w:r>
      <w:r w:rsidRPr="005E1103">
        <w:rPr>
          <w:rFonts w:cstheme="minorHAnsi"/>
          <w:bCs/>
          <w:iCs/>
          <w:sz w:val="28"/>
          <w:szCs w:val="28"/>
        </w:rPr>
        <w:t>, 69-82.</w:t>
      </w:r>
    </w:p>
    <w:p w:rsidR="007B19F2" w:rsidRPr="005E1103" w:rsidRDefault="007B19F2" w:rsidP="007B19F2">
      <w:pPr>
        <w:jc w:val="both"/>
        <w:rPr>
          <w:rFonts w:cstheme="minorHAnsi"/>
          <w:sz w:val="28"/>
          <w:szCs w:val="28"/>
        </w:rPr>
      </w:pPr>
    </w:p>
    <w:p w:rsidR="007B19F2" w:rsidRPr="005E1103" w:rsidRDefault="007B19F2" w:rsidP="007B19F2">
      <w:pPr>
        <w:jc w:val="both"/>
        <w:rPr>
          <w:rFonts w:cstheme="minorHAnsi"/>
          <w:i/>
          <w:iCs/>
          <w:sz w:val="28"/>
          <w:szCs w:val="28"/>
        </w:rPr>
      </w:pPr>
      <w:r w:rsidRPr="005E1103">
        <w:rPr>
          <w:rFonts w:cstheme="minorHAnsi"/>
          <w:sz w:val="28"/>
          <w:szCs w:val="28"/>
        </w:rPr>
        <w:t xml:space="preserve">Alonso, M. J., Navarro, R. y Vicente, L. (2008). </w:t>
      </w:r>
      <w:r w:rsidRPr="005E1103">
        <w:rPr>
          <w:rFonts w:cstheme="minorHAnsi"/>
          <w:i/>
          <w:iCs/>
          <w:sz w:val="28"/>
          <w:szCs w:val="28"/>
        </w:rPr>
        <w:t xml:space="preserve">Actitudes hacia la diversidad en estudiantes universitarios. </w:t>
      </w:r>
      <w:r w:rsidRPr="005E1103">
        <w:rPr>
          <w:rFonts w:cstheme="minorHAnsi"/>
          <w:sz w:val="28"/>
          <w:szCs w:val="28"/>
        </w:rPr>
        <w:t>Comunicacion presentada en las XIII Jornadas de Fomento</w:t>
      </w:r>
    </w:p>
    <w:p w:rsidR="007B19F2" w:rsidRPr="005E1103" w:rsidRDefault="007B19F2" w:rsidP="007B19F2">
      <w:pPr>
        <w:jc w:val="both"/>
        <w:rPr>
          <w:rFonts w:cstheme="minorHAnsi"/>
          <w:sz w:val="28"/>
          <w:szCs w:val="28"/>
        </w:rPr>
      </w:pPr>
      <w:r w:rsidRPr="005E1103">
        <w:rPr>
          <w:rFonts w:cstheme="minorHAnsi"/>
          <w:sz w:val="28"/>
          <w:szCs w:val="28"/>
        </w:rPr>
        <w:t>de la Investigacion. Universitat Jaume I, Castellon.</w:t>
      </w:r>
    </w:p>
    <w:p w:rsidR="007B19F2" w:rsidRPr="005E1103" w:rsidRDefault="007B19F2" w:rsidP="007B19F2">
      <w:pPr>
        <w:jc w:val="both"/>
        <w:rPr>
          <w:rFonts w:cstheme="minorHAnsi"/>
          <w:sz w:val="28"/>
          <w:szCs w:val="28"/>
        </w:rPr>
      </w:pPr>
    </w:p>
    <w:p w:rsidR="007B19F2" w:rsidRPr="005E1103" w:rsidRDefault="007B19F2" w:rsidP="007B19F2">
      <w:pPr>
        <w:jc w:val="both"/>
        <w:rPr>
          <w:rFonts w:cstheme="minorHAnsi"/>
          <w:bCs/>
          <w:iCs/>
          <w:sz w:val="28"/>
          <w:szCs w:val="28"/>
        </w:rPr>
      </w:pPr>
      <w:r w:rsidRPr="005E1103">
        <w:rPr>
          <w:rFonts w:cstheme="minorHAnsi"/>
          <w:sz w:val="28"/>
          <w:szCs w:val="28"/>
        </w:rPr>
        <w:t xml:space="preserve">Comes Nolla, G., Parera Pozuelo, B., Vedriel Sánchez, G., Vives García, M. (2011). </w:t>
      </w:r>
      <w:r w:rsidRPr="005E1103">
        <w:rPr>
          <w:rFonts w:cstheme="minorHAnsi"/>
          <w:bCs/>
          <w:iCs/>
          <w:sz w:val="28"/>
          <w:szCs w:val="28"/>
        </w:rPr>
        <w:t xml:space="preserve">La inclusión del alumnado con discapacidad en la universidad: la opinión del profesorado. </w:t>
      </w:r>
      <w:r w:rsidRPr="005E1103">
        <w:rPr>
          <w:rFonts w:cstheme="minorHAnsi"/>
          <w:bCs/>
          <w:i/>
          <w:iCs/>
          <w:sz w:val="28"/>
          <w:szCs w:val="28"/>
        </w:rPr>
        <w:t>Innovación Educativa, 21</w:t>
      </w:r>
      <w:r w:rsidRPr="005E1103">
        <w:rPr>
          <w:rFonts w:cstheme="minorHAnsi"/>
          <w:bCs/>
          <w:iCs/>
          <w:sz w:val="28"/>
          <w:szCs w:val="28"/>
        </w:rPr>
        <w:t>, 173-183.</w:t>
      </w:r>
    </w:p>
    <w:p w:rsidR="007B19F2" w:rsidRPr="005E1103" w:rsidRDefault="007B19F2" w:rsidP="007B19F2">
      <w:pPr>
        <w:jc w:val="both"/>
        <w:rPr>
          <w:rFonts w:cstheme="minorHAnsi"/>
          <w:bCs/>
          <w:iCs/>
          <w:sz w:val="28"/>
          <w:szCs w:val="28"/>
        </w:rPr>
      </w:pPr>
    </w:p>
    <w:p w:rsidR="007B19F2" w:rsidRPr="005E1103" w:rsidRDefault="007B19F2" w:rsidP="007B19F2">
      <w:pPr>
        <w:jc w:val="both"/>
        <w:rPr>
          <w:rFonts w:cstheme="minorHAnsi"/>
          <w:bCs/>
          <w:iCs/>
          <w:sz w:val="28"/>
          <w:szCs w:val="28"/>
        </w:rPr>
      </w:pPr>
      <w:r w:rsidRPr="005E1103">
        <w:rPr>
          <w:rFonts w:cstheme="minorHAnsi"/>
          <w:bCs/>
          <w:iCs/>
          <w:sz w:val="28"/>
          <w:szCs w:val="28"/>
        </w:rPr>
        <w:t>Convención Internacional sobre los Derechos de las Personas con Discapacidad, de 13 de diciembre de 2006.</w:t>
      </w:r>
    </w:p>
    <w:p w:rsidR="007B19F2" w:rsidRPr="005E1103" w:rsidRDefault="007B19F2" w:rsidP="007B19F2">
      <w:pPr>
        <w:jc w:val="both"/>
        <w:rPr>
          <w:rFonts w:cstheme="minorHAnsi"/>
          <w:sz w:val="28"/>
          <w:szCs w:val="28"/>
        </w:rPr>
      </w:pPr>
    </w:p>
    <w:p w:rsidR="007B19F2" w:rsidRPr="005E1103" w:rsidRDefault="007B19F2" w:rsidP="007B19F2">
      <w:pPr>
        <w:jc w:val="both"/>
        <w:rPr>
          <w:rFonts w:cstheme="minorHAnsi"/>
          <w:sz w:val="28"/>
          <w:szCs w:val="28"/>
        </w:rPr>
      </w:pPr>
      <w:r w:rsidRPr="005E1103">
        <w:rPr>
          <w:rFonts w:cstheme="minorHAnsi"/>
          <w:sz w:val="28"/>
          <w:szCs w:val="28"/>
        </w:rPr>
        <w:t xml:space="preserve">Egido Galvez, I., Cerrillo Martin, R. y Camina Durantes, A. (2009). La inclusión social y laboral de las personas con discapacidad intelectual mediante los programas de empleo con apoyo. Un reto para la orientacion. </w:t>
      </w:r>
      <w:r w:rsidRPr="005E1103">
        <w:rPr>
          <w:rFonts w:cstheme="minorHAnsi"/>
          <w:i/>
          <w:iCs/>
          <w:sz w:val="28"/>
          <w:szCs w:val="28"/>
        </w:rPr>
        <w:t>Revista Española de</w:t>
      </w:r>
      <w:r w:rsidRPr="005E1103">
        <w:rPr>
          <w:rFonts w:cstheme="minorHAnsi"/>
          <w:sz w:val="28"/>
          <w:szCs w:val="28"/>
        </w:rPr>
        <w:t xml:space="preserve"> </w:t>
      </w:r>
      <w:r w:rsidRPr="005E1103">
        <w:rPr>
          <w:rFonts w:cstheme="minorHAnsi"/>
          <w:i/>
          <w:iCs/>
          <w:sz w:val="28"/>
          <w:szCs w:val="28"/>
        </w:rPr>
        <w:t>Orientación y Psicopedagogía, 20</w:t>
      </w:r>
      <w:r w:rsidRPr="005E1103">
        <w:rPr>
          <w:rFonts w:cstheme="minorHAnsi"/>
          <w:sz w:val="28"/>
          <w:szCs w:val="28"/>
        </w:rPr>
        <w:t>(2), 135-146.</w:t>
      </w:r>
    </w:p>
    <w:p w:rsidR="007B19F2" w:rsidRPr="005E1103" w:rsidRDefault="007B19F2" w:rsidP="007B19F2">
      <w:pPr>
        <w:jc w:val="both"/>
        <w:rPr>
          <w:rFonts w:cstheme="minorHAnsi"/>
          <w:sz w:val="28"/>
          <w:szCs w:val="28"/>
        </w:rPr>
      </w:pPr>
    </w:p>
    <w:p w:rsidR="007B19F2" w:rsidRPr="005E1103" w:rsidRDefault="007B19F2" w:rsidP="007B19F2">
      <w:pPr>
        <w:autoSpaceDE w:val="0"/>
        <w:autoSpaceDN w:val="0"/>
        <w:adjustRightInd w:val="0"/>
        <w:jc w:val="both"/>
        <w:rPr>
          <w:rFonts w:eastAsia="JansonText-Roman" w:cstheme="minorHAnsi"/>
          <w:sz w:val="28"/>
          <w:szCs w:val="28"/>
        </w:rPr>
      </w:pPr>
      <w:r w:rsidRPr="005E1103">
        <w:rPr>
          <w:rFonts w:eastAsia="JansonText-Roman" w:cstheme="minorHAnsi"/>
          <w:sz w:val="28"/>
          <w:szCs w:val="28"/>
          <w:lang w:val="en-GB"/>
        </w:rPr>
        <w:t xml:space="preserve">ENQA (European Association for Quality Assurance in Higher Education) (2005). </w:t>
      </w:r>
      <w:r w:rsidRPr="005E1103">
        <w:rPr>
          <w:rFonts w:eastAsia="JansonText-Roman" w:cstheme="minorHAnsi"/>
          <w:i/>
          <w:iCs/>
          <w:sz w:val="28"/>
          <w:szCs w:val="28"/>
        </w:rPr>
        <w:t>Criterios y Directrices para la Garantía de Calidad en el Espacio Europeo de Educación Superior</w:t>
      </w:r>
      <w:r w:rsidRPr="005E1103">
        <w:rPr>
          <w:rFonts w:eastAsia="JansonText-Roman" w:cstheme="minorHAnsi"/>
          <w:sz w:val="28"/>
          <w:szCs w:val="28"/>
        </w:rPr>
        <w:t>. Helsinki: ENQA.</w:t>
      </w:r>
    </w:p>
    <w:p w:rsidR="007B19F2" w:rsidRPr="005E1103" w:rsidRDefault="007B19F2" w:rsidP="007B19F2">
      <w:pPr>
        <w:autoSpaceDE w:val="0"/>
        <w:autoSpaceDN w:val="0"/>
        <w:adjustRightInd w:val="0"/>
        <w:jc w:val="both"/>
        <w:rPr>
          <w:rFonts w:eastAsia="JansonText-Roman" w:cstheme="minorHAnsi"/>
          <w:sz w:val="28"/>
          <w:szCs w:val="28"/>
        </w:rPr>
      </w:pPr>
    </w:p>
    <w:p w:rsidR="007B19F2" w:rsidRPr="005E1103" w:rsidRDefault="007B19F2" w:rsidP="007B19F2">
      <w:pPr>
        <w:jc w:val="both"/>
        <w:rPr>
          <w:rFonts w:cstheme="minorHAnsi"/>
          <w:bCs/>
          <w:iCs/>
          <w:sz w:val="28"/>
          <w:szCs w:val="28"/>
        </w:rPr>
      </w:pPr>
      <w:r w:rsidRPr="005E1103">
        <w:rPr>
          <w:rFonts w:cstheme="minorHAnsi"/>
          <w:bCs/>
          <w:iCs/>
          <w:sz w:val="28"/>
          <w:szCs w:val="28"/>
        </w:rPr>
        <w:t xml:space="preserve">Echeita, G. (2006). </w:t>
      </w:r>
      <w:r w:rsidRPr="005E1103">
        <w:rPr>
          <w:rFonts w:cstheme="minorHAnsi"/>
          <w:bCs/>
          <w:i/>
          <w:iCs/>
          <w:sz w:val="28"/>
          <w:szCs w:val="28"/>
        </w:rPr>
        <w:t xml:space="preserve">Educación para la inclusión o educación sin exclusiones. </w:t>
      </w:r>
      <w:r w:rsidRPr="005E1103">
        <w:rPr>
          <w:rFonts w:cstheme="minorHAnsi"/>
          <w:bCs/>
          <w:iCs/>
          <w:sz w:val="28"/>
          <w:szCs w:val="28"/>
        </w:rPr>
        <w:t>Madrid. Narcea.</w:t>
      </w:r>
    </w:p>
    <w:p w:rsidR="007B19F2" w:rsidRPr="005E1103" w:rsidRDefault="007B19F2" w:rsidP="007B19F2">
      <w:pPr>
        <w:jc w:val="both"/>
        <w:rPr>
          <w:rFonts w:cstheme="minorHAnsi"/>
          <w:sz w:val="28"/>
          <w:szCs w:val="28"/>
        </w:rPr>
      </w:pPr>
    </w:p>
    <w:p w:rsidR="007B19F2" w:rsidRPr="005E1103" w:rsidRDefault="007B19F2" w:rsidP="007B19F2">
      <w:pPr>
        <w:jc w:val="both"/>
        <w:rPr>
          <w:rFonts w:cstheme="minorHAnsi"/>
          <w:sz w:val="28"/>
          <w:szCs w:val="28"/>
        </w:rPr>
      </w:pPr>
      <w:r w:rsidRPr="005E1103">
        <w:rPr>
          <w:rFonts w:cstheme="minorHAnsi"/>
          <w:sz w:val="28"/>
          <w:szCs w:val="28"/>
        </w:rPr>
        <w:t xml:space="preserve">Fundación Universia; CERMI. (2013). </w:t>
      </w:r>
      <w:r w:rsidRPr="005E1103">
        <w:rPr>
          <w:rFonts w:cstheme="minorHAnsi"/>
          <w:i/>
          <w:sz w:val="28"/>
          <w:szCs w:val="28"/>
        </w:rPr>
        <w:t xml:space="preserve">Universidad y Discapacidad. </w:t>
      </w:r>
      <w:r w:rsidRPr="005E1103">
        <w:rPr>
          <w:rFonts w:cstheme="minorHAnsi"/>
          <w:sz w:val="28"/>
          <w:szCs w:val="28"/>
        </w:rPr>
        <w:t>Recurso electrónico.</w:t>
      </w:r>
    </w:p>
    <w:p w:rsidR="007B19F2" w:rsidRPr="005E1103" w:rsidRDefault="007B19F2" w:rsidP="007B19F2">
      <w:pPr>
        <w:jc w:val="both"/>
        <w:rPr>
          <w:rFonts w:cstheme="minorHAnsi"/>
          <w:sz w:val="28"/>
          <w:szCs w:val="28"/>
        </w:rPr>
      </w:pPr>
    </w:p>
    <w:p w:rsidR="007B19F2" w:rsidRPr="005E1103" w:rsidRDefault="007B19F2" w:rsidP="007B19F2">
      <w:pPr>
        <w:jc w:val="both"/>
        <w:rPr>
          <w:rFonts w:cstheme="minorHAnsi"/>
          <w:sz w:val="28"/>
          <w:szCs w:val="28"/>
        </w:rPr>
      </w:pPr>
      <w:r w:rsidRPr="005E1103">
        <w:rPr>
          <w:rFonts w:cstheme="minorHAnsi"/>
          <w:sz w:val="28"/>
          <w:szCs w:val="28"/>
        </w:rPr>
        <w:lastRenderedPageBreak/>
        <w:t xml:space="preserve">Lagoke, B. A., Komolafe, M. D., Ige, N. A. y Oladejo, M. A. (2010). </w:t>
      </w:r>
      <w:r w:rsidRPr="005E1103">
        <w:rPr>
          <w:rFonts w:cstheme="minorHAnsi"/>
          <w:sz w:val="28"/>
          <w:szCs w:val="28"/>
          <w:lang w:val="en-GB"/>
        </w:rPr>
        <w:t xml:space="preserve">Disability status and academic performance in a Nigerian university: Instructional implications for inclusive distance education practice. </w:t>
      </w:r>
      <w:r w:rsidRPr="005E1103">
        <w:rPr>
          <w:rFonts w:cstheme="minorHAnsi"/>
          <w:i/>
          <w:iCs/>
          <w:sz w:val="28"/>
          <w:szCs w:val="28"/>
        </w:rPr>
        <w:t>European Journal of Social Sciences, 17</w:t>
      </w:r>
      <w:r w:rsidRPr="005E1103">
        <w:rPr>
          <w:rFonts w:cstheme="minorHAnsi"/>
          <w:sz w:val="28"/>
          <w:szCs w:val="28"/>
        </w:rPr>
        <w:t>(3), 303-315.</w:t>
      </w:r>
    </w:p>
    <w:p w:rsidR="007B19F2" w:rsidRPr="005E1103" w:rsidRDefault="007B19F2" w:rsidP="007B19F2">
      <w:pPr>
        <w:jc w:val="both"/>
        <w:rPr>
          <w:rFonts w:cstheme="minorHAnsi"/>
          <w:sz w:val="28"/>
          <w:szCs w:val="28"/>
        </w:rPr>
      </w:pPr>
    </w:p>
    <w:p w:rsidR="007B19F2" w:rsidRPr="005E1103" w:rsidRDefault="007B19F2" w:rsidP="007B19F2">
      <w:pPr>
        <w:jc w:val="both"/>
        <w:rPr>
          <w:rFonts w:cstheme="minorHAnsi"/>
          <w:sz w:val="28"/>
          <w:szCs w:val="28"/>
        </w:rPr>
      </w:pPr>
      <w:r w:rsidRPr="005E1103">
        <w:rPr>
          <w:rFonts w:cstheme="minorHAnsi"/>
          <w:bCs/>
          <w:iCs/>
          <w:sz w:val="28"/>
          <w:szCs w:val="28"/>
        </w:rPr>
        <w:t xml:space="preserve">Ley Orgánica de </w:t>
      </w:r>
      <w:r w:rsidRPr="005E1103">
        <w:rPr>
          <w:rFonts w:cstheme="minorHAnsi"/>
          <w:sz w:val="28"/>
          <w:szCs w:val="28"/>
        </w:rPr>
        <w:t>8/2013, de 9 de diciembre, para la mejora de la calidad educativa.</w:t>
      </w:r>
    </w:p>
    <w:p w:rsidR="007B19F2" w:rsidRPr="005E1103" w:rsidRDefault="007B19F2" w:rsidP="007B19F2">
      <w:pPr>
        <w:jc w:val="both"/>
        <w:rPr>
          <w:rFonts w:cstheme="minorHAnsi"/>
          <w:bCs/>
          <w:iCs/>
          <w:sz w:val="28"/>
          <w:szCs w:val="28"/>
        </w:rPr>
      </w:pPr>
    </w:p>
    <w:p w:rsidR="007B19F2" w:rsidRPr="005E1103" w:rsidRDefault="007B19F2" w:rsidP="007B19F2">
      <w:pPr>
        <w:jc w:val="both"/>
        <w:rPr>
          <w:rFonts w:cstheme="minorHAnsi"/>
          <w:bCs/>
          <w:iCs/>
          <w:sz w:val="28"/>
          <w:szCs w:val="28"/>
        </w:rPr>
      </w:pPr>
      <w:r w:rsidRPr="005E1103">
        <w:rPr>
          <w:rFonts w:cstheme="minorHAnsi"/>
          <w:bCs/>
          <w:iCs/>
          <w:sz w:val="28"/>
          <w:szCs w:val="28"/>
        </w:rPr>
        <w:t>Ley Orgánica 6/2001, de 21 de diciembre, de Universidades.</w:t>
      </w:r>
    </w:p>
    <w:p w:rsidR="007B19F2" w:rsidRPr="005E1103" w:rsidRDefault="007B19F2" w:rsidP="007B19F2">
      <w:pPr>
        <w:jc w:val="both"/>
        <w:rPr>
          <w:rFonts w:cstheme="minorHAnsi"/>
          <w:bCs/>
          <w:iCs/>
          <w:sz w:val="28"/>
          <w:szCs w:val="28"/>
        </w:rPr>
      </w:pPr>
    </w:p>
    <w:p w:rsidR="007B19F2" w:rsidRPr="005E1103" w:rsidRDefault="007B19F2" w:rsidP="007B19F2">
      <w:pPr>
        <w:jc w:val="both"/>
        <w:rPr>
          <w:rFonts w:cstheme="minorHAnsi"/>
          <w:iCs/>
          <w:sz w:val="28"/>
          <w:szCs w:val="28"/>
        </w:rPr>
      </w:pPr>
      <w:r w:rsidRPr="005E1103">
        <w:rPr>
          <w:rFonts w:cstheme="minorHAnsi"/>
          <w:iCs/>
          <w:sz w:val="28"/>
          <w:szCs w:val="28"/>
        </w:rPr>
        <w:t>Luque Martínez, T., Del Barrio García, S. y Aguayo Moral, J.M. (2009).</w:t>
      </w:r>
      <w:r w:rsidRPr="005E1103">
        <w:rPr>
          <w:rFonts w:cstheme="minorHAnsi"/>
          <w:i/>
          <w:iCs/>
          <w:sz w:val="28"/>
          <w:szCs w:val="28"/>
        </w:rPr>
        <w:t xml:space="preserve"> Estudio del Impacto Económico de la Universidad de Granada en su Entorno. </w:t>
      </w:r>
      <w:r w:rsidRPr="005E1103">
        <w:rPr>
          <w:rFonts w:cstheme="minorHAnsi"/>
          <w:iCs/>
          <w:sz w:val="28"/>
          <w:szCs w:val="28"/>
        </w:rPr>
        <w:t>Granada: Editorial Universidad de Granada.</w:t>
      </w:r>
    </w:p>
    <w:p w:rsidR="007B19F2" w:rsidRPr="005E1103" w:rsidRDefault="007B19F2" w:rsidP="007B19F2">
      <w:pPr>
        <w:jc w:val="both"/>
        <w:rPr>
          <w:rFonts w:cstheme="minorHAnsi"/>
          <w:sz w:val="28"/>
          <w:szCs w:val="28"/>
        </w:rPr>
      </w:pPr>
    </w:p>
    <w:p w:rsidR="007B19F2" w:rsidRPr="005E1103" w:rsidRDefault="007B19F2" w:rsidP="007B19F2">
      <w:pPr>
        <w:rPr>
          <w:rFonts w:cstheme="minorHAnsi"/>
          <w:sz w:val="28"/>
          <w:szCs w:val="28"/>
          <w:lang w:val="en-US"/>
        </w:rPr>
      </w:pPr>
      <w:r w:rsidRPr="005E1103">
        <w:rPr>
          <w:rFonts w:cstheme="minorHAnsi"/>
          <w:sz w:val="28"/>
          <w:szCs w:val="28"/>
        </w:rPr>
        <w:t>Morina Diez, A. (2008</w:t>
      </w:r>
      <w:r w:rsidR="0048210E" w:rsidRPr="005E1103">
        <w:rPr>
          <w:rFonts w:cstheme="minorHAnsi"/>
          <w:sz w:val="28"/>
          <w:szCs w:val="28"/>
        </w:rPr>
        <w:t>).</w:t>
      </w:r>
      <w:r w:rsidR="00EE68E8" w:rsidRPr="005E1103">
        <w:rPr>
          <w:rFonts w:cstheme="minorHAnsi"/>
          <w:sz w:val="28"/>
          <w:szCs w:val="28"/>
        </w:rPr>
        <w:t xml:space="preserve"> </w:t>
      </w:r>
      <w:r w:rsidR="0048210E" w:rsidRPr="005E1103">
        <w:rPr>
          <w:rFonts w:cstheme="minorHAnsi"/>
          <w:sz w:val="28"/>
          <w:szCs w:val="28"/>
        </w:rPr>
        <w:t>¿Como hacer que un centro sea inclusivo?</w:t>
      </w:r>
      <w:r w:rsidRPr="005E1103">
        <w:rPr>
          <w:rFonts w:cstheme="minorHAnsi"/>
          <w:sz w:val="28"/>
          <w:szCs w:val="28"/>
        </w:rPr>
        <w:t xml:space="preserve"> Analisis de diseno, desarrollo y resultados de un programa formativo. </w:t>
      </w:r>
      <w:r w:rsidRPr="005E1103">
        <w:rPr>
          <w:rFonts w:cstheme="minorHAnsi"/>
          <w:i/>
          <w:iCs/>
          <w:sz w:val="28"/>
          <w:szCs w:val="28"/>
          <w:lang w:val="en-US"/>
        </w:rPr>
        <w:t>Revista de Investigación</w:t>
      </w:r>
      <w:r w:rsidRPr="005E1103">
        <w:rPr>
          <w:rFonts w:cstheme="minorHAnsi"/>
          <w:sz w:val="28"/>
          <w:szCs w:val="28"/>
          <w:lang w:val="en-US"/>
        </w:rPr>
        <w:t xml:space="preserve"> </w:t>
      </w:r>
      <w:r w:rsidRPr="005E1103">
        <w:rPr>
          <w:rFonts w:cstheme="minorHAnsi"/>
          <w:i/>
          <w:iCs/>
          <w:sz w:val="28"/>
          <w:szCs w:val="28"/>
          <w:lang w:val="en-US"/>
        </w:rPr>
        <w:t>Educativa, 26</w:t>
      </w:r>
      <w:r w:rsidRPr="005E1103">
        <w:rPr>
          <w:rFonts w:cstheme="minorHAnsi"/>
          <w:sz w:val="28"/>
          <w:szCs w:val="28"/>
          <w:lang w:val="en-US"/>
        </w:rPr>
        <w:t>(2), 521-538.</w:t>
      </w:r>
    </w:p>
    <w:p w:rsidR="007B19F2" w:rsidRPr="005E1103" w:rsidRDefault="007B19F2" w:rsidP="007B19F2">
      <w:pPr>
        <w:jc w:val="both"/>
        <w:rPr>
          <w:rFonts w:cstheme="minorHAnsi"/>
          <w:sz w:val="28"/>
          <w:szCs w:val="28"/>
          <w:lang w:val="en-US"/>
        </w:rPr>
      </w:pPr>
    </w:p>
    <w:p w:rsidR="007B19F2" w:rsidRPr="005E1103" w:rsidRDefault="007B19F2" w:rsidP="007B19F2">
      <w:pPr>
        <w:jc w:val="both"/>
        <w:rPr>
          <w:rFonts w:cstheme="minorHAnsi"/>
          <w:sz w:val="28"/>
          <w:szCs w:val="28"/>
          <w:lang w:val="en-GB"/>
        </w:rPr>
      </w:pPr>
      <w:r w:rsidRPr="005E1103">
        <w:rPr>
          <w:rFonts w:cstheme="minorHAnsi"/>
          <w:sz w:val="28"/>
          <w:szCs w:val="28"/>
          <w:lang w:val="en-GB"/>
        </w:rPr>
        <w:t xml:space="preserve">Mortimore, T. (2013). Dyslexia in higher education: Creating a fully inclusive institution. </w:t>
      </w:r>
      <w:r w:rsidRPr="005E1103">
        <w:rPr>
          <w:rFonts w:cstheme="minorHAnsi"/>
          <w:i/>
          <w:iCs/>
          <w:sz w:val="28"/>
          <w:szCs w:val="28"/>
          <w:lang w:val="en-GB"/>
        </w:rPr>
        <w:t>Journal of Research in Special Educational Needs, 13</w:t>
      </w:r>
      <w:r w:rsidRPr="005E1103">
        <w:rPr>
          <w:rFonts w:cstheme="minorHAnsi"/>
          <w:sz w:val="28"/>
          <w:szCs w:val="28"/>
          <w:lang w:val="en-GB"/>
        </w:rPr>
        <w:t>(1), 38-47.</w:t>
      </w:r>
    </w:p>
    <w:p w:rsidR="007B19F2" w:rsidRPr="005E1103" w:rsidRDefault="007B19F2" w:rsidP="007B19F2">
      <w:pPr>
        <w:jc w:val="both"/>
        <w:rPr>
          <w:rFonts w:cstheme="minorHAnsi"/>
          <w:sz w:val="28"/>
          <w:szCs w:val="28"/>
          <w:lang w:val="en-GB"/>
        </w:rPr>
      </w:pPr>
    </w:p>
    <w:p w:rsidR="007B19F2" w:rsidRPr="005E1103" w:rsidRDefault="007B19F2" w:rsidP="007B19F2">
      <w:pPr>
        <w:jc w:val="both"/>
        <w:rPr>
          <w:rFonts w:cstheme="minorHAnsi"/>
          <w:sz w:val="28"/>
          <w:szCs w:val="28"/>
        </w:rPr>
      </w:pPr>
      <w:r w:rsidRPr="005E1103">
        <w:rPr>
          <w:rFonts w:cstheme="minorHAnsi"/>
          <w:sz w:val="28"/>
          <w:szCs w:val="28"/>
          <w:lang w:val="en-US"/>
        </w:rPr>
        <w:t>Muñoz-Cantero, J. M.</w:t>
      </w:r>
      <w:r w:rsidR="0048210E" w:rsidRPr="005E1103">
        <w:rPr>
          <w:rFonts w:cstheme="minorHAnsi"/>
          <w:sz w:val="28"/>
          <w:szCs w:val="28"/>
          <w:lang w:val="en-US"/>
        </w:rPr>
        <w:t>; Novo</w:t>
      </w:r>
      <w:r w:rsidRPr="005E1103">
        <w:rPr>
          <w:rFonts w:cstheme="minorHAnsi"/>
          <w:sz w:val="28"/>
          <w:szCs w:val="28"/>
          <w:lang w:val="en-US"/>
        </w:rPr>
        <w:t xml:space="preserve">-Corti, I. y Espiñeria-Bellón, E. M. (2013). </w:t>
      </w:r>
      <w:r w:rsidRPr="005E1103">
        <w:rPr>
          <w:rFonts w:cstheme="minorHAnsi"/>
          <w:sz w:val="28"/>
          <w:szCs w:val="28"/>
        </w:rPr>
        <w:t xml:space="preserve">La inclusión de los estudiantes universitarios con discapacidad en las universidades presenciales: actitudes e intención de apoyo por parte de sus compañeros. </w:t>
      </w:r>
      <w:r w:rsidRPr="005E1103">
        <w:rPr>
          <w:rFonts w:cstheme="minorHAnsi"/>
          <w:i/>
          <w:sz w:val="28"/>
          <w:szCs w:val="28"/>
        </w:rPr>
        <w:t>Estudios sobre Educación, 24</w:t>
      </w:r>
      <w:r w:rsidRPr="005E1103">
        <w:rPr>
          <w:rFonts w:cstheme="minorHAnsi"/>
          <w:sz w:val="28"/>
          <w:szCs w:val="28"/>
        </w:rPr>
        <w:t>, 103-124.</w:t>
      </w:r>
    </w:p>
    <w:p w:rsidR="007B19F2" w:rsidRPr="005E1103" w:rsidRDefault="007B19F2" w:rsidP="007B19F2">
      <w:pPr>
        <w:jc w:val="both"/>
        <w:rPr>
          <w:rFonts w:cstheme="minorHAnsi"/>
          <w:sz w:val="28"/>
          <w:szCs w:val="28"/>
        </w:rPr>
      </w:pPr>
    </w:p>
    <w:p w:rsidR="007B19F2" w:rsidRPr="005E1103" w:rsidRDefault="007B19F2" w:rsidP="007B19F2">
      <w:pPr>
        <w:jc w:val="both"/>
        <w:rPr>
          <w:rFonts w:cstheme="minorHAnsi"/>
          <w:iCs/>
          <w:sz w:val="28"/>
          <w:szCs w:val="28"/>
          <w:lang w:val="fr-FR"/>
        </w:rPr>
      </w:pPr>
      <w:r w:rsidRPr="005E1103">
        <w:rPr>
          <w:rFonts w:cstheme="minorHAnsi"/>
          <w:iCs/>
          <w:sz w:val="28"/>
          <w:szCs w:val="28"/>
        </w:rPr>
        <w:t>OCDE (2011).</w:t>
      </w:r>
      <w:r w:rsidRPr="005E1103">
        <w:rPr>
          <w:rFonts w:cstheme="minorHAnsi"/>
          <w:i/>
          <w:iCs/>
          <w:sz w:val="28"/>
          <w:szCs w:val="28"/>
        </w:rPr>
        <w:t xml:space="preserve"> Education at a Glance 2011: OECD Indicators, OECD. </w:t>
      </w:r>
      <w:r w:rsidRPr="005E1103">
        <w:rPr>
          <w:rFonts w:cstheme="minorHAnsi"/>
          <w:iCs/>
          <w:sz w:val="28"/>
          <w:szCs w:val="28"/>
          <w:lang w:val="fr-FR"/>
        </w:rPr>
        <w:t>DOI: http://dx.doi.org/10.1787/eag-2011-en</w:t>
      </w:r>
    </w:p>
    <w:p w:rsidR="007B19F2" w:rsidRPr="005E1103" w:rsidRDefault="007B19F2" w:rsidP="007B19F2">
      <w:pPr>
        <w:jc w:val="both"/>
        <w:rPr>
          <w:rFonts w:cstheme="minorHAnsi"/>
          <w:sz w:val="28"/>
          <w:szCs w:val="28"/>
          <w:lang w:val="fr-FR"/>
        </w:rPr>
      </w:pPr>
    </w:p>
    <w:p w:rsidR="007B19F2" w:rsidRPr="005E1103" w:rsidRDefault="007B19F2" w:rsidP="007B19F2">
      <w:pPr>
        <w:jc w:val="both"/>
        <w:rPr>
          <w:rFonts w:cstheme="minorHAnsi"/>
          <w:sz w:val="28"/>
          <w:szCs w:val="28"/>
          <w:lang w:val="fr-FR"/>
        </w:rPr>
      </w:pPr>
    </w:p>
    <w:p w:rsidR="007B19F2" w:rsidRPr="005E1103" w:rsidRDefault="007B19F2" w:rsidP="007B19F2">
      <w:pPr>
        <w:jc w:val="both"/>
        <w:rPr>
          <w:rFonts w:cstheme="minorHAnsi"/>
          <w:sz w:val="28"/>
          <w:szCs w:val="28"/>
        </w:rPr>
      </w:pPr>
      <w:r w:rsidRPr="005E1103">
        <w:rPr>
          <w:rFonts w:cstheme="minorHAnsi"/>
          <w:sz w:val="28"/>
          <w:szCs w:val="28"/>
        </w:rPr>
        <w:t>Real Decreto Legislativo 1/2013, de 29 de noviembre, por el que se aprueba el Texto Refundido de la Ley General de derechos de las personas con discapacidad y de su inclusión social.</w:t>
      </w:r>
    </w:p>
    <w:p w:rsidR="007B19F2" w:rsidRPr="005E1103" w:rsidRDefault="007B19F2" w:rsidP="007B19F2">
      <w:pPr>
        <w:jc w:val="both"/>
        <w:rPr>
          <w:rFonts w:cstheme="minorHAnsi"/>
          <w:sz w:val="28"/>
          <w:szCs w:val="28"/>
        </w:rPr>
      </w:pPr>
      <w:r w:rsidRPr="005E1103">
        <w:rPr>
          <w:rFonts w:cstheme="minorHAnsi"/>
          <w:sz w:val="28"/>
          <w:szCs w:val="28"/>
          <w:lang w:val="en-US"/>
        </w:rPr>
        <w:lastRenderedPageBreak/>
        <w:t xml:space="preserve">Richardson, J. T. E. (2010). </w:t>
      </w:r>
      <w:r w:rsidRPr="005E1103">
        <w:rPr>
          <w:rFonts w:cstheme="minorHAnsi"/>
          <w:sz w:val="28"/>
          <w:szCs w:val="28"/>
          <w:lang w:val="en-GB"/>
        </w:rPr>
        <w:t xml:space="preserve">Course completion and attainment in disabled students taking courses with the open university UK. </w:t>
      </w:r>
      <w:r w:rsidRPr="005E1103">
        <w:rPr>
          <w:rFonts w:cstheme="minorHAnsi"/>
          <w:i/>
          <w:iCs/>
          <w:sz w:val="28"/>
          <w:szCs w:val="28"/>
        </w:rPr>
        <w:t>Open Learning, 25</w:t>
      </w:r>
      <w:r w:rsidRPr="005E1103">
        <w:rPr>
          <w:rFonts w:cstheme="minorHAnsi"/>
          <w:sz w:val="28"/>
          <w:szCs w:val="28"/>
        </w:rPr>
        <w:t>(2), 81-94.</w:t>
      </w:r>
    </w:p>
    <w:p w:rsidR="007B19F2" w:rsidRPr="005E1103" w:rsidRDefault="007B19F2" w:rsidP="007B19F2">
      <w:pPr>
        <w:jc w:val="both"/>
        <w:rPr>
          <w:rFonts w:cstheme="minorHAnsi"/>
          <w:sz w:val="28"/>
          <w:szCs w:val="28"/>
        </w:rPr>
      </w:pPr>
    </w:p>
    <w:p w:rsidR="007B19F2" w:rsidRPr="005E1103" w:rsidRDefault="007B19F2" w:rsidP="007B19F2">
      <w:pPr>
        <w:jc w:val="both"/>
        <w:rPr>
          <w:rFonts w:cstheme="minorHAnsi"/>
          <w:sz w:val="28"/>
          <w:szCs w:val="28"/>
        </w:rPr>
      </w:pPr>
      <w:r w:rsidRPr="005E1103">
        <w:rPr>
          <w:rFonts w:cstheme="minorHAnsi"/>
          <w:sz w:val="28"/>
          <w:szCs w:val="28"/>
        </w:rPr>
        <w:t xml:space="preserve">Suarez Riveiro, J.M. (2011). </w:t>
      </w:r>
      <w:r w:rsidRPr="005E1103">
        <w:rPr>
          <w:rFonts w:cstheme="minorHAnsi"/>
          <w:i/>
          <w:iCs/>
          <w:sz w:val="28"/>
          <w:szCs w:val="28"/>
        </w:rPr>
        <w:t xml:space="preserve">Discapacidad y contextos de intervención. </w:t>
      </w:r>
      <w:r w:rsidRPr="005E1103">
        <w:rPr>
          <w:rFonts w:cstheme="minorHAnsi"/>
          <w:sz w:val="28"/>
          <w:szCs w:val="28"/>
        </w:rPr>
        <w:t>Madrid: Sanz y Torres.</w:t>
      </w:r>
    </w:p>
    <w:p w:rsidR="007B19F2" w:rsidRPr="005E1103" w:rsidRDefault="007B19F2" w:rsidP="007B19F2">
      <w:pPr>
        <w:jc w:val="both"/>
        <w:rPr>
          <w:rFonts w:cstheme="minorHAnsi"/>
          <w:sz w:val="28"/>
          <w:szCs w:val="28"/>
        </w:rPr>
      </w:pPr>
    </w:p>
    <w:p w:rsidR="007B19F2" w:rsidRPr="005E1103" w:rsidRDefault="007B19F2" w:rsidP="007B19F2">
      <w:pPr>
        <w:jc w:val="both"/>
        <w:rPr>
          <w:rFonts w:cstheme="minorHAnsi"/>
          <w:sz w:val="28"/>
          <w:szCs w:val="28"/>
        </w:rPr>
      </w:pPr>
      <w:r w:rsidRPr="005E1103">
        <w:rPr>
          <w:rFonts w:cstheme="minorHAnsi"/>
          <w:sz w:val="28"/>
          <w:szCs w:val="28"/>
        </w:rPr>
        <w:t xml:space="preserve">Vieira Aller, M. J. y Ferreira Villa, C. (2011). Los servicios de atencion a estudiantes con discapacidad en las Universidades de Castilla y Leon. </w:t>
      </w:r>
      <w:r w:rsidRPr="005E1103">
        <w:rPr>
          <w:rFonts w:cstheme="minorHAnsi"/>
          <w:i/>
          <w:iCs/>
          <w:sz w:val="28"/>
          <w:szCs w:val="28"/>
        </w:rPr>
        <w:t>Revista Española de Orientación y Psicopedagogía, 22</w:t>
      </w:r>
      <w:r w:rsidRPr="005E1103">
        <w:rPr>
          <w:rFonts w:cstheme="minorHAnsi"/>
          <w:sz w:val="28"/>
          <w:szCs w:val="28"/>
        </w:rPr>
        <w:t>(2), 185-1999</w:t>
      </w:r>
    </w:p>
    <w:p w:rsidR="007B19F2" w:rsidRPr="005E1103" w:rsidRDefault="007B19F2">
      <w:pPr>
        <w:rPr>
          <w:rFonts w:cstheme="minorHAnsi"/>
          <w:sz w:val="28"/>
          <w:szCs w:val="28"/>
        </w:rPr>
      </w:pPr>
    </w:p>
    <w:p w:rsidR="007B19F2" w:rsidRPr="005E1103" w:rsidRDefault="007B19F2" w:rsidP="007B19F2">
      <w:pPr>
        <w:spacing w:line="360" w:lineRule="auto"/>
        <w:jc w:val="center"/>
        <w:rPr>
          <w:rFonts w:cstheme="minorHAnsi"/>
          <w:b/>
          <w:sz w:val="28"/>
          <w:szCs w:val="28"/>
        </w:rPr>
      </w:pPr>
      <w:r w:rsidRPr="005E1103">
        <w:rPr>
          <w:rFonts w:cstheme="minorHAnsi"/>
          <w:b/>
          <w:sz w:val="28"/>
          <w:szCs w:val="28"/>
        </w:rPr>
        <w:t>COMUNICACIÓN QUE SERÁ EXPUESTA EN LA MESA REDONDA DE BUENAS PRÁCTICAS</w:t>
      </w:r>
    </w:p>
    <w:p w:rsidR="007B19F2" w:rsidRPr="005E1103" w:rsidRDefault="007B19F2" w:rsidP="007B19F2">
      <w:pPr>
        <w:pBdr>
          <w:top w:val="single" w:sz="4" w:space="1" w:color="auto"/>
          <w:left w:val="single" w:sz="4" w:space="4" w:color="auto"/>
          <w:bottom w:val="single" w:sz="4" w:space="1" w:color="auto"/>
          <w:right w:val="single" w:sz="4" w:space="4" w:color="auto"/>
        </w:pBdr>
        <w:spacing w:line="360" w:lineRule="auto"/>
        <w:jc w:val="center"/>
        <w:rPr>
          <w:rFonts w:cstheme="minorHAnsi"/>
          <w:b/>
          <w:sz w:val="28"/>
          <w:szCs w:val="28"/>
        </w:rPr>
      </w:pPr>
      <w:r w:rsidRPr="005E1103">
        <w:rPr>
          <w:rFonts w:cstheme="minorHAnsi"/>
          <w:b/>
          <w:sz w:val="28"/>
          <w:szCs w:val="28"/>
        </w:rPr>
        <w:t>Inclusión en la educación superior: Programa Uninorte Incluyente</w:t>
      </w:r>
    </w:p>
    <w:p w:rsidR="007B19F2" w:rsidRPr="005E1103" w:rsidRDefault="007B19F2" w:rsidP="007B19F2">
      <w:pPr>
        <w:spacing w:line="360" w:lineRule="auto"/>
        <w:jc w:val="center"/>
        <w:rPr>
          <w:rFonts w:cstheme="minorHAnsi"/>
          <w:b/>
          <w:sz w:val="28"/>
          <w:szCs w:val="28"/>
        </w:rPr>
      </w:pPr>
    </w:p>
    <w:p w:rsidR="007B19F2" w:rsidRPr="005E1103" w:rsidRDefault="007B19F2" w:rsidP="007B19F2">
      <w:pPr>
        <w:spacing w:line="360" w:lineRule="auto"/>
        <w:jc w:val="right"/>
        <w:rPr>
          <w:rFonts w:cstheme="minorHAnsi"/>
          <w:sz w:val="28"/>
          <w:szCs w:val="28"/>
        </w:rPr>
      </w:pPr>
      <w:r w:rsidRPr="005E1103">
        <w:rPr>
          <w:rFonts w:cstheme="minorHAnsi"/>
          <w:sz w:val="28"/>
          <w:szCs w:val="28"/>
        </w:rPr>
        <w:t>Ph. D Paola Alcázar Hernández</w:t>
      </w:r>
    </w:p>
    <w:p w:rsidR="007B19F2" w:rsidRPr="005E1103" w:rsidRDefault="007B19F2" w:rsidP="007B19F2">
      <w:pPr>
        <w:spacing w:line="360" w:lineRule="auto"/>
        <w:jc w:val="right"/>
        <w:rPr>
          <w:rFonts w:cstheme="minorHAnsi"/>
          <w:sz w:val="28"/>
          <w:szCs w:val="28"/>
        </w:rPr>
      </w:pPr>
      <w:r w:rsidRPr="005E1103">
        <w:rPr>
          <w:rFonts w:cstheme="minorHAnsi"/>
          <w:sz w:val="28"/>
          <w:szCs w:val="28"/>
        </w:rPr>
        <w:t xml:space="preserve">Directora de Extensión </w:t>
      </w:r>
    </w:p>
    <w:p w:rsidR="007B19F2" w:rsidRPr="005E1103" w:rsidRDefault="007B19F2" w:rsidP="007B19F2">
      <w:pPr>
        <w:spacing w:line="360" w:lineRule="auto"/>
        <w:jc w:val="right"/>
        <w:rPr>
          <w:rFonts w:cstheme="minorHAnsi"/>
          <w:sz w:val="28"/>
          <w:szCs w:val="28"/>
        </w:rPr>
      </w:pPr>
      <w:r w:rsidRPr="005E1103">
        <w:rPr>
          <w:rFonts w:cstheme="minorHAnsi"/>
          <w:sz w:val="28"/>
          <w:szCs w:val="28"/>
        </w:rPr>
        <w:t>Universidad del Norte</w:t>
      </w:r>
    </w:p>
    <w:p w:rsidR="007B19F2" w:rsidRPr="005E1103" w:rsidRDefault="007B19F2" w:rsidP="007B19F2">
      <w:pPr>
        <w:shd w:val="clear" w:color="auto" w:fill="FFFFFF"/>
        <w:spacing w:line="360" w:lineRule="auto"/>
        <w:jc w:val="both"/>
        <w:rPr>
          <w:rFonts w:eastAsia="Helvetica Neue" w:cstheme="minorHAnsi"/>
          <w:sz w:val="28"/>
          <w:szCs w:val="28"/>
        </w:rPr>
      </w:pPr>
    </w:p>
    <w:p w:rsidR="007B19F2" w:rsidRPr="005E1103" w:rsidRDefault="007B19F2" w:rsidP="007B19F2">
      <w:pPr>
        <w:shd w:val="clear" w:color="auto" w:fill="FFFFFF"/>
        <w:spacing w:line="360" w:lineRule="auto"/>
        <w:jc w:val="both"/>
        <w:rPr>
          <w:rFonts w:eastAsia="Helvetica Neue" w:cstheme="minorHAnsi"/>
          <w:sz w:val="28"/>
          <w:szCs w:val="28"/>
        </w:rPr>
      </w:pPr>
      <w:r w:rsidRPr="005E1103">
        <w:rPr>
          <w:rFonts w:eastAsia="Helvetica Neue" w:cstheme="minorHAnsi"/>
          <w:sz w:val="28"/>
          <w:szCs w:val="28"/>
        </w:rPr>
        <w:t xml:space="preserve">De acuerdo con la Organización Mundial de la Salud (OMS), el 10% de la población mundial tiene alguna discapacidad. En Colombia, según el DANE (2005), existen cerca de 3 millones de personas que hacen parte de esta población. Y en este grupo sólo el 1% ingresa a la educación superior. </w:t>
      </w:r>
    </w:p>
    <w:p w:rsidR="007B19F2" w:rsidRPr="005E1103" w:rsidRDefault="007B19F2" w:rsidP="007B19F2">
      <w:pPr>
        <w:spacing w:line="360" w:lineRule="auto"/>
        <w:jc w:val="both"/>
        <w:rPr>
          <w:rFonts w:cstheme="minorHAnsi"/>
          <w:sz w:val="28"/>
          <w:szCs w:val="28"/>
        </w:rPr>
      </w:pPr>
      <w:r w:rsidRPr="005E1103">
        <w:rPr>
          <w:rFonts w:eastAsia="Helvetica Neue" w:cstheme="minorHAnsi"/>
          <w:sz w:val="28"/>
          <w:szCs w:val="28"/>
        </w:rPr>
        <w:t xml:space="preserve">Si hacemos referencia a las víctimas que ha dejado el conflicto armado en Colombia, son alrededor de 15 mil personas que han sido registradas con alguna discapacidad; considerando que esta cifra siga en aumento. De hecho, el país ocupa el segundo lugar luego de Afganistán. </w:t>
      </w:r>
      <w:r w:rsidRPr="005E1103">
        <w:rPr>
          <w:rFonts w:cstheme="minorHAnsi"/>
          <w:sz w:val="28"/>
          <w:szCs w:val="28"/>
        </w:rPr>
        <w:t xml:space="preserve">El reto de la inclusión. (3 de julio de 2016 Revista Semana, p.84). </w:t>
      </w:r>
    </w:p>
    <w:p w:rsidR="007B19F2" w:rsidRPr="005E1103" w:rsidRDefault="007B19F2" w:rsidP="007B19F2">
      <w:pPr>
        <w:spacing w:after="0" w:line="360" w:lineRule="auto"/>
        <w:jc w:val="both"/>
        <w:rPr>
          <w:rFonts w:eastAsia="Helvetica Neue" w:cstheme="minorHAnsi"/>
          <w:sz w:val="28"/>
          <w:szCs w:val="28"/>
        </w:rPr>
      </w:pPr>
      <w:r w:rsidRPr="005E1103">
        <w:rPr>
          <w:rFonts w:eastAsia="Helvetica Neue" w:cstheme="minorHAnsi"/>
          <w:sz w:val="28"/>
          <w:szCs w:val="28"/>
        </w:rPr>
        <w:lastRenderedPageBreak/>
        <w:t xml:space="preserve">La </w:t>
      </w:r>
      <w:hyperlink r:id="rId59" w:history="1">
        <w:r w:rsidRPr="005E1103">
          <w:rPr>
            <w:rFonts w:eastAsia="Helvetica Neue" w:cstheme="minorHAnsi"/>
            <w:sz w:val="28"/>
            <w:szCs w:val="28"/>
          </w:rPr>
          <w:t>Convención Internacional Sobre los Derechos de las Personas con Discapacidad</w:t>
        </w:r>
      </w:hyperlink>
      <w:r w:rsidRPr="005E1103">
        <w:rPr>
          <w:rFonts w:eastAsia="Helvetica Neue" w:cstheme="minorHAnsi"/>
          <w:sz w:val="28"/>
          <w:szCs w:val="28"/>
        </w:rPr>
        <w:t xml:space="preserve">. Sede de las Naciones Unidas en Nueva York (2006), establece que la discapacidad: </w:t>
      </w:r>
    </w:p>
    <w:p w:rsidR="007B19F2" w:rsidRPr="005E1103" w:rsidRDefault="007B19F2" w:rsidP="007B19F2">
      <w:pPr>
        <w:spacing w:after="0" w:line="360" w:lineRule="auto"/>
        <w:jc w:val="both"/>
        <w:rPr>
          <w:rFonts w:eastAsia="Helvetica Neue" w:cstheme="minorHAnsi"/>
          <w:sz w:val="28"/>
          <w:szCs w:val="28"/>
        </w:rPr>
      </w:pPr>
    </w:p>
    <w:p w:rsidR="007B19F2" w:rsidRPr="005E1103" w:rsidRDefault="007B19F2" w:rsidP="007B19F2">
      <w:pPr>
        <w:spacing w:after="0" w:line="360" w:lineRule="auto"/>
        <w:ind w:left="708"/>
        <w:jc w:val="both"/>
        <w:rPr>
          <w:rFonts w:eastAsia="Helvetica Neue" w:cstheme="minorHAnsi"/>
          <w:sz w:val="28"/>
          <w:szCs w:val="28"/>
        </w:rPr>
      </w:pPr>
      <w:r w:rsidRPr="005E1103">
        <w:rPr>
          <w:rFonts w:eastAsia="Helvetica Neue" w:cstheme="minorHAnsi"/>
          <w:sz w:val="28"/>
          <w:szCs w:val="28"/>
        </w:rPr>
        <w:t xml:space="preserve">Es aquella condición bajo la cual ciertas personas presentan alguna deficiencia física, mental, intelectual o sensorial que a largo plazo afectan la forma de interactuar y participar plenamente en la sociedad.         </w:t>
      </w:r>
    </w:p>
    <w:p w:rsidR="007B19F2" w:rsidRPr="005E1103" w:rsidRDefault="007B19F2" w:rsidP="007B19F2">
      <w:pPr>
        <w:spacing w:after="0" w:line="360" w:lineRule="auto"/>
        <w:jc w:val="both"/>
        <w:rPr>
          <w:rFonts w:cstheme="minorHAnsi"/>
          <w:sz w:val="28"/>
          <w:szCs w:val="28"/>
        </w:rPr>
      </w:pPr>
      <w:r w:rsidRPr="005E1103">
        <w:rPr>
          <w:rFonts w:cstheme="minorHAnsi"/>
          <w:sz w:val="28"/>
          <w:szCs w:val="28"/>
        </w:rPr>
        <w:t xml:space="preserve">                                                  </w:t>
      </w:r>
    </w:p>
    <w:p w:rsidR="007B19F2" w:rsidRPr="005E1103" w:rsidRDefault="007B19F2" w:rsidP="007B19F2">
      <w:pPr>
        <w:spacing w:after="0" w:line="360" w:lineRule="auto"/>
        <w:jc w:val="both"/>
        <w:rPr>
          <w:rFonts w:cstheme="minorHAnsi"/>
          <w:sz w:val="28"/>
          <w:szCs w:val="28"/>
        </w:rPr>
      </w:pPr>
      <w:r w:rsidRPr="005E1103">
        <w:rPr>
          <w:rFonts w:eastAsia="Helvetica Neue" w:cstheme="minorHAnsi"/>
          <w:sz w:val="28"/>
          <w:szCs w:val="28"/>
        </w:rPr>
        <w:t>En el informe mundial sobre discapacidad que presentó la ONU y el Grupo del Banco Mundial (2011), la educación se convierte en una de las limitaciones que tiene una persona con discapacidad para formarse, por la cual, se debe garantizar la vinculación a la educación desde el colegio. Este documento, hace referencia a que:</w:t>
      </w:r>
    </w:p>
    <w:p w:rsidR="007B19F2" w:rsidRPr="005E1103" w:rsidRDefault="007B19F2" w:rsidP="007B19F2">
      <w:pPr>
        <w:pStyle w:val="P"/>
        <w:ind w:left="708"/>
        <w:rPr>
          <w:rFonts w:asciiTheme="minorHAnsi" w:hAnsiTheme="minorHAnsi" w:cstheme="minorHAnsi"/>
          <w:sz w:val="28"/>
          <w:szCs w:val="28"/>
        </w:rPr>
      </w:pPr>
      <w:r w:rsidRPr="005E1103">
        <w:rPr>
          <w:rFonts w:asciiTheme="minorHAnsi" w:hAnsiTheme="minorHAnsi" w:cstheme="minorHAnsi"/>
          <w:sz w:val="28"/>
          <w:szCs w:val="28"/>
        </w:rPr>
        <w:t>El éxito de los sistemas educativos inclusivos depende en gran medida del compromiso del país para adoptar una legislación apropiada, proporcionar una orientación normativa clara, elaborar un plan de acción nacional, establecer infraestructuras y crear capacidad de ejecución y asegurar una financiación a largo plazo ( P.17).</w:t>
      </w:r>
    </w:p>
    <w:p w:rsidR="007B19F2" w:rsidRPr="005E1103" w:rsidRDefault="007B19F2" w:rsidP="007B19F2">
      <w:pPr>
        <w:pStyle w:val="Default"/>
        <w:spacing w:line="360" w:lineRule="auto"/>
        <w:jc w:val="both"/>
        <w:rPr>
          <w:rFonts w:asciiTheme="minorHAnsi" w:hAnsiTheme="minorHAnsi" w:cstheme="minorHAnsi"/>
          <w:color w:val="auto"/>
          <w:sz w:val="28"/>
          <w:szCs w:val="28"/>
        </w:rPr>
      </w:pPr>
      <w:r w:rsidRPr="005E1103">
        <w:rPr>
          <w:rFonts w:asciiTheme="minorHAnsi" w:hAnsiTheme="minorHAnsi" w:cstheme="minorHAnsi"/>
          <w:color w:val="auto"/>
          <w:sz w:val="28"/>
          <w:szCs w:val="28"/>
        </w:rPr>
        <w:t>El documento publicado en el 2013 por el Conpes Social (Consejo Nacional de Política Económica y Social), señala que durante los últimos años en Colombia se han presentado avances significativos en cuanto a la discapacidad. Los cuales, incluyen acciones de política pública desde la institucionalidad gubernamental, el sector privado, la sociedad civil representada en organizaciones que velan por los derechos de la discapacidad.</w:t>
      </w:r>
    </w:p>
    <w:p w:rsidR="007B19F2" w:rsidRPr="005E1103" w:rsidRDefault="007B19F2" w:rsidP="007B19F2">
      <w:pPr>
        <w:pStyle w:val="P"/>
        <w:rPr>
          <w:rFonts w:asciiTheme="minorHAnsi" w:eastAsia="Calibri" w:hAnsiTheme="minorHAnsi" w:cstheme="minorHAnsi"/>
          <w:sz w:val="28"/>
          <w:szCs w:val="28"/>
          <w:lang w:val="es-CO" w:eastAsia="es-CO"/>
        </w:rPr>
      </w:pPr>
      <w:r w:rsidRPr="005E1103">
        <w:rPr>
          <w:rFonts w:asciiTheme="minorHAnsi" w:eastAsia="Calibri" w:hAnsiTheme="minorHAnsi" w:cstheme="minorHAnsi"/>
          <w:sz w:val="28"/>
          <w:szCs w:val="28"/>
          <w:lang w:val="es-CO" w:eastAsia="es-CO"/>
        </w:rPr>
        <w:t>La Convención sobre los derechos de las Personas con Discapacidad de Naciones Unidas -Ley 1346 del 2009, expone en el artículo 24 medidas y acciones que se deben tomar para tener un sistema de educación incluyente en todos los niveles educativos y una enseñanza a lo largo de la vida. Entre sus compromisos, cabe mencionar:</w:t>
      </w:r>
    </w:p>
    <w:p w:rsidR="007B19F2" w:rsidRPr="005E1103" w:rsidRDefault="007B19F2" w:rsidP="007B19F2">
      <w:pPr>
        <w:pStyle w:val="NormalWeb"/>
        <w:shd w:val="clear" w:color="auto" w:fill="FFFFFF"/>
        <w:spacing w:beforeAutospacing="0" w:afterAutospacing="0" w:line="360" w:lineRule="auto"/>
        <w:ind w:left="567" w:right="567"/>
        <w:jc w:val="both"/>
        <w:rPr>
          <w:rFonts w:asciiTheme="minorHAnsi" w:eastAsia="Calibri" w:hAnsiTheme="minorHAnsi" w:cstheme="minorHAnsi"/>
          <w:sz w:val="28"/>
          <w:szCs w:val="28"/>
        </w:rPr>
      </w:pPr>
      <w:r w:rsidRPr="005E1103">
        <w:rPr>
          <w:rFonts w:asciiTheme="minorHAnsi" w:eastAsia="Calibri" w:hAnsiTheme="minorHAnsi" w:cstheme="minorHAnsi"/>
          <w:sz w:val="28"/>
          <w:szCs w:val="28"/>
        </w:rPr>
        <w:lastRenderedPageBreak/>
        <w:t>1. Los Estados Partes reconocen el derecho de las personas con discapacidad a la educación. Con miras a hacer efectivo este derecho sin discriminación y sobre la base de la igualdad de oportunidades, los Estados Partes asegurarán un sistema de educación inclusivo a todos los niveles, así como la enseñanza a lo largo de la vida, con miras a:</w:t>
      </w:r>
    </w:p>
    <w:p w:rsidR="007B19F2" w:rsidRPr="005E1103" w:rsidRDefault="007B19F2" w:rsidP="007B19F2">
      <w:pPr>
        <w:pStyle w:val="NormalWeb"/>
        <w:shd w:val="clear" w:color="auto" w:fill="FFFFFF"/>
        <w:spacing w:before="0" w:beforeAutospacing="0" w:after="120" w:afterAutospacing="0" w:line="360" w:lineRule="auto"/>
        <w:ind w:left="851" w:right="567"/>
        <w:jc w:val="both"/>
        <w:rPr>
          <w:rFonts w:asciiTheme="minorHAnsi" w:eastAsia="Calibri" w:hAnsiTheme="minorHAnsi" w:cstheme="minorHAnsi"/>
          <w:sz w:val="28"/>
          <w:szCs w:val="28"/>
        </w:rPr>
      </w:pPr>
      <w:r w:rsidRPr="005E1103">
        <w:rPr>
          <w:rFonts w:asciiTheme="minorHAnsi" w:eastAsia="Calibri" w:hAnsiTheme="minorHAnsi" w:cstheme="minorHAnsi"/>
          <w:sz w:val="28"/>
          <w:szCs w:val="28"/>
        </w:rPr>
        <w:t>a) Desarrollar plenamente el potencial humano y el sentido de la dignidad y la autoestima y reforzar el respeto por los derechos humanos, las libertades fundamentales y la diversidad humana;</w:t>
      </w:r>
    </w:p>
    <w:p w:rsidR="007B19F2" w:rsidRPr="005E1103" w:rsidRDefault="007B19F2" w:rsidP="007B19F2">
      <w:pPr>
        <w:pStyle w:val="NormalWeb"/>
        <w:shd w:val="clear" w:color="auto" w:fill="FFFFFF"/>
        <w:spacing w:before="0" w:beforeAutospacing="0" w:after="120" w:afterAutospacing="0" w:line="360" w:lineRule="auto"/>
        <w:ind w:left="851" w:right="567"/>
        <w:jc w:val="both"/>
        <w:rPr>
          <w:rFonts w:asciiTheme="minorHAnsi" w:eastAsia="Calibri" w:hAnsiTheme="minorHAnsi" w:cstheme="minorHAnsi"/>
          <w:sz w:val="28"/>
          <w:szCs w:val="28"/>
        </w:rPr>
      </w:pPr>
      <w:r w:rsidRPr="005E1103">
        <w:rPr>
          <w:rFonts w:asciiTheme="minorHAnsi" w:eastAsia="Calibri" w:hAnsiTheme="minorHAnsi" w:cstheme="minorHAnsi"/>
          <w:sz w:val="28"/>
          <w:szCs w:val="28"/>
        </w:rPr>
        <w:t>b) Desarrollar al máximo la personalidad, los talentos y la creatividad de las personas con discapacidad, así como sus aptitudes mentales y físicas;</w:t>
      </w:r>
    </w:p>
    <w:p w:rsidR="007B19F2" w:rsidRPr="005E1103" w:rsidRDefault="007B19F2" w:rsidP="007B19F2">
      <w:pPr>
        <w:pStyle w:val="NormalWeb"/>
        <w:shd w:val="clear" w:color="auto" w:fill="FFFFFF"/>
        <w:spacing w:before="0" w:beforeAutospacing="0" w:after="120" w:afterAutospacing="0" w:line="360" w:lineRule="auto"/>
        <w:ind w:left="851" w:right="567"/>
        <w:jc w:val="both"/>
        <w:rPr>
          <w:rFonts w:asciiTheme="minorHAnsi" w:eastAsia="Calibri" w:hAnsiTheme="minorHAnsi" w:cstheme="minorHAnsi"/>
          <w:sz w:val="28"/>
          <w:szCs w:val="28"/>
        </w:rPr>
      </w:pPr>
      <w:r w:rsidRPr="005E1103">
        <w:rPr>
          <w:rFonts w:asciiTheme="minorHAnsi" w:eastAsia="Calibri" w:hAnsiTheme="minorHAnsi" w:cstheme="minorHAnsi"/>
          <w:sz w:val="28"/>
          <w:szCs w:val="28"/>
        </w:rPr>
        <w:t>c) Hacer posible que las personas con discapacidad participen de manera efectiva en una sociedad libre.</w:t>
      </w:r>
    </w:p>
    <w:p w:rsidR="007B19F2" w:rsidRPr="005E1103" w:rsidRDefault="007B19F2" w:rsidP="007B19F2">
      <w:pPr>
        <w:pStyle w:val="NormalWeb"/>
        <w:shd w:val="clear" w:color="auto" w:fill="FFFFFF"/>
        <w:spacing w:before="0" w:beforeAutospacing="0" w:after="0" w:afterAutospacing="0" w:line="360" w:lineRule="auto"/>
        <w:ind w:right="567"/>
        <w:jc w:val="both"/>
        <w:rPr>
          <w:rFonts w:asciiTheme="minorHAnsi" w:eastAsia="Calibri" w:hAnsiTheme="minorHAnsi" w:cstheme="minorHAnsi"/>
          <w:sz w:val="28"/>
          <w:szCs w:val="28"/>
        </w:rPr>
      </w:pPr>
      <w:r w:rsidRPr="005E1103">
        <w:rPr>
          <w:rFonts w:asciiTheme="minorHAnsi" w:eastAsia="Calibri" w:hAnsiTheme="minorHAnsi" w:cstheme="minorHAnsi"/>
          <w:sz w:val="28"/>
          <w:szCs w:val="28"/>
        </w:rPr>
        <w:t>Por lo que se refiere a la Educación Superior, la Convención afirma:</w:t>
      </w:r>
    </w:p>
    <w:p w:rsidR="007B19F2" w:rsidRPr="005E1103" w:rsidRDefault="007B19F2" w:rsidP="007B19F2">
      <w:pPr>
        <w:pStyle w:val="NormalWeb"/>
        <w:shd w:val="clear" w:color="auto" w:fill="FFFFFF"/>
        <w:spacing w:before="0" w:beforeAutospacing="0" w:after="0" w:afterAutospacing="0" w:line="360" w:lineRule="auto"/>
        <w:ind w:left="708"/>
        <w:jc w:val="both"/>
        <w:rPr>
          <w:rFonts w:asciiTheme="minorHAnsi" w:eastAsia="Calibri" w:hAnsiTheme="minorHAnsi" w:cstheme="minorHAnsi"/>
          <w:sz w:val="28"/>
          <w:szCs w:val="28"/>
        </w:rPr>
      </w:pPr>
      <w:r w:rsidRPr="005E1103">
        <w:rPr>
          <w:rFonts w:asciiTheme="minorHAnsi" w:eastAsia="Calibri" w:hAnsiTheme="minorHAnsi" w:cstheme="minorHAnsi"/>
          <w:sz w:val="28"/>
          <w:szCs w:val="28"/>
        </w:rPr>
        <w:t>5. Los Estados Partes asegurarán que las personas con discapacidad tengan acceso general a la educación superior, la formación profesional, la educación para adultos y el aprendizaje durante toda la vida sin discriminación y en igualdad de condiciones con las demás. A tal fin, los Estados Partes asegurarán que se realicen ajustes razonables para las personas con discapacidad. (P. 14 – 15).</w:t>
      </w:r>
    </w:p>
    <w:p w:rsidR="007B19F2" w:rsidRPr="005E1103" w:rsidRDefault="007B19F2" w:rsidP="007B19F2">
      <w:pPr>
        <w:autoSpaceDE w:val="0"/>
        <w:autoSpaceDN w:val="0"/>
        <w:adjustRightInd w:val="0"/>
        <w:spacing w:after="0" w:line="360" w:lineRule="auto"/>
        <w:jc w:val="both"/>
        <w:rPr>
          <w:rFonts w:eastAsia="Calibri" w:cstheme="minorHAnsi"/>
          <w:sz w:val="28"/>
          <w:szCs w:val="28"/>
          <w:lang w:eastAsia="es-CO"/>
        </w:rPr>
      </w:pPr>
    </w:p>
    <w:p w:rsidR="007B19F2" w:rsidRPr="005E1103" w:rsidRDefault="007B19F2" w:rsidP="007B19F2">
      <w:pPr>
        <w:spacing w:line="360" w:lineRule="auto"/>
        <w:jc w:val="both"/>
        <w:rPr>
          <w:rFonts w:cstheme="minorHAnsi"/>
          <w:color w:val="222222"/>
          <w:sz w:val="28"/>
          <w:szCs w:val="28"/>
          <w:shd w:val="clear" w:color="auto" w:fill="FFFFFF"/>
        </w:rPr>
      </w:pPr>
      <w:r w:rsidRPr="005E1103">
        <w:rPr>
          <w:rFonts w:eastAsia="Calibri" w:cstheme="minorHAnsi"/>
          <w:sz w:val="28"/>
          <w:szCs w:val="28"/>
        </w:rPr>
        <w:t>En la</w:t>
      </w:r>
      <w:r w:rsidRPr="005E1103">
        <w:rPr>
          <w:rFonts w:eastAsia="Calibri" w:cstheme="minorHAnsi"/>
          <w:sz w:val="28"/>
          <w:szCs w:val="28"/>
          <w:lang w:eastAsia="es-CO"/>
        </w:rPr>
        <w:t xml:space="preserve"> Universidad del Norte, </w:t>
      </w:r>
      <w:r w:rsidRPr="005E1103">
        <w:rPr>
          <w:rFonts w:eastAsia="Calibri" w:cstheme="minorHAnsi"/>
          <w:sz w:val="28"/>
          <w:szCs w:val="28"/>
        </w:rPr>
        <w:t>institución</w:t>
      </w:r>
      <w:r w:rsidRPr="005E1103">
        <w:rPr>
          <w:rFonts w:eastAsia="Calibri" w:cstheme="minorHAnsi"/>
          <w:sz w:val="28"/>
          <w:szCs w:val="28"/>
          <w:lang w:eastAsia="es-CO"/>
        </w:rPr>
        <w:t xml:space="preserve"> a la que represent</w:t>
      </w:r>
      <w:r w:rsidRPr="005E1103">
        <w:rPr>
          <w:rFonts w:eastAsia="Calibri" w:cstheme="minorHAnsi"/>
          <w:sz w:val="28"/>
          <w:szCs w:val="28"/>
        </w:rPr>
        <w:t>o</w:t>
      </w:r>
      <w:r w:rsidRPr="005E1103">
        <w:rPr>
          <w:rFonts w:eastAsia="Calibri" w:cstheme="minorHAnsi"/>
          <w:sz w:val="28"/>
          <w:szCs w:val="28"/>
          <w:lang w:eastAsia="es-CO"/>
        </w:rPr>
        <w:t xml:space="preserve">, como Directora de Extensión, </w:t>
      </w:r>
      <w:r w:rsidRPr="005E1103">
        <w:rPr>
          <w:rFonts w:eastAsia="Calibri" w:cstheme="minorHAnsi"/>
          <w:sz w:val="28"/>
          <w:szCs w:val="28"/>
        </w:rPr>
        <w:t xml:space="preserve">soy la encargada, de conectar a la academia con la sociedad a través de proyectos de transformación social en lo cultural, </w:t>
      </w:r>
      <w:r w:rsidRPr="005E1103">
        <w:rPr>
          <w:rFonts w:cstheme="minorHAnsi"/>
          <w:color w:val="222222"/>
          <w:sz w:val="28"/>
          <w:szCs w:val="28"/>
          <w:shd w:val="clear" w:color="auto" w:fill="FFFFFF"/>
        </w:rPr>
        <w:t xml:space="preserve">humano, educativo, económico y político. </w:t>
      </w:r>
    </w:p>
    <w:p w:rsidR="007B19F2" w:rsidRPr="005E1103" w:rsidRDefault="007B19F2" w:rsidP="007B19F2">
      <w:pPr>
        <w:spacing w:line="360" w:lineRule="auto"/>
        <w:jc w:val="both"/>
        <w:rPr>
          <w:rFonts w:cstheme="minorHAnsi"/>
          <w:color w:val="222222"/>
          <w:sz w:val="28"/>
          <w:szCs w:val="28"/>
          <w:shd w:val="clear" w:color="auto" w:fill="FFFFFF"/>
        </w:rPr>
      </w:pPr>
      <w:r w:rsidRPr="005E1103">
        <w:rPr>
          <w:rFonts w:cstheme="minorHAnsi"/>
          <w:color w:val="222222"/>
          <w:sz w:val="28"/>
          <w:szCs w:val="28"/>
          <w:shd w:val="clear" w:color="auto" w:fill="FFFFFF"/>
        </w:rPr>
        <w:t xml:space="preserve">La Universidad del Norte, está ubicada en Barranquilla - Colombia, una ciudad que está despertando en el trabajo de la inclusión para personas con discapacidad. De creatividad artística por naturaleza, mezcla de inmigrantes de todo el mundo, de donde son Shakira y Sofía Vergara, muy conocidas en este país. </w:t>
      </w:r>
    </w:p>
    <w:p w:rsidR="007B19F2" w:rsidRPr="005E1103" w:rsidRDefault="007B19F2" w:rsidP="007B19F2">
      <w:pPr>
        <w:spacing w:line="360" w:lineRule="auto"/>
        <w:jc w:val="both"/>
        <w:rPr>
          <w:rFonts w:cstheme="minorHAnsi"/>
          <w:color w:val="222222"/>
          <w:sz w:val="28"/>
          <w:szCs w:val="28"/>
          <w:shd w:val="clear" w:color="auto" w:fill="FFFFFF"/>
        </w:rPr>
      </w:pPr>
      <w:r w:rsidRPr="005E1103">
        <w:rPr>
          <w:rFonts w:cstheme="minorHAnsi"/>
          <w:color w:val="222222"/>
          <w:sz w:val="28"/>
          <w:szCs w:val="28"/>
          <w:shd w:val="clear" w:color="auto" w:fill="FFFFFF"/>
        </w:rPr>
        <w:lastRenderedPageBreak/>
        <w:t>Con una población de un millón doscientos mil habitantes. (1.200.000) habitantes y localizada en la región Caribe esta bañada por el océano atlántico; y cuyas principales actividades económicas son el turismo, pesca, artesanía, industria y comercio.</w:t>
      </w:r>
    </w:p>
    <w:p w:rsidR="007B19F2" w:rsidRPr="005E1103" w:rsidRDefault="007B19F2" w:rsidP="007B19F2">
      <w:pPr>
        <w:spacing w:line="360" w:lineRule="auto"/>
        <w:jc w:val="both"/>
        <w:rPr>
          <w:rFonts w:cstheme="minorHAnsi"/>
          <w:color w:val="222222"/>
          <w:sz w:val="28"/>
          <w:szCs w:val="28"/>
          <w:shd w:val="clear" w:color="auto" w:fill="FFFFFF"/>
        </w:rPr>
      </w:pPr>
      <w:r w:rsidRPr="005E1103">
        <w:rPr>
          <w:rFonts w:cstheme="minorHAnsi"/>
          <w:color w:val="222222"/>
          <w:sz w:val="28"/>
          <w:szCs w:val="28"/>
          <w:shd w:val="clear" w:color="auto" w:fill="FFFFFF"/>
        </w:rPr>
        <w:t>En la Universidad del Norte tenemos quince mil cuatrocientos sesenta (15.460</w:t>
      </w:r>
      <w:r w:rsidR="0048210E" w:rsidRPr="005E1103">
        <w:rPr>
          <w:rFonts w:cstheme="minorHAnsi"/>
          <w:color w:val="222222"/>
          <w:sz w:val="28"/>
          <w:szCs w:val="28"/>
          <w:shd w:val="clear" w:color="auto" w:fill="FFFFFF"/>
        </w:rPr>
        <w:t>) estudiantes</w:t>
      </w:r>
      <w:r w:rsidRPr="005E1103">
        <w:rPr>
          <w:rFonts w:cstheme="minorHAnsi"/>
          <w:color w:val="222222"/>
          <w:sz w:val="28"/>
          <w:szCs w:val="28"/>
          <w:shd w:val="clear" w:color="auto" w:fill="FFFFFF"/>
        </w:rPr>
        <w:t xml:space="preserve"> de distintos estratos socioeconómicos y diferentes zonas del país y del mundo. </w:t>
      </w:r>
      <w:r w:rsidR="0048210E" w:rsidRPr="005E1103">
        <w:rPr>
          <w:rFonts w:cstheme="minorHAnsi"/>
          <w:color w:val="222222"/>
          <w:sz w:val="28"/>
          <w:szCs w:val="28"/>
          <w:shd w:val="clear" w:color="auto" w:fill="FFFFFF"/>
        </w:rPr>
        <w:t>Mil cientos</w:t>
      </w:r>
      <w:r w:rsidRPr="005E1103">
        <w:rPr>
          <w:rFonts w:cstheme="minorHAnsi"/>
          <w:color w:val="222222"/>
          <w:sz w:val="28"/>
          <w:szCs w:val="28"/>
          <w:shd w:val="clear" w:color="auto" w:fill="FFFFFF"/>
        </w:rPr>
        <w:t xml:space="preserve"> cuarenta (1.140) funcionarios de los cuales 475 son profesores.</w:t>
      </w:r>
    </w:p>
    <w:p w:rsidR="007B19F2" w:rsidRPr="005E1103" w:rsidRDefault="007B19F2" w:rsidP="007B19F2">
      <w:pPr>
        <w:spacing w:line="360" w:lineRule="auto"/>
        <w:jc w:val="both"/>
        <w:rPr>
          <w:rFonts w:cstheme="minorHAnsi"/>
          <w:color w:val="222222"/>
          <w:sz w:val="28"/>
          <w:szCs w:val="28"/>
          <w:shd w:val="clear" w:color="auto" w:fill="FFFFFF"/>
        </w:rPr>
      </w:pPr>
      <w:r w:rsidRPr="005E1103">
        <w:rPr>
          <w:rFonts w:cstheme="minorHAnsi"/>
          <w:color w:val="222222"/>
          <w:sz w:val="28"/>
          <w:szCs w:val="28"/>
          <w:shd w:val="clear" w:color="auto" w:fill="FFFFFF"/>
        </w:rPr>
        <w:t>Justamente, como parte de nuestra misión de proponerle a la comunidad los temas de transformación social, tal como lo señala nuestro plan de desarrollo, nace hace tres años Uninorte Incluyente.</w:t>
      </w:r>
    </w:p>
    <w:p w:rsidR="007B19F2" w:rsidRPr="005E1103" w:rsidRDefault="007B19F2" w:rsidP="007B19F2">
      <w:pPr>
        <w:spacing w:line="360" w:lineRule="auto"/>
        <w:jc w:val="both"/>
        <w:rPr>
          <w:rFonts w:cstheme="minorHAnsi"/>
          <w:color w:val="222222"/>
          <w:sz w:val="28"/>
          <w:szCs w:val="28"/>
          <w:shd w:val="clear" w:color="auto" w:fill="FFFFFF"/>
        </w:rPr>
      </w:pPr>
      <w:r w:rsidRPr="005E1103">
        <w:rPr>
          <w:rFonts w:cstheme="minorHAnsi"/>
          <w:color w:val="222222"/>
          <w:sz w:val="28"/>
          <w:szCs w:val="28"/>
          <w:shd w:val="clear" w:color="auto" w:fill="FFFFFF"/>
        </w:rPr>
        <w:t>El rector de la Universidad, Dr. Jesús Ferro Bayona, ha sido un líder en este trabajo por garantizar el derecho pleno a la educación para quienes presentan alguna discapacidad:</w:t>
      </w:r>
    </w:p>
    <w:p w:rsidR="007B19F2" w:rsidRPr="005E1103" w:rsidRDefault="007B19F2" w:rsidP="007B19F2">
      <w:pPr>
        <w:spacing w:line="360" w:lineRule="auto"/>
        <w:ind w:left="708"/>
        <w:jc w:val="both"/>
        <w:rPr>
          <w:rFonts w:eastAsia="Times New Roman" w:cstheme="minorHAnsi"/>
          <w:color w:val="222222"/>
          <w:sz w:val="28"/>
          <w:szCs w:val="28"/>
          <w:lang w:eastAsia="es-CO"/>
        </w:rPr>
      </w:pPr>
      <w:r w:rsidRPr="005E1103">
        <w:rPr>
          <w:rFonts w:eastAsia="Times New Roman" w:cstheme="minorHAnsi"/>
          <w:color w:val="222222"/>
          <w:sz w:val="28"/>
          <w:szCs w:val="28"/>
          <w:lang w:eastAsia="es-CO"/>
        </w:rPr>
        <w:t>La Universidad del Norte, acorde con los principios y valores que la guían desde su creación, tiene como misión formar integralmente a las personas en el plano de la educación superior, desarrollo del saber y compromiso con la sociedad de la Región Caribe colombiana.</w:t>
      </w:r>
    </w:p>
    <w:p w:rsidR="007B19F2" w:rsidRPr="005E1103" w:rsidRDefault="007B19F2" w:rsidP="007B19F2">
      <w:pPr>
        <w:shd w:val="clear" w:color="auto" w:fill="FFFFFF"/>
        <w:spacing w:before="100" w:beforeAutospacing="1" w:after="100" w:afterAutospacing="1" w:line="360" w:lineRule="auto"/>
        <w:ind w:left="708"/>
        <w:jc w:val="both"/>
        <w:rPr>
          <w:rFonts w:eastAsia="Times New Roman" w:cstheme="minorHAnsi"/>
          <w:color w:val="222222"/>
          <w:sz w:val="28"/>
          <w:szCs w:val="28"/>
          <w:lang w:eastAsia="es-CO"/>
        </w:rPr>
      </w:pPr>
      <w:r w:rsidRPr="005E1103">
        <w:rPr>
          <w:rFonts w:eastAsia="Times New Roman" w:cstheme="minorHAnsi"/>
          <w:color w:val="222222"/>
          <w:sz w:val="28"/>
          <w:szCs w:val="28"/>
          <w:lang w:eastAsia="es-CO"/>
        </w:rPr>
        <w:t>De esta manera, cuando se piensa en una educación de calidad, se promueve la participación sin discriminación, el respeto por las diferencias y la igualdad de oportunidades, especialmente de aquellos que se encuentran en riesgo de exclusión.</w:t>
      </w:r>
    </w:p>
    <w:p w:rsidR="007B19F2" w:rsidRPr="005E1103" w:rsidRDefault="007B19F2" w:rsidP="007B19F2">
      <w:pPr>
        <w:shd w:val="clear" w:color="auto" w:fill="FFFFFF"/>
        <w:spacing w:after="0" w:line="360" w:lineRule="auto"/>
        <w:ind w:left="708"/>
        <w:jc w:val="both"/>
        <w:rPr>
          <w:rFonts w:eastAsia="Times New Roman" w:cstheme="minorHAnsi"/>
          <w:color w:val="222222"/>
          <w:sz w:val="28"/>
          <w:szCs w:val="28"/>
          <w:lang w:eastAsia="es-CO"/>
        </w:rPr>
      </w:pPr>
      <w:r w:rsidRPr="005E1103">
        <w:rPr>
          <w:rFonts w:eastAsia="Times New Roman" w:cstheme="minorHAnsi"/>
          <w:color w:val="222222"/>
          <w:sz w:val="28"/>
          <w:szCs w:val="28"/>
          <w:lang w:eastAsia="es-CO"/>
        </w:rPr>
        <w:t xml:space="preserve">“Uninorte Incluyente”, es un programa que busca proyectar a nuestra institución como una universidad incluyente en lo que respecta a espacios académicos e infraestructura física. Esta inclusión favorecerá especialmente a quienes tengan algún tipo de </w:t>
      </w:r>
      <w:r w:rsidR="0048210E" w:rsidRPr="005E1103">
        <w:rPr>
          <w:rFonts w:eastAsia="Times New Roman" w:cstheme="minorHAnsi"/>
          <w:color w:val="222222"/>
          <w:sz w:val="28"/>
          <w:szCs w:val="28"/>
          <w:lang w:eastAsia="es-CO"/>
        </w:rPr>
        <w:t>discapacidad,</w:t>
      </w:r>
      <w:r w:rsidRPr="005E1103">
        <w:rPr>
          <w:rFonts w:eastAsia="Times New Roman" w:cstheme="minorHAnsi"/>
          <w:color w:val="222222"/>
          <w:sz w:val="28"/>
          <w:szCs w:val="28"/>
          <w:lang w:eastAsia="es-CO"/>
        </w:rPr>
        <w:t xml:space="preserve"> pero se hace extensivo a todas las personas.</w:t>
      </w:r>
    </w:p>
    <w:p w:rsidR="007B19F2" w:rsidRPr="005E1103" w:rsidRDefault="007B19F2" w:rsidP="007B19F2">
      <w:pPr>
        <w:shd w:val="clear" w:color="auto" w:fill="FFFFFF"/>
        <w:spacing w:after="0" w:line="360" w:lineRule="auto"/>
        <w:ind w:left="708"/>
        <w:jc w:val="both"/>
        <w:rPr>
          <w:rFonts w:eastAsia="Times New Roman" w:cstheme="minorHAnsi"/>
          <w:color w:val="222222"/>
          <w:sz w:val="28"/>
          <w:szCs w:val="28"/>
          <w:lang w:eastAsia="es-CO"/>
        </w:rPr>
      </w:pPr>
    </w:p>
    <w:p w:rsidR="0048210E" w:rsidRDefault="0048210E">
      <w:pPr>
        <w:rPr>
          <w:rFonts w:eastAsia="Times New Roman" w:cstheme="minorHAnsi"/>
          <w:color w:val="222222"/>
          <w:sz w:val="28"/>
          <w:szCs w:val="28"/>
          <w:lang w:eastAsia="es-CO"/>
        </w:rPr>
      </w:pPr>
      <w:r>
        <w:rPr>
          <w:rFonts w:eastAsia="Times New Roman" w:cstheme="minorHAnsi"/>
          <w:color w:val="222222"/>
          <w:sz w:val="28"/>
          <w:szCs w:val="28"/>
          <w:lang w:eastAsia="es-CO"/>
        </w:rPr>
        <w:br w:type="page"/>
      </w:r>
    </w:p>
    <w:p w:rsidR="007B19F2" w:rsidRPr="005E1103" w:rsidRDefault="007B19F2" w:rsidP="007B19F2">
      <w:pPr>
        <w:shd w:val="clear" w:color="auto" w:fill="FFFFFF"/>
        <w:spacing w:after="0" w:line="360" w:lineRule="auto"/>
        <w:jc w:val="both"/>
        <w:rPr>
          <w:rFonts w:eastAsia="Times New Roman" w:cstheme="minorHAnsi"/>
          <w:color w:val="222222"/>
          <w:sz w:val="28"/>
          <w:szCs w:val="28"/>
          <w:lang w:eastAsia="es-CO"/>
        </w:rPr>
      </w:pPr>
      <w:r w:rsidRPr="005E1103">
        <w:rPr>
          <w:rFonts w:eastAsia="Times New Roman" w:cstheme="minorHAnsi"/>
          <w:color w:val="222222"/>
          <w:sz w:val="28"/>
          <w:szCs w:val="28"/>
          <w:lang w:eastAsia="es-CO"/>
        </w:rPr>
        <w:lastRenderedPageBreak/>
        <w:t xml:space="preserve">Los objetivos de Uninorte Incluyente son: </w:t>
      </w:r>
    </w:p>
    <w:p w:rsidR="007B19F2" w:rsidRPr="005E1103" w:rsidRDefault="007B19F2" w:rsidP="007B19F2">
      <w:pPr>
        <w:pStyle w:val="Prrafodelista"/>
        <w:numPr>
          <w:ilvl w:val="0"/>
          <w:numId w:val="16"/>
        </w:numPr>
        <w:shd w:val="clear" w:color="auto" w:fill="FFFFFF"/>
        <w:spacing w:before="0" w:line="360" w:lineRule="auto"/>
        <w:jc w:val="both"/>
        <w:rPr>
          <w:rFonts w:asciiTheme="minorHAnsi" w:eastAsia="Times New Roman" w:hAnsiTheme="minorHAnsi" w:cstheme="minorHAnsi"/>
          <w:color w:val="222222"/>
          <w:sz w:val="28"/>
          <w:szCs w:val="28"/>
          <w:lang w:eastAsia="es-CO"/>
        </w:rPr>
      </w:pPr>
      <w:r w:rsidRPr="005E1103">
        <w:rPr>
          <w:rFonts w:asciiTheme="minorHAnsi" w:eastAsia="Times New Roman" w:hAnsiTheme="minorHAnsi" w:cstheme="minorHAnsi"/>
          <w:color w:val="222222"/>
          <w:sz w:val="28"/>
          <w:szCs w:val="28"/>
          <w:lang w:eastAsia="es-CO"/>
        </w:rPr>
        <w:t>Sensibilización, concienciación.</w:t>
      </w:r>
    </w:p>
    <w:p w:rsidR="007B19F2" w:rsidRPr="005E1103" w:rsidRDefault="007B19F2" w:rsidP="007B19F2">
      <w:pPr>
        <w:pStyle w:val="Prrafodelista"/>
        <w:numPr>
          <w:ilvl w:val="0"/>
          <w:numId w:val="16"/>
        </w:numPr>
        <w:shd w:val="clear" w:color="auto" w:fill="FFFFFF"/>
        <w:spacing w:before="0" w:line="360" w:lineRule="auto"/>
        <w:jc w:val="both"/>
        <w:rPr>
          <w:rFonts w:asciiTheme="minorHAnsi" w:eastAsia="Times New Roman" w:hAnsiTheme="minorHAnsi" w:cstheme="minorHAnsi"/>
          <w:color w:val="222222"/>
          <w:sz w:val="28"/>
          <w:szCs w:val="28"/>
          <w:lang w:eastAsia="es-CO"/>
        </w:rPr>
      </w:pPr>
      <w:r w:rsidRPr="005E1103">
        <w:rPr>
          <w:rFonts w:asciiTheme="minorHAnsi" w:eastAsia="Times New Roman" w:hAnsiTheme="minorHAnsi" w:cstheme="minorHAnsi"/>
          <w:color w:val="222222"/>
          <w:sz w:val="28"/>
          <w:szCs w:val="28"/>
          <w:lang w:eastAsia="es-CO"/>
        </w:rPr>
        <w:t>Información y comunicación.</w:t>
      </w:r>
    </w:p>
    <w:p w:rsidR="007B19F2" w:rsidRPr="005E1103" w:rsidRDefault="007B19F2" w:rsidP="007B19F2">
      <w:pPr>
        <w:pStyle w:val="Prrafodelista"/>
        <w:numPr>
          <w:ilvl w:val="0"/>
          <w:numId w:val="16"/>
        </w:numPr>
        <w:shd w:val="clear" w:color="auto" w:fill="FFFFFF"/>
        <w:spacing w:before="0" w:line="360" w:lineRule="auto"/>
        <w:jc w:val="both"/>
        <w:rPr>
          <w:rFonts w:asciiTheme="minorHAnsi" w:eastAsia="Times New Roman" w:hAnsiTheme="minorHAnsi" w:cstheme="minorHAnsi"/>
          <w:color w:val="222222"/>
          <w:sz w:val="28"/>
          <w:szCs w:val="28"/>
          <w:lang w:eastAsia="es-CO"/>
        </w:rPr>
      </w:pPr>
      <w:r w:rsidRPr="005E1103">
        <w:rPr>
          <w:rFonts w:asciiTheme="minorHAnsi" w:eastAsia="Times New Roman" w:hAnsiTheme="minorHAnsi" w:cstheme="minorHAnsi"/>
          <w:color w:val="222222"/>
          <w:sz w:val="28"/>
          <w:szCs w:val="28"/>
          <w:lang w:eastAsia="es-CO"/>
        </w:rPr>
        <w:t>Enseñanza virtual y uso de las TIC</w:t>
      </w:r>
    </w:p>
    <w:p w:rsidR="007B19F2" w:rsidRPr="005E1103" w:rsidRDefault="007B19F2" w:rsidP="007B19F2">
      <w:pPr>
        <w:pStyle w:val="Prrafodelista"/>
        <w:numPr>
          <w:ilvl w:val="0"/>
          <w:numId w:val="16"/>
        </w:numPr>
        <w:shd w:val="clear" w:color="auto" w:fill="FFFFFF"/>
        <w:spacing w:before="0" w:line="360" w:lineRule="auto"/>
        <w:jc w:val="both"/>
        <w:rPr>
          <w:rFonts w:asciiTheme="minorHAnsi" w:eastAsia="Times New Roman" w:hAnsiTheme="minorHAnsi" w:cstheme="minorHAnsi"/>
          <w:color w:val="222222"/>
          <w:sz w:val="28"/>
          <w:szCs w:val="28"/>
          <w:lang w:eastAsia="es-CO"/>
        </w:rPr>
      </w:pPr>
      <w:r w:rsidRPr="005E1103">
        <w:rPr>
          <w:rFonts w:asciiTheme="minorHAnsi" w:eastAsia="Times New Roman" w:hAnsiTheme="minorHAnsi" w:cstheme="minorHAnsi"/>
          <w:color w:val="222222"/>
          <w:sz w:val="28"/>
          <w:szCs w:val="28"/>
          <w:lang w:eastAsia="es-CO"/>
        </w:rPr>
        <w:t>Accesibilidad universal</w:t>
      </w:r>
    </w:p>
    <w:p w:rsidR="007B19F2" w:rsidRPr="005E1103" w:rsidRDefault="007B19F2" w:rsidP="007B19F2">
      <w:pPr>
        <w:pStyle w:val="Prrafodelista"/>
        <w:numPr>
          <w:ilvl w:val="0"/>
          <w:numId w:val="16"/>
        </w:numPr>
        <w:shd w:val="clear" w:color="auto" w:fill="FFFFFF"/>
        <w:spacing w:before="0" w:line="360" w:lineRule="auto"/>
        <w:jc w:val="both"/>
        <w:rPr>
          <w:rFonts w:asciiTheme="minorHAnsi" w:eastAsia="Times New Roman" w:hAnsiTheme="minorHAnsi" w:cstheme="minorHAnsi"/>
          <w:color w:val="222222"/>
          <w:sz w:val="28"/>
          <w:szCs w:val="28"/>
          <w:lang w:eastAsia="es-CO"/>
        </w:rPr>
      </w:pPr>
      <w:r w:rsidRPr="005E1103">
        <w:rPr>
          <w:rFonts w:asciiTheme="minorHAnsi" w:eastAsia="Times New Roman" w:hAnsiTheme="minorHAnsi" w:cstheme="minorHAnsi"/>
          <w:color w:val="222222"/>
          <w:sz w:val="28"/>
          <w:szCs w:val="28"/>
          <w:lang w:eastAsia="es-CO"/>
        </w:rPr>
        <w:t>Espacios de participación que socialicen políticas sociales, comunitarias y de servicios.</w:t>
      </w:r>
    </w:p>
    <w:p w:rsidR="007B19F2" w:rsidRPr="005E1103" w:rsidRDefault="007B19F2" w:rsidP="007B19F2">
      <w:pPr>
        <w:pStyle w:val="Prrafodelista"/>
        <w:shd w:val="clear" w:color="auto" w:fill="FFFFFF"/>
        <w:spacing w:line="360" w:lineRule="auto"/>
        <w:jc w:val="both"/>
        <w:rPr>
          <w:rFonts w:asciiTheme="minorHAnsi" w:eastAsia="Times New Roman" w:hAnsiTheme="minorHAnsi" w:cstheme="minorHAnsi"/>
          <w:color w:val="222222"/>
          <w:sz w:val="28"/>
          <w:szCs w:val="28"/>
          <w:lang w:eastAsia="es-CO"/>
        </w:rPr>
      </w:pPr>
    </w:p>
    <w:p w:rsidR="007B19F2" w:rsidRPr="005E1103" w:rsidRDefault="007B19F2" w:rsidP="007B19F2">
      <w:pPr>
        <w:shd w:val="clear" w:color="auto" w:fill="FFFFFF"/>
        <w:spacing w:after="0" w:line="360" w:lineRule="auto"/>
        <w:jc w:val="both"/>
        <w:rPr>
          <w:rFonts w:eastAsia="Times New Roman" w:cstheme="minorHAnsi"/>
          <w:color w:val="222222"/>
          <w:sz w:val="28"/>
          <w:szCs w:val="28"/>
          <w:lang w:eastAsia="es-CO"/>
        </w:rPr>
      </w:pPr>
      <w:r w:rsidRPr="005E1103">
        <w:rPr>
          <w:rFonts w:eastAsia="Times New Roman" w:cstheme="minorHAnsi"/>
          <w:color w:val="222222"/>
          <w:sz w:val="28"/>
          <w:szCs w:val="28"/>
          <w:lang w:eastAsia="es-CO"/>
        </w:rPr>
        <w:t>De esta manera, en las tres misiones de la universidad que son educar, investigar y transformar con la Extensión hemos logrado cambios a partir de Uninorte incluyente.</w:t>
      </w:r>
    </w:p>
    <w:p w:rsidR="007B19F2" w:rsidRPr="005E1103" w:rsidRDefault="007B19F2" w:rsidP="007B19F2">
      <w:pPr>
        <w:shd w:val="clear" w:color="auto" w:fill="FFFFFF"/>
        <w:spacing w:after="0" w:line="360" w:lineRule="auto"/>
        <w:jc w:val="both"/>
        <w:rPr>
          <w:rFonts w:eastAsia="Times New Roman" w:cstheme="minorHAnsi"/>
          <w:color w:val="222222"/>
          <w:sz w:val="28"/>
          <w:szCs w:val="28"/>
          <w:lang w:eastAsia="es-CO"/>
        </w:rPr>
      </w:pPr>
    </w:p>
    <w:p w:rsidR="007B19F2" w:rsidRPr="005E1103" w:rsidRDefault="007B19F2" w:rsidP="007B19F2">
      <w:pPr>
        <w:shd w:val="clear" w:color="auto" w:fill="FFFFFF"/>
        <w:spacing w:after="0" w:line="360" w:lineRule="auto"/>
        <w:jc w:val="both"/>
        <w:rPr>
          <w:rFonts w:eastAsia="Times New Roman" w:cstheme="minorHAnsi"/>
          <w:color w:val="222222"/>
          <w:sz w:val="28"/>
          <w:szCs w:val="28"/>
          <w:lang w:eastAsia="es-CO"/>
        </w:rPr>
      </w:pPr>
      <w:r w:rsidRPr="005E1103">
        <w:rPr>
          <w:rFonts w:eastAsia="Times New Roman" w:cstheme="minorHAnsi"/>
          <w:color w:val="222222"/>
          <w:sz w:val="28"/>
          <w:szCs w:val="28"/>
          <w:lang w:eastAsia="es-CO"/>
        </w:rPr>
        <w:t xml:space="preserve">En educación, se han realizado conferencias con invitados nacionales e internacionales en temas como accesibilidad universal; inclusión social y educativa; medios, tecnología y políticas de inclusión para personas con discapacidad. </w:t>
      </w:r>
    </w:p>
    <w:p w:rsidR="007B19F2" w:rsidRPr="005E1103" w:rsidRDefault="007B19F2" w:rsidP="007B19F2">
      <w:pPr>
        <w:shd w:val="clear" w:color="auto" w:fill="FFFFFF"/>
        <w:spacing w:after="0" w:line="360" w:lineRule="auto"/>
        <w:jc w:val="both"/>
        <w:rPr>
          <w:rFonts w:eastAsia="Times New Roman" w:cstheme="minorHAnsi"/>
          <w:color w:val="222222"/>
          <w:sz w:val="28"/>
          <w:szCs w:val="28"/>
          <w:lang w:eastAsia="es-CO"/>
        </w:rPr>
      </w:pPr>
    </w:p>
    <w:p w:rsidR="007B19F2" w:rsidRPr="005E1103" w:rsidRDefault="007B19F2" w:rsidP="007B19F2">
      <w:pPr>
        <w:shd w:val="clear" w:color="auto" w:fill="FFFFFF"/>
        <w:spacing w:after="0" w:line="360" w:lineRule="auto"/>
        <w:jc w:val="both"/>
        <w:rPr>
          <w:rFonts w:eastAsia="Times New Roman" w:cstheme="minorHAnsi"/>
          <w:color w:val="222222"/>
          <w:sz w:val="28"/>
          <w:szCs w:val="28"/>
          <w:lang w:eastAsia="es-CO"/>
        </w:rPr>
      </w:pPr>
      <w:r w:rsidRPr="005E1103">
        <w:rPr>
          <w:rFonts w:eastAsia="Times New Roman" w:cstheme="minorHAnsi"/>
          <w:color w:val="222222"/>
          <w:sz w:val="28"/>
          <w:szCs w:val="28"/>
          <w:lang w:eastAsia="es-CO"/>
        </w:rPr>
        <w:t xml:space="preserve">Metodologías de clases incluyentes lideradas por el Centro de Docencia Universitaria (CEDU) y el kit de musicografía en braille, gestionada por el Director del Departamento de Música para la enseñanza de música a personas con discapacidad visual; se adaptaron 4 libros de solfeo en Braille y se creó un tablero imantado que permite que las piezas metálicas diseñadas con las notas musicales en Braille puedan sostener las partituras. </w:t>
      </w:r>
    </w:p>
    <w:p w:rsidR="007B19F2" w:rsidRPr="005E1103" w:rsidRDefault="007B19F2" w:rsidP="007B19F2">
      <w:pPr>
        <w:shd w:val="clear" w:color="auto" w:fill="FFFFFF"/>
        <w:spacing w:after="0" w:line="360" w:lineRule="auto"/>
        <w:jc w:val="both"/>
        <w:rPr>
          <w:rFonts w:eastAsia="Times New Roman" w:cstheme="minorHAnsi"/>
          <w:color w:val="222222"/>
          <w:sz w:val="28"/>
          <w:szCs w:val="28"/>
          <w:lang w:eastAsia="es-CO"/>
        </w:rPr>
      </w:pPr>
    </w:p>
    <w:p w:rsidR="007B19F2" w:rsidRPr="005E1103" w:rsidRDefault="007B19F2" w:rsidP="007B19F2">
      <w:pPr>
        <w:shd w:val="clear" w:color="auto" w:fill="FFFFFF"/>
        <w:spacing w:after="0" w:line="360" w:lineRule="auto"/>
        <w:jc w:val="both"/>
        <w:rPr>
          <w:rFonts w:eastAsia="Times New Roman" w:cstheme="minorHAnsi"/>
          <w:color w:val="222222"/>
          <w:sz w:val="28"/>
          <w:szCs w:val="28"/>
          <w:lang w:eastAsia="es-CO"/>
        </w:rPr>
      </w:pPr>
      <w:r w:rsidRPr="005E1103">
        <w:rPr>
          <w:rFonts w:eastAsia="Times New Roman" w:cstheme="minorHAnsi"/>
          <w:color w:val="222222"/>
          <w:sz w:val="28"/>
          <w:szCs w:val="28"/>
          <w:lang w:eastAsia="es-CO"/>
        </w:rPr>
        <w:t>Jornadas de sensibilización como el Día Uninorte Incluyente, en el que se realizan actividades con el apoyo de fundaciones de la ciudad, en relación a la inclusión para personas con discapacidad; se hacen visitas a las oficinas, con el objetivo de generar una participación y concienciación de estudiantes, funcionarios y docentes.</w:t>
      </w:r>
    </w:p>
    <w:p w:rsidR="007B19F2" w:rsidRPr="005E1103" w:rsidRDefault="007B19F2" w:rsidP="007B19F2">
      <w:pPr>
        <w:shd w:val="clear" w:color="auto" w:fill="FFFFFF"/>
        <w:spacing w:after="0" w:line="360" w:lineRule="auto"/>
        <w:jc w:val="both"/>
        <w:rPr>
          <w:rFonts w:eastAsia="Times New Roman" w:cstheme="minorHAnsi"/>
          <w:color w:val="222222"/>
          <w:sz w:val="28"/>
          <w:szCs w:val="28"/>
          <w:lang w:eastAsia="es-CO"/>
        </w:rPr>
      </w:pPr>
    </w:p>
    <w:p w:rsidR="007B19F2" w:rsidRPr="005E1103" w:rsidRDefault="007B19F2" w:rsidP="007B19F2">
      <w:pPr>
        <w:shd w:val="clear" w:color="auto" w:fill="FFFFFF"/>
        <w:spacing w:after="0" w:line="360" w:lineRule="auto"/>
        <w:jc w:val="both"/>
        <w:rPr>
          <w:rFonts w:eastAsia="Times New Roman" w:cstheme="minorHAnsi"/>
          <w:color w:val="222222"/>
          <w:sz w:val="28"/>
          <w:szCs w:val="28"/>
          <w:lang w:eastAsia="es-CO"/>
        </w:rPr>
      </w:pPr>
      <w:r w:rsidRPr="005E1103">
        <w:rPr>
          <w:rFonts w:eastAsia="Times New Roman" w:cstheme="minorHAnsi"/>
          <w:color w:val="222222"/>
          <w:sz w:val="28"/>
          <w:szCs w:val="28"/>
          <w:lang w:eastAsia="es-CO"/>
        </w:rPr>
        <w:lastRenderedPageBreak/>
        <w:t xml:space="preserve">Dando liderazgo y empoderamiento a los jóvenes de Uninorte en estos temas, se promueven espacios participativos por medio del Grupo Estudiantil Uninorte </w:t>
      </w:r>
      <w:r w:rsidR="0048210E" w:rsidRPr="005E1103">
        <w:rPr>
          <w:rFonts w:eastAsia="Times New Roman" w:cstheme="minorHAnsi"/>
          <w:color w:val="222222"/>
          <w:sz w:val="28"/>
          <w:szCs w:val="28"/>
          <w:lang w:eastAsia="es-CO"/>
        </w:rPr>
        <w:t>Incluyente, conformado</w:t>
      </w:r>
      <w:r w:rsidRPr="005E1103">
        <w:rPr>
          <w:rFonts w:eastAsia="Times New Roman" w:cstheme="minorHAnsi"/>
          <w:color w:val="222222"/>
          <w:sz w:val="28"/>
          <w:szCs w:val="28"/>
          <w:lang w:eastAsia="es-CO"/>
        </w:rPr>
        <w:t xml:space="preserve"> por más de 50 estudiantes con y sin discapacidad, de diferentes programas académicos, quienes informan con actividades de sensibilización, sobre las políticas sociales, comunitarias y de servicios.</w:t>
      </w:r>
    </w:p>
    <w:p w:rsidR="007B19F2" w:rsidRPr="005E1103" w:rsidRDefault="007B19F2" w:rsidP="007B19F2">
      <w:pPr>
        <w:shd w:val="clear" w:color="auto" w:fill="FFFFFF"/>
        <w:spacing w:after="0" w:line="360" w:lineRule="auto"/>
        <w:jc w:val="both"/>
        <w:rPr>
          <w:rFonts w:eastAsia="Times New Roman" w:cstheme="minorHAnsi"/>
          <w:color w:val="222222"/>
          <w:sz w:val="28"/>
          <w:szCs w:val="28"/>
          <w:lang w:eastAsia="es-CO"/>
        </w:rPr>
      </w:pPr>
      <w:r w:rsidRPr="005E1103">
        <w:rPr>
          <w:rFonts w:eastAsia="Times New Roman" w:cstheme="minorHAnsi"/>
          <w:color w:val="222222"/>
          <w:sz w:val="28"/>
          <w:szCs w:val="28"/>
          <w:lang w:eastAsia="es-CO"/>
        </w:rPr>
        <w:t>Tatiana García tiene Neuropatía muscular sensitiva – motora y es la actual presidenta del grupo estudiantil</w:t>
      </w:r>
    </w:p>
    <w:p w:rsidR="007B19F2" w:rsidRPr="005E1103" w:rsidRDefault="007B19F2" w:rsidP="007B19F2">
      <w:pPr>
        <w:shd w:val="clear" w:color="auto" w:fill="FFFFFF"/>
        <w:spacing w:after="0" w:line="360" w:lineRule="auto"/>
        <w:jc w:val="both"/>
        <w:rPr>
          <w:rFonts w:eastAsia="Times New Roman" w:cstheme="minorHAnsi"/>
          <w:color w:val="222222"/>
          <w:sz w:val="28"/>
          <w:szCs w:val="28"/>
          <w:lang w:eastAsia="es-CO"/>
        </w:rPr>
      </w:pPr>
    </w:p>
    <w:p w:rsidR="007B19F2" w:rsidRPr="005E1103" w:rsidRDefault="007B19F2" w:rsidP="007B19F2">
      <w:pPr>
        <w:shd w:val="clear" w:color="auto" w:fill="FFFFFF"/>
        <w:spacing w:after="0" w:line="360" w:lineRule="auto"/>
        <w:ind w:left="708"/>
        <w:jc w:val="both"/>
        <w:rPr>
          <w:rFonts w:eastAsia="Times New Roman" w:cstheme="minorHAnsi"/>
          <w:color w:val="222222"/>
          <w:sz w:val="28"/>
          <w:szCs w:val="28"/>
          <w:lang w:eastAsia="es-CO"/>
        </w:rPr>
      </w:pPr>
      <w:r w:rsidRPr="005E1103">
        <w:rPr>
          <w:rFonts w:eastAsia="Times New Roman" w:cstheme="minorHAnsi"/>
          <w:color w:val="222222"/>
          <w:sz w:val="28"/>
          <w:szCs w:val="28"/>
          <w:lang w:eastAsia="es-CO"/>
        </w:rPr>
        <w:t xml:space="preserve">Uninorte Incluyente fomenta la integración y accesibilidad de los estudiantes que tenemos alguna discapacidad y sensibiliza a la población estudiantil en este aspecto. Es un proyecto que traerá muchos frutos en diferentes aspectos y que despierta el interés de muchas personas por hacer de ésta una mejor sociedad. </w:t>
      </w:r>
    </w:p>
    <w:p w:rsidR="007B19F2" w:rsidRPr="005E1103" w:rsidRDefault="007B19F2" w:rsidP="007B19F2">
      <w:pPr>
        <w:shd w:val="clear" w:color="auto" w:fill="FFFFFF"/>
        <w:spacing w:after="0" w:line="360" w:lineRule="auto"/>
        <w:jc w:val="both"/>
        <w:rPr>
          <w:rFonts w:eastAsia="Times New Roman" w:cstheme="minorHAnsi"/>
          <w:color w:val="222222"/>
          <w:sz w:val="28"/>
          <w:szCs w:val="28"/>
          <w:lang w:eastAsia="es-CO"/>
        </w:rPr>
      </w:pPr>
    </w:p>
    <w:p w:rsidR="007B19F2" w:rsidRPr="005E1103" w:rsidRDefault="007B19F2" w:rsidP="007B19F2">
      <w:pPr>
        <w:spacing w:line="360" w:lineRule="auto"/>
        <w:jc w:val="both"/>
        <w:rPr>
          <w:rFonts w:eastAsia="Times New Roman" w:cstheme="minorHAnsi"/>
          <w:color w:val="222222"/>
          <w:sz w:val="28"/>
          <w:szCs w:val="28"/>
          <w:lang w:eastAsia="es-CO"/>
        </w:rPr>
      </w:pPr>
      <w:r w:rsidRPr="005E1103">
        <w:rPr>
          <w:rFonts w:eastAsia="Times New Roman" w:cstheme="minorHAnsi"/>
          <w:color w:val="222222"/>
          <w:sz w:val="28"/>
          <w:szCs w:val="28"/>
          <w:lang w:eastAsia="es-CO"/>
        </w:rPr>
        <w:t>Desde la investigación, se han desarrollado tesis de grados en pregrado, maestría y doctorado, en temas como acompañamiento a las familias, uso de contenidos en la web e inteligencia múltiples en personas con discapacidad.</w:t>
      </w:r>
    </w:p>
    <w:p w:rsidR="007B19F2" w:rsidRPr="005E1103" w:rsidRDefault="007B19F2" w:rsidP="007B19F2">
      <w:pPr>
        <w:spacing w:line="360" w:lineRule="auto"/>
        <w:jc w:val="both"/>
        <w:rPr>
          <w:rFonts w:eastAsia="Times New Roman" w:cstheme="minorHAnsi"/>
          <w:color w:val="222222"/>
          <w:sz w:val="28"/>
          <w:szCs w:val="28"/>
          <w:lang w:eastAsia="es-CO"/>
        </w:rPr>
      </w:pPr>
      <w:r w:rsidRPr="005E1103">
        <w:rPr>
          <w:rFonts w:eastAsia="Times New Roman" w:cstheme="minorHAnsi"/>
          <w:color w:val="222222"/>
          <w:sz w:val="28"/>
          <w:szCs w:val="28"/>
          <w:lang w:eastAsia="es-CO"/>
        </w:rPr>
        <w:t xml:space="preserve">En transformación desde la Extensión, se han hecho capacitaciones a empresas privadas y entidades del sector público en relación a la inclusión social y educativa para personas con discapacidad. Entre ellas, se resalta la participación en espacios gubernamentales como la Contraloría General de la República, que busca el cumplimiento de las normas para la población con discapacidad; y en el congreso de la República, para hacer seguimiento al cumplimiento de las leyes que hay en relación al tema. </w:t>
      </w:r>
    </w:p>
    <w:p w:rsidR="007B19F2" w:rsidRPr="005E1103" w:rsidRDefault="007B19F2" w:rsidP="007B19F2">
      <w:pPr>
        <w:spacing w:line="360" w:lineRule="auto"/>
        <w:jc w:val="both"/>
        <w:rPr>
          <w:rFonts w:eastAsia="Times New Roman" w:cstheme="minorHAnsi"/>
          <w:color w:val="222222"/>
          <w:sz w:val="28"/>
          <w:szCs w:val="28"/>
          <w:lang w:eastAsia="es-CO"/>
        </w:rPr>
      </w:pPr>
      <w:r w:rsidRPr="005E1103">
        <w:rPr>
          <w:rFonts w:eastAsia="Times New Roman" w:cstheme="minorHAnsi"/>
          <w:color w:val="222222"/>
          <w:sz w:val="28"/>
          <w:szCs w:val="28"/>
          <w:lang w:eastAsia="es-CO"/>
        </w:rPr>
        <w:t xml:space="preserve">Así mismo, se han hecho propuestas a los gobiernos locales en identificación de la población con discapacidad, turismo accesible y accesibilidad en general. En ese sentido, desde la Alcaldía de Barranquilla se adelanta el proyecto de Registro, Caracterización y </w:t>
      </w:r>
      <w:r w:rsidRPr="005E1103">
        <w:rPr>
          <w:rFonts w:eastAsia="Times New Roman" w:cstheme="minorHAnsi"/>
          <w:color w:val="222222"/>
          <w:sz w:val="28"/>
          <w:szCs w:val="28"/>
          <w:lang w:eastAsia="es-CO"/>
        </w:rPr>
        <w:lastRenderedPageBreak/>
        <w:t xml:space="preserve">Localización de las personas con discapacidad, de las cuales se estima hay 65 mil en la ciudad. </w:t>
      </w:r>
    </w:p>
    <w:p w:rsidR="007B19F2" w:rsidRPr="005E1103" w:rsidRDefault="007B19F2" w:rsidP="007B19F2">
      <w:pPr>
        <w:spacing w:line="360" w:lineRule="auto"/>
        <w:jc w:val="both"/>
        <w:rPr>
          <w:rFonts w:eastAsia="Times New Roman" w:cstheme="minorHAnsi"/>
          <w:color w:val="222222"/>
          <w:sz w:val="28"/>
          <w:szCs w:val="28"/>
          <w:lang w:eastAsia="es-CO"/>
        </w:rPr>
      </w:pPr>
      <w:r w:rsidRPr="005E1103">
        <w:rPr>
          <w:rFonts w:eastAsia="Times New Roman" w:cstheme="minorHAnsi"/>
          <w:color w:val="222222"/>
          <w:sz w:val="28"/>
          <w:szCs w:val="28"/>
          <w:lang w:eastAsia="es-CO"/>
        </w:rPr>
        <w:t xml:space="preserve">La Universidad del Norte hace parte de la Red de Instituciones de Educación Superior para la Discapacidad, conformada por 70 instituciones que a nivel nacional trabajan por la inclusión para personas con discapacidad a través de la sensibilización y actuación desde la docencia, investigación y extensión. </w:t>
      </w:r>
    </w:p>
    <w:p w:rsidR="007B19F2" w:rsidRPr="005E1103" w:rsidRDefault="007B19F2" w:rsidP="007B19F2">
      <w:pPr>
        <w:spacing w:line="360" w:lineRule="auto"/>
        <w:jc w:val="both"/>
        <w:rPr>
          <w:rFonts w:eastAsia="Times New Roman" w:cstheme="minorHAnsi"/>
          <w:color w:val="222222"/>
          <w:sz w:val="28"/>
          <w:szCs w:val="28"/>
          <w:lang w:eastAsia="es-CO"/>
        </w:rPr>
      </w:pPr>
      <w:r w:rsidRPr="005E1103">
        <w:rPr>
          <w:rFonts w:eastAsia="Times New Roman" w:cstheme="minorHAnsi"/>
          <w:color w:val="222222"/>
          <w:sz w:val="28"/>
          <w:szCs w:val="28"/>
          <w:lang w:eastAsia="es-CO"/>
        </w:rPr>
        <w:t>Desde Extensión se suscribió en el año 2014 un convenio con la Fundación ONCE a través del cual:</w:t>
      </w:r>
    </w:p>
    <w:p w:rsidR="007B19F2" w:rsidRPr="005E1103" w:rsidRDefault="007B19F2" w:rsidP="007B19F2">
      <w:pPr>
        <w:spacing w:line="360" w:lineRule="auto"/>
        <w:ind w:left="708"/>
        <w:jc w:val="both"/>
        <w:rPr>
          <w:rFonts w:eastAsia="Times New Roman" w:cstheme="minorHAnsi"/>
          <w:iCs/>
          <w:color w:val="222222"/>
          <w:sz w:val="28"/>
          <w:szCs w:val="28"/>
          <w:lang w:eastAsia="es-CO"/>
        </w:rPr>
      </w:pPr>
      <w:r w:rsidRPr="005E1103">
        <w:rPr>
          <w:rFonts w:eastAsia="Times New Roman" w:cstheme="minorHAnsi"/>
          <w:iCs/>
          <w:color w:val="222222"/>
          <w:sz w:val="28"/>
          <w:szCs w:val="28"/>
          <w:lang w:eastAsia="es-CO"/>
        </w:rPr>
        <w:t>La Universidad del Norte y la Fundación ONCE acuerdan establecer un marco estable de colaboración en distintas líneas de actuación dirigidas a la mejora de la igualdad de oportunidades, la accesibilidad universal, la inclusión y la no discriminación de todas las personas con discapacidad dentro de la comunidad universitaria. (P.3)</w:t>
      </w:r>
    </w:p>
    <w:p w:rsidR="007B19F2" w:rsidRPr="005E1103" w:rsidRDefault="007B19F2" w:rsidP="007B19F2">
      <w:pPr>
        <w:spacing w:line="360" w:lineRule="auto"/>
        <w:jc w:val="both"/>
        <w:rPr>
          <w:rFonts w:eastAsia="Times New Roman" w:cstheme="minorHAnsi"/>
          <w:iCs/>
          <w:color w:val="222222"/>
          <w:sz w:val="28"/>
          <w:szCs w:val="28"/>
          <w:lang w:eastAsia="es-CO"/>
        </w:rPr>
      </w:pPr>
      <w:r w:rsidRPr="005E1103">
        <w:rPr>
          <w:rFonts w:eastAsia="Times New Roman" w:cstheme="minorHAnsi"/>
          <w:iCs/>
          <w:color w:val="222222"/>
          <w:sz w:val="28"/>
          <w:szCs w:val="28"/>
          <w:lang w:eastAsia="es-CO"/>
        </w:rPr>
        <w:t>A partir de este convenio se realizó un sondeo de aproximación para conocer el número de estudiantes, funcionarios y profesores con alguna discapacidad en la Universidad y se hizo un diagnóstico de la infraestructura y su accesibilidad: Edificio bloque G y Biblioteca.</w:t>
      </w:r>
    </w:p>
    <w:p w:rsidR="007B19F2" w:rsidRPr="005E1103" w:rsidRDefault="007B19F2" w:rsidP="007B19F2">
      <w:pPr>
        <w:spacing w:line="360" w:lineRule="auto"/>
        <w:jc w:val="both"/>
        <w:rPr>
          <w:rFonts w:eastAsia="Times New Roman" w:cstheme="minorHAnsi"/>
          <w:iCs/>
          <w:color w:val="222222"/>
          <w:sz w:val="28"/>
          <w:szCs w:val="28"/>
          <w:lang w:eastAsia="es-CO"/>
        </w:rPr>
      </w:pPr>
      <w:r w:rsidRPr="005E1103">
        <w:rPr>
          <w:rFonts w:eastAsia="Times New Roman" w:cstheme="minorHAnsi"/>
          <w:iCs/>
          <w:color w:val="222222"/>
          <w:sz w:val="28"/>
          <w:szCs w:val="28"/>
          <w:lang w:eastAsia="es-CO"/>
        </w:rPr>
        <w:t xml:space="preserve">Por otra parte, Uninorte Incluyente ha hecho presencia en redes globales como Axs chat, con líderes mundiales en inclusión y más de 70 personas de diferentes países interactuando sobre inclusión educativa. </w:t>
      </w:r>
    </w:p>
    <w:p w:rsidR="007B19F2" w:rsidRPr="005E1103" w:rsidRDefault="007B19F2" w:rsidP="007B19F2">
      <w:pPr>
        <w:spacing w:line="360" w:lineRule="auto"/>
        <w:jc w:val="both"/>
        <w:rPr>
          <w:rFonts w:eastAsia="Times New Roman" w:cstheme="minorHAnsi"/>
          <w:bCs/>
          <w:color w:val="222222"/>
          <w:sz w:val="28"/>
          <w:szCs w:val="28"/>
          <w:lang w:eastAsia="es-CO"/>
        </w:rPr>
      </w:pPr>
      <w:r w:rsidRPr="005E1103">
        <w:rPr>
          <w:rFonts w:eastAsia="Times New Roman" w:cstheme="minorHAnsi"/>
          <w:bCs/>
          <w:color w:val="222222"/>
          <w:sz w:val="28"/>
          <w:szCs w:val="28"/>
          <w:lang w:eastAsia="es-CO"/>
        </w:rPr>
        <w:t xml:space="preserve">Participación en la Convención sobre los Derechos de las Personas con Discapacidad. Organización de las Naciones Unidas en New York y Ponente en Inclusive Higher Education Forum of the  </w:t>
      </w:r>
      <w:hyperlink r:id="rId60" w:history="1">
        <w:r w:rsidRPr="005E1103">
          <w:rPr>
            <w:rFonts w:cstheme="minorHAnsi"/>
            <w:bCs/>
            <w:color w:val="222222"/>
            <w:sz w:val="28"/>
            <w:szCs w:val="28"/>
            <w:lang w:eastAsia="es-CO"/>
          </w:rPr>
          <w:t>2016 M-Enabling</w:t>
        </w:r>
      </w:hyperlink>
      <w:r w:rsidRPr="005E1103">
        <w:rPr>
          <w:rFonts w:eastAsia="Times New Roman" w:cstheme="minorHAnsi"/>
          <w:bCs/>
          <w:color w:val="222222"/>
          <w:sz w:val="28"/>
          <w:szCs w:val="28"/>
          <w:lang w:eastAsia="es-CO"/>
        </w:rPr>
        <w:t xml:space="preserve"> </w:t>
      </w:r>
      <w:hyperlink r:id="rId61" w:history="1">
        <w:r w:rsidRPr="005E1103">
          <w:rPr>
            <w:rFonts w:cstheme="minorHAnsi"/>
            <w:bCs/>
            <w:color w:val="222222"/>
            <w:sz w:val="28"/>
            <w:szCs w:val="28"/>
            <w:lang w:eastAsia="es-CO"/>
          </w:rPr>
          <w:t>Summit</w:t>
        </w:r>
      </w:hyperlink>
      <w:r w:rsidRPr="005E1103">
        <w:rPr>
          <w:rFonts w:eastAsia="Times New Roman" w:cstheme="minorHAnsi"/>
          <w:bCs/>
          <w:color w:val="222222"/>
          <w:sz w:val="28"/>
          <w:szCs w:val="28"/>
          <w:lang w:eastAsia="es-CO"/>
        </w:rPr>
        <w:t>. Washington.</w:t>
      </w:r>
    </w:p>
    <w:p w:rsidR="007B19F2" w:rsidRPr="005E1103" w:rsidRDefault="007B19F2" w:rsidP="007B19F2">
      <w:pPr>
        <w:spacing w:line="360" w:lineRule="auto"/>
        <w:jc w:val="both"/>
        <w:rPr>
          <w:rFonts w:eastAsia="Times New Roman" w:cstheme="minorHAnsi"/>
          <w:bCs/>
          <w:color w:val="222222"/>
          <w:sz w:val="28"/>
          <w:szCs w:val="28"/>
          <w:lang w:eastAsia="es-CO"/>
        </w:rPr>
      </w:pPr>
      <w:r w:rsidRPr="005E1103">
        <w:rPr>
          <w:rFonts w:eastAsia="Times New Roman" w:cstheme="minorHAnsi"/>
          <w:bCs/>
          <w:color w:val="222222"/>
          <w:sz w:val="28"/>
          <w:szCs w:val="28"/>
          <w:lang w:eastAsia="es-CO"/>
        </w:rPr>
        <w:t>Pero más que todo lo anterior, estas iniciativas se mueven desde mi corazón y mi propio vientre con la vida de Samuel, mi hijo de 10 años; a quien la vida le dio una condición especial.</w:t>
      </w:r>
    </w:p>
    <w:p w:rsidR="007B19F2" w:rsidRPr="005E1103" w:rsidRDefault="007B19F2" w:rsidP="007B19F2">
      <w:pPr>
        <w:spacing w:line="360" w:lineRule="auto"/>
        <w:jc w:val="both"/>
        <w:rPr>
          <w:rFonts w:eastAsia="Times New Roman" w:cstheme="minorHAnsi"/>
          <w:bCs/>
          <w:color w:val="222222"/>
          <w:sz w:val="28"/>
          <w:szCs w:val="28"/>
          <w:lang w:eastAsia="es-CO"/>
        </w:rPr>
      </w:pPr>
      <w:r w:rsidRPr="005E1103">
        <w:rPr>
          <w:rFonts w:eastAsia="Times New Roman" w:cstheme="minorHAnsi"/>
          <w:bCs/>
          <w:color w:val="222222"/>
          <w:sz w:val="28"/>
          <w:szCs w:val="28"/>
          <w:lang w:eastAsia="es-CO"/>
        </w:rPr>
        <w:lastRenderedPageBreak/>
        <w:t>Sammy es ciego y él y yo hemos luchado todos estos más de 3 mil 650 días por la inclusión. Empezamos con la familia para lograr la aceptación de su condición, y continuamos con su colegio y la sociedad en general.</w:t>
      </w:r>
    </w:p>
    <w:p w:rsidR="007B19F2" w:rsidRPr="005E1103" w:rsidRDefault="007B19F2" w:rsidP="007B19F2">
      <w:pPr>
        <w:spacing w:line="360" w:lineRule="auto"/>
        <w:jc w:val="both"/>
        <w:rPr>
          <w:rFonts w:eastAsia="Times New Roman" w:cstheme="minorHAnsi"/>
          <w:bCs/>
          <w:color w:val="222222"/>
          <w:sz w:val="28"/>
          <w:szCs w:val="28"/>
          <w:lang w:eastAsia="es-CO"/>
        </w:rPr>
      </w:pPr>
      <w:r w:rsidRPr="005E1103">
        <w:rPr>
          <w:rFonts w:eastAsia="Times New Roman" w:cstheme="minorHAnsi"/>
          <w:bCs/>
          <w:color w:val="222222"/>
          <w:sz w:val="28"/>
          <w:szCs w:val="28"/>
          <w:lang w:eastAsia="es-CO"/>
        </w:rPr>
        <w:t xml:space="preserve">Hoy está casi en un 90% incluido en su colegio, pero no nos gustan los "casis" queremos el 100% de la inclusión, por eso el camino que nos queda es largo y necesitamos unir esfuerzos como los que nos permite este encuentro. Sammy tiene claro que es ciego, y quiere ser el mejor ciego del mundo, pero necesita estar en el mejor mundo que es un mundo que le permita jugar, estudiar, trabajar, tener familia o, soñar, ser feliz. </w:t>
      </w:r>
    </w:p>
    <w:p w:rsidR="007B19F2" w:rsidRPr="005E1103" w:rsidRDefault="007B19F2" w:rsidP="007B19F2">
      <w:pPr>
        <w:spacing w:line="360" w:lineRule="auto"/>
        <w:jc w:val="both"/>
        <w:rPr>
          <w:rFonts w:eastAsia="Times New Roman" w:cstheme="minorHAnsi"/>
          <w:bCs/>
          <w:color w:val="222222"/>
          <w:sz w:val="28"/>
          <w:szCs w:val="28"/>
          <w:lang w:eastAsia="es-CO"/>
        </w:rPr>
      </w:pPr>
      <w:r w:rsidRPr="005E1103">
        <w:rPr>
          <w:rFonts w:eastAsia="Times New Roman" w:cstheme="minorHAnsi"/>
          <w:bCs/>
          <w:color w:val="222222"/>
          <w:sz w:val="28"/>
          <w:szCs w:val="28"/>
          <w:lang w:eastAsia="es-CO"/>
        </w:rPr>
        <w:t>Para construir ese mundo equitativo que sueña Sammy y todos aquellos que también tienen alguna discapacidad, dentro de los Objetivos de Desarrollo Sostenible se establecen dos metas para el 2030.</w:t>
      </w:r>
    </w:p>
    <w:p w:rsidR="007B19F2" w:rsidRPr="005E1103" w:rsidRDefault="007B19F2" w:rsidP="007B19F2">
      <w:pPr>
        <w:spacing w:line="360" w:lineRule="auto"/>
        <w:ind w:left="708"/>
        <w:jc w:val="both"/>
        <w:rPr>
          <w:rFonts w:eastAsia="Times New Roman" w:cstheme="minorHAnsi"/>
          <w:bCs/>
          <w:color w:val="222222"/>
          <w:sz w:val="28"/>
          <w:szCs w:val="28"/>
          <w:lang w:eastAsia="es-CO"/>
        </w:rPr>
      </w:pPr>
      <w:r w:rsidRPr="005E1103">
        <w:rPr>
          <w:rFonts w:eastAsia="Times New Roman" w:cstheme="minorHAnsi"/>
          <w:bCs/>
          <w:color w:val="222222"/>
          <w:sz w:val="28"/>
          <w:szCs w:val="28"/>
          <w:lang w:eastAsia="es-CO"/>
        </w:rPr>
        <w:t>Objetivo 4. Educación de Calidad. Eliminar las disparidades de género en la educación y garantizar el acceso en condiciones de igualdad de las personas vulnerables, incluidas las personas con discapacidad, los pueblos indígenas y los niños en situaciones de vulnerabilidad, a todos los niveles de la enseñanza y la formación profesional.</w:t>
      </w:r>
    </w:p>
    <w:p w:rsidR="007B19F2" w:rsidRPr="005E1103" w:rsidRDefault="007B19F2" w:rsidP="007B19F2">
      <w:pPr>
        <w:spacing w:line="360" w:lineRule="auto"/>
        <w:ind w:left="708"/>
        <w:jc w:val="both"/>
        <w:rPr>
          <w:rFonts w:eastAsia="Times New Roman" w:cstheme="minorHAnsi"/>
          <w:bCs/>
          <w:color w:val="222222"/>
          <w:sz w:val="28"/>
          <w:szCs w:val="28"/>
          <w:lang w:eastAsia="es-CO"/>
        </w:rPr>
      </w:pPr>
      <w:r w:rsidRPr="005E1103">
        <w:rPr>
          <w:rFonts w:eastAsia="Times New Roman" w:cstheme="minorHAnsi"/>
          <w:bCs/>
          <w:color w:val="222222"/>
          <w:sz w:val="28"/>
          <w:szCs w:val="28"/>
          <w:lang w:eastAsia="es-CO"/>
        </w:rPr>
        <w:t>Objetivo 10. Reducción de las desigualdades. Potenciar y promover la inclusión social, económica y política de todas las personas, independiente de su edad, sexo, discapacidad, raza, etnia, origen, religión o situación económicau otra condición.</w:t>
      </w:r>
    </w:p>
    <w:p w:rsidR="007B19F2" w:rsidRPr="005E1103" w:rsidRDefault="007B19F2" w:rsidP="007B19F2">
      <w:pPr>
        <w:spacing w:line="360" w:lineRule="auto"/>
        <w:jc w:val="both"/>
        <w:rPr>
          <w:rFonts w:eastAsia="Times New Roman" w:cstheme="minorHAnsi"/>
          <w:bCs/>
          <w:color w:val="222222"/>
          <w:sz w:val="28"/>
          <w:szCs w:val="28"/>
          <w:lang w:eastAsia="es-CO"/>
        </w:rPr>
      </w:pPr>
      <w:r w:rsidRPr="005E1103">
        <w:rPr>
          <w:rFonts w:eastAsia="Times New Roman" w:cstheme="minorHAnsi"/>
          <w:bCs/>
          <w:color w:val="222222"/>
          <w:sz w:val="28"/>
          <w:szCs w:val="28"/>
          <w:lang w:eastAsia="es-CO"/>
        </w:rPr>
        <w:t>Programas como Uninorte Incluyente dan su aporte al cumplimiento de estas metas, promoviendo desde la educación, la participación de todos, el respeto por las diferencias y la igualdad de oportunidades, especialmente de aquellos que se encuentran en riesgo de exclusión.</w:t>
      </w:r>
    </w:p>
    <w:p w:rsidR="007B19F2" w:rsidRPr="005E1103" w:rsidRDefault="007B19F2" w:rsidP="007B19F2">
      <w:pPr>
        <w:pStyle w:val="P"/>
        <w:rPr>
          <w:rFonts w:asciiTheme="minorHAnsi" w:hAnsiTheme="minorHAnsi" w:cstheme="minorHAnsi"/>
          <w:bCs/>
          <w:color w:val="222222"/>
          <w:sz w:val="28"/>
          <w:szCs w:val="28"/>
          <w:lang w:val="es-CO" w:eastAsia="es-CO"/>
        </w:rPr>
      </w:pPr>
      <w:r w:rsidRPr="005E1103">
        <w:rPr>
          <w:rFonts w:asciiTheme="minorHAnsi" w:hAnsiTheme="minorHAnsi" w:cstheme="minorHAnsi"/>
          <w:bCs/>
          <w:color w:val="222222"/>
          <w:sz w:val="28"/>
          <w:szCs w:val="28"/>
          <w:lang w:val="es-CO" w:eastAsia="es-CO"/>
        </w:rPr>
        <w:t xml:space="preserve">Colombia incorpora al bloque de constitucionalidad los avances del Derecho Internacional como la Convención Interamericana para la eliminación de todas las formas </w:t>
      </w:r>
      <w:r w:rsidRPr="005E1103">
        <w:rPr>
          <w:rFonts w:asciiTheme="minorHAnsi" w:hAnsiTheme="minorHAnsi" w:cstheme="minorHAnsi"/>
          <w:bCs/>
          <w:color w:val="222222"/>
          <w:sz w:val="28"/>
          <w:szCs w:val="28"/>
          <w:lang w:val="es-CO" w:eastAsia="es-CO"/>
        </w:rPr>
        <w:lastRenderedPageBreak/>
        <w:t>de discriminación contra las personas con discapacidad -Ley 762 del 2002-, y la Convención sobre los derechos de las Personas con Discapacidad de Naciones Unidas -Ley 1346 del 2009.</w:t>
      </w:r>
    </w:p>
    <w:p w:rsidR="007B19F2" w:rsidRPr="005E1103" w:rsidRDefault="007B19F2" w:rsidP="007B19F2">
      <w:pPr>
        <w:shd w:val="clear" w:color="auto" w:fill="FFFFFF"/>
        <w:spacing w:after="0" w:line="360" w:lineRule="auto"/>
        <w:jc w:val="both"/>
        <w:rPr>
          <w:rFonts w:eastAsia="Times New Roman" w:cstheme="minorHAnsi"/>
          <w:bCs/>
          <w:color w:val="222222"/>
          <w:sz w:val="28"/>
          <w:szCs w:val="28"/>
          <w:lang w:eastAsia="es-CO"/>
        </w:rPr>
      </w:pPr>
      <w:r w:rsidRPr="005E1103">
        <w:rPr>
          <w:rFonts w:eastAsia="Times New Roman" w:cstheme="minorHAnsi"/>
          <w:bCs/>
          <w:color w:val="222222"/>
          <w:sz w:val="28"/>
          <w:szCs w:val="28"/>
          <w:lang w:eastAsia="es-CO"/>
        </w:rPr>
        <w:t>Lo anterior, va en congruencia con los lineamientos para la Acreditación Institucional del Consejo Nacional de Educación Superior de Colombia, que establece en el factor de Estudiantes y Bienestar Institucional como uno de los aspectos a evaluar, las estrategias orientadas a la inclusión de la población vulnerable y con discapacidad.</w:t>
      </w:r>
    </w:p>
    <w:p w:rsidR="007B19F2" w:rsidRPr="005E1103" w:rsidRDefault="007B19F2" w:rsidP="007B19F2">
      <w:pPr>
        <w:spacing w:line="360" w:lineRule="auto"/>
        <w:jc w:val="both"/>
        <w:rPr>
          <w:rFonts w:eastAsia="Times New Roman" w:cstheme="minorHAnsi"/>
          <w:bCs/>
          <w:color w:val="222222"/>
          <w:sz w:val="28"/>
          <w:szCs w:val="28"/>
          <w:lang w:eastAsia="es-CO"/>
        </w:rPr>
      </w:pPr>
      <w:r w:rsidRPr="005E1103">
        <w:rPr>
          <w:rFonts w:eastAsia="Helvetica Neue" w:cstheme="minorHAnsi"/>
          <w:sz w:val="28"/>
          <w:szCs w:val="28"/>
        </w:rPr>
        <w:t>-</w:t>
      </w:r>
      <w:r w:rsidRPr="005E1103">
        <w:rPr>
          <w:rFonts w:eastAsia="Times New Roman" w:cstheme="minorHAnsi"/>
          <w:bCs/>
          <w:color w:val="222222"/>
          <w:sz w:val="28"/>
          <w:szCs w:val="28"/>
          <w:lang w:eastAsia="es-CO"/>
        </w:rPr>
        <w:t xml:space="preserve">Factor Estudiantes. (P.15) En la característica de Admisión y permanencia de estudiantes, el aspecto a evaluar que </w:t>
      </w:r>
      <w:r w:rsidR="0048210E" w:rsidRPr="005E1103">
        <w:rPr>
          <w:rFonts w:eastAsia="Times New Roman" w:cstheme="minorHAnsi"/>
          <w:bCs/>
          <w:color w:val="222222"/>
          <w:sz w:val="28"/>
          <w:szCs w:val="28"/>
          <w:lang w:eastAsia="es-CO"/>
        </w:rPr>
        <w:t>relaciona a</w:t>
      </w:r>
      <w:r w:rsidRPr="005E1103">
        <w:rPr>
          <w:rFonts w:eastAsia="Times New Roman" w:cstheme="minorHAnsi"/>
          <w:bCs/>
          <w:color w:val="222222"/>
          <w:sz w:val="28"/>
          <w:szCs w:val="28"/>
          <w:lang w:eastAsia="es-CO"/>
        </w:rPr>
        <w:t xml:space="preserve"> la inclusión hace referencia a  la: </w:t>
      </w:r>
    </w:p>
    <w:p w:rsidR="007B19F2" w:rsidRPr="005E1103" w:rsidRDefault="007B19F2" w:rsidP="007B19F2">
      <w:pPr>
        <w:spacing w:line="360" w:lineRule="auto"/>
        <w:jc w:val="both"/>
        <w:rPr>
          <w:rFonts w:eastAsia="Times New Roman" w:cstheme="minorHAnsi"/>
          <w:bCs/>
          <w:color w:val="222222"/>
          <w:sz w:val="28"/>
          <w:szCs w:val="28"/>
          <w:lang w:eastAsia="es-CO"/>
        </w:rPr>
      </w:pPr>
      <w:r w:rsidRPr="005E1103">
        <w:rPr>
          <w:rFonts w:eastAsia="Times New Roman" w:cstheme="minorHAnsi"/>
          <w:bCs/>
          <w:color w:val="222222"/>
          <w:sz w:val="28"/>
          <w:szCs w:val="28"/>
          <w:lang w:eastAsia="es-CO"/>
        </w:rPr>
        <w:t xml:space="preserve">a) Aplicación equitativa y transparente de los criterios para la admisión y permanencia de los estudiantes. </w:t>
      </w:r>
    </w:p>
    <w:p w:rsidR="007B19F2" w:rsidRPr="005E1103" w:rsidRDefault="007B19F2" w:rsidP="007B19F2">
      <w:pPr>
        <w:spacing w:line="360" w:lineRule="auto"/>
        <w:jc w:val="both"/>
        <w:rPr>
          <w:rFonts w:eastAsia="Times New Roman" w:cstheme="minorHAnsi"/>
          <w:bCs/>
          <w:color w:val="222222"/>
          <w:sz w:val="28"/>
          <w:szCs w:val="28"/>
          <w:lang w:eastAsia="es-CO"/>
        </w:rPr>
      </w:pPr>
      <w:r w:rsidRPr="005E1103">
        <w:rPr>
          <w:rFonts w:eastAsia="Times New Roman" w:cstheme="minorHAnsi"/>
          <w:bCs/>
          <w:color w:val="222222"/>
          <w:sz w:val="28"/>
          <w:szCs w:val="28"/>
          <w:lang w:eastAsia="es-CO"/>
        </w:rPr>
        <w:t xml:space="preserve">b) Estrategias que garanticen la integración de los estudiantes a la institución en consideración a su heterogeneidad social y cultural.  </w:t>
      </w:r>
    </w:p>
    <w:p w:rsidR="007B19F2" w:rsidRPr="005E1103" w:rsidRDefault="007B19F2" w:rsidP="007B19F2">
      <w:pPr>
        <w:spacing w:line="360" w:lineRule="auto"/>
        <w:jc w:val="both"/>
        <w:rPr>
          <w:rFonts w:eastAsia="Times New Roman" w:cstheme="minorHAnsi"/>
          <w:bCs/>
          <w:color w:val="222222"/>
          <w:sz w:val="28"/>
          <w:szCs w:val="28"/>
          <w:lang w:eastAsia="es-CO"/>
        </w:rPr>
      </w:pPr>
      <w:r w:rsidRPr="005E1103">
        <w:rPr>
          <w:rFonts w:eastAsia="Times New Roman" w:cstheme="minorHAnsi"/>
          <w:bCs/>
          <w:color w:val="222222"/>
          <w:sz w:val="28"/>
          <w:szCs w:val="28"/>
          <w:lang w:eastAsia="es-CO"/>
        </w:rPr>
        <w:t xml:space="preserve">Deserción de estudiantes, análisis de causas y estrategias de permanencia en condiciones de calidad. </w:t>
      </w:r>
    </w:p>
    <w:p w:rsidR="007B19F2" w:rsidRPr="005E1103" w:rsidRDefault="007B19F2" w:rsidP="007B19F2">
      <w:pPr>
        <w:spacing w:line="360" w:lineRule="auto"/>
        <w:jc w:val="both"/>
        <w:rPr>
          <w:rFonts w:eastAsia="Times New Roman" w:cstheme="minorHAnsi"/>
          <w:bCs/>
          <w:color w:val="222222"/>
          <w:sz w:val="28"/>
          <w:szCs w:val="28"/>
          <w:lang w:eastAsia="es-CO"/>
        </w:rPr>
      </w:pPr>
      <w:r w:rsidRPr="005E1103">
        <w:rPr>
          <w:rFonts w:eastAsia="Times New Roman" w:cstheme="minorHAnsi"/>
          <w:bCs/>
          <w:color w:val="222222"/>
          <w:sz w:val="28"/>
          <w:szCs w:val="28"/>
          <w:lang w:eastAsia="es-CO"/>
        </w:rPr>
        <w:t xml:space="preserve">-Factor de Bienestar Institucional (P.25). En la característica de Estructura y funcionamiento del bienestar institucional se evalúan, entre otras, las estrategias que las IES tengan en relación a la inclusión de la población vulnerable y con discapacidad. </w:t>
      </w:r>
    </w:p>
    <w:p w:rsidR="007B19F2" w:rsidRPr="005E1103" w:rsidRDefault="007B19F2" w:rsidP="007B19F2">
      <w:pPr>
        <w:spacing w:after="240" w:line="360" w:lineRule="auto"/>
        <w:jc w:val="both"/>
        <w:rPr>
          <w:rFonts w:eastAsia="Times New Roman" w:cstheme="minorHAnsi"/>
          <w:bCs/>
          <w:color w:val="222222"/>
          <w:sz w:val="28"/>
          <w:szCs w:val="28"/>
          <w:lang w:eastAsia="es-CO"/>
        </w:rPr>
      </w:pPr>
      <w:r w:rsidRPr="005E1103">
        <w:rPr>
          <w:rFonts w:eastAsia="Times New Roman" w:cstheme="minorHAnsi"/>
          <w:bCs/>
          <w:color w:val="222222"/>
          <w:sz w:val="28"/>
          <w:szCs w:val="28"/>
          <w:lang w:eastAsia="es-CO"/>
        </w:rPr>
        <w:t xml:space="preserve">Sin duda, la inclusión en la educación permitirá mejorar </w:t>
      </w:r>
      <w:r w:rsidR="0048210E" w:rsidRPr="005E1103">
        <w:rPr>
          <w:rFonts w:eastAsia="Times New Roman" w:cstheme="minorHAnsi"/>
          <w:bCs/>
          <w:color w:val="222222"/>
          <w:sz w:val="28"/>
          <w:szCs w:val="28"/>
          <w:lang w:eastAsia="es-CO"/>
        </w:rPr>
        <w:t>la autoestima</w:t>
      </w:r>
      <w:r w:rsidRPr="005E1103">
        <w:rPr>
          <w:rFonts w:eastAsia="Times New Roman" w:cstheme="minorHAnsi"/>
          <w:bCs/>
          <w:color w:val="222222"/>
          <w:sz w:val="28"/>
          <w:szCs w:val="28"/>
          <w:lang w:eastAsia="es-CO"/>
        </w:rPr>
        <w:t>, dar mayor autonomía y visibilizar el potencial de que tiene alguna discapacidad. Por ello, se busca el ingreso a la educación superior con garantías de espacios accesibles y clases incluyentes, que den lugar a una igualdad de condiciones, y el cumplimiento de este derecho a la población con discapacidad, quienes en ocasiones enfrentan limitaciones para participar en escenarios sociales, económicos y políticos.</w:t>
      </w:r>
    </w:p>
    <w:p w:rsidR="005B72C1" w:rsidRPr="005E1103" w:rsidRDefault="005B72C1" w:rsidP="005B72C1">
      <w:pPr>
        <w:autoSpaceDE w:val="0"/>
        <w:autoSpaceDN w:val="0"/>
        <w:adjustRightInd w:val="0"/>
        <w:spacing w:after="0" w:line="360" w:lineRule="auto"/>
        <w:jc w:val="both"/>
        <w:rPr>
          <w:rFonts w:cstheme="minorHAnsi"/>
          <w:color w:val="000000"/>
          <w:sz w:val="28"/>
          <w:szCs w:val="28"/>
        </w:rPr>
      </w:pPr>
      <w:r w:rsidRPr="005E1103">
        <w:rPr>
          <w:rFonts w:eastAsia="Times New Roman" w:cstheme="minorHAnsi"/>
          <w:bCs/>
          <w:color w:val="222222"/>
          <w:sz w:val="28"/>
          <w:szCs w:val="28"/>
          <w:lang w:eastAsia="es-CO"/>
        </w:rPr>
        <w:lastRenderedPageBreak/>
        <w:t xml:space="preserve">Para garantizar una igualdad de oportunidades es fundamental que se garantice en principio el derecho a la educación, con espacios accesibles y clases incluyentes, la promoción del respeto por la diferencia, la movilización e integración de todos los miembros de la comunidad universitaria. Donde se </w:t>
      </w:r>
      <w:r w:rsidRPr="005E1103">
        <w:rPr>
          <w:rFonts w:cstheme="minorHAnsi"/>
          <w:color w:val="000000"/>
          <w:sz w:val="28"/>
          <w:szCs w:val="28"/>
        </w:rPr>
        <w:t xml:space="preserve">promueva la diversidad, el acceso y la permanencia de las personas en condición de discapacidad en la educación superior, que permita mejorar y garantizar la inserción laboral. </w:t>
      </w:r>
    </w:p>
    <w:p w:rsidR="005B72C1" w:rsidRPr="005E1103" w:rsidRDefault="005B72C1" w:rsidP="005B72C1">
      <w:pPr>
        <w:spacing w:line="360" w:lineRule="auto"/>
        <w:jc w:val="both"/>
        <w:rPr>
          <w:rFonts w:cstheme="minorHAnsi"/>
          <w:b/>
          <w:sz w:val="28"/>
          <w:szCs w:val="28"/>
        </w:rPr>
      </w:pPr>
      <w:r w:rsidRPr="005E1103">
        <w:rPr>
          <w:rFonts w:cstheme="minorHAnsi"/>
          <w:b/>
          <w:sz w:val="28"/>
          <w:szCs w:val="28"/>
        </w:rPr>
        <w:t>BIBLIOGRAFÍA</w:t>
      </w:r>
    </w:p>
    <w:p w:rsidR="005B72C1" w:rsidRPr="005E1103" w:rsidRDefault="007B19F2" w:rsidP="005B72C1">
      <w:pPr>
        <w:pStyle w:val="Prrafodelista"/>
        <w:numPr>
          <w:ilvl w:val="0"/>
          <w:numId w:val="19"/>
        </w:numPr>
        <w:spacing w:before="0" w:after="160" w:line="360" w:lineRule="auto"/>
        <w:jc w:val="both"/>
        <w:rPr>
          <w:rFonts w:asciiTheme="minorHAnsi" w:hAnsiTheme="minorHAnsi" w:cstheme="minorHAnsi"/>
          <w:sz w:val="28"/>
          <w:szCs w:val="28"/>
        </w:rPr>
      </w:pPr>
      <w:r w:rsidRPr="005E1103">
        <w:rPr>
          <w:rFonts w:asciiTheme="minorHAnsi" w:eastAsia="Times New Roman" w:hAnsiTheme="minorHAnsi" w:cstheme="minorHAnsi"/>
          <w:bCs/>
          <w:color w:val="222222"/>
          <w:sz w:val="28"/>
          <w:szCs w:val="28"/>
          <w:lang w:eastAsia="es-CO"/>
        </w:rPr>
        <w:t xml:space="preserve"> </w:t>
      </w:r>
      <w:r w:rsidR="005B72C1" w:rsidRPr="005E1103">
        <w:rPr>
          <w:rFonts w:asciiTheme="minorHAnsi" w:eastAsia="Helvetica Neue" w:hAnsiTheme="minorHAnsi" w:cstheme="minorHAnsi"/>
          <w:sz w:val="28"/>
          <w:szCs w:val="28"/>
        </w:rPr>
        <w:t xml:space="preserve">Organización Mundial de la Salud (OMS). (2011). </w:t>
      </w:r>
      <w:r w:rsidR="005B72C1" w:rsidRPr="005E1103">
        <w:rPr>
          <w:rFonts w:asciiTheme="minorHAnsi" w:hAnsiTheme="minorHAnsi" w:cstheme="minorHAnsi"/>
          <w:sz w:val="28"/>
          <w:szCs w:val="28"/>
        </w:rPr>
        <w:t xml:space="preserve">Informe mundial sobre discapacidad. </w:t>
      </w:r>
    </w:p>
    <w:p w:rsidR="005B72C1" w:rsidRPr="005E1103" w:rsidRDefault="005B72C1" w:rsidP="005B72C1">
      <w:pPr>
        <w:pStyle w:val="Prrafodelista"/>
        <w:spacing w:line="360" w:lineRule="auto"/>
        <w:jc w:val="both"/>
        <w:rPr>
          <w:rFonts w:asciiTheme="minorHAnsi" w:hAnsiTheme="minorHAnsi" w:cstheme="minorHAnsi"/>
          <w:sz w:val="28"/>
          <w:szCs w:val="28"/>
        </w:rPr>
      </w:pPr>
    </w:p>
    <w:p w:rsidR="005B72C1" w:rsidRPr="005E1103" w:rsidRDefault="005B72C1" w:rsidP="005B72C1">
      <w:pPr>
        <w:pStyle w:val="Prrafodelista"/>
        <w:numPr>
          <w:ilvl w:val="0"/>
          <w:numId w:val="19"/>
        </w:numPr>
        <w:spacing w:before="0" w:after="160" w:line="360" w:lineRule="auto"/>
        <w:jc w:val="both"/>
        <w:rPr>
          <w:rFonts w:asciiTheme="minorHAnsi" w:hAnsiTheme="minorHAnsi" w:cstheme="minorHAnsi"/>
          <w:b/>
          <w:sz w:val="28"/>
          <w:szCs w:val="28"/>
        </w:rPr>
      </w:pPr>
      <w:r w:rsidRPr="005E1103">
        <w:rPr>
          <w:rFonts w:asciiTheme="minorHAnsi" w:hAnsiTheme="minorHAnsi" w:cstheme="minorHAnsi"/>
          <w:sz w:val="28"/>
          <w:szCs w:val="28"/>
        </w:rPr>
        <w:t>Departamento Administrativo Nacional de Estadística. (2005). Censo general.</w:t>
      </w:r>
    </w:p>
    <w:p w:rsidR="005B72C1" w:rsidRPr="005E1103" w:rsidRDefault="005B72C1" w:rsidP="005B72C1">
      <w:pPr>
        <w:pStyle w:val="Prrafodelista"/>
        <w:spacing w:line="360" w:lineRule="auto"/>
        <w:jc w:val="both"/>
        <w:rPr>
          <w:rFonts w:asciiTheme="minorHAnsi" w:hAnsiTheme="minorHAnsi" w:cstheme="minorHAnsi"/>
          <w:sz w:val="28"/>
          <w:szCs w:val="28"/>
        </w:rPr>
      </w:pPr>
    </w:p>
    <w:p w:rsidR="005B72C1" w:rsidRPr="005E1103" w:rsidRDefault="005B72C1" w:rsidP="005B72C1">
      <w:pPr>
        <w:pStyle w:val="Prrafodelista"/>
        <w:numPr>
          <w:ilvl w:val="0"/>
          <w:numId w:val="19"/>
        </w:numPr>
        <w:spacing w:before="0" w:after="160" w:line="360" w:lineRule="auto"/>
        <w:jc w:val="both"/>
        <w:rPr>
          <w:rFonts w:asciiTheme="minorHAnsi" w:hAnsiTheme="minorHAnsi" w:cstheme="minorHAnsi"/>
          <w:sz w:val="28"/>
          <w:szCs w:val="28"/>
        </w:rPr>
      </w:pPr>
      <w:r w:rsidRPr="005E1103">
        <w:rPr>
          <w:rFonts w:asciiTheme="minorHAnsi" w:hAnsiTheme="minorHAnsi" w:cstheme="minorHAnsi"/>
          <w:sz w:val="28"/>
          <w:szCs w:val="28"/>
        </w:rPr>
        <w:t xml:space="preserve">Naciones Unidas. (2006). </w:t>
      </w:r>
      <w:hyperlink r:id="rId62" w:history="1">
        <w:r w:rsidRPr="005E1103">
          <w:rPr>
            <w:rFonts w:asciiTheme="minorHAnsi" w:eastAsia="Helvetica Neue" w:hAnsiTheme="minorHAnsi" w:cstheme="minorHAnsi"/>
            <w:sz w:val="28"/>
            <w:szCs w:val="28"/>
          </w:rPr>
          <w:t>Convención Internacional Sobre los Derechos de las Personas con Discapacidad</w:t>
        </w:r>
      </w:hyperlink>
      <w:r w:rsidRPr="005E1103">
        <w:rPr>
          <w:rFonts w:asciiTheme="minorHAnsi" w:eastAsia="Helvetica Neue" w:hAnsiTheme="minorHAnsi" w:cstheme="minorHAnsi"/>
          <w:sz w:val="28"/>
          <w:szCs w:val="28"/>
        </w:rPr>
        <w:t>, p.4</w:t>
      </w:r>
    </w:p>
    <w:p w:rsidR="005B72C1" w:rsidRPr="005E1103" w:rsidRDefault="005B72C1" w:rsidP="005B72C1">
      <w:pPr>
        <w:pStyle w:val="Prrafodelista"/>
        <w:numPr>
          <w:ilvl w:val="0"/>
          <w:numId w:val="19"/>
        </w:numPr>
        <w:spacing w:before="0" w:after="160" w:line="360" w:lineRule="auto"/>
        <w:jc w:val="both"/>
        <w:rPr>
          <w:rFonts w:asciiTheme="minorHAnsi" w:eastAsia="Helvetica Neue" w:hAnsiTheme="minorHAnsi" w:cstheme="minorHAnsi"/>
          <w:sz w:val="28"/>
          <w:szCs w:val="28"/>
        </w:rPr>
      </w:pPr>
      <w:r w:rsidRPr="005E1103">
        <w:rPr>
          <w:rFonts w:asciiTheme="minorHAnsi" w:eastAsia="Helvetica Neue" w:hAnsiTheme="minorHAnsi" w:cstheme="minorHAnsi"/>
          <w:sz w:val="28"/>
          <w:szCs w:val="28"/>
        </w:rPr>
        <w:t>El reto de la inclusión. (3 de julio de 2016). Revista Semana, p.84</w:t>
      </w:r>
    </w:p>
    <w:p w:rsidR="005B72C1" w:rsidRPr="005E1103" w:rsidRDefault="005B72C1" w:rsidP="005B72C1">
      <w:pPr>
        <w:pStyle w:val="Prrafodelista"/>
        <w:spacing w:line="360" w:lineRule="auto"/>
        <w:jc w:val="both"/>
        <w:rPr>
          <w:rFonts w:asciiTheme="minorHAnsi" w:eastAsia="Helvetica Neue" w:hAnsiTheme="minorHAnsi" w:cstheme="minorHAnsi"/>
          <w:sz w:val="28"/>
          <w:szCs w:val="28"/>
        </w:rPr>
      </w:pPr>
    </w:p>
    <w:p w:rsidR="005B72C1" w:rsidRPr="005E1103" w:rsidRDefault="005B72C1" w:rsidP="005B72C1">
      <w:pPr>
        <w:pStyle w:val="Prrafodelista"/>
        <w:numPr>
          <w:ilvl w:val="0"/>
          <w:numId w:val="19"/>
        </w:numPr>
        <w:spacing w:before="0" w:after="160" w:line="360" w:lineRule="auto"/>
        <w:jc w:val="both"/>
        <w:rPr>
          <w:rFonts w:asciiTheme="minorHAnsi" w:eastAsia="Helvetica Neue" w:hAnsiTheme="minorHAnsi" w:cstheme="minorHAnsi"/>
          <w:sz w:val="28"/>
          <w:szCs w:val="28"/>
        </w:rPr>
      </w:pPr>
      <w:r w:rsidRPr="005E1103">
        <w:rPr>
          <w:rFonts w:asciiTheme="minorHAnsi" w:eastAsia="Helvetica Neue" w:hAnsiTheme="minorHAnsi" w:cstheme="minorHAnsi"/>
          <w:sz w:val="28"/>
          <w:szCs w:val="28"/>
        </w:rPr>
        <w:t>ONU y el Grupo del Banco Mundial. (2011). Informe mundial sobre discapacidad, p.17</w:t>
      </w:r>
    </w:p>
    <w:p w:rsidR="005B72C1" w:rsidRPr="005E1103" w:rsidRDefault="005B72C1" w:rsidP="005B72C1">
      <w:pPr>
        <w:pStyle w:val="Prrafodelista"/>
        <w:numPr>
          <w:ilvl w:val="0"/>
          <w:numId w:val="19"/>
        </w:numPr>
        <w:spacing w:before="0" w:after="160" w:line="360" w:lineRule="auto"/>
        <w:jc w:val="both"/>
        <w:rPr>
          <w:rFonts w:asciiTheme="minorHAnsi" w:hAnsiTheme="minorHAnsi" w:cstheme="minorHAnsi"/>
          <w:sz w:val="28"/>
          <w:szCs w:val="28"/>
        </w:rPr>
      </w:pPr>
      <w:r w:rsidRPr="005E1103">
        <w:rPr>
          <w:rFonts w:asciiTheme="minorHAnsi" w:hAnsiTheme="minorHAnsi" w:cstheme="minorHAnsi"/>
          <w:sz w:val="28"/>
          <w:szCs w:val="28"/>
        </w:rPr>
        <w:t>CONPES Social (2013). Política Pública Nacional de Discapacidad e Inclusión Social, p.7.</w:t>
      </w:r>
    </w:p>
    <w:p w:rsidR="005B72C1" w:rsidRPr="005E1103" w:rsidRDefault="005B72C1" w:rsidP="005B72C1">
      <w:pPr>
        <w:pStyle w:val="Prrafodelista"/>
        <w:spacing w:line="360" w:lineRule="auto"/>
        <w:jc w:val="both"/>
        <w:rPr>
          <w:rFonts w:asciiTheme="minorHAnsi" w:hAnsiTheme="minorHAnsi" w:cstheme="minorHAnsi"/>
          <w:sz w:val="28"/>
          <w:szCs w:val="28"/>
        </w:rPr>
      </w:pPr>
    </w:p>
    <w:p w:rsidR="005B72C1" w:rsidRPr="005E1103" w:rsidRDefault="005B72C1" w:rsidP="005B72C1">
      <w:pPr>
        <w:pStyle w:val="Prrafodelista"/>
        <w:numPr>
          <w:ilvl w:val="0"/>
          <w:numId w:val="19"/>
        </w:numPr>
        <w:spacing w:before="0" w:after="160" w:line="360" w:lineRule="auto"/>
        <w:jc w:val="both"/>
        <w:rPr>
          <w:rFonts w:asciiTheme="minorHAnsi" w:hAnsiTheme="minorHAnsi" w:cstheme="minorHAnsi"/>
          <w:sz w:val="28"/>
          <w:szCs w:val="28"/>
        </w:rPr>
      </w:pPr>
      <w:r w:rsidRPr="005E1103">
        <w:rPr>
          <w:rFonts w:asciiTheme="minorHAnsi" w:hAnsiTheme="minorHAnsi" w:cstheme="minorHAnsi"/>
          <w:sz w:val="28"/>
          <w:szCs w:val="28"/>
        </w:rPr>
        <w:t xml:space="preserve">Congreso de la República (2009) Convención sobre los derechos de las Personas con Discapacidad de Naciones Unidas Ley 1346, p.14-15. </w:t>
      </w:r>
    </w:p>
    <w:p w:rsidR="005B72C1" w:rsidRPr="005E1103" w:rsidRDefault="005B72C1" w:rsidP="005B72C1">
      <w:pPr>
        <w:pStyle w:val="Prrafodelista"/>
        <w:spacing w:line="360" w:lineRule="auto"/>
        <w:jc w:val="both"/>
        <w:rPr>
          <w:rFonts w:asciiTheme="minorHAnsi" w:hAnsiTheme="minorHAnsi" w:cstheme="minorHAnsi"/>
          <w:sz w:val="28"/>
          <w:szCs w:val="28"/>
        </w:rPr>
      </w:pPr>
      <w:r w:rsidRPr="005E1103">
        <w:rPr>
          <w:rFonts w:asciiTheme="minorHAnsi" w:hAnsiTheme="minorHAnsi" w:cstheme="minorHAnsi"/>
          <w:sz w:val="28"/>
          <w:szCs w:val="28"/>
        </w:rPr>
        <w:t>http://www.inci.gov.co/images/supportfiles/normatividad/leyes/Ley_1346_de_julio_31_de_2009.pdf</w:t>
      </w:r>
    </w:p>
    <w:p w:rsidR="005B72C1" w:rsidRPr="005E1103" w:rsidRDefault="005B72C1" w:rsidP="005B72C1">
      <w:pPr>
        <w:pStyle w:val="Prrafodelista"/>
        <w:spacing w:line="360" w:lineRule="auto"/>
        <w:jc w:val="both"/>
        <w:rPr>
          <w:rFonts w:asciiTheme="minorHAnsi" w:hAnsiTheme="minorHAnsi" w:cstheme="minorHAnsi"/>
          <w:sz w:val="28"/>
          <w:szCs w:val="28"/>
        </w:rPr>
      </w:pPr>
    </w:p>
    <w:p w:rsidR="005B72C1" w:rsidRPr="005E1103" w:rsidRDefault="005B72C1" w:rsidP="005B72C1">
      <w:pPr>
        <w:pStyle w:val="Prrafodelista"/>
        <w:numPr>
          <w:ilvl w:val="0"/>
          <w:numId w:val="19"/>
        </w:numPr>
        <w:spacing w:before="0" w:after="160" w:line="360" w:lineRule="auto"/>
        <w:jc w:val="both"/>
        <w:rPr>
          <w:rFonts w:asciiTheme="minorHAnsi" w:hAnsiTheme="minorHAnsi" w:cstheme="minorHAnsi"/>
          <w:sz w:val="28"/>
          <w:szCs w:val="28"/>
        </w:rPr>
      </w:pPr>
      <w:r w:rsidRPr="005E1103">
        <w:rPr>
          <w:rFonts w:asciiTheme="minorHAnsi" w:hAnsiTheme="minorHAnsi" w:cstheme="minorHAnsi"/>
          <w:sz w:val="28"/>
          <w:szCs w:val="28"/>
        </w:rPr>
        <w:t>Convenio marco entra la Fundación ONCE y la Universidad del Norte (2014), p.3.</w:t>
      </w:r>
    </w:p>
    <w:p w:rsidR="005B72C1" w:rsidRPr="005E1103" w:rsidRDefault="005B72C1" w:rsidP="005B72C1">
      <w:pPr>
        <w:pStyle w:val="Prrafodelista"/>
        <w:spacing w:line="360" w:lineRule="auto"/>
        <w:jc w:val="both"/>
        <w:rPr>
          <w:rFonts w:asciiTheme="minorHAnsi" w:hAnsiTheme="minorHAnsi" w:cstheme="minorHAnsi"/>
          <w:sz w:val="28"/>
          <w:szCs w:val="28"/>
        </w:rPr>
      </w:pPr>
    </w:p>
    <w:p w:rsidR="005B72C1" w:rsidRPr="005E1103" w:rsidRDefault="005B72C1" w:rsidP="005B72C1">
      <w:pPr>
        <w:pStyle w:val="Prrafodelista"/>
        <w:numPr>
          <w:ilvl w:val="0"/>
          <w:numId w:val="19"/>
        </w:numPr>
        <w:spacing w:before="0" w:after="160" w:line="360" w:lineRule="auto"/>
        <w:jc w:val="both"/>
        <w:rPr>
          <w:rFonts w:asciiTheme="minorHAnsi" w:hAnsiTheme="minorHAnsi" w:cstheme="minorHAnsi"/>
          <w:sz w:val="28"/>
          <w:szCs w:val="28"/>
        </w:rPr>
      </w:pPr>
      <w:r w:rsidRPr="005E1103">
        <w:rPr>
          <w:rFonts w:asciiTheme="minorHAnsi" w:eastAsia="Times New Roman" w:hAnsiTheme="minorHAnsi" w:cstheme="minorHAnsi"/>
          <w:bCs/>
          <w:color w:val="222222"/>
          <w:sz w:val="28"/>
          <w:szCs w:val="28"/>
          <w:lang w:eastAsia="es-CO"/>
        </w:rPr>
        <w:t xml:space="preserve">Organización de las Naciones Unidas (2015). Objetivos de Desarrollo Sostenible </w:t>
      </w:r>
      <w:hyperlink r:id="rId63" w:history="1">
        <w:r w:rsidRPr="005E1103">
          <w:rPr>
            <w:rStyle w:val="Hipervnculo"/>
            <w:rFonts w:asciiTheme="minorHAnsi" w:eastAsia="Times New Roman" w:hAnsiTheme="minorHAnsi" w:cstheme="minorHAnsi"/>
            <w:sz w:val="28"/>
            <w:szCs w:val="28"/>
            <w:lang w:eastAsia="es-CO"/>
          </w:rPr>
          <w:t>http://www.un.org/sustainabledevelopment/es/objetivos-de-desarrollo-sostenible/</w:t>
        </w:r>
      </w:hyperlink>
    </w:p>
    <w:p w:rsidR="005B72C1" w:rsidRPr="005E1103" w:rsidRDefault="005B72C1" w:rsidP="005B72C1">
      <w:pPr>
        <w:pStyle w:val="Prrafodelista"/>
        <w:numPr>
          <w:ilvl w:val="0"/>
          <w:numId w:val="19"/>
        </w:numPr>
        <w:spacing w:after="240" w:line="360" w:lineRule="auto"/>
        <w:jc w:val="both"/>
        <w:rPr>
          <w:rFonts w:asciiTheme="minorHAnsi" w:eastAsia="Helvetica Neue" w:hAnsiTheme="minorHAnsi" w:cstheme="minorHAnsi"/>
          <w:sz w:val="28"/>
          <w:szCs w:val="28"/>
        </w:rPr>
      </w:pPr>
      <w:r w:rsidRPr="005E1103">
        <w:rPr>
          <w:rFonts w:asciiTheme="minorHAnsi" w:eastAsia="Helvetica Neue" w:hAnsiTheme="minorHAnsi" w:cstheme="minorHAnsi"/>
          <w:sz w:val="28"/>
          <w:szCs w:val="28"/>
        </w:rPr>
        <w:t>Consejo Nacional de Acreditación (2014). Lineamientos para la acreditación institucional, p15 y 25.</w:t>
      </w:r>
    </w:p>
    <w:p w:rsidR="005B72C1" w:rsidRPr="005E1103" w:rsidRDefault="005B72C1">
      <w:pPr>
        <w:rPr>
          <w:rFonts w:eastAsia="Helvetica Neue" w:cstheme="minorHAnsi"/>
          <w:sz w:val="28"/>
          <w:szCs w:val="28"/>
        </w:rPr>
      </w:pPr>
      <w:r w:rsidRPr="005E1103">
        <w:rPr>
          <w:rFonts w:eastAsia="Helvetica Neue" w:cstheme="minorHAnsi"/>
          <w:sz w:val="28"/>
          <w:szCs w:val="28"/>
        </w:rPr>
        <w:br w:type="page"/>
      </w:r>
    </w:p>
    <w:p w:rsidR="005B72C1" w:rsidRPr="005E1103" w:rsidRDefault="005B72C1" w:rsidP="005B72C1">
      <w:pPr>
        <w:spacing w:line="360" w:lineRule="auto"/>
        <w:jc w:val="center"/>
        <w:rPr>
          <w:rFonts w:cstheme="minorHAnsi"/>
          <w:b/>
          <w:sz w:val="28"/>
          <w:szCs w:val="28"/>
        </w:rPr>
      </w:pPr>
      <w:r w:rsidRPr="005E1103">
        <w:rPr>
          <w:rFonts w:cstheme="minorHAnsi"/>
          <w:b/>
          <w:sz w:val="28"/>
          <w:szCs w:val="28"/>
        </w:rPr>
        <w:lastRenderedPageBreak/>
        <w:t>COMUNICACIÓN 13</w:t>
      </w:r>
    </w:p>
    <w:p w:rsidR="005B72C1" w:rsidRPr="0048210E" w:rsidRDefault="005B72C1" w:rsidP="005B72C1">
      <w:pPr>
        <w:pBdr>
          <w:top w:val="single" w:sz="4" w:space="1" w:color="auto"/>
          <w:left w:val="single" w:sz="4" w:space="4" w:color="auto"/>
          <w:bottom w:val="single" w:sz="4" w:space="1" w:color="auto"/>
          <w:right w:val="single" w:sz="4" w:space="4" w:color="auto"/>
        </w:pBdr>
        <w:jc w:val="center"/>
        <w:rPr>
          <w:rFonts w:cstheme="minorHAnsi"/>
          <w:b/>
          <w:sz w:val="28"/>
          <w:szCs w:val="28"/>
        </w:rPr>
      </w:pPr>
      <w:r w:rsidRPr="0048210E">
        <w:rPr>
          <w:rFonts w:cstheme="minorHAnsi"/>
          <w:b/>
          <w:spacing w:val="-1"/>
          <w:sz w:val="28"/>
          <w:szCs w:val="28"/>
        </w:rPr>
        <w:t>Servicios</w:t>
      </w:r>
      <w:r w:rsidRPr="0048210E">
        <w:rPr>
          <w:rFonts w:cstheme="minorHAnsi"/>
          <w:b/>
          <w:spacing w:val="4"/>
          <w:sz w:val="28"/>
          <w:szCs w:val="28"/>
        </w:rPr>
        <w:t xml:space="preserve"> </w:t>
      </w:r>
      <w:r w:rsidRPr="0048210E">
        <w:rPr>
          <w:rFonts w:cstheme="minorHAnsi"/>
          <w:b/>
          <w:spacing w:val="-1"/>
          <w:sz w:val="28"/>
          <w:szCs w:val="28"/>
        </w:rPr>
        <w:t>de</w:t>
      </w:r>
      <w:r w:rsidRPr="0048210E">
        <w:rPr>
          <w:rFonts w:cstheme="minorHAnsi"/>
          <w:b/>
          <w:sz w:val="28"/>
          <w:szCs w:val="28"/>
        </w:rPr>
        <w:t xml:space="preserve"> Apoyo</w:t>
      </w:r>
      <w:r w:rsidRPr="0048210E">
        <w:rPr>
          <w:rFonts w:cstheme="minorHAnsi"/>
          <w:b/>
          <w:spacing w:val="-1"/>
          <w:sz w:val="28"/>
          <w:szCs w:val="28"/>
        </w:rPr>
        <w:t xml:space="preserve"> </w:t>
      </w:r>
      <w:r w:rsidRPr="0048210E">
        <w:rPr>
          <w:rFonts w:cstheme="minorHAnsi"/>
          <w:b/>
          <w:sz w:val="28"/>
          <w:szCs w:val="28"/>
        </w:rPr>
        <w:t xml:space="preserve">a </w:t>
      </w:r>
      <w:r w:rsidRPr="0048210E">
        <w:rPr>
          <w:rFonts w:cstheme="minorHAnsi"/>
          <w:b/>
          <w:spacing w:val="-1"/>
          <w:sz w:val="28"/>
          <w:szCs w:val="28"/>
        </w:rPr>
        <w:t>Personas</w:t>
      </w:r>
      <w:r w:rsidRPr="0048210E">
        <w:rPr>
          <w:rFonts w:cstheme="minorHAnsi"/>
          <w:b/>
          <w:sz w:val="28"/>
          <w:szCs w:val="28"/>
        </w:rPr>
        <w:t xml:space="preserve"> </w:t>
      </w:r>
      <w:r w:rsidRPr="0048210E">
        <w:rPr>
          <w:rFonts w:cstheme="minorHAnsi"/>
          <w:b/>
          <w:spacing w:val="-1"/>
          <w:sz w:val="28"/>
          <w:szCs w:val="28"/>
        </w:rPr>
        <w:t>con</w:t>
      </w:r>
      <w:r w:rsidRPr="0048210E">
        <w:rPr>
          <w:rFonts w:cstheme="minorHAnsi"/>
          <w:b/>
          <w:sz w:val="28"/>
          <w:szCs w:val="28"/>
        </w:rPr>
        <w:t xml:space="preserve"> </w:t>
      </w:r>
      <w:r w:rsidRPr="0048210E">
        <w:rPr>
          <w:rFonts w:cstheme="minorHAnsi"/>
          <w:b/>
          <w:spacing w:val="-1"/>
          <w:sz w:val="28"/>
          <w:szCs w:val="28"/>
        </w:rPr>
        <w:t>Discapacidad</w:t>
      </w:r>
      <w:r w:rsidRPr="0048210E">
        <w:rPr>
          <w:rFonts w:cstheme="minorHAnsi"/>
          <w:b/>
          <w:spacing w:val="29"/>
          <w:sz w:val="28"/>
          <w:szCs w:val="28"/>
        </w:rPr>
        <w:t xml:space="preserve"> </w:t>
      </w:r>
      <w:r w:rsidRPr="0048210E">
        <w:rPr>
          <w:rFonts w:cstheme="minorHAnsi"/>
          <w:b/>
          <w:sz w:val="28"/>
          <w:szCs w:val="28"/>
        </w:rPr>
        <w:t>en</w:t>
      </w:r>
      <w:r w:rsidRPr="0048210E">
        <w:rPr>
          <w:rFonts w:cstheme="minorHAnsi"/>
          <w:b/>
          <w:spacing w:val="-1"/>
          <w:sz w:val="28"/>
          <w:szCs w:val="28"/>
        </w:rPr>
        <w:t xml:space="preserve"> </w:t>
      </w:r>
      <w:r w:rsidRPr="0048210E">
        <w:rPr>
          <w:rFonts w:cstheme="minorHAnsi"/>
          <w:b/>
          <w:sz w:val="28"/>
          <w:szCs w:val="28"/>
        </w:rPr>
        <w:t>la Universidad</w:t>
      </w:r>
    </w:p>
    <w:p w:rsidR="007B19F2" w:rsidRPr="005E1103" w:rsidRDefault="007B19F2" w:rsidP="005B72C1">
      <w:pPr>
        <w:spacing w:after="240" w:line="360" w:lineRule="auto"/>
        <w:jc w:val="both"/>
        <w:rPr>
          <w:rFonts w:eastAsia="Times New Roman" w:cstheme="minorHAnsi"/>
          <w:bCs/>
          <w:color w:val="222222"/>
          <w:sz w:val="28"/>
          <w:szCs w:val="28"/>
          <w:lang w:eastAsia="es-CO"/>
        </w:rPr>
      </w:pPr>
    </w:p>
    <w:p w:rsidR="005B72C1" w:rsidRPr="005E1103" w:rsidRDefault="005B72C1" w:rsidP="005B72C1">
      <w:pPr>
        <w:spacing w:line="360" w:lineRule="auto"/>
        <w:rPr>
          <w:rFonts w:cstheme="minorHAnsi"/>
          <w:b/>
          <w:sz w:val="28"/>
          <w:szCs w:val="28"/>
        </w:rPr>
      </w:pPr>
      <w:r w:rsidRPr="005E1103">
        <w:rPr>
          <w:rFonts w:cstheme="minorHAnsi"/>
          <w:b/>
          <w:bCs/>
          <w:sz w:val="28"/>
          <w:szCs w:val="28"/>
        </w:rPr>
        <w:t>Montserrat Castro Belmonte, Rafael de la Puente Llorente (Representación de la RED SAPDU-CRUE)</w:t>
      </w:r>
    </w:p>
    <w:p w:rsidR="005B72C1" w:rsidRPr="005E1103" w:rsidRDefault="00BF6455" w:rsidP="005B72C1">
      <w:pPr>
        <w:spacing w:line="360" w:lineRule="auto"/>
        <w:rPr>
          <w:rFonts w:cstheme="minorHAnsi"/>
          <w:color w:val="0000FF"/>
          <w:sz w:val="28"/>
          <w:szCs w:val="28"/>
          <w:u w:val="thick" w:color="0000FF"/>
        </w:rPr>
      </w:pPr>
      <w:hyperlink r:id="rId64">
        <w:r w:rsidR="005B72C1" w:rsidRPr="005E1103">
          <w:rPr>
            <w:rFonts w:cstheme="minorHAnsi"/>
            <w:color w:val="0000FF"/>
            <w:spacing w:val="2"/>
            <w:sz w:val="28"/>
            <w:szCs w:val="28"/>
            <w:u w:val="thick" w:color="0000FF"/>
          </w:rPr>
          <w:t>ww</w:t>
        </w:r>
        <w:r w:rsidR="005B72C1" w:rsidRPr="005E1103">
          <w:rPr>
            <w:rFonts w:cstheme="minorHAnsi"/>
            <w:color w:val="0000FF"/>
            <w:spacing w:val="-33"/>
            <w:sz w:val="28"/>
            <w:szCs w:val="28"/>
            <w:u w:val="thick" w:color="0000FF"/>
          </w:rPr>
          <w:t>w</w:t>
        </w:r>
        <w:r w:rsidR="005B72C1" w:rsidRPr="005E1103">
          <w:rPr>
            <w:rFonts w:cstheme="minorHAnsi"/>
            <w:color w:val="0000FF"/>
            <w:spacing w:val="-1"/>
            <w:sz w:val="28"/>
            <w:szCs w:val="28"/>
            <w:u w:val="thick" w:color="0000FF"/>
          </w:rPr>
          <w:t>.sapdu.uni</w:t>
        </w:r>
        <w:r w:rsidR="005B72C1" w:rsidRPr="005E1103">
          <w:rPr>
            <w:rFonts w:cstheme="minorHAnsi"/>
            <w:color w:val="0000FF"/>
            <w:spacing w:val="-7"/>
            <w:sz w:val="28"/>
            <w:szCs w:val="28"/>
            <w:u w:val="thick" w:color="0000FF"/>
          </w:rPr>
          <w:t>z</w:t>
        </w:r>
        <w:r w:rsidR="005B72C1" w:rsidRPr="005E1103">
          <w:rPr>
            <w:rFonts w:cstheme="minorHAnsi"/>
            <w:color w:val="0000FF"/>
            <w:sz w:val="28"/>
            <w:szCs w:val="28"/>
            <w:u w:val="thick" w:color="0000FF"/>
          </w:rPr>
          <w:t>a</w:t>
        </w:r>
        <w:r w:rsidR="005B72C1" w:rsidRPr="005E1103">
          <w:rPr>
            <w:rFonts w:cstheme="minorHAnsi"/>
            <w:color w:val="0000FF"/>
            <w:spacing w:val="-50"/>
            <w:sz w:val="28"/>
            <w:szCs w:val="28"/>
            <w:u w:val="thick" w:color="0000FF"/>
          </w:rPr>
          <w:t>r</w:t>
        </w:r>
        <w:r w:rsidR="005B72C1" w:rsidRPr="005E1103">
          <w:rPr>
            <w:rFonts w:cstheme="minorHAnsi"/>
            <w:color w:val="0000FF"/>
            <w:spacing w:val="-1"/>
            <w:sz w:val="28"/>
            <w:szCs w:val="28"/>
            <w:u w:val="thick" w:color="0000FF"/>
          </w:rPr>
          <w:t>.e</w:t>
        </w:r>
        <w:r w:rsidR="005B72C1" w:rsidRPr="005E1103">
          <w:rPr>
            <w:rFonts w:cstheme="minorHAnsi"/>
            <w:color w:val="0000FF"/>
            <w:sz w:val="28"/>
            <w:szCs w:val="28"/>
            <w:u w:val="thick" w:color="0000FF"/>
          </w:rPr>
          <w:t>s</w:t>
        </w:r>
      </w:hyperlink>
      <w:r w:rsidR="005B72C1" w:rsidRPr="005E1103">
        <w:rPr>
          <w:rFonts w:cstheme="minorHAnsi"/>
          <w:color w:val="0000FF"/>
          <w:sz w:val="28"/>
          <w:szCs w:val="28"/>
          <w:u w:val="thick" w:color="0000FF"/>
        </w:rPr>
        <w:t>.</w:t>
      </w:r>
    </w:p>
    <w:p w:rsidR="005B72C1" w:rsidRPr="005E1103" w:rsidRDefault="00BF6455" w:rsidP="005B72C1">
      <w:pPr>
        <w:spacing w:line="360" w:lineRule="auto"/>
        <w:rPr>
          <w:rFonts w:cstheme="minorHAnsi"/>
          <w:b/>
          <w:sz w:val="28"/>
          <w:szCs w:val="28"/>
        </w:rPr>
      </w:pPr>
      <w:hyperlink r:id="rId65">
        <w:r w:rsidR="005B72C1" w:rsidRPr="005E1103">
          <w:rPr>
            <w:rFonts w:cstheme="minorHAnsi"/>
            <w:color w:val="0000FF"/>
            <w:spacing w:val="-1"/>
            <w:sz w:val="28"/>
            <w:szCs w:val="28"/>
            <w:u w:val="thick" w:color="0000FF"/>
          </w:rPr>
          <w:t>di</w:t>
        </w:r>
        <w:r w:rsidR="005B72C1" w:rsidRPr="005E1103">
          <w:rPr>
            <w:rFonts w:cstheme="minorHAnsi"/>
            <w:color w:val="0000FF"/>
            <w:spacing w:val="-5"/>
            <w:sz w:val="28"/>
            <w:szCs w:val="28"/>
            <w:u w:val="thick" w:color="0000FF"/>
          </w:rPr>
          <w:t>v</w:t>
        </w:r>
        <w:r w:rsidR="005B72C1" w:rsidRPr="005E1103">
          <w:rPr>
            <w:rFonts w:cstheme="minorHAnsi"/>
            <w:color w:val="0000FF"/>
            <w:sz w:val="28"/>
            <w:szCs w:val="28"/>
            <w:u w:val="thick" w:color="0000FF"/>
          </w:rPr>
          <w:t>e</w:t>
        </w:r>
        <w:r w:rsidR="005B72C1" w:rsidRPr="005E1103">
          <w:rPr>
            <w:rFonts w:cstheme="minorHAnsi"/>
            <w:color w:val="0000FF"/>
            <w:spacing w:val="-9"/>
            <w:sz w:val="28"/>
            <w:szCs w:val="28"/>
            <w:u w:val="thick" w:color="0000FF"/>
          </w:rPr>
          <w:t>r</w:t>
        </w:r>
        <w:r w:rsidR="005B72C1" w:rsidRPr="005E1103">
          <w:rPr>
            <w:rFonts w:cstheme="minorHAnsi"/>
            <w:color w:val="0000FF"/>
            <w:spacing w:val="-1"/>
            <w:sz w:val="28"/>
            <w:szCs w:val="28"/>
            <w:u w:val="thick" w:color="0000FF"/>
          </w:rPr>
          <w:t>si</w:t>
        </w:r>
        <w:r w:rsidR="005B72C1" w:rsidRPr="005E1103">
          <w:rPr>
            <w:rFonts w:cstheme="minorHAnsi"/>
            <w:color w:val="0000FF"/>
            <w:spacing w:val="-6"/>
            <w:sz w:val="28"/>
            <w:szCs w:val="28"/>
            <w:u w:val="thick" w:color="0000FF"/>
          </w:rPr>
          <w:t>t</w:t>
        </w:r>
        <w:r w:rsidR="005B72C1" w:rsidRPr="005E1103">
          <w:rPr>
            <w:rFonts w:cstheme="minorHAnsi"/>
            <w:color w:val="0000FF"/>
            <w:spacing w:val="-5"/>
            <w:sz w:val="28"/>
            <w:szCs w:val="28"/>
            <w:u w:val="thick" w:color="0000FF"/>
          </w:rPr>
          <w:t>a</w:t>
        </w:r>
        <w:r w:rsidR="005B72C1" w:rsidRPr="005E1103">
          <w:rPr>
            <w:rFonts w:cstheme="minorHAnsi"/>
            <w:color w:val="0000FF"/>
            <w:sz w:val="28"/>
            <w:szCs w:val="28"/>
            <w:u w:val="thick" w:color="0000FF"/>
          </w:rPr>
          <w:t>t@uji.es</w:t>
        </w:r>
      </w:hyperlink>
    </w:p>
    <w:p w:rsidR="005B72C1" w:rsidRPr="005E1103" w:rsidRDefault="005B72C1" w:rsidP="005B72C1">
      <w:pPr>
        <w:spacing w:line="360" w:lineRule="auto"/>
        <w:rPr>
          <w:rFonts w:cstheme="minorHAnsi"/>
          <w:b/>
          <w:sz w:val="28"/>
          <w:szCs w:val="28"/>
        </w:rPr>
      </w:pPr>
      <w:r w:rsidRPr="005E1103">
        <w:rPr>
          <w:rFonts w:cstheme="minorHAnsi"/>
          <w:b/>
          <w:sz w:val="28"/>
          <w:szCs w:val="28"/>
        </w:rPr>
        <w:t>¿Quienes somos?</w:t>
      </w:r>
    </w:p>
    <w:p w:rsidR="005B72C1" w:rsidRPr="005E1103" w:rsidRDefault="005B72C1" w:rsidP="005B72C1">
      <w:pPr>
        <w:tabs>
          <w:tab w:val="left" w:pos="3848"/>
        </w:tabs>
        <w:spacing w:before="470" w:line="240" w:lineRule="auto"/>
        <w:rPr>
          <w:rFonts w:eastAsia="Calibri" w:cstheme="minorHAnsi"/>
          <w:sz w:val="28"/>
          <w:szCs w:val="28"/>
        </w:rPr>
      </w:pPr>
      <w:r w:rsidRPr="005E1103">
        <w:rPr>
          <w:rFonts w:cstheme="minorHAnsi"/>
          <w:spacing w:val="-1"/>
          <w:sz w:val="28"/>
          <w:szCs w:val="28"/>
        </w:rPr>
        <w:t>Los</w:t>
      </w:r>
      <w:r w:rsidRPr="005E1103">
        <w:rPr>
          <w:rFonts w:cstheme="minorHAnsi"/>
          <w:spacing w:val="2"/>
          <w:sz w:val="28"/>
          <w:szCs w:val="28"/>
        </w:rPr>
        <w:t xml:space="preserve"> </w:t>
      </w:r>
      <w:r w:rsidRPr="005E1103">
        <w:rPr>
          <w:rFonts w:cstheme="minorHAnsi"/>
          <w:spacing w:val="-1"/>
          <w:sz w:val="28"/>
          <w:szCs w:val="28"/>
        </w:rPr>
        <w:t xml:space="preserve">Servicios/unidades </w:t>
      </w:r>
      <w:r w:rsidRPr="005E1103">
        <w:rPr>
          <w:rFonts w:cstheme="minorHAnsi"/>
          <w:sz w:val="28"/>
          <w:szCs w:val="28"/>
        </w:rPr>
        <w:t xml:space="preserve">de </w:t>
      </w:r>
      <w:r w:rsidRPr="005E1103">
        <w:rPr>
          <w:rFonts w:cstheme="minorHAnsi"/>
          <w:spacing w:val="-2"/>
          <w:sz w:val="28"/>
          <w:szCs w:val="28"/>
        </w:rPr>
        <w:t>apoyo</w:t>
      </w:r>
      <w:r w:rsidRPr="005E1103">
        <w:rPr>
          <w:rFonts w:cstheme="minorHAnsi"/>
          <w:spacing w:val="1"/>
          <w:sz w:val="28"/>
          <w:szCs w:val="28"/>
        </w:rPr>
        <w:t xml:space="preserve"> </w:t>
      </w:r>
      <w:r w:rsidRPr="005E1103">
        <w:rPr>
          <w:rFonts w:cstheme="minorHAnsi"/>
          <w:sz w:val="28"/>
          <w:szCs w:val="28"/>
        </w:rPr>
        <w:t>a</w:t>
      </w:r>
      <w:r w:rsidRPr="005E1103">
        <w:rPr>
          <w:rFonts w:cstheme="minorHAnsi"/>
          <w:spacing w:val="-2"/>
          <w:sz w:val="28"/>
          <w:szCs w:val="28"/>
        </w:rPr>
        <w:t xml:space="preserve"> </w:t>
      </w:r>
      <w:r w:rsidRPr="005E1103">
        <w:rPr>
          <w:rFonts w:cstheme="minorHAnsi"/>
          <w:spacing w:val="-1"/>
          <w:sz w:val="28"/>
          <w:szCs w:val="28"/>
        </w:rPr>
        <w:t>personas</w:t>
      </w:r>
      <w:r w:rsidRPr="005E1103">
        <w:rPr>
          <w:rFonts w:cstheme="minorHAnsi"/>
          <w:spacing w:val="1"/>
          <w:sz w:val="28"/>
          <w:szCs w:val="28"/>
        </w:rPr>
        <w:t xml:space="preserve"> </w:t>
      </w:r>
      <w:r w:rsidRPr="005E1103">
        <w:rPr>
          <w:rFonts w:cstheme="minorHAnsi"/>
          <w:spacing w:val="-2"/>
          <w:sz w:val="28"/>
          <w:szCs w:val="28"/>
        </w:rPr>
        <w:t>con</w:t>
      </w:r>
      <w:r w:rsidRPr="005E1103">
        <w:rPr>
          <w:rFonts w:cstheme="minorHAnsi"/>
          <w:spacing w:val="1"/>
          <w:sz w:val="28"/>
          <w:szCs w:val="28"/>
        </w:rPr>
        <w:t xml:space="preserve"> </w:t>
      </w:r>
      <w:r w:rsidRPr="005E1103">
        <w:rPr>
          <w:rFonts w:cstheme="minorHAnsi"/>
          <w:spacing w:val="-1"/>
          <w:sz w:val="28"/>
          <w:szCs w:val="28"/>
        </w:rPr>
        <w:t xml:space="preserve">discapacidad </w:t>
      </w:r>
      <w:r w:rsidRPr="005E1103">
        <w:rPr>
          <w:rFonts w:cstheme="minorHAnsi"/>
          <w:sz w:val="28"/>
          <w:szCs w:val="28"/>
        </w:rPr>
        <w:t>de</w:t>
      </w:r>
    </w:p>
    <w:p w:rsidR="005B72C1" w:rsidRPr="005E1103" w:rsidRDefault="005B72C1" w:rsidP="005B72C1">
      <w:pPr>
        <w:spacing w:line="240" w:lineRule="auto"/>
        <w:rPr>
          <w:rFonts w:eastAsia="Calibri" w:cstheme="minorHAnsi"/>
          <w:sz w:val="28"/>
          <w:szCs w:val="28"/>
        </w:rPr>
      </w:pPr>
      <w:r w:rsidRPr="005E1103">
        <w:rPr>
          <w:rFonts w:cstheme="minorHAnsi"/>
          <w:sz w:val="28"/>
          <w:szCs w:val="28"/>
        </w:rPr>
        <w:t xml:space="preserve">las </w:t>
      </w:r>
      <w:r w:rsidRPr="005E1103">
        <w:rPr>
          <w:rFonts w:cstheme="minorHAnsi"/>
          <w:spacing w:val="-2"/>
          <w:sz w:val="28"/>
          <w:szCs w:val="28"/>
        </w:rPr>
        <w:t>Universidades</w:t>
      </w:r>
      <w:r w:rsidRPr="005E1103">
        <w:rPr>
          <w:rFonts w:cstheme="minorHAnsi"/>
          <w:spacing w:val="-1"/>
          <w:sz w:val="28"/>
          <w:szCs w:val="28"/>
        </w:rPr>
        <w:t xml:space="preserve"> </w:t>
      </w:r>
      <w:r w:rsidRPr="005E1103">
        <w:rPr>
          <w:rFonts w:cstheme="minorHAnsi"/>
          <w:sz w:val="28"/>
          <w:szCs w:val="28"/>
        </w:rPr>
        <w:t>españolas</w:t>
      </w:r>
      <w:r w:rsidRPr="005E1103">
        <w:rPr>
          <w:rFonts w:cstheme="minorHAnsi"/>
          <w:spacing w:val="-1"/>
          <w:sz w:val="28"/>
          <w:szCs w:val="28"/>
        </w:rPr>
        <w:t xml:space="preserve"> </w:t>
      </w:r>
      <w:r w:rsidRPr="005E1103">
        <w:rPr>
          <w:rFonts w:cstheme="minorHAnsi"/>
          <w:spacing w:val="-2"/>
          <w:sz w:val="28"/>
          <w:szCs w:val="28"/>
        </w:rPr>
        <w:t>miembros</w:t>
      </w:r>
      <w:r w:rsidRPr="005E1103">
        <w:rPr>
          <w:rFonts w:cstheme="minorHAnsi"/>
          <w:sz w:val="28"/>
          <w:szCs w:val="28"/>
        </w:rPr>
        <w:t xml:space="preserve"> de la </w:t>
      </w:r>
      <w:r w:rsidRPr="005E1103">
        <w:rPr>
          <w:rFonts w:cstheme="minorHAnsi"/>
          <w:spacing w:val="-1"/>
          <w:sz w:val="28"/>
          <w:szCs w:val="28"/>
        </w:rPr>
        <w:t>CRUE</w:t>
      </w:r>
    </w:p>
    <w:p w:rsidR="005B72C1" w:rsidRPr="005E1103" w:rsidRDefault="005B72C1" w:rsidP="005B72C1">
      <w:pPr>
        <w:spacing w:line="360" w:lineRule="auto"/>
        <w:rPr>
          <w:rFonts w:cstheme="minorHAnsi"/>
          <w:sz w:val="28"/>
          <w:szCs w:val="28"/>
        </w:rPr>
      </w:pPr>
    </w:p>
    <w:p w:rsidR="005B72C1" w:rsidRPr="005E1103" w:rsidRDefault="005B72C1" w:rsidP="005B72C1">
      <w:pPr>
        <w:spacing w:line="360" w:lineRule="auto"/>
        <w:rPr>
          <w:rFonts w:cstheme="minorHAnsi"/>
          <w:b/>
          <w:sz w:val="28"/>
          <w:szCs w:val="28"/>
        </w:rPr>
      </w:pPr>
      <w:r w:rsidRPr="005E1103">
        <w:rPr>
          <w:rFonts w:cstheme="minorHAnsi"/>
          <w:b/>
          <w:sz w:val="28"/>
          <w:szCs w:val="28"/>
        </w:rPr>
        <w:t>¿Que objetivos tenemos?</w:t>
      </w:r>
    </w:p>
    <w:p w:rsidR="005B72C1" w:rsidRPr="005E1103" w:rsidRDefault="005B72C1" w:rsidP="005B72C1">
      <w:pPr>
        <w:pStyle w:val="Prrafodelista"/>
        <w:widowControl w:val="0"/>
        <w:numPr>
          <w:ilvl w:val="0"/>
          <w:numId w:val="17"/>
        </w:numPr>
        <w:tabs>
          <w:tab w:val="left" w:pos="3848"/>
        </w:tabs>
        <w:spacing w:before="465"/>
        <w:jc w:val="both"/>
        <w:rPr>
          <w:rFonts w:asciiTheme="minorHAnsi" w:hAnsiTheme="minorHAnsi" w:cstheme="minorHAnsi"/>
          <w:sz w:val="28"/>
          <w:szCs w:val="28"/>
        </w:rPr>
      </w:pPr>
      <w:r w:rsidRPr="005E1103">
        <w:rPr>
          <w:rFonts w:asciiTheme="minorHAnsi" w:hAnsiTheme="minorHAnsi" w:cstheme="minorHAnsi"/>
          <w:spacing w:val="-3"/>
          <w:sz w:val="28"/>
          <w:szCs w:val="28"/>
        </w:rPr>
        <w:t xml:space="preserve">Fomentar </w:t>
      </w:r>
      <w:r w:rsidRPr="005E1103">
        <w:rPr>
          <w:rFonts w:asciiTheme="minorHAnsi" w:hAnsiTheme="minorHAnsi" w:cstheme="minorHAnsi"/>
          <w:sz w:val="28"/>
          <w:szCs w:val="28"/>
        </w:rPr>
        <w:t>la</w:t>
      </w:r>
      <w:r w:rsidRPr="005E1103">
        <w:rPr>
          <w:rFonts w:asciiTheme="minorHAnsi" w:hAnsiTheme="minorHAnsi" w:cstheme="minorHAnsi"/>
          <w:spacing w:val="-1"/>
          <w:sz w:val="28"/>
          <w:szCs w:val="28"/>
        </w:rPr>
        <w:t xml:space="preserve"> </w:t>
      </w:r>
      <w:r w:rsidRPr="005E1103">
        <w:rPr>
          <w:rFonts w:asciiTheme="minorHAnsi" w:hAnsiTheme="minorHAnsi" w:cstheme="minorHAnsi"/>
          <w:spacing w:val="-2"/>
          <w:sz w:val="28"/>
          <w:szCs w:val="28"/>
        </w:rPr>
        <w:t>colaboración</w:t>
      </w:r>
      <w:r w:rsidRPr="005E1103">
        <w:rPr>
          <w:rFonts w:asciiTheme="minorHAnsi" w:hAnsiTheme="minorHAnsi" w:cstheme="minorHAnsi"/>
          <w:spacing w:val="-3"/>
          <w:sz w:val="28"/>
          <w:szCs w:val="28"/>
        </w:rPr>
        <w:t xml:space="preserve"> </w:t>
      </w:r>
      <w:r w:rsidRPr="005E1103">
        <w:rPr>
          <w:rFonts w:asciiTheme="minorHAnsi" w:hAnsiTheme="minorHAnsi" w:cstheme="minorHAnsi"/>
          <w:spacing w:val="-1"/>
          <w:sz w:val="28"/>
          <w:szCs w:val="28"/>
        </w:rPr>
        <w:t>de</w:t>
      </w:r>
      <w:r w:rsidRPr="005E1103">
        <w:rPr>
          <w:rFonts w:asciiTheme="minorHAnsi" w:hAnsiTheme="minorHAnsi" w:cstheme="minorHAnsi"/>
          <w:spacing w:val="1"/>
          <w:sz w:val="28"/>
          <w:szCs w:val="28"/>
        </w:rPr>
        <w:t xml:space="preserve"> </w:t>
      </w:r>
      <w:r w:rsidRPr="005E1103">
        <w:rPr>
          <w:rFonts w:asciiTheme="minorHAnsi" w:hAnsiTheme="minorHAnsi" w:cstheme="minorHAnsi"/>
          <w:sz w:val="28"/>
          <w:szCs w:val="28"/>
        </w:rPr>
        <w:t xml:space="preserve">los </w:t>
      </w:r>
      <w:r w:rsidRPr="005E1103">
        <w:rPr>
          <w:rFonts w:asciiTheme="minorHAnsi" w:hAnsiTheme="minorHAnsi" w:cstheme="minorHAnsi"/>
          <w:spacing w:val="-4"/>
          <w:sz w:val="28"/>
          <w:szCs w:val="28"/>
        </w:rPr>
        <w:t>diferentes</w:t>
      </w:r>
      <w:r w:rsidRPr="005E1103">
        <w:rPr>
          <w:rFonts w:asciiTheme="minorHAnsi" w:hAnsiTheme="minorHAnsi" w:cstheme="minorHAnsi"/>
          <w:spacing w:val="-3"/>
          <w:sz w:val="28"/>
          <w:szCs w:val="28"/>
        </w:rPr>
        <w:t xml:space="preserve"> </w:t>
      </w:r>
      <w:r w:rsidRPr="005E1103">
        <w:rPr>
          <w:rFonts w:asciiTheme="minorHAnsi" w:hAnsiTheme="minorHAnsi" w:cstheme="minorHAnsi"/>
          <w:sz w:val="28"/>
          <w:szCs w:val="28"/>
        </w:rPr>
        <w:t>servicios</w:t>
      </w:r>
      <w:r w:rsidRPr="005E1103">
        <w:rPr>
          <w:rFonts w:asciiTheme="minorHAnsi" w:hAnsiTheme="minorHAnsi" w:cstheme="minorHAnsi"/>
          <w:spacing w:val="-1"/>
          <w:sz w:val="28"/>
          <w:szCs w:val="28"/>
        </w:rPr>
        <w:t xml:space="preserve"> de </w:t>
      </w:r>
      <w:r w:rsidRPr="005E1103">
        <w:rPr>
          <w:rFonts w:asciiTheme="minorHAnsi" w:hAnsiTheme="minorHAnsi" w:cstheme="minorHAnsi"/>
          <w:sz w:val="28"/>
          <w:szCs w:val="28"/>
        </w:rPr>
        <w:t xml:space="preserve">la </w:t>
      </w:r>
      <w:r w:rsidRPr="005E1103">
        <w:rPr>
          <w:rFonts w:asciiTheme="minorHAnsi" w:hAnsiTheme="minorHAnsi" w:cstheme="minorHAnsi"/>
          <w:spacing w:val="-4"/>
          <w:sz w:val="28"/>
          <w:szCs w:val="28"/>
        </w:rPr>
        <w:t>Red.</w:t>
      </w:r>
    </w:p>
    <w:p w:rsidR="005B72C1" w:rsidRPr="005E1103" w:rsidRDefault="005B72C1" w:rsidP="005B72C1">
      <w:pPr>
        <w:pStyle w:val="Prrafodelista"/>
        <w:widowControl w:val="0"/>
        <w:numPr>
          <w:ilvl w:val="0"/>
          <w:numId w:val="17"/>
        </w:numPr>
        <w:tabs>
          <w:tab w:val="left" w:pos="3848"/>
        </w:tabs>
        <w:spacing w:before="82" w:line="664" w:lineRule="exact"/>
        <w:ind w:right="1416"/>
        <w:jc w:val="both"/>
        <w:rPr>
          <w:rFonts w:asciiTheme="minorHAnsi" w:hAnsiTheme="minorHAnsi" w:cstheme="minorHAnsi"/>
          <w:sz w:val="28"/>
          <w:szCs w:val="28"/>
        </w:rPr>
      </w:pPr>
      <w:r w:rsidRPr="005E1103">
        <w:rPr>
          <w:rFonts w:asciiTheme="minorHAnsi" w:hAnsiTheme="minorHAnsi" w:cstheme="minorHAnsi"/>
          <w:spacing w:val="-2"/>
          <w:sz w:val="28"/>
          <w:szCs w:val="28"/>
        </w:rPr>
        <w:t>Proponer</w:t>
      </w:r>
      <w:r w:rsidRPr="005E1103">
        <w:rPr>
          <w:rFonts w:asciiTheme="minorHAnsi" w:hAnsiTheme="minorHAnsi" w:cstheme="minorHAnsi"/>
          <w:spacing w:val="-1"/>
          <w:sz w:val="28"/>
          <w:szCs w:val="28"/>
        </w:rPr>
        <w:t xml:space="preserve"> </w:t>
      </w:r>
      <w:r w:rsidRPr="005E1103">
        <w:rPr>
          <w:rFonts w:asciiTheme="minorHAnsi" w:hAnsiTheme="minorHAnsi" w:cstheme="minorHAnsi"/>
          <w:sz w:val="28"/>
          <w:szCs w:val="28"/>
        </w:rPr>
        <w:t>actuaciones</w:t>
      </w:r>
      <w:r w:rsidRPr="005E1103">
        <w:rPr>
          <w:rFonts w:asciiTheme="minorHAnsi" w:hAnsiTheme="minorHAnsi" w:cstheme="minorHAnsi"/>
          <w:spacing w:val="-4"/>
          <w:sz w:val="28"/>
          <w:szCs w:val="28"/>
        </w:rPr>
        <w:t xml:space="preserve"> </w:t>
      </w:r>
      <w:r w:rsidRPr="005E1103">
        <w:rPr>
          <w:rFonts w:asciiTheme="minorHAnsi" w:hAnsiTheme="minorHAnsi" w:cstheme="minorHAnsi"/>
          <w:sz w:val="28"/>
          <w:szCs w:val="28"/>
        </w:rPr>
        <w:t>de C</w:t>
      </w:r>
      <w:r w:rsidRPr="005E1103">
        <w:rPr>
          <w:rFonts w:asciiTheme="minorHAnsi" w:hAnsiTheme="minorHAnsi" w:cstheme="minorHAnsi"/>
          <w:spacing w:val="-3"/>
          <w:sz w:val="28"/>
          <w:szCs w:val="28"/>
        </w:rPr>
        <w:t>arácter</w:t>
      </w:r>
      <w:r w:rsidRPr="005E1103">
        <w:rPr>
          <w:rFonts w:asciiTheme="minorHAnsi" w:hAnsiTheme="minorHAnsi" w:cstheme="minorHAnsi"/>
          <w:spacing w:val="-2"/>
          <w:sz w:val="28"/>
          <w:szCs w:val="28"/>
        </w:rPr>
        <w:t xml:space="preserve"> </w:t>
      </w:r>
      <w:r w:rsidRPr="005E1103">
        <w:rPr>
          <w:rFonts w:asciiTheme="minorHAnsi" w:hAnsiTheme="minorHAnsi" w:cstheme="minorHAnsi"/>
          <w:spacing w:val="-4"/>
          <w:sz w:val="28"/>
          <w:szCs w:val="28"/>
        </w:rPr>
        <w:t>transversal</w:t>
      </w:r>
      <w:r w:rsidRPr="005E1103">
        <w:rPr>
          <w:rFonts w:asciiTheme="minorHAnsi" w:hAnsiTheme="minorHAnsi" w:cstheme="minorHAnsi"/>
          <w:spacing w:val="-5"/>
          <w:sz w:val="28"/>
          <w:szCs w:val="28"/>
        </w:rPr>
        <w:t xml:space="preserve"> </w:t>
      </w:r>
      <w:r w:rsidRPr="005E1103">
        <w:rPr>
          <w:rFonts w:asciiTheme="minorHAnsi" w:hAnsiTheme="minorHAnsi" w:cstheme="minorHAnsi"/>
          <w:sz w:val="28"/>
          <w:szCs w:val="28"/>
        </w:rPr>
        <w:t xml:space="preserve">en </w:t>
      </w:r>
      <w:r w:rsidRPr="005E1103">
        <w:rPr>
          <w:rFonts w:asciiTheme="minorHAnsi" w:hAnsiTheme="minorHAnsi" w:cstheme="minorHAnsi"/>
          <w:spacing w:val="-2"/>
          <w:sz w:val="28"/>
          <w:szCs w:val="28"/>
        </w:rPr>
        <w:t>materia</w:t>
      </w:r>
      <w:r w:rsidRPr="005E1103">
        <w:rPr>
          <w:rFonts w:asciiTheme="minorHAnsi" w:hAnsiTheme="minorHAnsi" w:cstheme="minorHAnsi"/>
          <w:sz w:val="28"/>
          <w:szCs w:val="28"/>
        </w:rPr>
        <w:t xml:space="preserve"> </w:t>
      </w:r>
      <w:r w:rsidRPr="005E1103">
        <w:rPr>
          <w:rFonts w:asciiTheme="minorHAnsi" w:hAnsiTheme="minorHAnsi" w:cstheme="minorHAnsi"/>
          <w:spacing w:val="-1"/>
          <w:sz w:val="28"/>
          <w:szCs w:val="28"/>
        </w:rPr>
        <w:t>de</w:t>
      </w:r>
      <w:r w:rsidRPr="005E1103">
        <w:rPr>
          <w:rFonts w:asciiTheme="minorHAnsi" w:hAnsiTheme="minorHAnsi" w:cstheme="minorHAnsi"/>
          <w:spacing w:val="20"/>
          <w:sz w:val="28"/>
          <w:szCs w:val="28"/>
        </w:rPr>
        <w:t xml:space="preserve"> </w:t>
      </w:r>
      <w:r w:rsidRPr="005E1103">
        <w:rPr>
          <w:rFonts w:asciiTheme="minorHAnsi" w:hAnsiTheme="minorHAnsi" w:cstheme="minorHAnsi"/>
          <w:spacing w:val="-1"/>
          <w:sz w:val="28"/>
          <w:szCs w:val="28"/>
        </w:rPr>
        <w:t>discapacidad</w:t>
      </w:r>
      <w:r w:rsidRPr="005E1103">
        <w:rPr>
          <w:rFonts w:asciiTheme="minorHAnsi" w:hAnsiTheme="minorHAnsi" w:cstheme="minorHAnsi"/>
          <w:spacing w:val="-3"/>
          <w:sz w:val="28"/>
          <w:szCs w:val="28"/>
        </w:rPr>
        <w:t xml:space="preserve"> </w:t>
      </w:r>
      <w:r w:rsidRPr="005E1103">
        <w:rPr>
          <w:rFonts w:asciiTheme="minorHAnsi" w:hAnsiTheme="minorHAnsi" w:cstheme="minorHAnsi"/>
          <w:sz w:val="28"/>
          <w:szCs w:val="28"/>
        </w:rPr>
        <w:t>en el</w:t>
      </w:r>
      <w:r w:rsidRPr="005E1103">
        <w:rPr>
          <w:rFonts w:asciiTheme="minorHAnsi" w:hAnsiTheme="minorHAnsi" w:cstheme="minorHAnsi"/>
          <w:spacing w:val="1"/>
          <w:sz w:val="28"/>
          <w:szCs w:val="28"/>
        </w:rPr>
        <w:t xml:space="preserve"> </w:t>
      </w:r>
      <w:r w:rsidRPr="005E1103">
        <w:rPr>
          <w:rFonts w:asciiTheme="minorHAnsi" w:hAnsiTheme="minorHAnsi" w:cstheme="minorHAnsi"/>
          <w:spacing w:val="-5"/>
          <w:sz w:val="28"/>
          <w:szCs w:val="28"/>
        </w:rPr>
        <w:t>contexto</w:t>
      </w:r>
      <w:r w:rsidRPr="005E1103">
        <w:rPr>
          <w:rFonts w:asciiTheme="minorHAnsi" w:hAnsiTheme="minorHAnsi" w:cstheme="minorHAnsi"/>
          <w:spacing w:val="-3"/>
          <w:sz w:val="28"/>
          <w:szCs w:val="28"/>
        </w:rPr>
        <w:t xml:space="preserve"> </w:t>
      </w:r>
      <w:r w:rsidRPr="005E1103">
        <w:rPr>
          <w:rFonts w:asciiTheme="minorHAnsi" w:hAnsiTheme="minorHAnsi" w:cstheme="minorHAnsi"/>
          <w:spacing w:val="-2"/>
          <w:sz w:val="28"/>
          <w:szCs w:val="28"/>
        </w:rPr>
        <w:t>universitario.</w:t>
      </w:r>
    </w:p>
    <w:p w:rsidR="005B72C1" w:rsidRPr="005E1103" w:rsidRDefault="005B72C1" w:rsidP="005B72C1">
      <w:pPr>
        <w:pStyle w:val="Prrafodelista"/>
        <w:widowControl w:val="0"/>
        <w:numPr>
          <w:ilvl w:val="0"/>
          <w:numId w:val="17"/>
        </w:numPr>
        <w:tabs>
          <w:tab w:val="left" w:pos="3848"/>
        </w:tabs>
        <w:spacing w:before="71" w:line="698" w:lineRule="exact"/>
        <w:jc w:val="both"/>
        <w:rPr>
          <w:rFonts w:asciiTheme="minorHAnsi" w:hAnsiTheme="minorHAnsi" w:cstheme="minorHAnsi"/>
          <w:sz w:val="28"/>
          <w:szCs w:val="28"/>
        </w:rPr>
      </w:pPr>
      <w:r w:rsidRPr="005E1103">
        <w:rPr>
          <w:rFonts w:asciiTheme="minorHAnsi" w:hAnsiTheme="minorHAnsi" w:cstheme="minorHAnsi"/>
          <w:spacing w:val="-2"/>
          <w:sz w:val="28"/>
          <w:szCs w:val="28"/>
        </w:rPr>
        <w:t>Proponer</w:t>
      </w:r>
      <w:r w:rsidRPr="005E1103">
        <w:rPr>
          <w:rFonts w:asciiTheme="minorHAnsi" w:hAnsiTheme="minorHAnsi" w:cstheme="minorHAnsi"/>
          <w:spacing w:val="-1"/>
          <w:sz w:val="28"/>
          <w:szCs w:val="28"/>
        </w:rPr>
        <w:t xml:space="preserve"> medidas</w:t>
      </w:r>
      <w:r w:rsidRPr="005E1103">
        <w:rPr>
          <w:rFonts w:asciiTheme="minorHAnsi" w:hAnsiTheme="minorHAnsi" w:cstheme="minorHAnsi"/>
          <w:spacing w:val="2"/>
          <w:sz w:val="28"/>
          <w:szCs w:val="28"/>
        </w:rPr>
        <w:t xml:space="preserve"> </w:t>
      </w:r>
      <w:r w:rsidRPr="005E1103">
        <w:rPr>
          <w:rFonts w:asciiTheme="minorHAnsi" w:hAnsiTheme="minorHAnsi" w:cstheme="minorHAnsi"/>
          <w:spacing w:val="-1"/>
          <w:sz w:val="28"/>
          <w:szCs w:val="28"/>
        </w:rPr>
        <w:t>en</w:t>
      </w:r>
      <w:r w:rsidRPr="005E1103">
        <w:rPr>
          <w:rFonts w:asciiTheme="minorHAnsi" w:hAnsiTheme="minorHAnsi" w:cstheme="minorHAnsi"/>
          <w:spacing w:val="1"/>
          <w:sz w:val="28"/>
          <w:szCs w:val="28"/>
        </w:rPr>
        <w:t xml:space="preserve"> </w:t>
      </w:r>
      <w:r w:rsidRPr="005E1103">
        <w:rPr>
          <w:rFonts w:asciiTheme="minorHAnsi" w:hAnsiTheme="minorHAnsi" w:cstheme="minorHAnsi"/>
          <w:spacing w:val="-3"/>
          <w:sz w:val="28"/>
          <w:szCs w:val="28"/>
        </w:rPr>
        <w:t>materia</w:t>
      </w:r>
      <w:r w:rsidRPr="005E1103">
        <w:rPr>
          <w:rFonts w:asciiTheme="minorHAnsi" w:hAnsiTheme="minorHAnsi" w:cstheme="minorHAnsi"/>
          <w:spacing w:val="2"/>
          <w:sz w:val="28"/>
          <w:szCs w:val="28"/>
        </w:rPr>
        <w:t xml:space="preserve"> </w:t>
      </w:r>
      <w:r w:rsidRPr="005E1103">
        <w:rPr>
          <w:rFonts w:asciiTheme="minorHAnsi" w:hAnsiTheme="minorHAnsi" w:cstheme="minorHAnsi"/>
          <w:sz w:val="28"/>
          <w:szCs w:val="28"/>
        </w:rPr>
        <w:t xml:space="preserve">de </w:t>
      </w:r>
      <w:r w:rsidRPr="005E1103">
        <w:rPr>
          <w:rFonts w:asciiTheme="minorHAnsi" w:hAnsiTheme="minorHAnsi" w:cstheme="minorHAnsi"/>
          <w:spacing w:val="-1"/>
          <w:sz w:val="28"/>
          <w:szCs w:val="28"/>
        </w:rPr>
        <w:t>discapacidad</w:t>
      </w:r>
      <w:r w:rsidRPr="005E1103">
        <w:rPr>
          <w:rFonts w:asciiTheme="minorHAnsi" w:hAnsiTheme="minorHAnsi" w:cstheme="minorHAnsi"/>
          <w:spacing w:val="-10"/>
          <w:sz w:val="28"/>
          <w:szCs w:val="28"/>
        </w:rPr>
        <w:t xml:space="preserve"> </w:t>
      </w:r>
      <w:r w:rsidRPr="005E1103">
        <w:rPr>
          <w:rFonts w:asciiTheme="minorHAnsi" w:hAnsiTheme="minorHAnsi" w:cstheme="minorHAnsi"/>
          <w:sz w:val="28"/>
          <w:szCs w:val="28"/>
        </w:rPr>
        <w:t>a</w:t>
      </w:r>
      <w:r w:rsidRPr="005E1103">
        <w:rPr>
          <w:rFonts w:asciiTheme="minorHAnsi" w:hAnsiTheme="minorHAnsi" w:cstheme="minorHAnsi"/>
          <w:spacing w:val="1"/>
          <w:sz w:val="28"/>
          <w:szCs w:val="28"/>
        </w:rPr>
        <w:t xml:space="preserve"> </w:t>
      </w:r>
      <w:r w:rsidRPr="005E1103">
        <w:rPr>
          <w:rFonts w:asciiTheme="minorHAnsi" w:hAnsiTheme="minorHAnsi" w:cstheme="minorHAnsi"/>
          <w:sz w:val="28"/>
          <w:szCs w:val="28"/>
        </w:rPr>
        <w:t xml:space="preserve">las </w:t>
      </w:r>
      <w:r w:rsidRPr="005E1103">
        <w:rPr>
          <w:rFonts w:asciiTheme="minorHAnsi" w:hAnsiTheme="minorHAnsi" w:cstheme="minorHAnsi"/>
          <w:spacing w:val="-2"/>
          <w:sz w:val="28"/>
          <w:szCs w:val="28"/>
        </w:rPr>
        <w:t>Administraciones Educativas</w:t>
      </w:r>
    </w:p>
    <w:p w:rsidR="005B72C1" w:rsidRPr="005E1103" w:rsidRDefault="005B72C1" w:rsidP="005B72C1">
      <w:pPr>
        <w:pStyle w:val="Prrafodelista"/>
        <w:widowControl w:val="0"/>
        <w:numPr>
          <w:ilvl w:val="0"/>
          <w:numId w:val="17"/>
        </w:numPr>
        <w:tabs>
          <w:tab w:val="left" w:pos="3848"/>
        </w:tabs>
        <w:spacing w:before="84" w:line="664" w:lineRule="exact"/>
        <w:ind w:right="-1"/>
        <w:jc w:val="both"/>
        <w:rPr>
          <w:rFonts w:asciiTheme="minorHAnsi" w:hAnsiTheme="minorHAnsi" w:cstheme="minorHAnsi"/>
          <w:sz w:val="28"/>
          <w:szCs w:val="28"/>
        </w:rPr>
      </w:pPr>
      <w:r w:rsidRPr="005E1103">
        <w:rPr>
          <w:rFonts w:asciiTheme="minorHAnsi" w:hAnsiTheme="minorHAnsi" w:cstheme="minorHAnsi"/>
          <w:spacing w:val="-2"/>
          <w:sz w:val="28"/>
          <w:szCs w:val="28"/>
        </w:rPr>
        <w:t>Proponer</w:t>
      </w:r>
      <w:r w:rsidRPr="005E1103">
        <w:rPr>
          <w:rFonts w:asciiTheme="minorHAnsi" w:hAnsiTheme="minorHAnsi" w:cstheme="minorHAnsi"/>
          <w:spacing w:val="-1"/>
          <w:sz w:val="28"/>
          <w:szCs w:val="28"/>
        </w:rPr>
        <w:t xml:space="preserve"> pautas</w:t>
      </w:r>
      <w:r w:rsidRPr="005E1103">
        <w:rPr>
          <w:rFonts w:asciiTheme="minorHAnsi" w:hAnsiTheme="minorHAnsi" w:cstheme="minorHAnsi"/>
          <w:spacing w:val="-3"/>
          <w:sz w:val="28"/>
          <w:szCs w:val="28"/>
        </w:rPr>
        <w:t xml:space="preserve"> </w:t>
      </w:r>
      <w:r w:rsidRPr="005E1103">
        <w:rPr>
          <w:rFonts w:asciiTheme="minorHAnsi" w:hAnsiTheme="minorHAnsi" w:cstheme="minorHAnsi"/>
          <w:spacing w:val="-1"/>
          <w:sz w:val="28"/>
          <w:szCs w:val="28"/>
        </w:rPr>
        <w:t>que</w:t>
      </w:r>
      <w:r w:rsidRPr="005E1103">
        <w:rPr>
          <w:rFonts w:asciiTheme="minorHAnsi" w:hAnsiTheme="minorHAnsi" w:cstheme="minorHAnsi"/>
          <w:spacing w:val="1"/>
          <w:sz w:val="28"/>
          <w:szCs w:val="28"/>
        </w:rPr>
        <w:t xml:space="preserve"> </w:t>
      </w:r>
      <w:r w:rsidRPr="005E1103">
        <w:rPr>
          <w:rFonts w:asciiTheme="minorHAnsi" w:hAnsiTheme="minorHAnsi" w:cstheme="minorHAnsi"/>
          <w:spacing w:val="-2"/>
          <w:sz w:val="28"/>
          <w:szCs w:val="28"/>
        </w:rPr>
        <w:t>orienten</w:t>
      </w:r>
      <w:r w:rsidRPr="005E1103">
        <w:rPr>
          <w:rFonts w:asciiTheme="minorHAnsi" w:hAnsiTheme="minorHAnsi" w:cstheme="minorHAnsi"/>
          <w:spacing w:val="1"/>
          <w:sz w:val="28"/>
          <w:szCs w:val="28"/>
        </w:rPr>
        <w:t xml:space="preserve"> </w:t>
      </w:r>
      <w:r w:rsidRPr="005E1103">
        <w:rPr>
          <w:rFonts w:asciiTheme="minorHAnsi" w:hAnsiTheme="minorHAnsi" w:cstheme="minorHAnsi"/>
          <w:spacing w:val="-2"/>
          <w:sz w:val="28"/>
          <w:szCs w:val="28"/>
        </w:rPr>
        <w:t>la</w:t>
      </w:r>
      <w:r w:rsidRPr="005E1103">
        <w:rPr>
          <w:rFonts w:asciiTheme="minorHAnsi" w:hAnsiTheme="minorHAnsi" w:cstheme="minorHAnsi"/>
          <w:sz w:val="28"/>
          <w:szCs w:val="28"/>
        </w:rPr>
        <w:t xml:space="preserve"> inclusión</w:t>
      </w:r>
      <w:r w:rsidRPr="005E1103">
        <w:rPr>
          <w:rFonts w:asciiTheme="minorHAnsi" w:hAnsiTheme="minorHAnsi" w:cstheme="minorHAnsi"/>
          <w:spacing w:val="-4"/>
          <w:sz w:val="28"/>
          <w:szCs w:val="28"/>
        </w:rPr>
        <w:t xml:space="preserve"> efectiva</w:t>
      </w:r>
      <w:r w:rsidRPr="005E1103">
        <w:rPr>
          <w:rFonts w:asciiTheme="minorHAnsi" w:hAnsiTheme="minorHAnsi" w:cstheme="minorHAnsi"/>
          <w:spacing w:val="2"/>
          <w:sz w:val="28"/>
          <w:szCs w:val="28"/>
        </w:rPr>
        <w:t xml:space="preserve"> </w:t>
      </w:r>
      <w:r w:rsidRPr="005E1103">
        <w:rPr>
          <w:rFonts w:asciiTheme="minorHAnsi" w:hAnsiTheme="minorHAnsi" w:cstheme="minorHAnsi"/>
          <w:sz w:val="28"/>
          <w:szCs w:val="28"/>
        </w:rPr>
        <w:t>y</w:t>
      </w:r>
      <w:r w:rsidRPr="005E1103">
        <w:rPr>
          <w:rFonts w:asciiTheme="minorHAnsi" w:hAnsiTheme="minorHAnsi" w:cstheme="minorHAnsi"/>
          <w:spacing w:val="1"/>
          <w:sz w:val="28"/>
          <w:szCs w:val="28"/>
        </w:rPr>
        <w:t xml:space="preserve"> </w:t>
      </w:r>
      <w:r w:rsidRPr="005E1103">
        <w:rPr>
          <w:rFonts w:asciiTheme="minorHAnsi" w:hAnsiTheme="minorHAnsi" w:cstheme="minorHAnsi"/>
          <w:spacing w:val="-2"/>
          <w:sz w:val="28"/>
          <w:szCs w:val="28"/>
        </w:rPr>
        <w:t>activa</w:t>
      </w:r>
      <w:r w:rsidRPr="005E1103">
        <w:rPr>
          <w:rFonts w:asciiTheme="minorHAnsi" w:hAnsiTheme="minorHAnsi" w:cstheme="minorHAnsi"/>
          <w:spacing w:val="-3"/>
          <w:sz w:val="28"/>
          <w:szCs w:val="28"/>
        </w:rPr>
        <w:t xml:space="preserve"> </w:t>
      </w:r>
      <w:r w:rsidRPr="005E1103">
        <w:rPr>
          <w:rFonts w:asciiTheme="minorHAnsi" w:hAnsiTheme="minorHAnsi" w:cstheme="minorHAnsi"/>
          <w:spacing w:val="-1"/>
          <w:sz w:val="28"/>
          <w:szCs w:val="28"/>
        </w:rPr>
        <w:t>de</w:t>
      </w:r>
      <w:r w:rsidRPr="005E1103">
        <w:rPr>
          <w:rFonts w:asciiTheme="minorHAnsi" w:hAnsiTheme="minorHAnsi" w:cstheme="minorHAnsi"/>
          <w:spacing w:val="2"/>
          <w:sz w:val="28"/>
          <w:szCs w:val="28"/>
        </w:rPr>
        <w:t xml:space="preserve"> </w:t>
      </w:r>
      <w:r w:rsidRPr="005E1103">
        <w:rPr>
          <w:rFonts w:asciiTheme="minorHAnsi" w:hAnsiTheme="minorHAnsi" w:cstheme="minorHAnsi"/>
          <w:sz w:val="28"/>
          <w:szCs w:val="28"/>
        </w:rPr>
        <w:t>las</w:t>
      </w:r>
      <w:r w:rsidRPr="005E1103">
        <w:rPr>
          <w:rFonts w:asciiTheme="minorHAnsi" w:hAnsiTheme="minorHAnsi" w:cstheme="minorHAnsi"/>
          <w:spacing w:val="25"/>
          <w:sz w:val="28"/>
          <w:szCs w:val="28"/>
        </w:rPr>
        <w:t xml:space="preserve"> </w:t>
      </w:r>
      <w:r w:rsidRPr="005E1103">
        <w:rPr>
          <w:rFonts w:asciiTheme="minorHAnsi" w:hAnsiTheme="minorHAnsi" w:cstheme="minorHAnsi"/>
          <w:spacing w:val="-2"/>
          <w:sz w:val="28"/>
          <w:szCs w:val="28"/>
        </w:rPr>
        <w:t>personas</w:t>
      </w:r>
      <w:r w:rsidRPr="005E1103">
        <w:rPr>
          <w:rFonts w:asciiTheme="minorHAnsi" w:hAnsiTheme="minorHAnsi" w:cstheme="minorHAnsi"/>
          <w:spacing w:val="-3"/>
          <w:sz w:val="28"/>
          <w:szCs w:val="28"/>
        </w:rPr>
        <w:t xml:space="preserve"> </w:t>
      </w:r>
      <w:r w:rsidRPr="005E1103">
        <w:rPr>
          <w:rFonts w:asciiTheme="minorHAnsi" w:hAnsiTheme="minorHAnsi" w:cstheme="minorHAnsi"/>
          <w:spacing w:val="-2"/>
          <w:sz w:val="28"/>
          <w:szCs w:val="28"/>
        </w:rPr>
        <w:t>con</w:t>
      </w:r>
      <w:r w:rsidRPr="005E1103">
        <w:rPr>
          <w:rFonts w:asciiTheme="minorHAnsi" w:hAnsiTheme="minorHAnsi" w:cstheme="minorHAnsi"/>
          <w:spacing w:val="1"/>
          <w:sz w:val="28"/>
          <w:szCs w:val="28"/>
        </w:rPr>
        <w:t xml:space="preserve"> </w:t>
      </w:r>
      <w:r w:rsidRPr="005E1103">
        <w:rPr>
          <w:rFonts w:asciiTheme="minorHAnsi" w:hAnsiTheme="minorHAnsi" w:cstheme="minorHAnsi"/>
          <w:spacing w:val="-1"/>
          <w:sz w:val="28"/>
          <w:szCs w:val="28"/>
        </w:rPr>
        <w:t>discapacidad</w:t>
      </w:r>
      <w:r w:rsidRPr="005E1103">
        <w:rPr>
          <w:rFonts w:asciiTheme="minorHAnsi" w:hAnsiTheme="minorHAnsi" w:cstheme="minorHAnsi"/>
          <w:spacing w:val="-3"/>
          <w:sz w:val="28"/>
          <w:szCs w:val="28"/>
        </w:rPr>
        <w:t xml:space="preserve"> </w:t>
      </w:r>
      <w:r w:rsidRPr="005E1103">
        <w:rPr>
          <w:rFonts w:asciiTheme="minorHAnsi" w:hAnsiTheme="minorHAnsi" w:cstheme="minorHAnsi"/>
          <w:sz w:val="28"/>
          <w:szCs w:val="28"/>
        </w:rPr>
        <w:t>en el</w:t>
      </w:r>
      <w:r w:rsidRPr="005E1103">
        <w:rPr>
          <w:rFonts w:asciiTheme="minorHAnsi" w:hAnsiTheme="minorHAnsi" w:cstheme="minorHAnsi"/>
          <w:spacing w:val="1"/>
          <w:sz w:val="28"/>
          <w:szCs w:val="28"/>
        </w:rPr>
        <w:t xml:space="preserve"> </w:t>
      </w:r>
      <w:r w:rsidRPr="005E1103">
        <w:rPr>
          <w:rFonts w:asciiTheme="minorHAnsi" w:hAnsiTheme="minorHAnsi" w:cstheme="minorHAnsi"/>
          <w:spacing w:val="-3"/>
          <w:sz w:val="28"/>
          <w:szCs w:val="28"/>
        </w:rPr>
        <w:t>conjunto</w:t>
      </w:r>
      <w:r w:rsidRPr="005E1103">
        <w:rPr>
          <w:rFonts w:asciiTheme="minorHAnsi" w:hAnsiTheme="minorHAnsi" w:cstheme="minorHAnsi"/>
          <w:spacing w:val="-2"/>
          <w:sz w:val="28"/>
          <w:szCs w:val="28"/>
        </w:rPr>
        <w:t xml:space="preserve"> </w:t>
      </w:r>
      <w:r w:rsidRPr="005E1103">
        <w:rPr>
          <w:rFonts w:asciiTheme="minorHAnsi" w:hAnsiTheme="minorHAnsi" w:cstheme="minorHAnsi"/>
          <w:spacing w:val="-1"/>
          <w:sz w:val="28"/>
          <w:szCs w:val="28"/>
        </w:rPr>
        <w:t xml:space="preserve">de </w:t>
      </w:r>
      <w:r w:rsidRPr="005E1103">
        <w:rPr>
          <w:rFonts w:asciiTheme="minorHAnsi" w:hAnsiTheme="minorHAnsi" w:cstheme="minorHAnsi"/>
          <w:sz w:val="28"/>
          <w:szCs w:val="28"/>
        </w:rPr>
        <w:t>la</w:t>
      </w:r>
      <w:r w:rsidRPr="005E1103">
        <w:rPr>
          <w:rFonts w:asciiTheme="minorHAnsi" w:hAnsiTheme="minorHAnsi" w:cstheme="minorHAnsi"/>
          <w:spacing w:val="1"/>
          <w:sz w:val="28"/>
          <w:szCs w:val="28"/>
        </w:rPr>
        <w:t xml:space="preserve"> </w:t>
      </w:r>
      <w:r w:rsidRPr="005E1103">
        <w:rPr>
          <w:rFonts w:asciiTheme="minorHAnsi" w:hAnsiTheme="minorHAnsi" w:cstheme="minorHAnsi"/>
          <w:spacing w:val="-1"/>
          <w:sz w:val="28"/>
          <w:szCs w:val="28"/>
        </w:rPr>
        <w:t>vida</w:t>
      </w:r>
      <w:r w:rsidRPr="005E1103">
        <w:rPr>
          <w:rFonts w:asciiTheme="minorHAnsi" w:hAnsiTheme="minorHAnsi" w:cstheme="minorHAnsi"/>
          <w:spacing w:val="2"/>
          <w:sz w:val="28"/>
          <w:szCs w:val="28"/>
        </w:rPr>
        <w:t xml:space="preserve"> </w:t>
      </w:r>
      <w:r w:rsidRPr="005E1103">
        <w:rPr>
          <w:rFonts w:asciiTheme="minorHAnsi" w:hAnsiTheme="minorHAnsi" w:cstheme="minorHAnsi"/>
          <w:spacing w:val="-2"/>
          <w:sz w:val="28"/>
          <w:szCs w:val="28"/>
        </w:rPr>
        <w:t>universitaria.</w:t>
      </w:r>
    </w:p>
    <w:p w:rsidR="005B72C1" w:rsidRPr="005E1103" w:rsidRDefault="005B72C1" w:rsidP="005B72C1">
      <w:pPr>
        <w:pStyle w:val="Prrafodelista"/>
        <w:widowControl w:val="0"/>
        <w:numPr>
          <w:ilvl w:val="0"/>
          <w:numId w:val="17"/>
        </w:numPr>
        <w:tabs>
          <w:tab w:val="left" w:pos="3848"/>
        </w:tabs>
        <w:spacing w:before="84" w:line="664" w:lineRule="exact"/>
        <w:ind w:right="-1"/>
        <w:jc w:val="both"/>
        <w:rPr>
          <w:rFonts w:asciiTheme="minorHAnsi" w:hAnsiTheme="minorHAnsi" w:cstheme="minorHAnsi"/>
          <w:sz w:val="28"/>
          <w:szCs w:val="28"/>
        </w:rPr>
      </w:pPr>
      <w:r w:rsidRPr="005E1103">
        <w:rPr>
          <w:rFonts w:asciiTheme="minorHAnsi" w:hAnsiTheme="minorHAnsi" w:cstheme="minorHAnsi"/>
          <w:sz w:val="28"/>
          <w:szCs w:val="28"/>
        </w:rPr>
        <w:t>P</w:t>
      </w:r>
      <w:r w:rsidRPr="005E1103">
        <w:rPr>
          <w:rFonts w:asciiTheme="minorHAnsi" w:hAnsiTheme="minorHAnsi" w:cstheme="minorHAnsi"/>
          <w:spacing w:val="-11"/>
          <w:sz w:val="28"/>
          <w:szCs w:val="28"/>
        </w:rPr>
        <w:t>r</w:t>
      </w:r>
      <w:r w:rsidRPr="005E1103">
        <w:rPr>
          <w:rFonts w:asciiTheme="minorHAnsi" w:hAnsiTheme="minorHAnsi" w:cstheme="minorHAnsi"/>
          <w:spacing w:val="-1"/>
          <w:sz w:val="28"/>
          <w:szCs w:val="28"/>
        </w:rPr>
        <w:t>omo</w:t>
      </w:r>
      <w:r w:rsidRPr="005E1103">
        <w:rPr>
          <w:rFonts w:asciiTheme="minorHAnsi" w:hAnsiTheme="minorHAnsi" w:cstheme="minorHAnsi"/>
          <w:spacing w:val="-6"/>
          <w:sz w:val="28"/>
          <w:szCs w:val="28"/>
        </w:rPr>
        <w:t>v</w:t>
      </w:r>
      <w:r w:rsidRPr="005E1103">
        <w:rPr>
          <w:rFonts w:asciiTheme="minorHAnsi" w:hAnsiTheme="minorHAnsi" w:cstheme="minorHAnsi"/>
          <w:sz w:val="28"/>
          <w:szCs w:val="28"/>
        </w:rPr>
        <w:t>e</w:t>
      </w:r>
      <w:r w:rsidRPr="005E1103">
        <w:rPr>
          <w:rFonts w:asciiTheme="minorHAnsi" w:hAnsiTheme="minorHAnsi" w:cstheme="minorHAnsi"/>
          <w:spacing w:val="-53"/>
          <w:sz w:val="28"/>
          <w:szCs w:val="28"/>
        </w:rPr>
        <w:t>r</w:t>
      </w:r>
      <w:r w:rsidRPr="005E1103">
        <w:rPr>
          <w:rFonts w:asciiTheme="minorHAnsi" w:hAnsiTheme="minorHAnsi" w:cstheme="minorHAnsi"/>
          <w:sz w:val="28"/>
          <w:szCs w:val="28"/>
        </w:rPr>
        <w:t>,</w:t>
      </w:r>
      <w:r w:rsidRPr="005E1103">
        <w:rPr>
          <w:rFonts w:asciiTheme="minorHAnsi" w:hAnsiTheme="minorHAnsi" w:cstheme="minorHAnsi"/>
          <w:spacing w:val="-3"/>
          <w:sz w:val="28"/>
          <w:szCs w:val="28"/>
        </w:rPr>
        <w:t xml:space="preserve"> </w:t>
      </w:r>
      <w:r w:rsidRPr="005E1103">
        <w:rPr>
          <w:rFonts w:asciiTheme="minorHAnsi" w:hAnsiTheme="minorHAnsi" w:cstheme="minorHAnsi"/>
          <w:spacing w:val="-1"/>
          <w:sz w:val="28"/>
          <w:szCs w:val="28"/>
        </w:rPr>
        <w:t>difun</w:t>
      </w:r>
      <w:r w:rsidRPr="005E1103">
        <w:rPr>
          <w:rFonts w:asciiTheme="minorHAnsi" w:hAnsiTheme="minorHAnsi" w:cstheme="minorHAnsi"/>
          <w:spacing w:val="1"/>
          <w:sz w:val="28"/>
          <w:szCs w:val="28"/>
        </w:rPr>
        <w:t>d</w:t>
      </w:r>
      <w:r w:rsidRPr="005E1103">
        <w:rPr>
          <w:rFonts w:asciiTheme="minorHAnsi" w:hAnsiTheme="minorHAnsi" w:cstheme="minorHAnsi"/>
          <w:sz w:val="28"/>
          <w:szCs w:val="28"/>
        </w:rPr>
        <w:t>ir</w:t>
      </w:r>
      <w:r w:rsidRPr="005E1103">
        <w:rPr>
          <w:rFonts w:asciiTheme="minorHAnsi" w:hAnsiTheme="minorHAnsi" w:cstheme="minorHAnsi"/>
          <w:spacing w:val="1"/>
          <w:sz w:val="28"/>
          <w:szCs w:val="28"/>
        </w:rPr>
        <w:t xml:space="preserve"> </w:t>
      </w:r>
      <w:r w:rsidRPr="005E1103">
        <w:rPr>
          <w:rFonts w:asciiTheme="minorHAnsi" w:hAnsiTheme="minorHAnsi" w:cstheme="minorHAnsi"/>
          <w:sz w:val="28"/>
          <w:szCs w:val="28"/>
        </w:rPr>
        <w:t>e</w:t>
      </w:r>
      <w:r w:rsidRPr="005E1103">
        <w:rPr>
          <w:rFonts w:asciiTheme="minorHAnsi" w:hAnsiTheme="minorHAnsi" w:cstheme="minorHAnsi"/>
          <w:spacing w:val="1"/>
          <w:sz w:val="28"/>
          <w:szCs w:val="28"/>
        </w:rPr>
        <w:t xml:space="preserve"> </w:t>
      </w:r>
      <w:r w:rsidRPr="005E1103">
        <w:rPr>
          <w:rFonts w:asciiTheme="minorHAnsi" w:hAnsiTheme="minorHAnsi" w:cstheme="minorHAnsi"/>
          <w:spacing w:val="-3"/>
          <w:sz w:val="28"/>
          <w:szCs w:val="28"/>
        </w:rPr>
        <w:t>i</w:t>
      </w:r>
      <w:r w:rsidRPr="005E1103">
        <w:rPr>
          <w:rFonts w:asciiTheme="minorHAnsi" w:hAnsiTheme="minorHAnsi" w:cstheme="minorHAnsi"/>
          <w:spacing w:val="-6"/>
          <w:sz w:val="28"/>
          <w:szCs w:val="28"/>
        </w:rPr>
        <w:t>n</w:t>
      </w:r>
      <w:r w:rsidRPr="005E1103">
        <w:rPr>
          <w:rFonts w:asciiTheme="minorHAnsi" w:hAnsiTheme="minorHAnsi" w:cstheme="minorHAnsi"/>
          <w:spacing w:val="-7"/>
          <w:sz w:val="28"/>
          <w:szCs w:val="28"/>
        </w:rPr>
        <w:t>t</w:t>
      </w:r>
      <w:r w:rsidRPr="005E1103">
        <w:rPr>
          <w:rFonts w:asciiTheme="minorHAnsi" w:hAnsiTheme="minorHAnsi" w:cstheme="minorHAnsi"/>
          <w:sz w:val="28"/>
          <w:szCs w:val="28"/>
        </w:rPr>
        <w:t>e</w:t>
      </w:r>
      <w:r w:rsidRPr="005E1103">
        <w:rPr>
          <w:rFonts w:asciiTheme="minorHAnsi" w:hAnsiTheme="minorHAnsi" w:cstheme="minorHAnsi"/>
          <w:spacing w:val="-9"/>
          <w:sz w:val="28"/>
          <w:szCs w:val="28"/>
        </w:rPr>
        <w:t>r</w:t>
      </w:r>
      <w:r w:rsidRPr="005E1103">
        <w:rPr>
          <w:rFonts w:asciiTheme="minorHAnsi" w:hAnsiTheme="minorHAnsi" w:cstheme="minorHAnsi"/>
          <w:spacing w:val="-5"/>
          <w:sz w:val="28"/>
          <w:szCs w:val="28"/>
        </w:rPr>
        <w:t>c</w:t>
      </w:r>
      <w:r w:rsidRPr="005E1103">
        <w:rPr>
          <w:rFonts w:asciiTheme="minorHAnsi" w:hAnsiTheme="minorHAnsi" w:cstheme="minorHAnsi"/>
          <w:sz w:val="28"/>
          <w:szCs w:val="28"/>
        </w:rPr>
        <w:t>ambiar</w:t>
      </w:r>
      <w:r w:rsidRPr="005E1103">
        <w:rPr>
          <w:rFonts w:asciiTheme="minorHAnsi" w:hAnsiTheme="minorHAnsi" w:cstheme="minorHAnsi"/>
          <w:spacing w:val="-3"/>
          <w:sz w:val="28"/>
          <w:szCs w:val="28"/>
        </w:rPr>
        <w:t xml:space="preserve"> </w:t>
      </w:r>
      <w:r w:rsidRPr="005E1103">
        <w:rPr>
          <w:rFonts w:asciiTheme="minorHAnsi" w:hAnsiTheme="minorHAnsi" w:cstheme="minorHAnsi"/>
          <w:sz w:val="28"/>
          <w:szCs w:val="28"/>
        </w:rPr>
        <w:t>buenas</w:t>
      </w:r>
      <w:r w:rsidRPr="005E1103">
        <w:rPr>
          <w:rFonts w:asciiTheme="minorHAnsi" w:hAnsiTheme="minorHAnsi" w:cstheme="minorHAnsi"/>
          <w:spacing w:val="-1"/>
          <w:sz w:val="28"/>
          <w:szCs w:val="28"/>
        </w:rPr>
        <w:t xml:space="preserve"> </w:t>
      </w:r>
      <w:r w:rsidRPr="005E1103">
        <w:rPr>
          <w:rFonts w:asciiTheme="minorHAnsi" w:hAnsiTheme="minorHAnsi" w:cstheme="minorHAnsi"/>
          <w:sz w:val="28"/>
          <w:szCs w:val="28"/>
        </w:rPr>
        <w:t>p</w:t>
      </w:r>
      <w:r w:rsidRPr="005E1103">
        <w:rPr>
          <w:rFonts w:asciiTheme="minorHAnsi" w:hAnsiTheme="minorHAnsi" w:cstheme="minorHAnsi"/>
          <w:spacing w:val="-13"/>
          <w:sz w:val="28"/>
          <w:szCs w:val="28"/>
        </w:rPr>
        <w:t>r</w:t>
      </w:r>
      <w:r w:rsidRPr="005E1103">
        <w:rPr>
          <w:rFonts w:asciiTheme="minorHAnsi" w:hAnsiTheme="minorHAnsi" w:cstheme="minorHAnsi"/>
          <w:sz w:val="28"/>
          <w:szCs w:val="28"/>
        </w:rPr>
        <w:t>ácti</w:t>
      </w:r>
      <w:r w:rsidRPr="005E1103">
        <w:rPr>
          <w:rFonts w:asciiTheme="minorHAnsi" w:hAnsiTheme="minorHAnsi" w:cstheme="minorHAnsi"/>
          <w:spacing w:val="-4"/>
          <w:sz w:val="28"/>
          <w:szCs w:val="28"/>
        </w:rPr>
        <w:t>c</w:t>
      </w:r>
      <w:r w:rsidRPr="005E1103">
        <w:rPr>
          <w:rFonts w:asciiTheme="minorHAnsi" w:hAnsiTheme="minorHAnsi" w:cstheme="minorHAnsi"/>
          <w:sz w:val="28"/>
          <w:szCs w:val="28"/>
        </w:rPr>
        <w:t>as.</w:t>
      </w:r>
    </w:p>
    <w:p w:rsidR="005B72C1" w:rsidRPr="005E1103" w:rsidRDefault="005B72C1" w:rsidP="005B72C1">
      <w:pPr>
        <w:pStyle w:val="Prrafodelista"/>
        <w:widowControl w:val="0"/>
        <w:numPr>
          <w:ilvl w:val="0"/>
          <w:numId w:val="17"/>
        </w:numPr>
        <w:tabs>
          <w:tab w:val="left" w:pos="3848"/>
        </w:tabs>
        <w:spacing w:before="84" w:line="664" w:lineRule="exact"/>
        <w:ind w:right="-1"/>
        <w:jc w:val="both"/>
        <w:rPr>
          <w:rFonts w:asciiTheme="minorHAnsi" w:hAnsiTheme="minorHAnsi" w:cstheme="minorHAnsi"/>
          <w:sz w:val="28"/>
          <w:szCs w:val="28"/>
        </w:rPr>
      </w:pPr>
      <w:r w:rsidRPr="005E1103">
        <w:rPr>
          <w:rFonts w:asciiTheme="minorHAnsi" w:hAnsiTheme="minorHAnsi" w:cstheme="minorHAnsi"/>
          <w:sz w:val="28"/>
          <w:szCs w:val="28"/>
        </w:rPr>
        <w:t>Impulsar la atención a la discapacidad en los sistemas de evaluación de las Universidades.</w:t>
      </w:r>
    </w:p>
    <w:p w:rsidR="005B72C1" w:rsidRPr="005E1103" w:rsidRDefault="005B72C1" w:rsidP="005B72C1">
      <w:pPr>
        <w:pStyle w:val="Prrafodelista"/>
        <w:widowControl w:val="0"/>
        <w:numPr>
          <w:ilvl w:val="0"/>
          <w:numId w:val="17"/>
        </w:numPr>
        <w:tabs>
          <w:tab w:val="left" w:pos="3848"/>
        </w:tabs>
        <w:spacing w:before="84" w:line="664" w:lineRule="exact"/>
        <w:ind w:right="-1"/>
        <w:jc w:val="both"/>
        <w:rPr>
          <w:rFonts w:asciiTheme="minorHAnsi" w:hAnsiTheme="minorHAnsi" w:cstheme="minorHAnsi"/>
          <w:sz w:val="28"/>
          <w:szCs w:val="28"/>
        </w:rPr>
      </w:pPr>
      <w:r w:rsidRPr="005E1103">
        <w:rPr>
          <w:rFonts w:asciiTheme="minorHAnsi" w:hAnsiTheme="minorHAnsi" w:cstheme="minorHAnsi"/>
          <w:sz w:val="28"/>
          <w:szCs w:val="28"/>
        </w:rPr>
        <w:lastRenderedPageBreak/>
        <w:t>Fomentar la colaboración del tejido social del ámbito de la discapacidad a través de la Red SAPDU.</w:t>
      </w:r>
    </w:p>
    <w:p w:rsidR="005B72C1" w:rsidRPr="005E1103" w:rsidRDefault="005B72C1" w:rsidP="005B72C1">
      <w:pPr>
        <w:spacing w:line="360" w:lineRule="auto"/>
        <w:rPr>
          <w:rFonts w:cstheme="minorHAnsi"/>
          <w:b/>
          <w:sz w:val="28"/>
          <w:szCs w:val="28"/>
        </w:rPr>
      </w:pPr>
    </w:p>
    <w:p w:rsidR="005B72C1" w:rsidRPr="005E1103" w:rsidRDefault="005B72C1" w:rsidP="005B72C1">
      <w:pPr>
        <w:spacing w:line="360" w:lineRule="auto"/>
        <w:rPr>
          <w:rFonts w:cstheme="minorHAnsi"/>
          <w:b/>
          <w:sz w:val="28"/>
          <w:szCs w:val="28"/>
        </w:rPr>
      </w:pPr>
      <w:r w:rsidRPr="005E1103">
        <w:rPr>
          <w:rFonts w:cstheme="minorHAnsi"/>
          <w:b/>
          <w:sz w:val="28"/>
          <w:szCs w:val="28"/>
        </w:rPr>
        <w:t>¿Como funcionamos?</w:t>
      </w:r>
    </w:p>
    <w:p w:rsidR="005B72C1" w:rsidRPr="005E1103" w:rsidRDefault="005B72C1" w:rsidP="005B72C1">
      <w:pPr>
        <w:pStyle w:val="Prrafodelista"/>
        <w:numPr>
          <w:ilvl w:val="0"/>
          <w:numId w:val="18"/>
        </w:numPr>
        <w:spacing w:line="360" w:lineRule="auto"/>
        <w:rPr>
          <w:rFonts w:asciiTheme="minorHAnsi" w:hAnsiTheme="minorHAnsi" w:cstheme="minorHAnsi"/>
          <w:sz w:val="28"/>
          <w:szCs w:val="28"/>
        </w:rPr>
      </w:pPr>
      <w:r w:rsidRPr="005E1103">
        <w:rPr>
          <w:rFonts w:asciiTheme="minorHAnsi" w:hAnsiTheme="minorHAnsi" w:cstheme="minorHAnsi"/>
          <w:sz w:val="28"/>
          <w:szCs w:val="28"/>
        </w:rPr>
        <w:t>Bajo</w:t>
      </w:r>
      <w:r w:rsidRPr="005E1103">
        <w:rPr>
          <w:rFonts w:asciiTheme="minorHAnsi" w:hAnsiTheme="minorHAnsi" w:cstheme="minorHAnsi"/>
          <w:spacing w:val="2"/>
          <w:sz w:val="28"/>
          <w:szCs w:val="28"/>
        </w:rPr>
        <w:t xml:space="preserve"> </w:t>
      </w:r>
      <w:r w:rsidRPr="005E1103">
        <w:rPr>
          <w:rFonts w:asciiTheme="minorHAnsi" w:hAnsiTheme="minorHAnsi" w:cstheme="minorHAnsi"/>
          <w:spacing w:val="-2"/>
          <w:sz w:val="28"/>
          <w:szCs w:val="28"/>
        </w:rPr>
        <w:t>los</w:t>
      </w:r>
      <w:r w:rsidRPr="005E1103">
        <w:rPr>
          <w:rFonts w:asciiTheme="minorHAnsi" w:hAnsiTheme="minorHAnsi" w:cstheme="minorHAnsi"/>
          <w:spacing w:val="1"/>
          <w:sz w:val="28"/>
          <w:szCs w:val="28"/>
        </w:rPr>
        <w:t xml:space="preserve"> </w:t>
      </w:r>
      <w:r w:rsidRPr="005E1103">
        <w:rPr>
          <w:rFonts w:asciiTheme="minorHAnsi" w:hAnsiTheme="minorHAnsi" w:cstheme="minorHAnsi"/>
          <w:spacing w:val="-1"/>
          <w:sz w:val="28"/>
          <w:szCs w:val="28"/>
        </w:rPr>
        <w:t>principios</w:t>
      </w:r>
      <w:r w:rsidRPr="005E1103">
        <w:rPr>
          <w:rFonts w:asciiTheme="minorHAnsi" w:hAnsiTheme="minorHAnsi" w:cstheme="minorHAnsi"/>
          <w:spacing w:val="5"/>
          <w:sz w:val="28"/>
          <w:szCs w:val="28"/>
        </w:rPr>
        <w:t xml:space="preserve"> </w:t>
      </w:r>
      <w:r w:rsidRPr="005E1103">
        <w:rPr>
          <w:rFonts w:asciiTheme="minorHAnsi" w:hAnsiTheme="minorHAnsi" w:cstheme="minorHAnsi"/>
          <w:spacing w:val="-1"/>
          <w:sz w:val="28"/>
          <w:szCs w:val="28"/>
        </w:rPr>
        <w:t>de</w:t>
      </w:r>
      <w:r w:rsidRPr="005E1103">
        <w:rPr>
          <w:rFonts w:asciiTheme="minorHAnsi" w:hAnsiTheme="minorHAnsi" w:cstheme="minorHAnsi"/>
          <w:spacing w:val="1"/>
          <w:sz w:val="28"/>
          <w:szCs w:val="28"/>
        </w:rPr>
        <w:t xml:space="preserve"> </w:t>
      </w:r>
      <w:r w:rsidRPr="005E1103">
        <w:rPr>
          <w:rFonts w:asciiTheme="minorHAnsi" w:hAnsiTheme="minorHAnsi" w:cstheme="minorHAnsi"/>
          <w:sz w:val="28"/>
          <w:szCs w:val="28"/>
        </w:rPr>
        <w:t>la</w:t>
      </w:r>
      <w:r w:rsidRPr="005E1103">
        <w:rPr>
          <w:rFonts w:asciiTheme="minorHAnsi" w:hAnsiTheme="minorHAnsi" w:cstheme="minorHAnsi"/>
          <w:spacing w:val="-3"/>
          <w:sz w:val="28"/>
          <w:szCs w:val="28"/>
        </w:rPr>
        <w:t xml:space="preserve"> </w:t>
      </w:r>
      <w:r w:rsidRPr="005E1103">
        <w:rPr>
          <w:rFonts w:asciiTheme="minorHAnsi" w:hAnsiTheme="minorHAnsi" w:cstheme="minorHAnsi"/>
          <w:sz w:val="28"/>
          <w:szCs w:val="28"/>
        </w:rPr>
        <w:t>igualdad</w:t>
      </w:r>
      <w:r w:rsidRPr="005E1103">
        <w:rPr>
          <w:rFonts w:asciiTheme="minorHAnsi" w:hAnsiTheme="minorHAnsi" w:cstheme="minorHAnsi"/>
          <w:spacing w:val="-1"/>
          <w:sz w:val="28"/>
          <w:szCs w:val="28"/>
        </w:rPr>
        <w:t xml:space="preserve"> </w:t>
      </w:r>
      <w:r w:rsidRPr="005E1103">
        <w:rPr>
          <w:rFonts w:asciiTheme="minorHAnsi" w:hAnsiTheme="minorHAnsi" w:cstheme="minorHAnsi"/>
          <w:sz w:val="28"/>
          <w:szCs w:val="28"/>
        </w:rPr>
        <w:t>de</w:t>
      </w:r>
      <w:r w:rsidRPr="005E1103">
        <w:rPr>
          <w:rFonts w:asciiTheme="minorHAnsi" w:hAnsiTheme="minorHAnsi" w:cstheme="minorHAnsi"/>
          <w:spacing w:val="1"/>
          <w:sz w:val="28"/>
          <w:szCs w:val="28"/>
        </w:rPr>
        <w:t xml:space="preserve"> </w:t>
      </w:r>
      <w:r w:rsidRPr="005E1103">
        <w:rPr>
          <w:rFonts w:asciiTheme="minorHAnsi" w:hAnsiTheme="minorHAnsi" w:cstheme="minorHAnsi"/>
          <w:spacing w:val="-1"/>
          <w:sz w:val="28"/>
          <w:szCs w:val="28"/>
        </w:rPr>
        <w:t>oportunidades,</w:t>
      </w:r>
      <w:r w:rsidRPr="005E1103">
        <w:rPr>
          <w:rFonts w:asciiTheme="minorHAnsi" w:hAnsiTheme="minorHAnsi" w:cstheme="minorHAnsi"/>
          <w:spacing w:val="-3"/>
          <w:sz w:val="28"/>
          <w:szCs w:val="28"/>
        </w:rPr>
        <w:t xml:space="preserve"> </w:t>
      </w:r>
      <w:r w:rsidRPr="005E1103">
        <w:rPr>
          <w:rFonts w:asciiTheme="minorHAnsi" w:hAnsiTheme="minorHAnsi" w:cstheme="minorHAnsi"/>
          <w:sz w:val="28"/>
          <w:szCs w:val="28"/>
        </w:rPr>
        <w:t>la accesibilidad</w:t>
      </w:r>
      <w:r w:rsidRPr="005E1103">
        <w:rPr>
          <w:rFonts w:asciiTheme="minorHAnsi" w:hAnsiTheme="minorHAnsi" w:cstheme="minorHAnsi"/>
          <w:spacing w:val="-2"/>
          <w:sz w:val="28"/>
          <w:szCs w:val="28"/>
        </w:rPr>
        <w:t xml:space="preserve"> universal</w:t>
      </w:r>
      <w:r w:rsidRPr="005E1103">
        <w:rPr>
          <w:rFonts w:asciiTheme="minorHAnsi" w:hAnsiTheme="minorHAnsi" w:cstheme="minorHAnsi"/>
          <w:spacing w:val="-1"/>
          <w:sz w:val="28"/>
          <w:szCs w:val="28"/>
        </w:rPr>
        <w:t xml:space="preserve"> </w:t>
      </w:r>
      <w:r w:rsidRPr="005E1103">
        <w:rPr>
          <w:rFonts w:asciiTheme="minorHAnsi" w:hAnsiTheme="minorHAnsi" w:cstheme="minorHAnsi"/>
          <w:sz w:val="28"/>
          <w:szCs w:val="28"/>
        </w:rPr>
        <w:t>y</w:t>
      </w:r>
      <w:r w:rsidRPr="005E1103">
        <w:rPr>
          <w:rFonts w:asciiTheme="minorHAnsi" w:hAnsiTheme="minorHAnsi" w:cstheme="minorHAnsi"/>
          <w:spacing w:val="1"/>
          <w:sz w:val="28"/>
          <w:szCs w:val="28"/>
        </w:rPr>
        <w:t xml:space="preserve"> </w:t>
      </w:r>
      <w:r w:rsidRPr="005E1103">
        <w:rPr>
          <w:rFonts w:asciiTheme="minorHAnsi" w:hAnsiTheme="minorHAnsi" w:cstheme="minorHAnsi"/>
          <w:sz w:val="28"/>
          <w:szCs w:val="28"/>
        </w:rPr>
        <w:t>el diseño</w:t>
      </w:r>
      <w:r w:rsidRPr="005E1103">
        <w:rPr>
          <w:rFonts w:asciiTheme="minorHAnsi" w:hAnsiTheme="minorHAnsi" w:cstheme="minorHAnsi"/>
          <w:spacing w:val="-1"/>
          <w:sz w:val="28"/>
          <w:szCs w:val="28"/>
        </w:rPr>
        <w:t xml:space="preserve"> </w:t>
      </w:r>
      <w:r w:rsidRPr="005E1103">
        <w:rPr>
          <w:rFonts w:asciiTheme="minorHAnsi" w:hAnsiTheme="minorHAnsi" w:cstheme="minorHAnsi"/>
          <w:spacing w:val="-4"/>
          <w:sz w:val="28"/>
          <w:szCs w:val="28"/>
        </w:rPr>
        <w:t>para</w:t>
      </w:r>
      <w:r w:rsidRPr="005E1103">
        <w:rPr>
          <w:rFonts w:asciiTheme="minorHAnsi" w:hAnsiTheme="minorHAnsi" w:cstheme="minorHAnsi"/>
          <w:spacing w:val="-1"/>
          <w:sz w:val="28"/>
          <w:szCs w:val="28"/>
        </w:rPr>
        <w:t xml:space="preserve"> todos</w:t>
      </w:r>
      <w:r w:rsidRPr="005E1103">
        <w:rPr>
          <w:rFonts w:asciiTheme="minorHAnsi" w:hAnsiTheme="minorHAnsi" w:cstheme="minorHAnsi"/>
          <w:spacing w:val="-2"/>
          <w:sz w:val="28"/>
          <w:szCs w:val="28"/>
        </w:rPr>
        <w:t xml:space="preserve"> </w:t>
      </w:r>
    </w:p>
    <w:p w:rsidR="005B72C1" w:rsidRPr="005E1103" w:rsidRDefault="005B72C1" w:rsidP="005B72C1">
      <w:pPr>
        <w:pStyle w:val="Prrafodelista"/>
        <w:numPr>
          <w:ilvl w:val="0"/>
          <w:numId w:val="18"/>
        </w:numPr>
        <w:spacing w:line="360" w:lineRule="auto"/>
        <w:rPr>
          <w:rFonts w:asciiTheme="minorHAnsi" w:hAnsiTheme="minorHAnsi" w:cstheme="minorHAnsi"/>
          <w:sz w:val="28"/>
          <w:szCs w:val="28"/>
        </w:rPr>
      </w:pPr>
      <w:r w:rsidRPr="005E1103">
        <w:rPr>
          <w:rFonts w:asciiTheme="minorHAnsi" w:hAnsiTheme="minorHAnsi" w:cstheme="minorHAnsi"/>
          <w:spacing w:val="-2"/>
          <w:sz w:val="28"/>
          <w:szCs w:val="28"/>
        </w:rPr>
        <w:t>Coordinados</w:t>
      </w:r>
      <w:r w:rsidRPr="005E1103">
        <w:rPr>
          <w:rFonts w:asciiTheme="minorHAnsi" w:hAnsiTheme="minorHAnsi" w:cstheme="minorHAnsi"/>
          <w:spacing w:val="-3"/>
          <w:sz w:val="28"/>
          <w:szCs w:val="28"/>
        </w:rPr>
        <w:t xml:space="preserve"> </w:t>
      </w:r>
      <w:r w:rsidRPr="005E1103">
        <w:rPr>
          <w:rFonts w:asciiTheme="minorHAnsi" w:hAnsiTheme="minorHAnsi" w:cstheme="minorHAnsi"/>
          <w:spacing w:val="-1"/>
          <w:sz w:val="28"/>
          <w:szCs w:val="28"/>
        </w:rPr>
        <w:t>por</w:t>
      </w:r>
      <w:r w:rsidRPr="005E1103">
        <w:rPr>
          <w:rFonts w:asciiTheme="minorHAnsi" w:hAnsiTheme="minorHAnsi" w:cstheme="minorHAnsi"/>
          <w:spacing w:val="1"/>
          <w:sz w:val="28"/>
          <w:szCs w:val="28"/>
        </w:rPr>
        <w:t xml:space="preserve"> </w:t>
      </w:r>
      <w:r w:rsidRPr="005E1103">
        <w:rPr>
          <w:rFonts w:asciiTheme="minorHAnsi" w:hAnsiTheme="minorHAnsi" w:cstheme="minorHAnsi"/>
          <w:spacing w:val="-1"/>
          <w:sz w:val="28"/>
          <w:szCs w:val="28"/>
        </w:rPr>
        <w:t>una</w:t>
      </w:r>
      <w:r w:rsidRPr="005E1103">
        <w:rPr>
          <w:rFonts w:asciiTheme="minorHAnsi" w:hAnsiTheme="minorHAnsi" w:cstheme="minorHAnsi"/>
          <w:spacing w:val="1"/>
          <w:sz w:val="28"/>
          <w:szCs w:val="28"/>
        </w:rPr>
        <w:t xml:space="preserve"> </w:t>
      </w:r>
      <w:r w:rsidRPr="005E1103">
        <w:rPr>
          <w:rFonts w:asciiTheme="minorHAnsi" w:hAnsiTheme="minorHAnsi" w:cstheme="minorHAnsi"/>
          <w:spacing w:val="-1"/>
          <w:sz w:val="28"/>
          <w:szCs w:val="28"/>
        </w:rPr>
        <w:t>Comisión Permanente.</w:t>
      </w:r>
    </w:p>
    <w:p w:rsidR="005B72C1" w:rsidRPr="005E1103" w:rsidRDefault="005B72C1" w:rsidP="005B72C1">
      <w:pPr>
        <w:pStyle w:val="Prrafodelista"/>
        <w:numPr>
          <w:ilvl w:val="0"/>
          <w:numId w:val="18"/>
        </w:numPr>
        <w:spacing w:line="360" w:lineRule="auto"/>
        <w:rPr>
          <w:rFonts w:asciiTheme="minorHAnsi" w:hAnsiTheme="minorHAnsi" w:cstheme="minorHAnsi"/>
          <w:sz w:val="28"/>
          <w:szCs w:val="28"/>
        </w:rPr>
      </w:pPr>
      <w:r w:rsidRPr="005E1103">
        <w:rPr>
          <w:rFonts w:asciiTheme="minorHAnsi" w:hAnsiTheme="minorHAnsi" w:cstheme="minorHAnsi"/>
          <w:sz w:val="28"/>
          <w:szCs w:val="28"/>
        </w:rPr>
        <w:t>En grupos de trabajo</w:t>
      </w:r>
    </w:p>
    <w:p w:rsidR="00C26750" w:rsidRPr="005E1103" w:rsidRDefault="005B72C1" w:rsidP="005B72C1">
      <w:pPr>
        <w:pStyle w:val="Prrafodelista"/>
        <w:numPr>
          <w:ilvl w:val="0"/>
          <w:numId w:val="18"/>
        </w:numPr>
        <w:spacing w:line="360" w:lineRule="auto"/>
        <w:rPr>
          <w:rFonts w:asciiTheme="minorHAnsi" w:hAnsiTheme="minorHAnsi" w:cstheme="minorHAnsi"/>
          <w:sz w:val="28"/>
          <w:szCs w:val="28"/>
        </w:rPr>
      </w:pPr>
      <w:r w:rsidRPr="005E1103">
        <w:rPr>
          <w:rFonts w:asciiTheme="minorHAnsi" w:hAnsiTheme="minorHAnsi" w:cstheme="minorHAnsi"/>
          <w:sz w:val="28"/>
          <w:szCs w:val="28"/>
        </w:rPr>
        <w:t>A</w:t>
      </w:r>
      <w:r w:rsidRPr="005E1103">
        <w:rPr>
          <w:rFonts w:asciiTheme="minorHAnsi" w:hAnsiTheme="minorHAnsi" w:cstheme="minorHAnsi"/>
          <w:spacing w:val="1"/>
          <w:sz w:val="28"/>
          <w:szCs w:val="28"/>
        </w:rPr>
        <w:t xml:space="preserve"> </w:t>
      </w:r>
      <w:r w:rsidRPr="005E1103">
        <w:rPr>
          <w:rFonts w:asciiTheme="minorHAnsi" w:hAnsiTheme="minorHAnsi" w:cstheme="minorHAnsi"/>
          <w:spacing w:val="-5"/>
          <w:sz w:val="28"/>
          <w:szCs w:val="28"/>
        </w:rPr>
        <w:t>través</w:t>
      </w:r>
      <w:r w:rsidRPr="005E1103">
        <w:rPr>
          <w:rFonts w:asciiTheme="minorHAnsi" w:hAnsiTheme="minorHAnsi" w:cstheme="minorHAnsi"/>
          <w:spacing w:val="-2"/>
          <w:sz w:val="28"/>
          <w:szCs w:val="28"/>
        </w:rPr>
        <w:t xml:space="preserve"> </w:t>
      </w:r>
      <w:r w:rsidRPr="005E1103">
        <w:rPr>
          <w:rFonts w:asciiTheme="minorHAnsi" w:hAnsiTheme="minorHAnsi" w:cstheme="minorHAnsi"/>
          <w:spacing w:val="-1"/>
          <w:sz w:val="28"/>
          <w:szCs w:val="28"/>
        </w:rPr>
        <w:t>de</w:t>
      </w:r>
      <w:r w:rsidRPr="005E1103">
        <w:rPr>
          <w:rFonts w:asciiTheme="minorHAnsi" w:hAnsiTheme="minorHAnsi" w:cstheme="minorHAnsi"/>
          <w:sz w:val="28"/>
          <w:szCs w:val="28"/>
        </w:rPr>
        <w:t xml:space="preserve"> </w:t>
      </w:r>
      <w:r w:rsidRPr="005E1103">
        <w:rPr>
          <w:rFonts w:asciiTheme="minorHAnsi" w:hAnsiTheme="minorHAnsi" w:cstheme="minorHAnsi"/>
          <w:spacing w:val="-2"/>
          <w:sz w:val="28"/>
          <w:szCs w:val="28"/>
        </w:rPr>
        <w:t>reuniones</w:t>
      </w:r>
      <w:r w:rsidRPr="005E1103">
        <w:rPr>
          <w:rFonts w:asciiTheme="minorHAnsi" w:hAnsiTheme="minorHAnsi" w:cstheme="minorHAnsi"/>
          <w:spacing w:val="5"/>
          <w:sz w:val="28"/>
          <w:szCs w:val="28"/>
        </w:rPr>
        <w:t xml:space="preserve"> </w:t>
      </w:r>
      <w:r w:rsidRPr="005E1103">
        <w:rPr>
          <w:rFonts w:asciiTheme="minorHAnsi" w:hAnsiTheme="minorHAnsi" w:cstheme="minorHAnsi"/>
          <w:sz w:val="28"/>
          <w:szCs w:val="28"/>
        </w:rPr>
        <w:t>de</w:t>
      </w:r>
      <w:r w:rsidRPr="005E1103">
        <w:rPr>
          <w:rFonts w:asciiTheme="minorHAnsi" w:hAnsiTheme="minorHAnsi" w:cstheme="minorHAnsi"/>
          <w:spacing w:val="1"/>
          <w:sz w:val="28"/>
          <w:szCs w:val="28"/>
        </w:rPr>
        <w:t xml:space="preserve"> </w:t>
      </w:r>
      <w:r w:rsidRPr="005E1103">
        <w:rPr>
          <w:rFonts w:asciiTheme="minorHAnsi" w:hAnsiTheme="minorHAnsi" w:cstheme="minorHAnsi"/>
          <w:spacing w:val="-3"/>
          <w:sz w:val="28"/>
          <w:szCs w:val="28"/>
        </w:rPr>
        <w:t>trabajo,</w:t>
      </w:r>
      <w:r w:rsidRPr="005E1103">
        <w:rPr>
          <w:rFonts w:asciiTheme="minorHAnsi" w:hAnsiTheme="minorHAnsi" w:cstheme="minorHAnsi"/>
          <w:spacing w:val="-2"/>
          <w:sz w:val="28"/>
          <w:szCs w:val="28"/>
        </w:rPr>
        <w:t xml:space="preserve"> </w:t>
      </w:r>
      <w:r w:rsidRPr="005E1103">
        <w:rPr>
          <w:rFonts w:asciiTheme="minorHAnsi" w:hAnsiTheme="minorHAnsi" w:cstheme="minorHAnsi"/>
          <w:spacing w:val="-1"/>
          <w:sz w:val="28"/>
          <w:szCs w:val="28"/>
        </w:rPr>
        <w:t>jornadas</w:t>
      </w:r>
      <w:r w:rsidRPr="005E1103">
        <w:rPr>
          <w:rFonts w:asciiTheme="minorHAnsi" w:hAnsiTheme="minorHAnsi" w:cstheme="minorHAnsi"/>
          <w:spacing w:val="5"/>
          <w:sz w:val="28"/>
          <w:szCs w:val="28"/>
        </w:rPr>
        <w:t xml:space="preserve"> </w:t>
      </w:r>
      <w:r w:rsidRPr="005E1103">
        <w:rPr>
          <w:rFonts w:asciiTheme="minorHAnsi" w:hAnsiTheme="minorHAnsi" w:cstheme="minorHAnsi"/>
          <w:sz w:val="28"/>
          <w:szCs w:val="28"/>
        </w:rPr>
        <w:t xml:space="preserve">de </w:t>
      </w:r>
      <w:r w:rsidRPr="005E1103">
        <w:rPr>
          <w:rFonts w:asciiTheme="minorHAnsi" w:hAnsiTheme="minorHAnsi" w:cstheme="minorHAnsi"/>
          <w:spacing w:val="-3"/>
          <w:sz w:val="28"/>
          <w:szCs w:val="28"/>
        </w:rPr>
        <w:t xml:space="preserve">intercambio </w:t>
      </w:r>
      <w:r w:rsidRPr="005E1103">
        <w:rPr>
          <w:rFonts w:asciiTheme="minorHAnsi" w:hAnsiTheme="minorHAnsi" w:cstheme="minorHAnsi"/>
          <w:sz w:val="28"/>
          <w:szCs w:val="28"/>
        </w:rPr>
        <w:t>y</w:t>
      </w:r>
      <w:r w:rsidRPr="005E1103">
        <w:rPr>
          <w:rFonts w:asciiTheme="minorHAnsi" w:hAnsiTheme="minorHAnsi" w:cstheme="minorHAnsi"/>
          <w:spacing w:val="2"/>
          <w:sz w:val="28"/>
          <w:szCs w:val="28"/>
        </w:rPr>
        <w:t xml:space="preserve"> </w:t>
      </w:r>
      <w:r w:rsidRPr="005E1103">
        <w:rPr>
          <w:rFonts w:asciiTheme="minorHAnsi" w:hAnsiTheme="minorHAnsi" w:cstheme="minorHAnsi"/>
          <w:sz w:val="28"/>
          <w:szCs w:val="28"/>
        </w:rPr>
        <w:t>un</w:t>
      </w:r>
      <w:r w:rsidRPr="005E1103">
        <w:rPr>
          <w:rFonts w:asciiTheme="minorHAnsi" w:hAnsiTheme="minorHAnsi" w:cstheme="minorHAnsi"/>
          <w:spacing w:val="29"/>
          <w:sz w:val="28"/>
          <w:szCs w:val="28"/>
        </w:rPr>
        <w:t xml:space="preserve"> </w:t>
      </w:r>
      <w:r w:rsidRPr="005E1103">
        <w:rPr>
          <w:rFonts w:asciiTheme="minorHAnsi" w:hAnsiTheme="minorHAnsi" w:cstheme="minorHAnsi"/>
          <w:spacing w:val="-2"/>
          <w:sz w:val="28"/>
          <w:szCs w:val="28"/>
        </w:rPr>
        <w:t>Encuentro</w:t>
      </w:r>
      <w:r w:rsidRPr="005E1103">
        <w:rPr>
          <w:rFonts w:asciiTheme="minorHAnsi" w:hAnsiTheme="minorHAnsi" w:cstheme="minorHAnsi"/>
          <w:spacing w:val="-1"/>
          <w:sz w:val="28"/>
          <w:szCs w:val="28"/>
        </w:rPr>
        <w:t xml:space="preserve"> </w:t>
      </w:r>
      <w:r w:rsidRPr="005E1103">
        <w:rPr>
          <w:rFonts w:asciiTheme="minorHAnsi" w:hAnsiTheme="minorHAnsi" w:cstheme="minorHAnsi"/>
          <w:sz w:val="28"/>
          <w:szCs w:val="28"/>
        </w:rPr>
        <w:t>Anual</w:t>
      </w:r>
      <w:r w:rsidR="00C26750" w:rsidRPr="005E1103">
        <w:rPr>
          <w:rFonts w:asciiTheme="minorHAnsi" w:hAnsiTheme="minorHAnsi" w:cstheme="minorHAnsi"/>
          <w:sz w:val="28"/>
          <w:szCs w:val="28"/>
        </w:rPr>
        <w:t>.</w:t>
      </w:r>
    </w:p>
    <w:p w:rsidR="00C26750" w:rsidRPr="005E1103" w:rsidRDefault="00C26750">
      <w:pPr>
        <w:rPr>
          <w:rFonts w:eastAsia="Calibri" w:cstheme="minorHAnsi"/>
          <w:sz w:val="28"/>
          <w:szCs w:val="28"/>
        </w:rPr>
      </w:pPr>
      <w:r w:rsidRPr="005E1103">
        <w:rPr>
          <w:rFonts w:cstheme="minorHAnsi"/>
          <w:sz w:val="28"/>
          <w:szCs w:val="28"/>
        </w:rPr>
        <w:br w:type="page"/>
      </w:r>
    </w:p>
    <w:p w:rsidR="00C26750" w:rsidRPr="005E1103" w:rsidRDefault="00C26750" w:rsidP="00C26750">
      <w:pPr>
        <w:rPr>
          <w:rFonts w:cstheme="minorHAnsi"/>
          <w:sz w:val="28"/>
          <w:szCs w:val="28"/>
        </w:rPr>
      </w:pPr>
    </w:p>
    <w:p w:rsidR="00C26750" w:rsidRPr="005E1103" w:rsidRDefault="00C26750" w:rsidP="00C26750">
      <w:pPr>
        <w:jc w:val="center"/>
        <w:rPr>
          <w:rFonts w:cstheme="minorHAnsi"/>
          <w:sz w:val="28"/>
          <w:szCs w:val="28"/>
        </w:rPr>
      </w:pPr>
      <w:r w:rsidRPr="005E1103">
        <w:rPr>
          <w:rFonts w:cstheme="minorHAnsi"/>
          <w:noProof/>
          <w:sz w:val="28"/>
          <w:szCs w:val="28"/>
          <w:lang w:eastAsia="es-ES"/>
        </w:rPr>
        <w:drawing>
          <wp:inline distT="0" distB="0" distL="0" distR="0" wp14:anchorId="1B2AF554" wp14:editId="5A12673D">
            <wp:extent cx="4111777" cy="542925"/>
            <wp:effectExtent l="0" t="0" r="3175" b="0"/>
            <wp:docPr id="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11294" cy="542861"/>
                    </a:xfrm>
                    <a:prstGeom prst="rect">
                      <a:avLst/>
                    </a:prstGeom>
                    <a:noFill/>
                    <a:ln>
                      <a:noFill/>
                    </a:ln>
                  </pic:spPr>
                </pic:pic>
              </a:graphicData>
            </a:graphic>
          </wp:inline>
        </w:drawing>
      </w:r>
    </w:p>
    <w:p w:rsidR="00C26750" w:rsidRPr="005E1103" w:rsidRDefault="00C26750" w:rsidP="00C26750">
      <w:pPr>
        <w:spacing w:after="360"/>
        <w:jc w:val="center"/>
        <w:rPr>
          <w:rFonts w:cstheme="minorHAnsi"/>
          <w:b/>
          <w:color w:val="3F5570"/>
          <w:sz w:val="28"/>
          <w:szCs w:val="28"/>
        </w:rPr>
      </w:pPr>
      <w:r w:rsidRPr="005E1103">
        <w:rPr>
          <w:rFonts w:cstheme="minorHAnsi"/>
          <w:b/>
          <w:color w:val="3F5570"/>
          <w:sz w:val="28"/>
          <w:szCs w:val="28"/>
        </w:rPr>
        <w:t>10 y 11 de noviembre de 2016</w:t>
      </w:r>
    </w:p>
    <w:p w:rsidR="00C26750" w:rsidRPr="005E1103" w:rsidRDefault="00C26750" w:rsidP="00C26750">
      <w:pPr>
        <w:spacing w:before="240"/>
        <w:jc w:val="center"/>
        <w:rPr>
          <w:rFonts w:cstheme="minorHAnsi"/>
          <w:b/>
          <w:color w:val="D20116"/>
          <w:sz w:val="28"/>
          <w:szCs w:val="28"/>
        </w:rPr>
      </w:pPr>
      <w:r w:rsidRPr="005E1103">
        <w:rPr>
          <w:rFonts w:cstheme="minorHAnsi"/>
          <w:b/>
          <w:color w:val="D20116"/>
          <w:sz w:val="28"/>
          <w:szCs w:val="28"/>
        </w:rPr>
        <w:t>COMUNICACIONES PRESENTADAS</w:t>
      </w:r>
    </w:p>
    <w:p w:rsidR="00C26750" w:rsidRPr="005E1103" w:rsidRDefault="00C26750" w:rsidP="00C26750">
      <w:pPr>
        <w:spacing w:before="240"/>
        <w:jc w:val="center"/>
        <w:rPr>
          <w:rFonts w:cstheme="minorHAnsi"/>
          <w:b/>
          <w:color w:val="D20116"/>
          <w:sz w:val="28"/>
          <w:szCs w:val="28"/>
        </w:rPr>
      </w:pPr>
      <w:r w:rsidRPr="005E1103">
        <w:rPr>
          <w:rFonts w:cstheme="minorHAnsi"/>
          <w:b/>
          <w:color w:val="D20116"/>
          <w:sz w:val="28"/>
          <w:szCs w:val="28"/>
        </w:rPr>
        <w:t>GRUPO 2</w:t>
      </w:r>
    </w:p>
    <w:p w:rsidR="00C26750" w:rsidRPr="005E1103" w:rsidRDefault="00C26750" w:rsidP="00C26750">
      <w:pPr>
        <w:spacing w:before="240"/>
        <w:jc w:val="center"/>
        <w:rPr>
          <w:rFonts w:cstheme="minorHAnsi"/>
          <w:b/>
          <w:color w:val="D20116"/>
          <w:sz w:val="28"/>
          <w:szCs w:val="28"/>
        </w:rPr>
      </w:pPr>
      <w:r w:rsidRPr="005E1103">
        <w:rPr>
          <w:rFonts w:cstheme="minorHAnsi"/>
          <w:b/>
          <w:color w:val="D20116"/>
          <w:sz w:val="28"/>
          <w:szCs w:val="28"/>
        </w:rPr>
        <w:t>ACCESIBILIDAD CURRICULAR Y DEPORTE INCLUSIVO</w:t>
      </w:r>
    </w:p>
    <w:p w:rsidR="00C26750" w:rsidRPr="005E1103" w:rsidRDefault="00C26750" w:rsidP="00C26750">
      <w:pPr>
        <w:spacing w:before="240"/>
        <w:jc w:val="center"/>
        <w:rPr>
          <w:rFonts w:cstheme="minorHAnsi"/>
          <w:b/>
          <w:i/>
          <w:color w:val="D20116"/>
          <w:sz w:val="28"/>
          <w:szCs w:val="28"/>
        </w:rPr>
      </w:pPr>
      <w:r w:rsidRPr="005E1103">
        <w:rPr>
          <w:rFonts w:cstheme="minorHAnsi"/>
          <w:b/>
          <w:i/>
          <w:noProof/>
          <w:color w:val="D20116"/>
          <w:sz w:val="28"/>
          <w:szCs w:val="28"/>
          <w:lang w:eastAsia="es-ES"/>
        </w:rPr>
        <w:drawing>
          <wp:anchor distT="0" distB="0" distL="114300" distR="114300" simplePos="0" relativeHeight="251665408" behindDoc="1" locked="0" layoutInCell="1" allowOverlap="1" wp14:anchorId="0F0F7331" wp14:editId="5EC2E515">
            <wp:simplePos x="0" y="0"/>
            <wp:positionH relativeFrom="column">
              <wp:posOffset>2063750</wp:posOffset>
            </wp:positionH>
            <wp:positionV relativeFrom="paragraph">
              <wp:posOffset>377825</wp:posOffset>
            </wp:positionV>
            <wp:extent cx="1952625" cy="1207135"/>
            <wp:effectExtent l="0" t="0" r="0" b="0"/>
            <wp:wrapNone/>
            <wp:docPr id="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52625" cy="1207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1103">
        <w:rPr>
          <w:rFonts w:cstheme="minorHAnsi"/>
          <w:b/>
          <w:i/>
          <w:color w:val="D20116"/>
          <w:sz w:val="28"/>
          <w:szCs w:val="28"/>
        </w:rPr>
        <w:t xml:space="preserve"> </w:t>
      </w:r>
    </w:p>
    <w:p w:rsidR="00C26750" w:rsidRPr="005E1103" w:rsidRDefault="00C26750" w:rsidP="00C26750">
      <w:pPr>
        <w:spacing w:before="240"/>
        <w:jc w:val="center"/>
        <w:rPr>
          <w:rFonts w:cstheme="minorHAnsi"/>
          <w:b/>
          <w:i/>
          <w:color w:val="D20116"/>
          <w:sz w:val="28"/>
          <w:szCs w:val="28"/>
        </w:rPr>
      </w:pPr>
    </w:p>
    <w:p w:rsidR="00C26750" w:rsidRPr="005E1103" w:rsidRDefault="00C26750" w:rsidP="00C26750">
      <w:pPr>
        <w:pStyle w:val="Sinespaciado"/>
        <w:spacing w:line="360" w:lineRule="auto"/>
        <w:jc w:val="center"/>
        <w:rPr>
          <w:rFonts w:asciiTheme="minorHAnsi" w:hAnsiTheme="minorHAnsi" w:cstheme="minorHAnsi"/>
          <w:sz w:val="28"/>
          <w:szCs w:val="28"/>
        </w:rPr>
      </w:pPr>
    </w:p>
    <w:p w:rsidR="00C26750" w:rsidRPr="005E1103" w:rsidRDefault="00C26750" w:rsidP="00C26750">
      <w:pPr>
        <w:pStyle w:val="Sinespaciado"/>
        <w:spacing w:line="360" w:lineRule="auto"/>
        <w:jc w:val="center"/>
        <w:rPr>
          <w:rFonts w:asciiTheme="minorHAnsi" w:hAnsiTheme="minorHAnsi" w:cstheme="minorHAnsi"/>
          <w:sz w:val="28"/>
          <w:szCs w:val="28"/>
        </w:rPr>
      </w:pPr>
    </w:p>
    <w:p w:rsidR="00C26750" w:rsidRPr="005E1103" w:rsidRDefault="00C26750" w:rsidP="00C26750">
      <w:pPr>
        <w:pStyle w:val="Sinespaciado"/>
        <w:spacing w:line="360" w:lineRule="auto"/>
        <w:jc w:val="both"/>
        <w:rPr>
          <w:rFonts w:asciiTheme="minorHAnsi" w:hAnsiTheme="minorHAnsi" w:cstheme="minorHAnsi"/>
          <w:b/>
          <w:sz w:val="28"/>
          <w:szCs w:val="28"/>
        </w:rPr>
      </w:pPr>
    </w:p>
    <w:tbl>
      <w:tblPr>
        <w:tblW w:w="0" w:type="auto"/>
        <w:jc w:val="center"/>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3243"/>
        <w:gridCol w:w="6001"/>
      </w:tblGrid>
      <w:tr w:rsidR="00C26750" w:rsidRPr="005E1103" w:rsidTr="00C26750">
        <w:trPr>
          <w:trHeight w:val="1200"/>
          <w:jc w:val="center"/>
        </w:trPr>
        <w:tc>
          <w:tcPr>
            <w:tcW w:w="3243" w:type="dxa"/>
            <w:shd w:val="clear" w:color="auto" w:fill="auto"/>
            <w:vAlign w:val="center"/>
          </w:tcPr>
          <w:p w:rsidR="00C26750" w:rsidRPr="005E1103" w:rsidRDefault="00C26750" w:rsidP="00C26750">
            <w:pPr>
              <w:spacing w:after="0"/>
              <w:jc w:val="both"/>
              <w:rPr>
                <w:rFonts w:eastAsia="Times New Roman" w:cstheme="minorHAnsi"/>
                <w:b/>
                <w:bCs/>
                <w:color w:val="002060"/>
                <w:sz w:val="28"/>
                <w:szCs w:val="28"/>
                <w:lang w:eastAsia="es-ES"/>
              </w:rPr>
            </w:pPr>
            <w:r w:rsidRPr="005E1103">
              <w:rPr>
                <w:rFonts w:eastAsia="Times New Roman" w:cstheme="minorHAnsi"/>
                <w:b/>
                <w:bCs/>
                <w:color w:val="002060"/>
                <w:sz w:val="28"/>
                <w:szCs w:val="28"/>
                <w:lang w:eastAsia="es-ES"/>
              </w:rPr>
              <w:t>Grupo de trabajo 2</w:t>
            </w:r>
          </w:p>
          <w:p w:rsidR="00C26750" w:rsidRPr="005E1103" w:rsidRDefault="00C26750" w:rsidP="00C26750">
            <w:pPr>
              <w:spacing w:after="0" w:line="360" w:lineRule="auto"/>
              <w:jc w:val="both"/>
              <w:rPr>
                <w:rFonts w:eastAsia="Times New Roman" w:cstheme="minorHAnsi"/>
                <w:b/>
                <w:bCs/>
                <w:color w:val="002060"/>
                <w:sz w:val="28"/>
                <w:szCs w:val="28"/>
                <w:lang w:eastAsia="es-ES"/>
              </w:rPr>
            </w:pPr>
            <w:r w:rsidRPr="005E1103">
              <w:rPr>
                <w:rFonts w:eastAsia="Times New Roman" w:cstheme="minorHAnsi"/>
                <w:b/>
                <w:bCs/>
                <w:i/>
                <w:color w:val="002060"/>
                <w:sz w:val="28"/>
                <w:szCs w:val="28"/>
                <w:u w:val="single"/>
                <w:lang w:eastAsia="es-ES"/>
              </w:rPr>
              <w:t>Accesibilidad curricular y deporte inclusivo</w:t>
            </w:r>
          </w:p>
        </w:tc>
        <w:tc>
          <w:tcPr>
            <w:tcW w:w="6001" w:type="dxa"/>
            <w:shd w:val="clear" w:color="auto" w:fill="auto"/>
          </w:tcPr>
          <w:p w:rsidR="00C26750" w:rsidRPr="005E1103" w:rsidRDefault="00C26750" w:rsidP="00C26750">
            <w:pPr>
              <w:spacing w:after="0" w:line="360" w:lineRule="auto"/>
              <w:jc w:val="both"/>
              <w:rPr>
                <w:rFonts w:eastAsia="Times New Roman" w:cstheme="minorHAnsi"/>
                <w:color w:val="002060"/>
                <w:sz w:val="28"/>
                <w:szCs w:val="28"/>
                <w:lang w:eastAsia="es-ES"/>
              </w:rPr>
            </w:pPr>
            <w:r w:rsidRPr="005E1103">
              <w:rPr>
                <w:rFonts w:eastAsia="Times New Roman" w:cstheme="minorHAnsi"/>
                <w:color w:val="002060"/>
                <w:sz w:val="28"/>
                <w:szCs w:val="28"/>
                <w:lang w:eastAsia="es-ES"/>
              </w:rPr>
              <w:t>Políticas, medidas y estrategias para facilitar la accesibilidad en todos los ámbitos de la vida universitaria</w:t>
            </w:r>
          </w:p>
        </w:tc>
      </w:tr>
    </w:tbl>
    <w:p w:rsidR="00C26750" w:rsidRPr="005E1103" w:rsidRDefault="00C26750" w:rsidP="00C26750">
      <w:pPr>
        <w:spacing w:line="360" w:lineRule="auto"/>
        <w:rPr>
          <w:rFonts w:cstheme="minorHAnsi"/>
          <w:sz w:val="28"/>
          <w:szCs w:val="28"/>
        </w:rPr>
      </w:pPr>
    </w:p>
    <w:p w:rsidR="005B72C1" w:rsidRPr="005E1103" w:rsidRDefault="00C26750" w:rsidP="00C26750">
      <w:pPr>
        <w:spacing w:line="360" w:lineRule="auto"/>
        <w:rPr>
          <w:rFonts w:cstheme="minorHAnsi"/>
          <w:sz w:val="28"/>
          <w:szCs w:val="28"/>
        </w:rPr>
      </w:pPr>
      <w:r w:rsidRPr="005E1103">
        <w:rPr>
          <w:rFonts w:cstheme="minorHAnsi"/>
          <w:sz w:val="28"/>
          <w:szCs w:val="28"/>
        </w:rPr>
        <w:t>La Accesibilidad Universal y el Diseño para Todas las Personas es un principio general aceptado legalmente por todos los países, para garantizar entre otras cosas, la participación de todas las personas en el sistema educativo y los sistemas de aprendizaje. Promover el diseño, el desarrollo, la producción y la distribución de sistemas y tecnologías de la información y las comunicaciones accesibles para que estos sistemas y</w:t>
      </w:r>
    </w:p>
    <w:p w:rsidR="00C26750" w:rsidRPr="005E1103" w:rsidRDefault="00C26750" w:rsidP="00C26750">
      <w:pPr>
        <w:spacing w:after="0"/>
        <w:jc w:val="both"/>
        <w:rPr>
          <w:rFonts w:cstheme="minorHAnsi"/>
          <w:sz w:val="28"/>
          <w:szCs w:val="28"/>
        </w:rPr>
      </w:pPr>
      <w:r w:rsidRPr="005E1103">
        <w:rPr>
          <w:rFonts w:cstheme="minorHAnsi"/>
          <w:sz w:val="28"/>
          <w:szCs w:val="28"/>
        </w:rPr>
        <w:t xml:space="preserve">tecnologías sean accesibles al menor costo, es por tanto un nuevo enfoque pedagógico y un reto para todas las instituciones y también para las Universidades. En el ámbito </w:t>
      </w:r>
      <w:r w:rsidR="00995D7A" w:rsidRPr="005E1103">
        <w:rPr>
          <w:rFonts w:cstheme="minorHAnsi"/>
          <w:sz w:val="28"/>
          <w:szCs w:val="28"/>
        </w:rPr>
        <w:t>universitario es</w:t>
      </w:r>
      <w:r w:rsidRPr="005E1103">
        <w:rPr>
          <w:rFonts w:cstheme="minorHAnsi"/>
          <w:sz w:val="28"/>
          <w:szCs w:val="28"/>
        </w:rPr>
        <w:t xml:space="preserve"> necesario además incluir en los planes de estudios en que proceda, </w:t>
      </w:r>
      <w:r w:rsidRPr="005E1103">
        <w:rPr>
          <w:rFonts w:cstheme="minorHAnsi"/>
          <w:sz w:val="28"/>
          <w:szCs w:val="28"/>
        </w:rPr>
        <w:lastRenderedPageBreak/>
        <w:t xml:space="preserve">enseñanzas relacionadas con los Derechos Humanos y los principios de Accesibilidad Universal y el Diseño para Todas las Personas. </w:t>
      </w:r>
    </w:p>
    <w:p w:rsidR="00C26750" w:rsidRPr="005E1103" w:rsidRDefault="00C26750" w:rsidP="00C26750">
      <w:pPr>
        <w:spacing w:after="0"/>
        <w:jc w:val="both"/>
        <w:rPr>
          <w:rFonts w:cstheme="minorHAnsi"/>
          <w:sz w:val="28"/>
          <w:szCs w:val="28"/>
        </w:rPr>
      </w:pPr>
      <w:r w:rsidRPr="005E1103">
        <w:rPr>
          <w:rFonts w:cstheme="minorHAnsi"/>
          <w:sz w:val="28"/>
          <w:szCs w:val="28"/>
        </w:rPr>
        <w:t xml:space="preserve">Al mismo tiempo y dando cumplimiento a la Convención, es preciso llevar a cabo los ajustes razonables en pruebas y procesos </w:t>
      </w:r>
      <w:r w:rsidR="00995D7A" w:rsidRPr="005E1103">
        <w:rPr>
          <w:rFonts w:cstheme="minorHAnsi"/>
          <w:sz w:val="28"/>
          <w:szCs w:val="28"/>
        </w:rPr>
        <w:t>y garantizar</w:t>
      </w:r>
      <w:r w:rsidRPr="005E1103">
        <w:rPr>
          <w:rFonts w:cstheme="minorHAnsi"/>
          <w:sz w:val="28"/>
          <w:szCs w:val="28"/>
        </w:rPr>
        <w:t xml:space="preserve"> la accesibilidad de todo el alumnado a todas las actividades desarrolladas en el ámbito universitario, incluido el deporte adaptado y la actividad cultural y de ocio. Sin </w:t>
      </w:r>
      <w:r w:rsidR="00995D7A" w:rsidRPr="005E1103">
        <w:rPr>
          <w:rFonts w:cstheme="minorHAnsi"/>
          <w:sz w:val="28"/>
          <w:szCs w:val="28"/>
        </w:rPr>
        <w:t>embargo,</w:t>
      </w:r>
      <w:r w:rsidRPr="005E1103">
        <w:rPr>
          <w:rFonts w:cstheme="minorHAnsi"/>
          <w:sz w:val="28"/>
          <w:szCs w:val="28"/>
        </w:rPr>
        <w:t xml:space="preserve"> a menudo nos encontramos con obstáculos y barreras que impiden una participación plena, de ahí la importancia de conocer experiencias positivas y propuestas de cambio y de mejora.</w:t>
      </w:r>
    </w:p>
    <w:p w:rsidR="00C26750" w:rsidRPr="005E1103" w:rsidRDefault="00C26750" w:rsidP="00C26750">
      <w:pPr>
        <w:spacing w:after="0"/>
        <w:jc w:val="both"/>
        <w:rPr>
          <w:rFonts w:cstheme="minorHAnsi"/>
          <w:sz w:val="28"/>
          <w:szCs w:val="28"/>
        </w:rPr>
      </w:pPr>
    </w:p>
    <w:p w:rsidR="00C26750" w:rsidRPr="005E1103" w:rsidRDefault="00C26750" w:rsidP="00C26750">
      <w:pPr>
        <w:spacing w:after="0"/>
        <w:jc w:val="both"/>
        <w:rPr>
          <w:rFonts w:cstheme="minorHAnsi"/>
          <w:b/>
          <w:sz w:val="28"/>
          <w:szCs w:val="28"/>
        </w:rPr>
      </w:pPr>
      <w:r w:rsidRPr="005E1103">
        <w:rPr>
          <w:rFonts w:cstheme="minorHAnsi"/>
          <w:b/>
          <w:sz w:val="28"/>
          <w:szCs w:val="28"/>
        </w:rPr>
        <w:t xml:space="preserve">Objetivos: </w:t>
      </w:r>
    </w:p>
    <w:p w:rsidR="00C26750" w:rsidRPr="005E1103" w:rsidRDefault="00C26750" w:rsidP="00C26750">
      <w:pPr>
        <w:spacing w:after="0"/>
        <w:jc w:val="both"/>
        <w:rPr>
          <w:rFonts w:cstheme="minorHAnsi"/>
          <w:b/>
          <w:sz w:val="28"/>
          <w:szCs w:val="28"/>
        </w:rPr>
      </w:pPr>
    </w:p>
    <w:p w:rsidR="00C26750" w:rsidRPr="005E1103" w:rsidRDefault="00C26750" w:rsidP="00C26750">
      <w:pPr>
        <w:numPr>
          <w:ilvl w:val="0"/>
          <w:numId w:val="20"/>
        </w:numPr>
        <w:spacing w:after="0" w:line="276" w:lineRule="auto"/>
        <w:jc w:val="both"/>
        <w:rPr>
          <w:rFonts w:cstheme="minorHAnsi"/>
          <w:color w:val="002060"/>
          <w:sz w:val="28"/>
          <w:szCs w:val="28"/>
        </w:rPr>
      </w:pPr>
      <w:r w:rsidRPr="005E1103">
        <w:rPr>
          <w:rFonts w:cstheme="minorHAnsi"/>
          <w:sz w:val="28"/>
          <w:szCs w:val="28"/>
        </w:rPr>
        <w:t>Conocer y difundir buenas prácticas de accesibilidad curricular</w:t>
      </w:r>
    </w:p>
    <w:p w:rsidR="00C26750" w:rsidRPr="005E1103" w:rsidRDefault="00C26750" w:rsidP="00C26750">
      <w:pPr>
        <w:numPr>
          <w:ilvl w:val="0"/>
          <w:numId w:val="20"/>
        </w:numPr>
        <w:tabs>
          <w:tab w:val="left" w:pos="9781"/>
        </w:tabs>
        <w:spacing w:after="0" w:line="276" w:lineRule="auto"/>
        <w:jc w:val="both"/>
        <w:rPr>
          <w:rFonts w:eastAsia="Times New Roman" w:cstheme="minorHAnsi"/>
          <w:sz w:val="28"/>
          <w:szCs w:val="28"/>
          <w:lang w:eastAsia="es-ES"/>
        </w:rPr>
      </w:pPr>
      <w:r w:rsidRPr="005E1103">
        <w:rPr>
          <w:rFonts w:eastAsia="Times New Roman" w:cstheme="minorHAnsi"/>
          <w:sz w:val="28"/>
          <w:szCs w:val="28"/>
          <w:lang w:eastAsia="es-ES"/>
        </w:rPr>
        <w:t>Avanzar en la inclusión y difusión</w:t>
      </w:r>
      <w:r w:rsidRPr="005E1103">
        <w:rPr>
          <w:rFonts w:cstheme="minorHAnsi"/>
          <w:sz w:val="28"/>
          <w:szCs w:val="28"/>
        </w:rPr>
        <w:t xml:space="preserve"> </w:t>
      </w:r>
      <w:r w:rsidRPr="005E1103">
        <w:rPr>
          <w:rFonts w:eastAsia="Times New Roman" w:cstheme="minorHAnsi"/>
          <w:sz w:val="28"/>
          <w:szCs w:val="28"/>
          <w:lang w:eastAsia="es-ES"/>
        </w:rPr>
        <w:t>de los criterios del Diseño para Todas las Personas, en los títulos de Grado y Posgrado y su impacto en la sociedad.</w:t>
      </w:r>
    </w:p>
    <w:p w:rsidR="00C26750" w:rsidRPr="005E1103" w:rsidRDefault="00C26750" w:rsidP="00C26750">
      <w:pPr>
        <w:numPr>
          <w:ilvl w:val="0"/>
          <w:numId w:val="20"/>
        </w:numPr>
        <w:spacing w:after="0" w:line="276" w:lineRule="auto"/>
        <w:jc w:val="both"/>
        <w:rPr>
          <w:rFonts w:cstheme="minorHAnsi"/>
          <w:sz w:val="28"/>
          <w:szCs w:val="28"/>
        </w:rPr>
      </w:pPr>
      <w:r w:rsidRPr="005E1103">
        <w:rPr>
          <w:rFonts w:eastAsia="Times New Roman" w:cstheme="minorHAnsi"/>
          <w:sz w:val="28"/>
          <w:szCs w:val="28"/>
          <w:lang w:eastAsia="es-ES"/>
        </w:rPr>
        <w:t>Potenciar que todos los planes de estudios que diseñen las Universidades tengan presente que la formación en cualquier actividad profesional debe realizarse desde el respeto y la promoción de los Derechos Humanos y la igualdad de oportunidades de todas las personas.</w:t>
      </w:r>
    </w:p>
    <w:p w:rsidR="00C26750" w:rsidRPr="005E1103" w:rsidRDefault="00C26750" w:rsidP="00C26750">
      <w:pPr>
        <w:numPr>
          <w:ilvl w:val="0"/>
          <w:numId w:val="20"/>
        </w:numPr>
        <w:spacing w:after="0" w:line="276" w:lineRule="auto"/>
        <w:jc w:val="both"/>
        <w:rPr>
          <w:rFonts w:cstheme="minorHAnsi"/>
          <w:sz w:val="28"/>
          <w:szCs w:val="28"/>
        </w:rPr>
      </w:pPr>
      <w:r w:rsidRPr="005E1103">
        <w:rPr>
          <w:rFonts w:cstheme="minorHAnsi"/>
          <w:sz w:val="28"/>
          <w:szCs w:val="28"/>
        </w:rPr>
        <w:t xml:space="preserve">Conocer buenas prácticas y experiencias exitosas en la inclusión de la Accesibilidad Universal y del Diseño para Todas las Personas en los currículos formativos de titulaciones universitarias de Grado y Posgrado. </w:t>
      </w:r>
    </w:p>
    <w:p w:rsidR="00C26750" w:rsidRPr="005E1103" w:rsidRDefault="00C26750" w:rsidP="00C26750">
      <w:pPr>
        <w:numPr>
          <w:ilvl w:val="0"/>
          <w:numId w:val="20"/>
        </w:numPr>
        <w:spacing w:after="0" w:line="276" w:lineRule="auto"/>
        <w:jc w:val="both"/>
        <w:rPr>
          <w:rFonts w:cstheme="minorHAnsi"/>
          <w:color w:val="002060"/>
          <w:sz w:val="28"/>
          <w:szCs w:val="28"/>
        </w:rPr>
      </w:pPr>
      <w:r w:rsidRPr="005E1103">
        <w:rPr>
          <w:rFonts w:cstheme="minorHAnsi"/>
          <w:sz w:val="28"/>
          <w:szCs w:val="28"/>
        </w:rPr>
        <w:t xml:space="preserve">Conocer y difundir estudios e investigaciones universitarias sobre Accesibilidad Universal y Diseño para Todas las Personas. </w:t>
      </w:r>
    </w:p>
    <w:p w:rsidR="00C26750" w:rsidRPr="005E1103" w:rsidRDefault="00C26750" w:rsidP="00C26750">
      <w:pPr>
        <w:numPr>
          <w:ilvl w:val="0"/>
          <w:numId w:val="20"/>
        </w:numPr>
        <w:spacing w:after="0" w:line="276" w:lineRule="auto"/>
        <w:jc w:val="both"/>
        <w:rPr>
          <w:rFonts w:cstheme="minorHAnsi"/>
          <w:color w:val="002060"/>
          <w:sz w:val="28"/>
          <w:szCs w:val="28"/>
        </w:rPr>
      </w:pPr>
      <w:r w:rsidRPr="005E1103">
        <w:rPr>
          <w:rFonts w:cstheme="minorHAnsi"/>
          <w:sz w:val="28"/>
          <w:szCs w:val="28"/>
        </w:rPr>
        <w:t>Conocer prácticas y experiencias de fomento del deporte inclusivo en el ámbito universitario</w:t>
      </w:r>
    </w:p>
    <w:p w:rsidR="00C26750" w:rsidRPr="005E1103" w:rsidRDefault="00C26750" w:rsidP="00C26750">
      <w:pPr>
        <w:spacing w:after="0" w:line="240" w:lineRule="auto"/>
        <w:jc w:val="center"/>
        <w:rPr>
          <w:rFonts w:eastAsia="Times New Roman" w:cstheme="minorHAnsi"/>
          <w:b/>
          <w:sz w:val="28"/>
          <w:szCs w:val="28"/>
          <w:lang w:eastAsia="es-ES"/>
        </w:rPr>
      </w:pPr>
    </w:p>
    <w:p w:rsidR="00C26750" w:rsidRPr="005E1103" w:rsidRDefault="00C26750" w:rsidP="00C26750">
      <w:pPr>
        <w:spacing w:after="0" w:line="240" w:lineRule="auto"/>
        <w:rPr>
          <w:rFonts w:eastAsia="Times New Roman" w:cstheme="minorHAnsi"/>
          <w:b/>
          <w:sz w:val="28"/>
          <w:szCs w:val="28"/>
          <w:lang w:eastAsia="es-ES"/>
        </w:rPr>
      </w:pPr>
    </w:p>
    <w:p w:rsidR="00995D7A" w:rsidRDefault="00995D7A">
      <w:pPr>
        <w:rPr>
          <w:rFonts w:eastAsia="Times New Roman" w:cstheme="minorHAnsi"/>
          <w:b/>
          <w:sz w:val="28"/>
          <w:szCs w:val="28"/>
          <w:lang w:eastAsia="es-ES"/>
        </w:rPr>
      </w:pPr>
      <w:r>
        <w:rPr>
          <w:rFonts w:eastAsia="Times New Roman" w:cstheme="minorHAnsi"/>
          <w:b/>
          <w:sz w:val="28"/>
          <w:szCs w:val="28"/>
          <w:lang w:eastAsia="es-ES"/>
        </w:rPr>
        <w:br w:type="page"/>
      </w:r>
    </w:p>
    <w:p w:rsidR="00C26750" w:rsidRPr="005E1103" w:rsidRDefault="00C26750" w:rsidP="00C26750">
      <w:pPr>
        <w:spacing w:line="360" w:lineRule="auto"/>
        <w:rPr>
          <w:rFonts w:cstheme="minorHAnsi"/>
          <w:sz w:val="28"/>
          <w:szCs w:val="28"/>
        </w:rPr>
      </w:pPr>
    </w:p>
    <w:p w:rsidR="00C26750" w:rsidRPr="005E1103" w:rsidRDefault="00C26750" w:rsidP="00C26750">
      <w:pPr>
        <w:spacing w:after="0" w:line="240" w:lineRule="auto"/>
        <w:jc w:val="center"/>
        <w:rPr>
          <w:rFonts w:eastAsia="Times New Roman" w:cstheme="minorHAnsi"/>
          <w:b/>
          <w:sz w:val="28"/>
          <w:szCs w:val="28"/>
          <w:lang w:eastAsia="es-ES"/>
        </w:rPr>
      </w:pPr>
    </w:p>
    <w:p w:rsidR="00C26750" w:rsidRPr="005E1103" w:rsidRDefault="00C26750" w:rsidP="00C26750">
      <w:pPr>
        <w:spacing w:after="0" w:line="240" w:lineRule="auto"/>
        <w:jc w:val="center"/>
        <w:rPr>
          <w:rFonts w:eastAsia="Times New Roman" w:cstheme="minorHAnsi"/>
          <w:b/>
          <w:sz w:val="28"/>
          <w:szCs w:val="28"/>
          <w:lang w:eastAsia="es-ES"/>
        </w:rPr>
      </w:pPr>
    </w:p>
    <w:p w:rsidR="00C26750" w:rsidRPr="005E1103" w:rsidRDefault="00C26750" w:rsidP="00C26750">
      <w:pPr>
        <w:spacing w:after="0" w:line="240" w:lineRule="auto"/>
        <w:jc w:val="center"/>
        <w:rPr>
          <w:rFonts w:eastAsia="Times New Roman" w:cstheme="minorHAnsi"/>
          <w:b/>
          <w:sz w:val="28"/>
          <w:szCs w:val="28"/>
          <w:lang w:eastAsia="es-ES"/>
        </w:rPr>
      </w:pPr>
      <w:r w:rsidRPr="005E1103">
        <w:rPr>
          <w:rFonts w:eastAsia="Times New Roman" w:cstheme="minorHAnsi"/>
          <w:b/>
          <w:sz w:val="28"/>
          <w:szCs w:val="28"/>
          <w:lang w:eastAsia="es-ES"/>
        </w:rPr>
        <w:t>ÍNDICE Y ORDEN DE COMUNICACIONES</w:t>
      </w:r>
    </w:p>
    <w:p w:rsidR="00C26750" w:rsidRPr="005E1103" w:rsidRDefault="00C26750" w:rsidP="00C26750">
      <w:pPr>
        <w:spacing w:after="0" w:line="240" w:lineRule="auto"/>
        <w:jc w:val="both"/>
        <w:rPr>
          <w:rFonts w:eastAsia="Times New Roman" w:cstheme="minorHAnsi"/>
          <w:sz w:val="28"/>
          <w:szCs w:val="28"/>
          <w:lang w:eastAsia="es-ES"/>
        </w:rPr>
      </w:pPr>
    </w:p>
    <w:tbl>
      <w:tblPr>
        <w:tblW w:w="9627" w:type="dxa"/>
        <w:jc w:val="center"/>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424"/>
        <w:gridCol w:w="3402"/>
        <w:gridCol w:w="3011"/>
        <w:gridCol w:w="2790"/>
      </w:tblGrid>
      <w:tr w:rsidR="00C26750" w:rsidRPr="005E1103" w:rsidTr="00C26750">
        <w:trPr>
          <w:trHeight w:val="675"/>
          <w:jc w:val="center"/>
        </w:trPr>
        <w:tc>
          <w:tcPr>
            <w:tcW w:w="424" w:type="dxa"/>
            <w:shd w:val="clear" w:color="auto" w:fill="C00000"/>
          </w:tcPr>
          <w:p w:rsidR="00C26750" w:rsidRPr="005E1103" w:rsidRDefault="00C26750" w:rsidP="00C26750">
            <w:pPr>
              <w:spacing w:after="0" w:line="240" w:lineRule="auto"/>
              <w:jc w:val="center"/>
              <w:rPr>
                <w:rFonts w:eastAsia="Times New Roman" w:cstheme="minorHAnsi"/>
                <w:b/>
                <w:bCs/>
                <w:color w:val="000000"/>
                <w:sz w:val="28"/>
                <w:szCs w:val="28"/>
                <w:lang w:eastAsia="es-ES"/>
              </w:rPr>
            </w:pPr>
          </w:p>
        </w:tc>
        <w:tc>
          <w:tcPr>
            <w:tcW w:w="3402" w:type="dxa"/>
            <w:tcBorders>
              <w:top w:val="single" w:sz="12" w:space="0" w:color="auto"/>
              <w:bottom w:val="single" w:sz="8" w:space="0" w:color="auto"/>
            </w:tcBorders>
            <w:shd w:val="clear" w:color="auto" w:fill="C00000"/>
            <w:noWrap/>
            <w:vAlign w:val="center"/>
            <w:hideMark/>
          </w:tcPr>
          <w:p w:rsidR="00C26750" w:rsidRPr="005E1103" w:rsidRDefault="00C26750" w:rsidP="00C26750">
            <w:pPr>
              <w:spacing w:after="0" w:line="240" w:lineRule="auto"/>
              <w:jc w:val="center"/>
              <w:rPr>
                <w:rFonts w:eastAsia="Times New Roman" w:cstheme="minorHAnsi"/>
                <w:b/>
                <w:bCs/>
                <w:color w:val="000000"/>
                <w:sz w:val="28"/>
                <w:szCs w:val="28"/>
                <w:lang w:eastAsia="es-ES"/>
              </w:rPr>
            </w:pPr>
            <w:r w:rsidRPr="005E1103">
              <w:rPr>
                <w:rFonts w:eastAsia="Times New Roman" w:cstheme="minorHAnsi"/>
                <w:b/>
                <w:bCs/>
                <w:color w:val="000000"/>
                <w:sz w:val="28"/>
                <w:szCs w:val="28"/>
                <w:lang w:eastAsia="es-ES"/>
              </w:rPr>
              <w:t>Autores</w:t>
            </w:r>
          </w:p>
        </w:tc>
        <w:tc>
          <w:tcPr>
            <w:tcW w:w="3011" w:type="dxa"/>
            <w:tcBorders>
              <w:bottom w:val="single" w:sz="8" w:space="0" w:color="auto"/>
            </w:tcBorders>
            <w:shd w:val="clear" w:color="auto" w:fill="C00000"/>
            <w:noWrap/>
            <w:vAlign w:val="center"/>
            <w:hideMark/>
          </w:tcPr>
          <w:p w:rsidR="00C26750" w:rsidRPr="005E1103" w:rsidRDefault="00C26750" w:rsidP="00C26750">
            <w:pPr>
              <w:spacing w:after="0" w:line="240" w:lineRule="auto"/>
              <w:jc w:val="center"/>
              <w:rPr>
                <w:rFonts w:eastAsia="Times New Roman" w:cstheme="minorHAnsi"/>
                <w:b/>
                <w:bCs/>
                <w:color w:val="000000"/>
                <w:sz w:val="28"/>
                <w:szCs w:val="28"/>
                <w:lang w:eastAsia="es-ES"/>
              </w:rPr>
            </w:pPr>
            <w:r w:rsidRPr="005E1103">
              <w:rPr>
                <w:rFonts w:eastAsia="Times New Roman" w:cstheme="minorHAnsi"/>
                <w:b/>
                <w:bCs/>
                <w:color w:val="000000"/>
                <w:sz w:val="28"/>
                <w:szCs w:val="28"/>
                <w:lang w:eastAsia="es-ES"/>
              </w:rPr>
              <w:t>Universidad/Institución</w:t>
            </w:r>
          </w:p>
        </w:tc>
        <w:tc>
          <w:tcPr>
            <w:tcW w:w="2790" w:type="dxa"/>
            <w:shd w:val="clear" w:color="auto" w:fill="C00000"/>
            <w:noWrap/>
            <w:vAlign w:val="center"/>
            <w:hideMark/>
          </w:tcPr>
          <w:p w:rsidR="00C26750" w:rsidRPr="005E1103" w:rsidRDefault="00C26750" w:rsidP="00C26750">
            <w:pPr>
              <w:spacing w:after="0" w:line="240" w:lineRule="auto"/>
              <w:jc w:val="center"/>
              <w:rPr>
                <w:rFonts w:eastAsia="Times New Roman" w:cstheme="minorHAnsi"/>
                <w:b/>
                <w:bCs/>
                <w:color w:val="000000"/>
                <w:sz w:val="28"/>
                <w:szCs w:val="28"/>
                <w:lang w:eastAsia="es-ES"/>
              </w:rPr>
            </w:pPr>
            <w:r w:rsidRPr="005E1103">
              <w:rPr>
                <w:rFonts w:eastAsia="Times New Roman" w:cstheme="minorHAnsi"/>
                <w:b/>
                <w:bCs/>
                <w:color w:val="000000"/>
                <w:sz w:val="28"/>
                <w:szCs w:val="28"/>
                <w:lang w:eastAsia="es-ES"/>
              </w:rPr>
              <w:t>Título</w:t>
            </w:r>
          </w:p>
        </w:tc>
      </w:tr>
      <w:tr w:rsidR="00C26750" w:rsidRPr="005E1103" w:rsidTr="00C26750">
        <w:trPr>
          <w:trHeight w:val="315"/>
          <w:jc w:val="center"/>
        </w:trPr>
        <w:tc>
          <w:tcPr>
            <w:tcW w:w="424" w:type="dxa"/>
            <w:shd w:val="clear" w:color="auto" w:fill="C00000"/>
            <w:vAlign w:val="center"/>
          </w:tcPr>
          <w:p w:rsidR="00C26750" w:rsidRPr="005E1103" w:rsidRDefault="00C26750" w:rsidP="00C26750">
            <w:pPr>
              <w:spacing w:after="0" w:line="240" w:lineRule="auto"/>
              <w:rPr>
                <w:rFonts w:eastAsia="Times New Roman" w:cstheme="minorHAnsi"/>
                <w:b/>
                <w:bCs/>
                <w:sz w:val="28"/>
                <w:szCs w:val="28"/>
                <w:lang w:eastAsia="es-ES"/>
              </w:rPr>
            </w:pPr>
            <w:r w:rsidRPr="005E1103">
              <w:rPr>
                <w:rFonts w:eastAsia="Times New Roman" w:cstheme="minorHAnsi"/>
                <w:b/>
                <w:bCs/>
                <w:sz w:val="28"/>
                <w:szCs w:val="28"/>
                <w:lang w:eastAsia="es-ES"/>
              </w:rPr>
              <w:t>1</w:t>
            </w:r>
          </w:p>
        </w:tc>
        <w:tc>
          <w:tcPr>
            <w:tcW w:w="3402" w:type="dxa"/>
            <w:tcBorders>
              <w:top w:val="single" w:sz="8" w:space="0" w:color="auto"/>
            </w:tcBorders>
            <w:shd w:val="clear" w:color="auto" w:fill="C00000"/>
            <w:noWrap/>
            <w:vAlign w:val="center"/>
          </w:tcPr>
          <w:p w:rsidR="00C26750" w:rsidRPr="005E1103" w:rsidRDefault="00C26750" w:rsidP="00C26750">
            <w:pPr>
              <w:spacing w:after="0" w:line="240" w:lineRule="auto"/>
              <w:jc w:val="both"/>
              <w:rPr>
                <w:rFonts w:cstheme="minorHAnsi"/>
                <w:b/>
                <w:sz w:val="28"/>
                <w:szCs w:val="28"/>
              </w:rPr>
            </w:pPr>
            <w:r w:rsidRPr="005E1103">
              <w:rPr>
                <w:rFonts w:eastAsia="Times New Roman" w:cstheme="minorHAnsi"/>
                <w:b/>
                <w:bCs/>
                <w:sz w:val="28"/>
                <w:szCs w:val="28"/>
                <w:lang w:eastAsia="es-ES"/>
              </w:rPr>
              <w:t>Francisco Ayuga, Miguel Esteban, José Antonio Juncà y Fernando López</w:t>
            </w:r>
          </w:p>
        </w:tc>
        <w:tc>
          <w:tcPr>
            <w:tcW w:w="3011" w:type="dxa"/>
            <w:tcBorders>
              <w:top w:val="single" w:sz="8" w:space="0" w:color="auto"/>
              <w:bottom w:val="single" w:sz="8" w:space="0" w:color="auto"/>
            </w:tcBorders>
            <w:shd w:val="clear" w:color="auto" w:fill="BFBFBF" w:themeFill="background1" w:themeFillShade="BF"/>
            <w:noWrap/>
            <w:vAlign w:val="center"/>
          </w:tcPr>
          <w:p w:rsidR="00C26750" w:rsidRPr="005E1103" w:rsidRDefault="00C26750" w:rsidP="00C26750">
            <w:pPr>
              <w:spacing w:after="0" w:line="240" w:lineRule="auto"/>
              <w:jc w:val="both"/>
              <w:rPr>
                <w:rFonts w:eastAsia="Times New Roman" w:cstheme="minorHAnsi"/>
                <w:b/>
                <w:sz w:val="28"/>
                <w:szCs w:val="28"/>
                <w:lang w:eastAsia="es-ES"/>
              </w:rPr>
            </w:pPr>
            <w:r w:rsidRPr="005E1103">
              <w:rPr>
                <w:rFonts w:eastAsia="Times New Roman" w:cstheme="minorHAnsi"/>
                <w:b/>
                <w:sz w:val="28"/>
                <w:szCs w:val="28"/>
                <w:lang w:eastAsia="es-ES"/>
              </w:rPr>
              <w:t>Comité de Edificación. Instituto de la Ingeniería de España</w:t>
            </w:r>
          </w:p>
        </w:tc>
        <w:tc>
          <w:tcPr>
            <w:tcW w:w="2790" w:type="dxa"/>
            <w:shd w:val="clear" w:color="auto" w:fill="BFBFBF" w:themeFill="background1" w:themeFillShade="BF"/>
            <w:vAlign w:val="center"/>
          </w:tcPr>
          <w:p w:rsidR="00C26750" w:rsidRPr="005E1103" w:rsidRDefault="00C26750" w:rsidP="00C26750">
            <w:pPr>
              <w:rPr>
                <w:rFonts w:eastAsia="Times New Roman" w:cstheme="minorHAnsi"/>
                <w:sz w:val="28"/>
                <w:szCs w:val="28"/>
                <w:lang w:eastAsia="es-ES"/>
              </w:rPr>
            </w:pPr>
            <w:r w:rsidRPr="005E1103">
              <w:rPr>
                <w:rFonts w:eastAsia="Times New Roman" w:cstheme="minorHAnsi"/>
                <w:sz w:val="28"/>
                <w:szCs w:val="28"/>
                <w:lang w:eastAsia="es-ES"/>
              </w:rPr>
              <w:t>El Ciclo de Sesiones sobre Ingeniería y Accesibilidad como vínculo de la Universidad con la formación en accesibilidad</w:t>
            </w:r>
          </w:p>
          <w:p w:rsidR="00C26750" w:rsidRPr="005E1103" w:rsidRDefault="00C26750" w:rsidP="00C26750">
            <w:pPr>
              <w:pStyle w:val="Ttulo1"/>
              <w:rPr>
                <w:rFonts w:asciiTheme="minorHAnsi" w:eastAsia="Times New Roman" w:hAnsiTheme="minorHAnsi" w:cstheme="minorHAnsi"/>
                <w:b w:val="0"/>
                <w:bCs w:val="0"/>
                <w:color w:val="auto"/>
                <w:lang w:eastAsia="es-ES"/>
              </w:rPr>
            </w:pPr>
          </w:p>
        </w:tc>
      </w:tr>
      <w:tr w:rsidR="00C26750" w:rsidRPr="005E1103" w:rsidTr="00C26750">
        <w:trPr>
          <w:trHeight w:val="315"/>
          <w:jc w:val="center"/>
        </w:trPr>
        <w:tc>
          <w:tcPr>
            <w:tcW w:w="424" w:type="dxa"/>
            <w:shd w:val="clear" w:color="auto" w:fill="C00000"/>
            <w:vAlign w:val="center"/>
          </w:tcPr>
          <w:p w:rsidR="00C26750" w:rsidRPr="005E1103" w:rsidRDefault="00C26750" w:rsidP="00C26750">
            <w:pPr>
              <w:spacing w:after="0" w:line="240" w:lineRule="auto"/>
              <w:rPr>
                <w:rFonts w:eastAsia="Times New Roman" w:cstheme="minorHAnsi"/>
                <w:b/>
                <w:bCs/>
                <w:sz w:val="28"/>
                <w:szCs w:val="28"/>
                <w:lang w:eastAsia="es-ES"/>
              </w:rPr>
            </w:pPr>
            <w:r w:rsidRPr="005E1103">
              <w:rPr>
                <w:rFonts w:eastAsia="Times New Roman" w:cstheme="minorHAnsi"/>
                <w:b/>
                <w:bCs/>
                <w:sz w:val="28"/>
                <w:szCs w:val="28"/>
                <w:lang w:eastAsia="es-ES"/>
              </w:rPr>
              <w:t>2</w:t>
            </w:r>
          </w:p>
        </w:tc>
        <w:tc>
          <w:tcPr>
            <w:tcW w:w="3402" w:type="dxa"/>
            <w:tcBorders>
              <w:top w:val="single" w:sz="8" w:space="0" w:color="auto"/>
            </w:tcBorders>
            <w:shd w:val="clear" w:color="auto" w:fill="C00000"/>
            <w:noWrap/>
            <w:vAlign w:val="center"/>
          </w:tcPr>
          <w:p w:rsidR="00C26750" w:rsidRPr="005E1103" w:rsidRDefault="00C26750" w:rsidP="00C26750">
            <w:pPr>
              <w:spacing w:after="0" w:line="240" w:lineRule="auto"/>
              <w:jc w:val="both"/>
              <w:rPr>
                <w:rFonts w:eastAsia="Times New Roman" w:cstheme="minorHAnsi"/>
                <w:b/>
                <w:bCs/>
                <w:sz w:val="28"/>
                <w:szCs w:val="28"/>
                <w:lang w:eastAsia="es-ES"/>
              </w:rPr>
            </w:pPr>
            <w:r w:rsidRPr="005E1103">
              <w:rPr>
                <w:rFonts w:cstheme="minorHAnsi"/>
                <w:b/>
                <w:sz w:val="28"/>
                <w:szCs w:val="28"/>
              </w:rPr>
              <w:t>Delfín Jiménez Martín</w:t>
            </w:r>
          </w:p>
        </w:tc>
        <w:tc>
          <w:tcPr>
            <w:tcW w:w="3011" w:type="dxa"/>
            <w:tcBorders>
              <w:top w:val="single" w:sz="8" w:space="0" w:color="auto"/>
              <w:bottom w:val="single" w:sz="8" w:space="0" w:color="auto"/>
            </w:tcBorders>
            <w:shd w:val="clear" w:color="auto" w:fill="BFBFBF" w:themeFill="background1" w:themeFillShade="BF"/>
            <w:noWrap/>
            <w:vAlign w:val="center"/>
          </w:tcPr>
          <w:p w:rsidR="00C26750" w:rsidRPr="005E1103" w:rsidRDefault="00C26750" w:rsidP="00C26750">
            <w:pPr>
              <w:spacing w:after="0" w:line="240" w:lineRule="auto"/>
              <w:jc w:val="both"/>
              <w:rPr>
                <w:rFonts w:eastAsia="Times New Roman" w:cstheme="minorHAnsi"/>
                <w:b/>
                <w:sz w:val="28"/>
                <w:szCs w:val="28"/>
                <w:lang w:eastAsia="es-ES"/>
              </w:rPr>
            </w:pPr>
            <w:r w:rsidRPr="005E1103">
              <w:rPr>
                <w:rFonts w:eastAsia="Times New Roman" w:cstheme="minorHAnsi"/>
                <w:b/>
                <w:sz w:val="28"/>
                <w:szCs w:val="28"/>
                <w:lang w:eastAsia="es-ES"/>
              </w:rPr>
              <w:t>Universidad de Jaén</w:t>
            </w:r>
          </w:p>
        </w:tc>
        <w:tc>
          <w:tcPr>
            <w:tcW w:w="2790" w:type="dxa"/>
            <w:shd w:val="clear" w:color="auto" w:fill="BFBFBF" w:themeFill="background1" w:themeFillShade="BF"/>
            <w:vAlign w:val="center"/>
          </w:tcPr>
          <w:p w:rsidR="00C26750" w:rsidRPr="005E1103" w:rsidRDefault="00C26750" w:rsidP="00C26750">
            <w:pPr>
              <w:pStyle w:val="Ttulo1"/>
              <w:rPr>
                <w:rFonts w:asciiTheme="minorHAnsi" w:eastAsia="Times New Roman" w:hAnsiTheme="minorHAnsi" w:cstheme="minorHAnsi"/>
                <w:b w:val="0"/>
                <w:bCs w:val="0"/>
                <w:color w:val="auto"/>
                <w:lang w:eastAsia="es-ES"/>
              </w:rPr>
            </w:pPr>
            <w:r w:rsidRPr="005E1103">
              <w:rPr>
                <w:rFonts w:asciiTheme="minorHAnsi" w:eastAsia="Times New Roman" w:hAnsiTheme="minorHAnsi" w:cstheme="minorHAnsi"/>
                <w:b w:val="0"/>
                <w:bCs w:val="0"/>
                <w:color w:val="auto"/>
                <w:lang w:eastAsia="es-ES"/>
              </w:rPr>
              <w:t>La necesidad de transversalidad en la formación sobre Accesibilidad Universal y Diseño para todas las personas en la Educación Universitaria</w:t>
            </w:r>
          </w:p>
          <w:p w:rsidR="00C26750" w:rsidRPr="005E1103" w:rsidRDefault="00C26750" w:rsidP="00C26750">
            <w:pPr>
              <w:spacing w:after="0" w:line="240" w:lineRule="auto"/>
              <w:jc w:val="both"/>
              <w:rPr>
                <w:rFonts w:eastAsia="Times New Roman" w:cstheme="minorHAnsi"/>
                <w:sz w:val="28"/>
                <w:szCs w:val="28"/>
                <w:lang w:eastAsia="es-ES"/>
              </w:rPr>
            </w:pPr>
          </w:p>
        </w:tc>
      </w:tr>
      <w:tr w:rsidR="00C26750" w:rsidRPr="005E1103" w:rsidTr="00C26750">
        <w:trPr>
          <w:trHeight w:val="2009"/>
          <w:jc w:val="center"/>
        </w:trPr>
        <w:tc>
          <w:tcPr>
            <w:tcW w:w="424" w:type="dxa"/>
            <w:shd w:val="clear" w:color="auto" w:fill="C00000"/>
            <w:vAlign w:val="center"/>
          </w:tcPr>
          <w:p w:rsidR="00C26750" w:rsidRPr="005E1103" w:rsidRDefault="00C26750" w:rsidP="00C26750">
            <w:pPr>
              <w:spacing w:after="0" w:line="240" w:lineRule="auto"/>
              <w:rPr>
                <w:rFonts w:eastAsia="Times New Roman" w:cstheme="minorHAnsi"/>
                <w:b/>
                <w:bCs/>
                <w:sz w:val="28"/>
                <w:szCs w:val="28"/>
                <w:lang w:eastAsia="es-ES"/>
              </w:rPr>
            </w:pPr>
            <w:r w:rsidRPr="005E1103">
              <w:rPr>
                <w:rFonts w:eastAsia="Times New Roman" w:cstheme="minorHAnsi"/>
                <w:b/>
                <w:bCs/>
                <w:sz w:val="28"/>
                <w:szCs w:val="28"/>
                <w:lang w:eastAsia="es-ES"/>
              </w:rPr>
              <w:t>3</w:t>
            </w:r>
          </w:p>
        </w:tc>
        <w:tc>
          <w:tcPr>
            <w:tcW w:w="3402" w:type="dxa"/>
            <w:shd w:val="clear" w:color="auto" w:fill="C00000"/>
            <w:noWrap/>
            <w:vAlign w:val="center"/>
          </w:tcPr>
          <w:p w:rsidR="00C26750" w:rsidRPr="005E1103" w:rsidRDefault="00C26750" w:rsidP="00C26750">
            <w:pPr>
              <w:spacing w:line="360" w:lineRule="auto"/>
              <w:ind w:right="277"/>
              <w:rPr>
                <w:rFonts w:eastAsia="Times New Roman" w:cstheme="minorHAnsi"/>
                <w:b/>
                <w:bCs/>
                <w:sz w:val="28"/>
                <w:szCs w:val="28"/>
                <w:lang w:eastAsia="es-ES"/>
              </w:rPr>
            </w:pPr>
            <w:r w:rsidRPr="005E1103">
              <w:rPr>
                <w:rFonts w:eastAsia="Times New Roman" w:cstheme="minorHAnsi"/>
                <w:b/>
                <w:bCs/>
                <w:sz w:val="28"/>
                <w:szCs w:val="28"/>
                <w:lang w:eastAsia="es-ES"/>
              </w:rPr>
              <w:t>Marcelo Barrios, Julio Putalla, Gabriela Torres, Mario Zorrilla y Juan Pablo Zalazar</w:t>
            </w:r>
          </w:p>
          <w:p w:rsidR="00C26750" w:rsidRPr="005E1103" w:rsidRDefault="00C26750" w:rsidP="00C26750">
            <w:pPr>
              <w:spacing w:after="0" w:line="240" w:lineRule="auto"/>
              <w:jc w:val="both"/>
              <w:rPr>
                <w:rFonts w:eastAsia="Times New Roman" w:cstheme="minorHAnsi"/>
                <w:b/>
                <w:bCs/>
                <w:sz w:val="28"/>
                <w:szCs w:val="28"/>
                <w:lang w:eastAsia="es-ES"/>
              </w:rPr>
            </w:pPr>
          </w:p>
        </w:tc>
        <w:tc>
          <w:tcPr>
            <w:tcW w:w="3011" w:type="dxa"/>
            <w:shd w:val="clear" w:color="auto" w:fill="BFBFBF" w:themeFill="background1" w:themeFillShade="BF"/>
            <w:noWrap/>
            <w:vAlign w:val="center"/>
          </w:tcPr>
          <w:p w:rsidR="00C26750" w:rsidRPr="005E1103" w:rsidRDefault="00C26750" w:rsidP="00C26750">
            <w:pPr>
              <w:autoSpaceDE w:val="0"/>
              <w:autoSpaceDN w:val="0"/>
              <w:adjustRightInd w:val="0"/>
              <w:spacing w:after="0" w:line="240" w:lineRule="auto"/>
              <w:rPr>
                <w:rFonts w:eastAsia="Times New Roman" w:cstheme="minorHAnsi"/>
                <w:b/>
                <w:sz w:val="28"/>
                <w:szCs w:val="28"/>
                <w:lang w:eastAsia="es-ES"/>
              </w:rPr>
            </w:pPr>
            <w:r w:rsidRPr="005E1103">
              <w:rPr>
                <w:rFonts w:eastAsia="Times New Roman" w:cstheme="minorHAnsi"/>
                <w:b/>
                <w:sz w:val="28"/>
                <w:szCs w:val="28"/>
                <w:lang w:eastAsia="es-ES"/>
              </w:rPr>
              <w:t>Cátedra Arquitectura II – UPC</w:t>
            </w:r>
          </w:p>
          <w:p w:rsidR="00C26750" w:rsidRPr="005E1103" w:rsidRDefault="00C26750" w:rsidP="00C26750">
            <w:pPr>
              <w:autoSpaceDE w:val="0"/>
              <w:autoSpaceDN w:val="0"/>
              <w:adjustRightInd w:val="0"/>
              <w:spacing w:after="0" w:line="240" w:lineRule="auto"/>
              <w:rPr>
                <w:rFonts w:eastAsia="Times New Roman" w:cstheme="minorHAnsi"/>
                <w:b/>
                <w:sz w:val="28"/>
                <w:szCs w:val="28"/>
                <w:lang w:eastAsia="es-ES"/>
              </w:rPr>
            </w:pPr>
            <w:r w:rsidRPr="005E1103">
              <w:rPr>
                <w:rFonts w:eastAsia="Times New Roman" w:cstheme="minorHAnsi"/>
                <w:b/>
                <w:sz w:val="28"/>
                <w:szCs w:val="28"/>
                <w:lang w:eastAsia="es-ES"/>
              </w:rPr>
              <w:t>Facultad de Arquitectura y Urbanismo</w:t>
            </w:r>
          </w:p>
          <w:p w:rsidR="00C26750" w:rsidRPr="005E1103" w:rsidRDefault="00C26750" w:rsidP="00C26750">
            <w:pPr>
              <w:autoSpaceDE w:val="0"/>
              <w:autoSpaceDN w:val="0"/>
              <w:adjustRightInd w:val="0"/>
              <w:spacing w:after="0" w:line="240" w:lineRule="auto"/>
              <w:rPr>
                <w:rFonts w:eastAsia="Times New Roman" w:cstheme="minorHAnsi"/>
                <w:b/>
                <w:sz w:val="28"/>
                <w:szCs w:val="28"/>
                <w:lang w:eastAsia="es-ES"/>
              </w:rPr>
            </w:pPr>
            <w:r w:rsidRPr="005E1103">
              <w:rPr>
                <w:rFonts w:eastAsia="Times New Roman" w:cstheme="minorHAnsi"/>
                <w:b/>
                <w:sz w:val="28"/>
                <w:szCs w:val="28"/>
                <w:lang w:eastAsia="es-ES"/>
              </w:rPr>
              <w:t>Universidad Nacional del Nordeste</w:t>
            </w:r>
          </w:p>
          <w:p w:rsidR="00C26750" w:rsidRPr="005E1103" w:rsidRDefault="00C26750" w:rsidP="00C26750">
            <w:pPr>
              <w:spacing w:line="360" w:lineRule="auto"/>
              <w:ind w:right="277"/>
              <w:rPr>
                <w:rFonts w:eastAsia="Times New Roman" w:cstheme="minorHAnsi"/>
                <w:b/>
                <w:sz w:val="28"/>
                <w:szCs w:val="28"/>
                <w:lang w:eastAsia="es-ES"/>
              </w:rPr>
            </w:pPr>
          </w:p>
        </w:tc>
        <w:tc>
          <w:tcPr>
            <w:tcW w:w="2790" w:type="dxa"/>
            <w:shd w:val="clear" w:color="auto" w:fill="BFBFBF" w:themeFill="background1" w:themeFillShade="BF"/>
            <w:vAlign w:val="center"/>
          </w:tcPr>
          <w:p w:rsidR="00C26750" w:rsidRPr="005E1103" w:rsidRDefault="00C26750" w:rsidP="00C26750">
            <w:pPr>
              <w:spacing w:line="360" w:lineRule="auto"/>
              <w:ind w:right="277"/>
              <w:rPr>
                <w:rFonts w:eastAsia="Times New Roman" w:cstheme="minorHAnsi"/>
                <w:sz w:val="28"/>
                <w:szCs w:val="28"/>
                <w:lang w:eastAsia="es-ES"/>
              </w:rPr>
            </w:pPr>
            <w:r w:rsidRPr="005E1103">
              <w:rPr>
                <w:rFonts w:eastAsia="Times New Roman" w:cstheme="minorHAnsi"/>
                <w:sz w:val="28"/>
                <w:szCs w:val="28"/>
                <w:lang w:eastAsia="es-ES"/>
              </w:rPr>
              <w:t xml:space="preserve">Innovación en el abordaje de la inclusión y la accesibilidad universal en la educación superior argentina: </w:t>
            </w:r>
            <w:r w:rsidRPr="005E1103">
              <w:rPr>
                <w:rFonts w:eastAsia="Times New Roman" w:cstheme="minorHAnsi"/>
                <w:sz w:val="28"/>
                <w:szCs w:val="28"/>
                <w:lang w:eastAsia="es-ES"/>
              </w:rPr>
              <w:lastRenderedPageBreak/>
              <w:t>fundamentos y proceso de gestación de la cátedra libre diseño universal e inclusión de la UNNE</w:t>
            </w:r>
          </w:p>
        </w:tc>
      </w:tr>
      <w:tr w:rsidR="00C26750" w:rsidRPr="005E1103" w:rsidTr="00C26750">
        <w:trPr>
          <w:trHeight w:val="315"/>
          <w:jc w:val="center"/>
        </w:trPr>
        <w:tc>
          <w:tcPr>
            <w:tcW w:w="424" w:type="dxa"/>
            <w:shd w:val="clear" w:color="auto" w:fill="C00000"/>
            <w:vAlign w:val="center"/>
          </w:tcPr>
          <w:p w:rsidR="00C26750" w:rsidRPr="005E1103" w:rsidRDefault="00C26750" w:rsidP="00C26750">
            <w:pPr>
              <w:spacing w:after="0" w:line="240" w:lineRule="auto"/>
              <w:rPr>
                <w:rFonts w:eastAsia="Times New Roman" w:cstheme="minorHAnsi"/>
                <w:b/>
                <w:bCs/>
                <w:sz w:val="28"/>
                <w:szCs w:val="28"/>
                <w:lang w:eastAsia="es-ES"/>
              </w:rPr>
            </w:pPr>
            <w:r w:rsidRPr="005E1103">
              <w:rPr>
                <w:rFonts w:eastAsia="Times New Roman" w:cstheme="minorHAnsi"/>
                <w:b/>
                <w:bCs/>
                <w:sz w:val="28"/>
                <w:szCs w:val="28"/>
                <w:lang w:eastAsia="es-ES"/>
              </w:rPr>
              <w:lastRenderedPageBreak/>
              <w:t>4</w:t>
            </w:r>
          </w:p>
        </w:tc>
        <w:tc>
          <w:tcPr>
            <w:tcW w:w="3402" w:type="dxa"/>
            <w:shd w:val="clear" w:color="auto" w:fill="C00000"/>
            <w:noWrap/>
            <w:vAlign w:val="center"/>
          </w:tcPr>
          <w:p w:rsidR="00C26750" w:rsidRPr="005E1103" w:rsidRDefault="00C26750" w:rsidP="00C26750">
            <w:pPr>
              <w:spacing w:after="0" w:line="240" w:lineRule="auto"/>
              <w:jc w:val="both"/>
              <w:rPr>
                <w:rFonts w:eastAsia="Times New Roman" w:cstheme="minorHAnsi"/>
                <w:b/>
                <w:bCs/>
                <w:sz w:val="28"/>
                <w:szCs w:val="28"/>
                <w:lang w:eastAsia="es-ES"/>
              </w:rPr>
            </w:pPr>
            <w:r w:rsidRPr="005E1103">
              <w:rPr>
                <w:rFonts w:eastAsia="Times New Roman" w:cstheme="minorHAnsi"/>
                <w:b/>
                <w:bCs/>
                <w:sz w:val="28"/>
                <w:szCs w:val="28"/>
                <w:lang w:eastAsia="es-ES"/>
              </w:rPr>
              <w:t>Ana Pascual, Ana Berreteaga,  y Juan Ignacio Baceta,</w:t>
            </w:r>
          </w:p>
        </w:tc>
        <w:tc>
          <w:tcPr>
            <w:tcW w:w="3011" w:type="dxa"/>
            <w:shd w:val="clear" w:color="auto" w:fill="BFBFBF" w:themeFill="background1" w:themeFillShade="BF"/>
            <w:noWrap/>
            <w:vAlign w:val="center"/>
          </w:tcPr>
          <w:p w:rsidR="00C26750" w:rsidRPr="005E1103" w:rsidRDefault="00C26750" w:rsidP="00C26750">
            <w:pPr>
              <w:spacing w:after="0" w:line="240" w:lineRule="auto"/>
              <w:jc w:val="both"/>
              <w:rPr>
                <w:rFonts w:eastAsia="Times New Roman" w:cstheme="minorHAnsi"/>
                <w:b/>
                <w:sz w:val="28"/>
                <w:szCs w:val="28"/>
                <w:lang w:eastAsia="es-ES"/>
              </w:rPr>
            </w:pPr>
            <w:r w:rsidRPr="005E1103">
              <w:rPr>
                <w:rFonts w:eastAsia="Times New Roman" w:cstheme="minorHAnsi"/>
                <w:b/>
                <w:sz w:val="28"/>
                <w:szCs w:val="28"/>
                <w:lang w:eastAsia="es-ES"/>
              </w:rPr>
              <w:t>Universidad del País Vasco</w:t>
            </w:r>
          </w:p>
        </w:tc>
        <w:tc>
          <w:tcPr>
            <w:tcW w:w="2790" w:type="dxa"/>
            <w:shd w:val="clear" w:color="auto" w:fill="BFBFBF" w:themeFill="background1" w:themeFillShade="BF"/>
            <w:noWrap/>
            <w:vAlign w:val="center"/>
          </w:tcPr>
          <w:p w:rsidR="00C26750" w:rsidRPr="005E1103" w:rsidRDefault="00C26750" w:rsidP="00C26750">
            <w:pPr>
              <w:spacing w:before="120" w:line="360" w:lineRule="auto"/>
              <w:rPr>
                <w:rFonts w:eastAsia="Times New Roman" w:cstheme="minorHAnsi"/>
                <w:sz w:val="28"/>
                <w:szCs w:val="28"/>
                <w:lang w:eastAsia="es-ES"/>
              </w:rPr>
            </w:pPr>
            <w:r w:rsidRPr="005E1103">
              <w:rPr>
                <w:rFonts w:eastAsia="Times New Roman" w:cstheme="minorHAnsi"/>
                <w:sz w:val="28"/>
                <w:szCs w:val="28"/>
                <w:lang w:eastAsia="es-ES"/>
              </w:rPr>
              <w:t xml:space="preserve">Hacia una Universidad inclusiva en los grados científicos: el ejemplo de la asignatura “Geología” en la Universidad del País </w:t>
            </w:r>
            <w:r w:rsidR="00995D7A" w:rsidRPr="005E1103">
              <w:rPr>
                <w:rFonts w:eastAsia="Times New Roman" w:cstheme="minorHAnsi"/>
                <w:sz w:val="28"/>
                <w:szCs w:val="28"/>
                <w:lang w:eastAsia="es-ES"/>
              </w:rPr>
              <w:t>Vasco UPV</w:t>
            </w:r>
            <w:r w:rsidRPr="005E1103">
              <w:rPr>
                <w:rFonts w:eastAsia="Times New Roman" w:cstheme="minorHAnsi"/>
                <w:sz w:val="28"/>
                <w:szCs w:val="28"/>
                <w:lang w:eastAsia="es-ES"/>
              </w:rPr>
              <w:t>/EHU</w:t>
            </w:r>
          </w:p>
          <w:p w:rsidR="00C26750" w:rsidRPr="005E1103" w:rsidRDefault="00C26750" w:rsidP="00C26750">
            <w:pPr>
              <w:rPr>
                <w:rFonts w:eastAsia="Times New Roman" w:cstheme="minorHAnsi"/>
                <w:sz w:val="28"/>
                <w:szCs w:val="28"/>
                <w:lang w:eastAsia="es-ES"/>
              </w:rPr>
            </w:pPr>
          </w:p>
        </w:tc>
      </w:tr>
      <w:tr w:rsidR="00C26750" w:rsidRPr="005E1103" w:rsidTr="00C26750">
        <w:trPr>
          <w:trHeight w:val="315"/>
          <w:jc w:val="center"/>
        </w:trPr>
        <w:tc>
          <w:tcPr>
            <w:tcW w:w="424" w:type="dxa"/>
            <w:shd w:val="clear" w:color="auto" w:fill="C00000"/>
            <w:vAlign w:val="center"/>
          </w:tcPr>
          <w:p w:rsidR="00C26750" w:rsidRPr="005E1103" w:rsidRDefault="00C26750" w:rsidP="00C26750">
            <w:pPr>
              <w:spacing w:after="0" w:line="240" w:lineRule="auto"/>
              <w:rPr>
                <w:rFonts w:eastAsia="Times New Roman" w:cstheme="minorHAnsi"/>
                <w:b/>
                <w:bCs/>
                <w:sz w:val="28"/>
                <w:szCs w:val="28"/>
                <w:lang w:eastAsia="es-ES"/>
              </w:rPr>
            </w:pPr>
            <w:r w:rsidRPr="005E1103">
              <w:rPr>
                <w:rFonts w:eastAsia="Times New Roman" w:cstheme="minorHAnsi"/>
                <w:b/>
                <w:bCs/>
                <w:sz w:val="28"/>
                <w:szCs w:val="28"/>
                <w:lang w:eastAsia="es-ES"/>
              </w:rPr>
              <w:t>5</w:t>
            </w:r>
          </w:p>
        </w:tc>
        <w:tc>
          <w:tcPr>
            <w:tcW w:w="3402" w:type="dxa"/>
            <w:shd w:val="clear" w:color="auto" w:fill="C00000"/>
            <w:noWrap/>
            <w:vAlign w:val="center"/>
          </w:tcPr>
          <w:p w:rsidR="00C26750" w:rsidRPr="005E1103" w:rsidRDefault="00C26750" w:rsidP="00C26750">
            <w:pPr>
              <w:spacing w:line="360" w:lineRule="auto"/>
              <w:ind w:right="277"/>
              <w:rPr>
                <w:rFonts w:eastAsia="Times New Roman" w:cstheme="minorHAnsi"/>
                <w:b/>
                <w:bCs/>
                <w:sz w:val="28"/>
                <w:szCs w:val="28"/>
                <w:lang w:eastAsia="es-ES"/>
              </w:rPr>
            </w:pPr>
            <w:r w:rsidRPr="005E1103">
              <w:rPr>
                <w:rFonts w:eastAsia="Times New Roman" w:cstheme="minorHAnsi"/>
                <w:b/>
                <w:bCs/>
                <w:sz w:val="28"/>
                <w:szCs w:val="28"/>
                <w:lang w:eastAsia="es-ES"/>
              </w:rPr>
              <w:t>Aurora Madariaga Ortuzar,</w:t>
            </w:r>
            <w:r w:rsidRPr="005E1103">
              <w:rPr>
                <w:rFonts w:cstheme="minorHAnsi"/>
                <w:sz w:val="28"/>
                <w:szCs w:val="28"/>
              </w:rPr>
              <w:t xml:space="preserve"> e </w:t>
            </w:r>
            <w:r w:rsidRPr="005E1103">
              <w:rPr>
                <w:rFonts w:eastAsia="Times New Roman" w:cstheme="minorHAnsi"/>
                <w:b/>
                <w:bCs/>
                <w:sz w:val="28"/>
                <w:szCs w:val="28"/>
                <w:lang w:eastAsia="es-ES"/>
              </w:rPr>
              <w:t>Idurre Lazcano Quintana</w:t>
            </w:r>
          </w:p>
          <w:p w:rsidR="00C26750" w:rsidRPr="005E1103" w:rsidRDefault="00C26750" w:rsidP="00C26750">
            <w:pPr>
              <w:spacing w:after="0" w:line="240" w:lineRule="auto"/>
              <w:jc w:val="both"/>
              <w:rPr>
                <w:rFonts w:eastAsia="Times New Roman" w:cstheme="minorHAnsi"/>
                <w:b/>
                <w:bCs/>
                <w:sz w:val="28"/>
                <w:szCs w:val="28"/>
                <w:lang w:eastAsia="es-ES"/>
              </w:rPr>
            </w:pPr>
          </w:p>
        </w:tc>
        <w:tc>
          <w:tcPr>
            <w:tcW w:w="3011" w:type="dxa"/>
            <w:shd w:val="clear" w:color="auto" w:fill="BFBFBF" w:themeFill="background1" w:themeFillShade="BF"/>
            <w:noWrap/>
            <w:vAlign w:val="center"/>
          </w:tcPr>
          <w:p w:rsidR="00C26750" w:rsidRPr="005E1103" w:rsidRDefault="00C26750" w:rsidP="00C26750">
            <w:pPr>
              <w:spacing w:after="0" w:line="240" w:lineRule="auto"/>
              <w:jc w:val="both"/>
              <w:rPr>
                <w:rFonts w:eastAsia="Times New Roman" w:cstheme="minorHAnsi"/>
                <w:b/>
                <w:sz w:val="28"/>
                <w:szCs w:val="28"/>
                <w:lang w:eastAsia="es-ES"/>
              </w:rPr>
            </w:pPr>
            <w:r w:rsidRPr="005E1103">
              <w:rPr>
                <w:rFonts w:eastAsia="Times New Roman" w:cstheme="minorHAnsi"/>
                <w:b/>
                <w:sz w:val="28"/>
                <w:szCs w:val="28"/>
                <w:lang w:eastAsia="es-ES"/>
              </w:rPr>
              <w:t>Instituto de Estudios de Ocio. Facultad CCSSHH de la Universidad de Deusto</w:t>
            </w:r>
          </w:p>
        </w:tc>
        <w:tc>
          <w:tcPr>
            <w:tcW w:w="2790" w:type="dxa"/>
            <w:shd w:val="clear" w:color="auto" w:fill="BFBFBF" w:themeFill="background1" w:themeFillShade="BF"/>
            <w:noWrap/>
            <w:vAlign w:val="center"/>
          </w:tcPr>
          <w:p w:rsidR="00C26750" w:rsidRPr="005E1103" w:rsidRDefault="00C26750" w:rsidP="00C26750">
            <w:pPr>
              <w:spacing w:line="360" w:lineRule="auto"/>
              <w:ind w:right="277"/>
              <w:rPr>
                <w:rFonts w:eastAsia="Times New Roman" w:cstheme="minorHAnsi"/>
                <w:sz w:val="28"/>
                <w:szCs w:val="28"/>
                <w:lang w:eastAsia="es-ES"/>
              </w:rPr>
            </w:pPr>
            <w:r w:rsidRPr="005E1103">
              <w:rPr>
                <w:rFonts w:eastAsia="Times New Roman" w:cstheme="minorHAnsi"/>
                <w:sz w:val="28"/>
                <w:szCs w:val="28"/>
                <w:lang w:eastAsia="es-ES"/>
              </w:rPr>
              <w:t>Serious game accesibles: una asignatura pendiente</w:t>
            </w:r>
          </w:p>
          <w:p w:rsidR="00C26750" w:rsidRPr="005E1103" w:rsidRDefault="00C26750" w:rsidP="00C26750">
            <w:pPr>
              <w:jc w:val="both"/>
              <w:rPr>
                <w:rFonts w:cstheme="minorHAnsi"/>
                <w:b/>
                <w:sz w:val="28"/>
                <w:szCs w:val="28"/>
              </w:rPr>
            </w:pPr>
          </w:p>
        </w:tc>
      </w:tr>
      <w:tr w:rsidR="00C26750" w:rsidRPr="005E1103" w:rsidTr="00C26750">
        <w:trPr>
          <w:trHeight w:val="315"/>
          <w:jc w:val="center"/>
        </w:trPr>
        <w:tc>
          <w:tcPr>
            <w:tcW w:w="424" w:type="dxa"/>
            <w:shd w:val="clear" w:color="auto" w:fill="C00000"/>
            <w:vAlign w:val="center"/>
          </w:tcPr>
          <w:p w:rsidR="00C26750" w:rsidRPr="005E1103" w:rsidRDefault="00C26750" w:rsidP="00C26750">
            <w:pPr>
              <w:spacing w:after="0" w:line="240" w:lineRule="auto"/>
              <w:rPr>
                <w:rFonts w:eastAsia="Times New Roman" w:cstheme="minorHAnsi"/>
                <w:b/>
                <w:bCs/>
                <w:sz w:val="28"/>
                <w:szCs w:val="28"/>
                <w:lang w:eastAsia="es-ES"/>
              </w:rPr>
            </w:pPr>
            <w:r w:rsidRPr="005E1103">
              <w:rPr>
                <w:rFonts w:eastAsia="Times New Roman" w:cstheme="minorHAnsi"/>
                <w:b/>
                <w:bCs/>
                <w:sz w:val="28"/>
                <w:szCs w:val="28"/>
                <w:lang w:eastAsia="es-ES"/>
              </w:rPr>
              <w:t>6</w:t>
            </w:r>
          </w:p>
        </w:tc>
        <w:tc>
          <w:tcPr>
            <w:tcW w:w="3402" w:type="dxa"/>
            <w:shd w:val="clear" w:color="auto" w:fill="C00000"/>
            <w:noWrap/>
            <w:vAlign w:val="center"/>
          </w:tcPr>
          <w:p w:rsidR="00C26750" w:rsidRPr="005E1103" w:rsidRDefault="00C26750" w:rsidP="00C26750">
            <w:pPr>
              <w:spacing w:after="0" w:line="240" w:lineRule="auto"/>
              <w:jc w:val="both"/>
              <w:rPr>
                <w:rFonts w:eastAsia="Times New Roman" w:cstheme="minorHAnsi"/>
                <w:b/>
                <w:bCs/>
                <w:sz w:val="28"/>
                <w:szCs w:val="28"/>
                <w:lang w:eastAsia="es-ES"/>
              </w:rPr>
            </w:pPr>
            <w:r w:rsidRPr="005E1103">
              <w:rPr>
                <w:rFonts w:eastAsia="Times New Roman" w:cstheme="minorHAnsi"/>
                <w:b/>
                <w:bCs/>
                <w:sz w:val="28"/>
                <w:szCs w:val="28"/>
                <w:lang w:eastAsia="es-ES"/>
              </w:rPr>
              <w:t>Dra Gloria Angélica Mártinez de la Peña</w:t>
            </w:r>
          </w:p>
        </w:tc>
        <w:tc>
          <w:tcPr>
            <w:tcW w:w="3011" w:type="dxa"/>
            <w:shd w:val="clear" w:color="auto" w:fill="BFBFBF" w:themeFill="background1" w:themeFillShade="BF"/>
            <w:noWrap/>
            <w:vAlign w:val="center"/>
          </w:tcPr>
          <w:p w:rsidR="00C26750" w:rsidRPr="005E1103" w:rsidRDefault="00C26750" w:rsidP="00C26750">
            <w:pPr>
              <w:spacing w:after="0" w:line="240" w:lineRule="auto"/>
              <w:rPr>
                <w:rFonts w:eastAsia="Times New Roman" w:cstheme="minorHAnsi"/>
                <w:b/>
                <w:sz w:val="28"/>
                <w:szCs w:val="28"/>
                <w:lang w:eastAsia="es-ES"/>
              </w:rPr>
            </w:pPr>
            <w:r w:rsidRPr="005E1103">
              <w:rPr>
                <w:rFonts w:eastAsia="Times New Roman" w:cstheme="minorHAnsi"/>
                <w:b/>
                <w:sz w:val="28"/>
                <w:szCs w:val="28"/>
                <w:lang w:eastAsia="es-ES"/>
              </w:rPr>
              <w:t>Universidad Autónoma Metropolitana (UAM) Cuajimalpa (México)</w:t>
            </w:r>
          </w:p>
          <w:p w:rsidR="00C26750" w:rsidRPr="005E1103" w:rsidRDefault="00C26750" w:rsidP="00C26750">
            <w:pPr>
              <w:spacing w:after="0" w:line="240" w:lineRule="auto"/>
              <w:jc w:val="both"/>
              <w:rPr>
                <w:rFonts w:eastAsia="Times New Roman" w:cstheme="minorHAnsi"/>
                <w:b/>
                <w:sz w:val="28"/>
                <w:szCs w:val="28"/>
                <w:lang w:eastAsia="es-ES"/>
              </w:rPr>
            </w:pPr>
          </w:p>
        </w:tc>
        <w:tc>
          <w:tcPr>
            <w:tcW w:w="2790" w:type="dxa"/>
            <w:shd w:val="clear" w:color="auto" w:fill="BFBFBF" w:themeFill="background1" w:themeFillShade="BF"/>
            <w:noWrap/>
            <w:vAlign w:val="center"/>
          </w:tcPr>
          <w:p w:rsidR="00C26750" w:rsidRPr="005E1103" w:rsidRDefault="00C26750" w:rsidP="00C26750">
            <w:pPr>
              <w:rPr>
                <w:rFonts w:eastAsia="Times New Roman" w:cstheme="minorHAnsi"/>
                <w:sz w:val="28"/>
                <w:szCs w:val="28"/>
                <w:lang w:eastAsia="es-ES"/>
              </w:rPr>
            </w:pPr>
            <w:r w:rsidRPr="005E1103">
              <w:rPr>
                <w:rFonts w:eastAsia="Times New Roman" w:cstheme="minorHAnsi"/>
                <w:sz w:val="28"/>
                <w:szCs w:val="28"/>
                <w:lang w:eastAsia="es-ES"/>
              </w:rPr>
              <w:t>Diseño del Sistema de Mapas Hápticos de la UAM Cuajimalpa México</w:t>
            </w:r>
          </w:p>
          <w:p w:rsidR="00C26750" w:rsidRPr="005E1103" w:rsidRDefault="00C26750" w:rsidP="00C26750">
            <w:pPr>
              <w:spacing w:line="240" w:lineRule="auto"/>
              <w:jc w:val="both"/>
              <w:rPr>
                <w:rFonts w:cstheme="minorHAnsi"/>
                <w:sz w:val="28"/>
                <w:szCs w:val="28"/>
              </w:rPr>
            </w:pPr>
          </w:p>
        </w:tc>
      </w:tr>
      <w:tr w:rsidR="00C26750" w:rsidRPr="005E1103" w:rsidTr="00C26750">
        <w:trPr>
          <w:trHeight w:val="315"/>
          <w:jc w:val="center"/>
        </w:trPr>
        <w:tc>
          <w:tcPr>
            <w:tcW w:w="424" w:type="dxa"/>
            <w:shd w:val="clear" w:color="auto" w:fill="C00000"/>
            <w:vAlign w:val="center"/>
          </w:tcPr>
          <w:p w:rsidR="00C26750" w:rsidRPr="005E1103" w:rsidRDefault="00C26750" w:rsidP="00C26750">
            <w:pPr>
              <w:spacing w:after="0" w:line="240" w:lineRule="auto"/>
              <w:rPr>
                <w:rFonts w:eastAsia="Times New Roman" w:cstheme="minorHAnsi"/>
                <w:b/>
                <w:bCs/>
                <w:sz w:val="28"/>
                <w:szCs w:val="28"/>
                <w:lang w:eastAsia="es-ES"/>
              </w:rPr>
            </w:pPr>
            <w:r w:rsidRPr="005E1103">
              <w:rPr>
                <w:rFonts w:eastAsia="Times New Roman" w:cstheme="minorHAnsi"/>
                <w:b/>
                <w:bCs/>
                <w:sz w:val="28"/>
                <w:szCs w:val="28"/>
                <w:lang w:eastAsia="es-ES"/>
              </w:rPr>
              <w:t>7</w:t>
            </w:r>
          </w:p>
        </w:tc>
        <w:tc>
          <w:tcPr>
            <w:tcW w:w="3402" w:type="dxa"/>
            <w:shd w:val="clear" w:color="auto" w:fill="C00000"/>
            <w:noWrap/>
            <w:vAlign w:val="center"/>
          </w:tcPr>
          <w:p w:rsidR="00C26750" w:rsidRPr="005E1103" w:rsidRDefault="00C26750" w:rsidP="00C26750">
            <w:pPr>
              <w:spacing w:after="0" w:line="240" w:lineRule="auto"/>
              <w:jc w:val="both"/>
              <w:rPr>
                <w:rFonts w:eastAsia="Times New Roman" w:cstheme="minorHAnsi"/>
                <w:b/>
                <w:bCs/>
                <w:sz w:val="28"/>
                <w:szCs w:val="28"/>
                <w:lang w:eastAsia="es-ES"/>
              </w:rPr>
            </w:pPr>
            <w:r w:rsidRPr="005E1103">
              <w:rPr>
                <w:rFonts w:eastAsia="Times New Roman" w:cstheme="minorHAnsi"/>
                <w:b/>
                <w:bCs/>
                <w:sz w:val="28"/>
                <w:szCs w:val="28"/>
                <w:lang w:eastAsia="es-ES"/>
              </w:rPr>
              <w:t>Suely Maciel y Matheus Ferreira</w:t>
            </w:r>
          </w:p>
        </w:tc>
        <w:tc>
          <w:tcPr>
            <w:tcW w:w="3011" w:type="dxa"/>
            <w:shd w:val="clear" w:color="auto" w:fill="BFBFBF" w:themeFill="background1" w:themeFillShade="BF"/>
            <w:noWrap/>
            <w:vAlign w:val="center"/>
          </w:tcPr>
          <w:p w:rsidR="00C26750" w:rsidRPr="005E1103" w:rsidRDefault="00C26750" w:rsidP="00C26750">
            <w:pPr>
              <w:autoSpaceDE w:val="0"/>
              <w:autoSpaceDN w:val="0"/>
              <w:adjustRightInd w:val="0"/>
              <w:spacing w:after="0" w:line="240" w:lineRule="auto"/>
              <w:rPr>
                <w:rFonts w:eastAsia="Times New Roman" w:cstheme="minorHAnsi"/>
                <w:b/>
                <w:sz w:val="28"/>
                <w:szCs w:val="28"/>
                <w:lang w:eastAsia="es-ES"/>
              </w:rPr>
            </w:pPr>
            <w:r w:rsidRPr="005E1103">
              <w:rPr>
                <w:rFonts w:eastAsia="Times New Roman" w:cstheme="minorHAnsi"/>
                <w:b/>
                <w:sz w:val="28"/>
                <w:szCs w:val="28"/>
                <w:lang w:eastAsia="es-ES"/>
              </w:rPr>
              <w:t>Universidade Estadual Paulista (Unesp)/Brasil</w:t>
            </w:r>
          </w:p>
        </w:tc>
        <w:tc>
          <w:tcPr>
            <w:tcW w:w="2790" w:type="dxa"/>
            <w:shd w:val="clear" w:color="auto" w:fill="BFBFBF" w:themeFill="background1" w:themeFillShade="BF"/>
            <w:noWrap/>
            <w:vAlign w:val="center"/>
          </w:tcPr>
          <w:p w:rsidR="00C26750" w:rsidRPr="005E1103" w:rsidRDefault="00C26750" w:rsidP="00C26750">
            <w:pPr>
              <w:spacing w:after="0" w:line="360" w:lineRule="auto"/>
              <w:rPr>
                <w:rFonts w:eastAsia="Times New Roman" w:cstheme="minorHAnsi"/>
                <w:sz w:val="28"/>
                <w:szCs w:val="28"/>
                <w:lang w:eastAsia="es-ES"/>
              </w:rPr>
            </w:pPr>
            <w:r w:rsidRPr="005E1103">
              <w:rPr>
                <w:rFonts w:eastAsia="Times New Roman" w:cstheme="minorHAnsi"/>
                <w:sz w:val="28"/>
                <w:szCs w:val="28"/>
                <w:lang w:eastAsia="es-ES"/>
              </w:rPr>
              <w:t xml:space="preserve">El Uso de los medios sonoros y la </w:t>
            </w:r>
            <w:r w:rsidRPr="005E1103">
              <w:rPr>
                <w:rFonts w:eastAsia="Times New Roman" w:cstheme="minorHAnsi"/>
                <w:sz w:val="28"/>
                <w:szCs w:val="28"/>
                <w:lang w:eastAsia="es-ES"/>
              </w:rPr>
              <w:lastRenderedPageBreak/>
              <w:t xml:space="preserve">audiodescripción como recurso </w:t>
            </w:r>
            <w:r w:rsidR="00995D7A" w:rsidRPr="005E1103">
              <w:rPr>
                <w:rFonts w:eastAsia="Times New Roman" w:cstheme="minorHAnsi"/>
                <w:sz w:val="28"/>
                <w:szCs w:val="28"/>
                <w:lang w:eastAsia="es-ES"/>
              </w:rPr>
              <w:t>de accesibilidad</w:t>
            </w:r>
            <w:r w:rsidRPr="005E1103">
              <w:rPr>
                <w:rFonts w:eastAsia="Times New Roman" w:cstheme="minorHAnsi"/>
                <w:sz w:val="28"/>
                <w:szCs w:val="28"/>
                <w:lang w:eastAsia="es-ES"/>
              </w:rPr>
              <w:t xml:space="preserve"> a la producción científica y académica</w:t>
            </w:r>
          </w:p>
          <w:p w:rsidR="00C26750" w:rsidRPr="005E1103" w:rsidRDefault="00C26750" w:rsidP="00C26750">
            <w:pPr>
              <w:spacing w:after="0" w:line="240" w:lineRule="auto"/>
              <w:jc w:val="both"/>
              <w:rPr>
                <w:rFonts w:eastAsia="Times New Roman" w:cstheme="minorHAnsi"/>
                <w:sz w:val="28"/>
                <w:szCs w:val="28"/>
                <w:lang w:eastAsia="es-ES"/>
              </w:rPr>
            </w:pPr>
          </w:p>
        </w:tc>
      </w:tr>
      <w:tr w:rsidR="00C26750" w:rsidRPr="005E1103" w:rsidTr="00C26750">
        <w:trPr>
          <w:trHeight w:val="315"/>
          <w:jc w:val="center"/>
        </w:trPr>
        <w:tc>
          <w:tcPr>
            <w:tcW w:w="424" w:type="dxa"/>
            <w:shd w:val="clear" w:color="auto" w:fill="C00000"/>
            <w:vAlign w:val="center"/>
          </w:tcPr>
          <w:p w:rsidR="00C26750" w:rsidRPr="005E1103" w:rsidRDefault="00C26750" w:rsidP="00C26750">
            <w:pPr>
              <w:spacing w:after="0" w:line="240" w:lineRule="auto"/>
              <w:rPr>
                <w:rFonts w:eastAsia="Times New Roman" w:cstheme="minorHAnsi"/>
                <w:b/>
                <w:bCs/>
                <w:sz w:val="28"/>
                <w:szCs w:val="28"/>
                <w:lang w:eastAsia="es-ES"/>
              </w:rPr>
            </w:pPr>
            <w:r w:rsidRPr="005E1103">
              <w:rPr>
                <w:rFonts w:eastAsia="Times New Roman" w:cstheme="minorHAnsi"/>
                <w:b/>
                <w:bCs/>
                <w:sz w:val="28"/>
                <w:szCs w:val="28"/>
                <w:lang w:eastAsia="es-ES"/>
              </w:rPr>
              <w:lastRenderedPageBreak/>
              <w:t>8</w:t>
            </w:r>
          </w:p>
        </w:tc>
        <w:tc>
          <w:tcPr>
            <w:tcW w:w="3402" w:type="dxa"/>
            <w:shd w:val="clear" w:color="auto" w:fill="C00000"/>
            <w:noWrap/>
            <w:vAlign w:val="center"/>
          </w:tcPr>
          <w:p w:rsidR="00C26750" w:rsidRPr="005E1103" w:rsidRDefault="00C26750" w:rsidP="00C26750">
            <w:pPr>
              <w:spacing w:before="100" w:beforeAutospacing="1" w:after="100" w:afterAutospacing="1" w:line="360" w:lineRule="auto"/>
              <w:rPr>
                <w:rFonts w:eastAsia="Times New Roman" w:cstheme="minorHAnsi"/>
                <w:b/>
                <w:bCs/>
                <w:sz w:val="28"/>
                <w:szCs w:val="28"/>
                <w:lang w:eastAsia="es-ES"/>
              </w:rPr>
            </w:pPr>
            <w:r w:rsidRPr="005E1103">
              <w:rPr>
                <w:rFonts w:eastAsia="Times New Roman" w:cstheme="minorHAnsi"/>
                <w:b/>
                <w:bCs/>
                <w:sz w:val="28"/>
                <w:szCs w:val="28"/>
                <w:lang w:eastAsia="es-ES"/>
              </w:rPr>
              <w:t>Mirón-Canelo JA*, Fernández-Martín LC, Alonso Sardón M, Iglesias De Sena H, Sáez Lorenzo M, Fernández-Lázaro CI.</w:t>
            </w:r>
          </w:p>
          <w:p w:rsidR="00C26750" w:rsidRPr="005E1103" w:rsidRDefault="00C26750" w:rsidP="00C26750">
            <w:pPr>
              <w:spacing w:before="100" w:beforeAutospacing="1" w:after="100" w:afterAutospacing="1" w:line="360" w:lineRule="auto"/>
              <w:rPr>
                <w:rFonts w:eastAsia="Times New Roman" w:cstheme="minorHAnsi"/>
                <w:b/>
                <w:bCs/>
                <w:sz w:val="28"/>
                <w:szCs w:val="28"/>
                <w:lang w:eastAsia="es-ES"/>
              </w:rPr>
            </w:pPr>
            <w:r w:rsidRPr="005E1103">
              <w:rPr>
                <w:rFonts w:eastAsia="Times New Roman" w:cstheme="minorHAnsi"/>
                <w:b/>
                <w:bCs/>
                <w:sz w:val="28"/>
                <w:szCs w:val="28"/>
                <w:lang w:eastAsia="es-ES"/>
              </w:rPr>
              <w:t>Correspondencia: D.Jose Antonio Mirón Canelo</w:t>
            </w:r>
          </w:p>
          <w:p w:rsidR="00C26750" w:rsidRPr="005E1103" w:rsidRDefault="00C26750" w:rsidP="00C26750">
            <w:pPr>
              <w:spacing w:after="0" w:line="240" w:lineRule="auto"/>
              <w:jc w:val="both"/>
              <w:rPr>
                <w:rFonts w:eastAsia="Times New Roman" w:cstheme="minorHAnsi"/>
                <w:b/>
                <w:bCs/>
                <w:sz w:val="28"/>
                <w:szCs w:val="28"/>
                <w:lang w:eastAsia="es-ES"/>
              </w:rPr>
            </w:pPr>
          </w:p>
        </w:tc>
        <w:tc>
          <w:tcPr>
            <w:tcW w:w="3011" w:type="dxa"/>
            <w:shd w:val="clear" w:color="auto" w:fill="BFBFBF" w:themeFill="background1" w:themeFillShade="BF"/>
            <w:noWrap/>
            <w:vAlign w:val="center"/>
          </w:tcPr>
          <w:p w:rsidR="00C26750" w:rsidRPr="005E1103" w:rsidRDefault="00C26750" w:rsidP="00C26750">
            <w:pPr>
              <w:spacing w:line="360" w:lineRule="auto"/>
              <w:rPr>
                <w:rFonts w:eastAsia="Times New Roman" w:cstheme="minorHAnsi"/>
                <w:b/>
                <w:sz w:val="28"/>
                <w:szCs w:val="28"/>
                <w:lang w:eastAsia="es-ES"/>
              </w:rPr>
            </w:pPr>
            <w:r w:rsidRPr="005E1103">
              <w:rPr>
                <w:rFonts w:eastAsia="Times New Roman" w:cstheme="minorHAnsi"/>
                <w:b/>
                <w:sz w:val="28"/>
                <w:szCs w:val="28"/>
                <w:lang w:eastAsia="es-ES"/>
              </w:rPr>
              <w:t>Departamento de Ciencias Biomédicas Facultad de Medicina (Universidad de Salamanca)</w:t>
            </w:r>
          </w:p>
        </w:tc>
        <w:tc>
          <w:tcPr>
            <w:tcW w:w="2790" w:type="dxa"/>
            <w:shd w:val="clear" w:color="auto" w:fill="BFBFBF" w:themeFill="background1" w:themeFillShade="BF"/>
            <w:noWrap/>
            <w:vAlign w:val="center"/>
          </w:tcPr>
          <w:p w:rsidR="00C26750" w:rsidRPr="005E1103" w:rsidRDefault="00C26750" w:rsidP="00C26750">
            <w:pPr>
              <w:spacing w:line="360" w:lineRule="auto"/>
              <w:rPr>
                <w:rFonts w:eastAsia="Times New Roman" w:cstheme="minorHAnsi"/>
                <w:sz w:val="28"/>
                <w:szCs w:val="28"/>
                <w:lang w:eastAsia="es-ES"/>
              </w:rPr>
            </w:pPr>
            <w:r w:rsidRPr="005E1103">
              <w:rPr>
                <w:rFonts w:eastAsia="Times New Roman" w:cstheme="minorHAnsi"/>
                <w:sz w:val="28"/>
                <w:szCs w:val="28"/>
                <w:lang w:eastAsia="es-ES"/>
              </w:rPr>
              <w:t>Satisfacción del profesorado como indicador de calidad sobre su formación en relación con alumnos con discapacidad</w:t>
            </w:r>
          </w:p>
          <w:p w:rsidR="00C26750" w:rsidRPr="005E1103" w:rsidRDefault="00C26750" w:rsidP="00C26750">
            <w:pPr>
              <w:spacing w:after="0" w:line="240" w:lineRule="auto"/>
              <w:jc w:val="both"/>
              <w:rPr>
                <w:rFonts w:eastAsia="Times New Roman" w:cstheme="minorHAnsi"/>
                <w:sz w:val="28"/>
                <w:szCs w:val="28"/>
                <w:lang w:eastAsia="es-ES"/>
              </w:rPr>
            </w:pPr>
          </w:p>
        </w:tc>
      </w:tr>
      <w:tr w:rsidR="00C26750" w:rsidRPr="005E1103" w:rsidTr="00C26750">
        <w:trPr>
          <w:trHeight w:val="315"/>
          <w:jc w:val="center"/>
        </w:trPr>
        <w:tc>
          <w:tcPr>
            <w:tcW w:w="424" w:type="dxa"/>
            <w:shd w:val="clear" w:color="auto" w:fill="C00000"/>
            <w:vAlign w:val="center"/>
          </w:tcPr>
          <w:p w:rsidR="00C26750" w:rsidRPr="005E1103" w:rsidRDefault="00C26750" w:rsidP="00C26750">
            <w:pPr>
              <w:spacing w:after="0" w:line="240" w:lineRule="auto"/>
              <w:rPr>
                <w:rFonts w:eastAsia="Times New Roman" w:cstheme="minorHAnsi"/>
                <w:b/>
                <w:bCs/>
                <w:sz w:val="28"/>
                <w:szCs w:val="28"/>
                <w:lang w:eastAsia="es-ES"/>
              </w:rPr>
            </w:pPr>
            <w:r w:rsidRPr="005E1103">
              <w:rPr>
                <w:rFonts w:eastAsia="Times New Roman" w:cstheme="minorHAnsi"/>
                <w:b/>
                <w:bCs/>
                <w:sz w:val="28"/>
                <w:szCs w:val="28"/>
                <w:lang w:eastAsia="es-ES"/>
              </w:rPr>
              <w:t>9</w:t>
            </w:r>
          </w:p>
        </w:tc>
        <w:tc>
          <w:tcPr>
            <w:tcW w:w="3402" w:type="dxa"/>
            <w:shd w:val="clear" w:color="auto" w:fill="C00000"/>
            <w:noWrap/>
            <w:vAlign w:val="center"/>
          </w:tcPr>
          <w:p w:rsidR="00C26750" w:rsidRPr="005E1103" w:rsidRDefault="00C26750" w:rsidP="00C26750">
            <w:pPr>
              <w:spacing w:after="0" w:line="240" w:lineRule="auto"/>
              <w:jc w:val="both"/>
              <w:rPr>
                <w:rFonts w:eastAsia="Times New Roman" w:cstheme="minorHAnsi"/>
                <w:b/>
                <w:bCs/>
                <w:sz w:val="28"/>
                <w:szCs w:val="28"/>
                <w:lang w:eastAsia="es-ES"/>
              </w:rPr>
            </w:pPr>
            <w:r w:rsidRPr="005E1103">
              <w:rPr>
                <w:rFonts w:eastAsia="Times New Roman" w:cstheme="minorHAnsi"/>
                <w:b/>
                <w:bCs/>
                <w:sz w:val="28"/>
                <w:szCs w:val="28"/>
                <w:lang w:eastAsia="es-ES"/>
              </w:rPr>
              <w:t>Dr.D.Raúl Reina</w:t>
            </w:r>
          </w:p>
        </w:tc>
        <w:tc>
          <w:tcPr>
            <w:tcW w:w="3011" w:type="dxa"/>
            <w:shd w:val="clear" w:color="auto" w:fill="BFBFBF" w:themeFill="background1" w:themeFillShade="BF"/>
            <w:noWrap/>
            <w:vAlign w:val="center"/>
          </w:tcPr>
          <w:p w:rsidR="00C26750" w:rsidRPr="005E1103" w:rsidRDefault="00C26750" w:rsidP="00C26750">
            <w:pPr>
              <w:spacing w:after="0" w:line="240" w:lineRule="auto"/>
              <w:jc w:val="both"/>
              <w:rPr>
                <w:rFonts w:eastAsia="Times New Roman" w:cstheme="minorHAnsi"/>
                <w:b/>
                <w:sz w:val="28"/>
                <w:szCs w:val="28"/>
                <w:lang w:eastAsia="es-ES"/>
              </w:rPr>
            </w:pPr>
            <w:r w:rsidRPr="005E1103">
              <w:rPr>
                <w:rFonts w:eastAsia="Times New Roman" w:cstheme="minorHAnsi"/>
                <w:b/>
                <w:sz w:val="28"/>
                <w:szCs w:val="28"/>
                <w:lang w:eastAsia="es-ES"/>
              </w:rPr>
              <w:t>Universidad Miguel Hernández</w:t>
            </w:r>
          </w:p>
        </w:tc>
        <w:tc>
          <w:tcPr>
            <w:tcW w:w="2790" w:type="dxa"/>
            <w:shd w:val="clear" w:color="auto" w:fill="BFBFBF" w:themeFill="background1" w:themeFillShade="BF"/>
            <w:noWrap/>
            <w:vAlign w:val="center"/>
          </w:tcPr>
          <w:p w:rsidR="00C26750" w:rsidRPr="005E1103" w:rsidRDefault="00C26750" w:rsidP="00C26750">
            <w:pPr>
              <w:spacing w:before="120" w:after="120" w:line="360" w:lineRule="auto"/>
              <w:rPr>
                <w:rFonts w:eastAsia="Times New Roman" w:cstheme="minorHAnsi"/>
                <w:sz w:val="28"/>
                <w:szCs w:val="28"/>
                <w:lang w:eastAsia="es-ES"/>
              </w:rPr>
            </w:pPr>
            <w:r w:rsidRPr="005E1103">
              <w:rPr>
                <w:rFonts w:eastAsia="Times New Roman" w:cstheme="minorHAnsi"/>
                <w:sz w:val="28"/>
                <w:szCs w:val="28"/>
                <w:lang w:eastAsia="es-ES"/>
              </w:rPr>
              <w:t>Incluye-T: Programa de formación de profesores de educación física para la mejora de su percepción de autoeficacia para con la inclusión de alumnos con discapacidad</w:t>
            </w:r>
          </w:p>
          <w:p w:rsidR="00C26750" w:rsidRPr="005E1103" w:rsidRDefault="00C26750" w:rsidP="00C26750">
            <w:pPr>
              <w:spacing w:after="0" w:line="240" w:lineRule="auto"/>
              <w:jc w:val="both"/>
              <w:rPr>
                <w:rFonts w:eastAsia="Times New Roman" w:cstheme="minorHAnsi"/>
                <w:sz w:val="28"/>
                <w:szCs w:val="28"/>
                <w:lang w:eastAsia="es-ES"/>
              </w:rPr>
            </w:pPr>
          </w:p>
        </w:tc>
      </w:tr>
      <w:tr w:rsidR="00C26750" w:rsidRPr="005E1103" w:rsidTr="00C26750">
        <w:trPr>
          <w:trHeight w:val="315"/>
          <w:jc w:val="center"/>
        </w:trPr>
        <w:tc>
          <w:tcPr>
            <w:tcW w:w="424" w:type="dxa"/>
            <w:shd w:val="clear" w:color="auto" w:fill="C00000"/>
            <w:vAlign w:val="center"/>
          </w:tcPr>
          <w:p w:rsidR="00C26750" w:rsidRPr="005E1103" w:rsidRDefault="00C26750" w:rsidP="00C26750">
            <w:pPr>
              <w:spacing w:after="0" w:line="240" w:lineRule="auto"/>
              <w:rPr>
                <w:rFonts w:eastAsia="Times New Roman" w:cstheme="minorHAnsi"/>
                <w:b/>
                <w:bCs/>
                <w:sz w:val="28"/>
                <w:szCs w:val="28"/>
                <w:lang w:eastAsia="es-ES"/>
              </w:rPr>
            </w:pPr>
            <w:r w:rsidRPr="005E1103">
              <w:rPr>
                <w:rFonts w:eastAsia="Times New Roman" w:cstheme="minorHAnsi"/>
                <w:b/>
                <w:bCs/>
                <w:sz w:val="28"/>
                <w:szCs w:val="28"/>
                <w:lang w:eastAsia="es-ES"/>
              </w:rPr>
              <w:t>10</w:t>
            </w:r>
          </w:p>
        </w:tc>
        <w:tc>
          <w:tcPr>
            <w:tcW w:w="3402" w:type="dxa"/>
            <w:shd w:val="clear" w:color="auto" w:fill="C00000"/>
            <w:noWrap/>
            <w:vAlign w:val="center"/>
          </w:tcPr>
          <w:p w:rsidR="00C26750" w:rsidRPr="005E1103" w:rsidRDefault="00C26750" w:rsidP="00C26750">
            <w:pPr>
              <w:spacing w:after="0" w:line="240" w:lineRule="auto"/>
              <w:jc w:val="both"/>
              <w:rPr>
                <w:rFonts w:eastAsia="Times New Roman" w:cstheme="minorHAnsi"/>
                <w:b/>
                <w:bCs/>
                <w:sz w:val="28"/>
                <w:szCs w:val="28"/>
                <w:lang w:eastAsia="es-ES"/>
              </w:rPr>
            </w:pPr>
            <w:r w:rsidRPr="005E1103">
              <w:rPr>
                <w:rFonts w:eastAsia="Times New Roman" w:cstheme="minorHAnsi"/>
                <w:b/>
                <w:bCs/>
                <w:sz w:val="28"/>
                <w:szCs w:val="28"/>
                <w:lang w:eastAsia="es-ES"/>
              </w:rPr>
              <w:t xml:space="preserve">María Antonieta Corrales Araya, Ma Antonieta Ozols </w:t>
            </w:r>
            <w:r w:rsidRPr="005E1103">
              <w:rPr>
                <w:rFonts w:eastAsia="Times New Roman" w:cstheme="minorHAnsi"/>
                <w:b/>
                <w:bCs/>
                <w:sz w:val="28"/>
                <w:szCs w:val="28"/>
                <w:lang w:eastAsia="es-ES"/>
              </w:rPr>
              <w:lastRenderedPageBreak/>
              <w:t>Rosales</w:t>
            </w:r>
          </w:p>
        </w:tc>
        <w:tc>
          <w:tcPr>
            <w:tcW w:w="3011" w:type="dxa"/>
            <w:shd w:val="clear" w:color="auto" w:fill="BFBFBF" w:themeFill="background1" w:themeFillShade="BF"/>
            <w:noWrap/>
            <w:vAlign w:val="center"/>
          </w:tcPr>
          <w:p w:rsidR="00C26750" w:rsidRPr="005E1103" w:rsidRDefault="00C26750" w:rsidP="00C26750">
            <w:pPr>
              <w:spacing w:after="0" w:line="240" w:lineRule="auto"/>
              <w:jc w:val="both"/>
              <w:rPr>
                <w:rFonts w:eastAsia="Times New Roman" w:cstheme="minorHAnsi"/>
                <w:b/>
                <w:sz w:val="28"/>
                <w:szCs w:val="28"/>
                <w:lang w:eastAsia="es-ES"/>
              </w:rPr>
            </w:pPr>
            <w:r w:rsidRPr="005E1103">
              <w:rPr>
                <w:rFonts w:eastAsia="Times New Roman" w:cstheme="minorHAnsi"/>
                <w:b/>
                <w:sz w:val="28"/>
                <w:szCs w:val="28"/>
                <w:lang w:eastAsia="es-ES"/>
              </w:rPr>
              <w:lastRenderedPageBreak/>
              <w:t>Universidad Nacional de Costa Rica</w:t>
            </w:r>
          </w:p>
        </w:tc>
        <w:tc>
          <w:tcPr>
            <w:tcW w:w="2790" w:type="dxa"/>
            <w:shd w:val="clear" w:color="auto" w:fill="BFBFBF" w:themeFill="background1" w:themeFillShade="BF"/>
            <w:noWrap/>
            <w:vAlign w:val="center"/>
          </w:tcPr>
          <w:p w:rsidR="00C26750" w:rsidRPr="005E1103" w:rsidRDefault="00C26750" w:rsidP="00C26750">
            <w:pPr>
              <w:spacing w:after="0" w:line="240" w:lineRule="auto"/>
              <w:jc w:val="both"/>
              <w:rPr>
                <w:rFonts w:eastAsia="Times New Roman" w:cstheme="minorHAnsi"/>
                <w:sz w:val="28"/>
                <w:szCs w:val="28"/>
                <w:lang w:eastAsia="es-ES"/>
              </w:rPr>
            </w:pPr>
            <w:r w:rsidRPr="005E1103">
              <w:rPr>
                <w:rFonts w:eastAsia="Times New Roman" w:cstheme="minorHAnsi"/>
                <w:sz w:val="28"/>
                <w:szCs w:val="28"/>
                <w:lang w:eastAsia="es-ES"/>
              </w:rPr>
              <w:t xml:space="preserve">Inclusión-Actitudes de los profesores de </w:t>
            </w:r>
            <w:r w:rsidRPr="005E1103">
              <w:rPr>
                <w:rFonts w:eastAsia="Times New Roman" w:cstheme="minorHAnsi"/>
                <w:sz w:val="28"/>
                <w:szCs w:val="28"/>
                <w:lang w:eastAsia="es-ES"/>
              </w:rPr>
              <w:lastRenderedPageBreak/>
              <w:t>Educación Física</w:t>
            </w:r>
          </w:p>
          <w:p w:rsidR="00C26750" w:rsidRPr="005E1103" w:rsidRDefault="00C26750" w:rsidP="00C26750">
            <w:pPr>
              <w:spacing w:after="0" w:line="240" w:lineRule="auto"/>
              <w:jc w:val="both"/>
              <w:rPr>
                <w:rFonts w:eastAsia="Times New Roman" w:cstheme="minorHAnsi"/>
                <w:sz w:val="28"/>
                <w:szCs w:val="28"/>
                <w:lang w:eastAsia="es-ES"/>
              </w:rPr>
            </w:pPr>
          </w:p>
        </w:tc>
      </w:tr>
      <w:tr w:rsidR="00C26750" w:rsidRPr="005E1103" w:rsidTr="00C26750">
        <w:trPr>
          <w:trHeight w:val="315"/>
          <w:jc w:val="center"/>
        </w:trPr>
        <w:tc>
          <w:tcPr>
            <w:tcW w:w="424" w:type="dxa"/>
            <w:shd w:val="clear" w:color="auto" w:fill="C00000"/>
            <w:vAlign w:val="center"/>
          </w:tcPr>
          <w:p w:rsidR="00C26750" w:rsidRPr="005E1103" w:rsidRDefault="00C26750" w:rsidP="00C26750">
            <w:pPr>
              <w:spacing w:after="0" w:line="240" w:lineRule="auto"/>
              <w:rPr>
                <w:rFonts w:eastAsia="Times New Roman" w:cstheme="minorHAnsi"/>
                <w:b/>
                <w:bCs/>
                <w:sz w:val="28"/>
                <w:szCs w:val="28"/>
                <w:lang w:eastAsia="es-ES"/>
              </w:rPr>
            </w:pPr>
            <w:r w:rsidRPr="005E1103">
              <w:rPr>
                <w:rFonts w:eastAsia="Times New Roman" w:cstheme="minorHAnsi"/>
                <w:b/>
                <w:bCs/>
                <w:sz w:val="28"/>
                <w:szCs w:val="28"/>
                <w:lang w:eastAsia="es-ES"/>
              </w:rPr>
              <w:lastRenderedPageBreak/>
              <w:t>11</w:t>
            </w:r>
          </w:p>
        </w:tc>
        <w:tc>
          <w:tcPr>
            <w:tcW w:w="3402" w:type="dxa"/>
            <w:shd w:val="clear" w:color="auto" w:fill="C00000"/>
            <w:noWrap/>
            <w:vAlign w:val="center"/>
          </w:tcPr>
          <w:p w:rsidR="00C26750" w:rsidRPr="005E1103" w:rsidRDefault="00C26750" w:rsidP="00C26750">
            <w:pPr>
              <w:spacing w:after="0" w:line="240" w:lineRule="auto"/>
              <w:jc w:val="both"/>
              <w:rPr>
                <w:rFonts w:eastAsia="Times New Roman" w:cstheme="minorHAnsi"/>
                <w:b/>
                <w:bCs/>
                <w:sz w:val="28"/>
                <w:szCs w:val="28"/>
                <w:lang w:eastAsia="es-ES"/>
              </w:rPr>
            </w:pPr>
            <w:r w:rsidRPr="005E1103">
              <w:rPr>
                <w:rFonts w:eastAsia="Times New Roman" w:cstheme="minorHAnsi"/>
                <w:b/>
                <w:bCs/>
                <w:sz w:val="28"/>
                <w:szCs w:val="28"/>
                <w:lang w:eastAsia="es-ES"/>
              </w:rPr>
              <w:t>Josep Oriol Martínez, Jaume Bantulà y Enric Maria Sebastiani</w:t>
            </w:r>
          </w:p>
        </w:tc>
        <w:tc>
          <w:tcPr>
            <w:tcW w:w="3011" w:type="dxa"/>
            <w:shd w:val="clear" w:color="auto" w:fill="BFBFBF" w:themeFill="background1" w:themeFillShade="BF"/>
            <w:noWrap/>
            <w:vAlign w:val="center"/>
          </w:tcPr>
          <w:p w:rsidR="00C26750" w:rsidRPr="005E1103" w:rsidRDefault="00C26750" w:rsidP="00C26750">
            <w:pPr>
              <w:spacing w:after="0" w:line="240" w:lineRule="auto"/>
              <w:jc w:val="both"/>
              <w:rPr>
                <w:rFonts w:eastAsia="Times New Roman" w:cstheme="minorHAnsi"/>
                <w:b/>
                <w:sz w:val="28"/>
                <w:szCs w:val="28"/>
                <w:lang w:eastAsia="es-ES"/>
              </w:rPr>
            </w:pPr>
            <w:r w:rsidRPr="005E1103">
              <w:rPr>
                <w:rFonts w:eastAsia="Times New Roman" w:cstheme="minorHAnsi"/>
                <w:b/>
                <w:sz w:val="28"/>
                <w:szCs w:val="28"/>
                <w:lang w:eastAsia="es-ES"/>
              </w:rPr>
              <w:t>FPCEE Blanquerna- Universidad Ramón Llull</w:t>
            </w:r>
          </w:p>
        </w:tc>
        <w:tc>
          <w:tcPr>
            <w:tcW w:w="2790" w:type="dxa"/>
            <w:shd w:val="clear" w:color="auto" w:fill="BFBFBF" w:themeFill="background1" w:themeFillShade="BF"/>
            <w:noWrap/>
            <w:vAlign w:val="center"/>
          </w:tcPr>
          <w:p w:rsidR="00C26750" w:rsidRPr="005E1103" w:rsidRDefault="00C26750" w:rsidP="00C26750">
            <w:pPr>
              <w:spacing w:after="0" w:line="240" w:lineRule="auto"/>
              <w:jc w:val="both"/>
              <w:rPr>
                <w:rFonts w:eastAsia="Times New Roman" w:cstheme="minorHAnsi"/>
                <w:sz w:val="28"/>
                <w:szCs w:val="28"/>
                <w:lang w:eastAsia="es-ES"/>
              </w:rPr>
            </w:pPr>
            <w:r w:rsidRPr="005E1103">
              <w:rPr>
                <w:rFonts w:eastAsia="Times New Roman" w:cstheme="minorHAnsi"/>
                <w:sz w:val="28"/>
                <w:szCs w:val="28"/>
                <w:lang w:eastAsia="es-ES"/>
              </w:rPr>
              <w:t>Un Grado en Ciencias de la Actividad Física y el Deporte Inclusivo: el caso de Blanquerna (Universitat Ramon Llull)</w:t>
            </w:r>
          </w:p>
        </w:tc>
      </w:tr>
      <w:tr w:rsidR="00C26750" w:rsidRPr="005E1103" w:rsidTr="00C26750">
        <w:trPr>
          <w:trHeight w:val="315"/>
          <w:jc w:val="center"/>
        </w:trPr>
        <w:tc>
          <w:tcPr>
            <w:tcW w:w="424" w:type="dxa"/>
            <w:shd w:val="clear" w:color="auto" w:fill="C00000"/>
            <w:vAlign w:val="center"/>
          </w:tcPr>
          <w:p w:rsidR="00C26750" w:rsidRPr="005E1103" w:rsidRDefault="00C26750" w:rsidP="00C26750">
            <w:pPr>
              <w:spacing w:after="0" w:line="240" w:lineRule="auto"/>
              <w:rPr>
                <w:rFonts w:eastAsia="Times New Roman" w:cstheme="minorHAnsi"/>
                <w:b/>
                <w:bCs/>
                <w:sz w:val="28"/>
                <w:szCs w:val="28"/>
                <w:lang w:eastAsia="es-ES"/>
              </w:rPr>
            </w:pPr>
            <w:r w:rsidRPr="005E1103">
              <w:rPr>
                <w:rFonts w:eastAsia="Times New Roman" w:cstheme="minorHAnsi"/>
                <w:b/>
                <w:bCs/>
                <w:sz w:val="28"/>
                <w:szCs w:val="28"/>
                <w:lang w:eastAsia="es-ES"/>
              </w:rPr>
              <w:t>12</w:t>
            </w:r>
          </w:p>
        </w:tc>
        <w:tc>
          <w:tcPr>
            <w:tcW w:w="3402" w:type="dxa"/>
            <w:shd w:val="clear" w:color="auto" w:fill="C00000"/>
            <w:noWrap/>
            <w:vAlign w:val="center"/>
          </w:tcPr>
          <w:p w:rsidR="00C26750" w:rsidRPr="005E1103" w:rsidRDefault="00C26750" w:rsidP="00C26750">
            <w:pPr>
              <w:spacing w:after="0" w:line="240" w:lineRule="auto"/>
              <w:jc w:val="both"/>
              <w:rPr>
                <w:rFonts w:eastAsia="Times New Roman" w:cstheme="minorHAnsi"/>
                <w:b/>
                <w:bCs/>
                <w:sz w:val="28"/>
                <w:szCs w:val="28"/>
                <w:lang w:eastAsia="es-ES"/>
              </w:rPr>
            </w:pPr>
            <w:r w:rsidRPr="005E1103">
              <w:rPr>
                <w:rFonts w:eastAsia="Times New Roman" w:cstheme="minorHAnsi"/>
                <w:b/>
                <w:bCs/>
                <w:sz w:val="28"/>
                <w:szCs w:val="28"/>
                <w:lang w:eastAsia="es-ES"/>
              </w:rPr>
              <w:t>Alba Roldán</w:t>
            </w:r>
          </w:p>
        </w:tc>
        <w:tc>
          <w:tcPr>
            <w:tcW w:w="3011" w:type="dxa"/>
            <w:shd w:val="clear" w:color="auto" w:fill="BFBFBF" w:themeFill="background1" w:themeFillShade="BF"/>
            <w:noWrap/>
            <w:vAlign w:val="center"/>
          </w:tcPr>
          <w:p w:rsidR="00C26750" w:rsidRPr="005E1103" w:rsidRDefault="00C26750" w:rsidP="00C26750">
            <w:pPr>
              <w:spacing w:after="0" w:line="240" w:lineRule="auto"/>
              <w:jc w:val="both"/>
              <w:rPr>
                <w:rFonts w:eastAsia="Times New Roman" w:cstheme="minorHAnsi"/>
                <w:b/>
                <w:sz w:val="28"/>
                <w:szCs w:val="28"/>
                <w:lang w:eastAsia="es-ES"/>
              </w:rPr>
            </w:pPr>
            <w:r w:rsidRPr="005E1103">
              <w:rPr>
                <w:rFonts w:eastAsia="Times New Roman" w:cstheme="minorHAnsi"/>
                <w:b/>
                <w:sz w:val="28"/>
                <w:szCs w:val="28"/>
                <w:lang w:eastAsia="es-ES"/>
              </w:rPr>
              <w:t>Universidad Miguel Hernández de Elche</w:t>
            </w:r>
          </w:p>
        </w:tc>
        <w:tc>
          <w:tcPr>
            <w:tcW w:w="2790" w:type="dxa"/>
            <w:shd w:val="clear" w:color="auto" w:fill="BFBFBF" w:themeFill="background1" w:themeFillShade="BF"/>
            <w:noWrap/>
            <w:vAlign w:val="center"/>
          </w:tcPr>
          <w:p w:rsidR="00C26750" w:rsidRPr="005E1103" w:rsidRDefault="00C26750" w:rsidP="00C26750">
            <w:pPr>
              <w:spacing w:line="240" w:lineRule="auto"/>
              <w:jc w:val="both"/>
              <w:rPr>
                <w:rFonts w:cstheme="minorHAnsi"/>
                <w:sz w:val="28"/>
                <w:szCs w:val="28"/>
              </w:rPr>
            </w:pPr>
            <w:r w:rsidRPr="005E1103">
              <w:rPr>
                <w:rFonts w:cstheme="minorHAnsi"/>
                <w:sz w:val="28"/>
                <w:szCs w:val="28"/>
              </w:rPr>
              <w:t>Incorporación de contenidos de actividad física y deporte como complemento a la formación de un título de experto universitario para personas con discapacidad.</w:t>
            </w:r>
          </w:p>
        </w:tc>
      </w:tr>
      <w:tr w:rsidR="00C26750" w:rsidRPr="005E1103" w:rsidTr="00C26750">
        <w:trPr>
          <w:trHeight w:val="315"/>
          <w:jc w:val="center"/>
        </w:trPr>
        <w:tc>
          <w:tcPr>
            <w:tcW w:w="424" w:type="dxa"/>
            <w:shd w:val="clear" w:color="auto" w:fill="C00000"/>
            <w:vAlign w:val="center"/>
          </w:tcPr>
          <w:p w:rsidR="00C26750" w:rsidRPr="005E1103" w:rsidRDefault="00C26750" w:rsidP="00C26750">
            <w:pPr>
              <w:spacing w:after="0" w:line="240" w:lineRule="auto"/>
              <w:rPr>
                <w:rFonts w:eastAsia="Times New Roman" w:cstheme="minorHAnsi"/>
                <w:b/>
                <w:bCs/>
                <w:sz w:val="28"/>
                <w:szCs w:val="28"/>
                <w:lang w:eastAsia="es-ES"/>
              </w:rPr>
            </w:pPr>
            <w:r w:rsidRPr="005E1103">
              <w:rPr>
                <w:rFonts w:eastAsia="Times New Roman" w:cstheme="minorHAnsi"/>
                <w:b/>
                <w:bCs/>
                <w:sz w:val="28"/>
                <w:szCs w:val="28"/>
                <w:lang w:eastAsia="es-ES"/>
              </w:rPr>
              <w:t>13</w:t>
            </w:r>
          </w:p>
        </w:tc>
        <w:tc>
          <w:tcPr>
            <w:tcW w:w="3402" w:type="dxa"/>
            <w:shd w:val="clear" w:color="auto" w:fill="C00000"/>
            <w:noWrap/>
            <w:vAlign w:val="center"/>
          </w:tcPr>
          <w:p w:rsidR="00C26750" w:rsidRPr="005E1103" w:rsidRDefault="00C26750" w:rsidP="00C26750">
            <w:pPr>
              <w:spacing w:after="0" w:line="240" w:lineRule="auto"/>
              <w:jc w:val="both"/>
              <w:rPr>
                <w:rFonts w:eastAsia="Times New Roman" w:cstheme="minorHAnsi"/>
                <w:b/>
                <w:bCs/>
                <w:sz w:val="28"/>
                <w:szCs w:val="28"/>
                <w:lang w:eastAsia="es-ES"/>
              </w:rPr>
            </w:pPr>
            <w:r w:rsidRPr="005E1103">
              <w:rPr>
                <w:rFonts w:eastAsia="Times New Roman" w:cstheme="minorHAnsi"/>
                <w:b/>
                <w:bCs/>
                <w:sz w:val="28"/>
                <w:szCs w:val="28"/>
                <w:lang w:eastAsia="es-ES"/>
              </w:rPr>
              <w:t>Maria Isabel Campo, Maria Josefa Álvarez y Jesús Hernández Galán</w:t>
            </w:r>
          </w:p>
        </w:tc>
        <w:tc>
          <w:tcPr>
            <w:tcW w:w="3011" w:type="dxa"/>
            <w:shd w:val="clear" w:color="auto" w:fill="BFBFBF" w:themeFill="background1" w:themeFillShade="BF"/>
            <w:noWrap/>
            <w:vAlign w:val="center"/>
          </w:tcPr>
          <w:p w:rsidR="00C26750" w:rsidRPr="005E1103" w:rsidRDefault="00C26750" w:rsidP="00C26750">
            <w:pPr>
              <w:spacing w:after="0" w:line="240" w:lineRule="auto"/>
              <w:jc w:val="both"/>
              <w:rPr>
                <w:rFonts w:eastAsia="Times New Roman" w:cstheme="minorHAnsi"/>
                <w:b/>
                <w:sz w:val="28"/>
                <w:szCs w:val="28"/>
                <w:lang w:eastAsia="es-ES"/>
              </w:rPr>
            </w:pPr>
            <w:r w:rsidRPr="005E1103">
              <w:rPr>
                <w:rFonts w:eastAsia="Times New Roman" w:cstheme="minorHAnsi"/>
                <w:b/>
                <w:sz w:val="28"/>
                <w:szCs w:val="28"/>
                <w:lang w:eastAsia="es-ES"/>
              </w:rPr>
              <w:t>Universidad de Salamanca</w:t>
            </w:r>
          </w:p>
        </w:tc>
        <w:tc>
          <w:tcPr>
            <w:tcW w:w="2790" w:type="dxa"/>
            <w:shd w:val="clear" w:color="auto" w:fill="BFBFBF" w:themeFill="background1" w:themeFillShade="BF"/>
            <w:noWrap/>
            <w:vAlign w:val="center"/>
          </w:tcPr>
          <w:p w:rsidR="00C26750" w:rsidRPr="005E1103" w:rsidRDefault="00C26750" w:rsidP="00C26750">
            <w:pPr>
              <w:spacing w:line="360" w:lineRule="auto"/>
              <w:rPr>
                <w:rFonts w:cstheme="minorHAnsi"/>
                <w:sz w:val="28"/>
                <w:szCs w:val="28"/>
              </w:rPr>
            </w:pPr>
            <w:r w:rsidRPr="005E1103">
              <w:rPr>
                <w:rFonts w:cstheme="minorHAnsi"/>
                <w:sz w:val="28"/>
                <w:szCs w:val="28"/>
              </w:rPr>
              <w:t>Inclusión de los conceptos de accesibilidad universal y diseño para todas las personas en la formación universitaria</w:t>
            </w:r>
          </w:p>
          <w:p w:rsidR="00C26750" w:rsidRPr="005E1103" w:rsidRDefault="00C26750" w:rsidP="00C26750">
            <w:pPr>
              <w:spacing w:line="240" w:lineRule="auto"/>
              <w:jc w:val="both"/>
              <w:rPr>
                <w:rFonts w:cstheme="minorHAnsi"/>
                <w:sz w:val="28"/>
                <w:szCs w:val="28"/>
              </w:rPr>
            </w:pPr>
          </w:p>
        </w:tc>
      </w:tr>
    </w:tbl>
    <w:p w:rsidR="00DF59FF" w:rsidRPr="005E1103" w:rsidRDefault="00DF59FF" w:rsidP="005B72C1">
      <w:pPr>
        <w:spacing w:line="360" w:lineRule="auto"/>
        <w:rPr>
          <w:rFonts w:cstheme="minorHAnsi"/>
          <w:b/>
          <w:sz w:val="28"/>
          <w:szCs w:val="28"/>
        </w:rPr>
      </w:pPr>
    </w:p>
    <w:p w:rsidR="00DF59FF" w:rsidRPr="005E1103" w:rsidRDefault="00DF59FF">
      <w:pPr>
        <w:rPr>
          <w:rFonts w:cstheme="minorHAnsi"/>
          <w:b/>
          <w:sz w:val="28"/>
          <w:szCs w:val="28"/>
        </w:rPr>
      </w:pPr>
      <w:r w:rsidRPr="005E1103">
        <w:rPr>
          <w:rFonts w:cstheme="minorHAnsi"/>
          <w:b/>
          <w:sz w:val="28"/>
          <w:szCs w:val="28"/>
        </w:rPr>
        <w:br w:type="page"/>
      </w:r>
    </w:p>
    <w:p w:rsidR="00DF59FF" w:rsidRPr="005E1103" w:rsidRDefault="00DF59FF" w:rsidP="00DF59FF">
      <w:pPr>
        <w:spacing w:line="360" w:lineRule="auto"/>
        <w:jc w:val="center"/>
        <w:rPr>
          <w:rFonts w:cstheme="minorHAnsi"/>
          <w:b/>
          <w:sz w:val="28"/>
          <w:szCs w:val="28"/>
        </w:rPr>
      </w:pPr>
      <w:r w:rsidRPr="005E1103">
        <w:rPr>
          <w:rFonts w:cstheme="minorHAnsi"/>
          <w:b/>
          <w:sz w:val="28"/>
          <w:szCs w:val="28"/>
        </w:rPr>
        <w:lastRenderedPageBreak/>
        <w:t>COMUNICACIÓN 1</w:t>
      </w:r>
    </w:p>
    <w:p w:rsidR="00DF59FF" w:rsidRPr="00995D7A" w:rsidRDefault="00DF59FF" w:rsidP="00DF59FF">
      <w:pPr>
        <w:pBdr>
          <w:top w:val="single" w:sz="4" w:space="1" w:color="auto"/>
          <w:left w:val="single" w:sz="4" w:space="4" w:color="auto"/>
          <w:bottom w:val="single" w:sz="4" w:space="1" w:color="auto"/>
          <w:right w:val="single" w:sz="4" w:space="4" w:color="auto"/>
        </w:pBdr>
        <w:jc w:val="center"/>
        <w:rPr>
          <w:rFonts w:cstheme="minorHAnsi"/>
          <w:b/>
          <w:sz w:val="28"/>
          <w:szCs w:val="28"/>
        </w:rPr>
      </w:pPr>
      <w:r w:rsidRPr="00995D7A">
        <w:rPr>
          <w:rFonts w:cstheme="minorHAnsi"/>
          <w:b/>
          <w:sz w:val="28"/>
          <w:szCs w:val="28"/>
        </w:rPr>
        <w:t>“El Ciclo de Sesiones sobre Ingeniería y Accesibilidad como vínculo de la Universidad con la formación en accesibilidad”</w:t>
      </w:r>
    </w:p>
    <w:p w:rsidR="00DF59FF" w:rsidRPr="005E1103" w:rsidRDefault="00DF59FF" w:rsidP="00DF59FF">
      <w:pPr>
        <w:spacing w:line="360" w:lineRule="auto"/>
        <w:jc w:val="center"/>
        <w:rPr>
          <w:rFonts w:cstheme="minorHAnsi"/>
          <w:b/>
          <w:sz w:val="28"/>
          <w:szCs w:val="28"/>
        </w:rPr>
      </w:pPr>
    </w:p>
    <w:p w:rsidR="00DF59FF" w:rsidRPr="005E1103" w:rsidRDefault="00DF59FF" w:rsidP="00DF59FF">
      <w:pPr>
        <w:ind w:left="2832" w:firstLine="708"/>
        <w:rPr>
          <w:rFonts w:cstheme="minorHAnsi"/>
          <w:sz w:val="28"/>
          <w:szCs w:val="28"/>
        </w:rPr>
      </w:pPr>
      <w:r w:rsidRPr="005E1103">
        <w:rPr>
          <w:rFonts w:cstheme="minorHAnsi"/>
          <w:sz w:val="28"/>
          <w:szCs w:val="28"/>
        </w:rPr>
        <w:t>José Antonio Juncà Ubierna</w:t>
      </w:r>
    </w:p>
    <w:p w:rsidR="00DF59FF" w:rsidRPr="005E1103" w:rsidRDefault="00DF59FF" w:rsidP="00DF59FF">
      <w:pPr>
        <w:rPr>
          <w:rFonts w:cstheme="minorHAnsi"/>
          <w:sz w:val="28"/>
          <w:szCs w:val="28"/>
        </w:rPr>
      </w:pPr>
      <w:r w:rsidRPr="005E1103">
        <w:rPr>
          <w:rFonts w:cstheme="minorHAnsi"/>
          <w:sz w:val="28"/>
          <w:szCs w:val="28"/>
        </w:rPr>
        <w:tab/>
      </w:r>
      <w:r w:rsidRPr="005E1103">
        <w:rPr>
          <w:rFonts w:cstheme="minorHAnsi"/>
          <w:sz w:val="28"/>
          <w:szCs w:val="28"/>
        </w:rPr>
        <w:tab/>
      </w:r>
      <w:r w:rsidRPr="005E1103">
        <w:rPr>
          <w:rFonts w:cstheme="minorHAnsi"/>
          <w:sz w:val="28"/>
          <w:szCs w:val="28"/>
        </w:rPr>
        <w:tab/>
      </w:r>
      <w:r w:rsidRPr="005E1103">
        <w:rPr>
          <w:rFonts w:cstheme="minorHAnsi"/>
          <w:sz w:val="28"/>
          <w:szCs w:val="28"/>
        </w:rPr>
        <w:tab/>
      </w:r>
      <w:r w:rsidRPr="005E1103">
        <w:rPr>
          <w:rFonts w:cstheme="minorHAnsi"/>
          <w:sz w:val="28"/>
          <w:szCs w:val="28"/>
        </w:rPr>
        <w:tab/>
        <w:t>Dr. Ingeniero de Caminos</w:t>
      </w:r>
    </w:p>
    <w:p w:rsidR="00DF59FF" w:rsidRPr="005E1103" w:rsidRDefault="00DF59FF" w:rsidP="00DF59FF">
      <w:pPr>
        <w:rPr>
          <w:rFonts w:cstheme="minorHAnsi"/>
          <w:sz w:val="28"/>
          <w:szCs w:val="28"/>
        </w:rPr>
      </w:pPr>
      <w:r w:rsidRPr="005E1103">
        <w:rPr>
          <w:rFonts w:cstheme="minorHAnsi"/>
          <w:sz w:val="28"/>
          <w:szCs w:val="28"/>
        </w:rPr>
        <w:tab/>
      </w:r>
      <w:r w:rsidRPr="005E1103">
        <w:rPr>
          <w:rFonts w:cstheme="minorHAnsi"/>
          <w:sz w:val="28"/>
          <w:szCs w:val="28"/>
        </w:rPr>
        <w:tab/>
      </w:r>
      <w:r w:rsidRPr="005E1103">
        <w:rPr>
          <w:rFonts w:cstheme="minorHAnsi"/>
          <w:sz w:val="28"/>
          <w:szCs w:val="28"/>
        </w:rPr>
        <w:tab/>
      </w:r>
      <w:r w:rsidRPr="005E1103">
        <w:rPr>
          <w:rFonts w:cstheme="minorHAnsi"/>
          <w:sz w:val="28"/>
          <w:szCs w:val="28"/>
        </w:rPr>
        <w:tab/>
      </w:r>
      <w:r w:rsidRPr="005E1103">
        <w:rPr>
          <w:rFonts w:cstheme="minorHAnsi"/>
          <w:sz w:val="28"/>
          <w:szCs w:val="28"/>
        </w:rPr>
        <w:tab/>
        <w:t xml:space="preserve">Director Técnico del Ciclo de Sesiones sobre </w:t>
      </w:r>
    </w:p>
    <w:p w:rsidR="00DF59FF" w:rsidRPr="005E1103" w:rsidRDefault="00DF59FF" w:rsidP="00DF59FF">
      <w:pPr>
        <w:rPr>
          <w:rFonts w:cstheme="minorHAnsi"/>
          <w:sz w:val="28"/>
          <w:szCs w:val="28"/>
        </w:rPr>
      </w:pPr>
      <w:r w:rsidRPr="005E1103">
        <w:rPr>
          <w:rFonts w:cstheme="minorHAnsi"/>
          <w:sz w:val="28"/>
          <w:szCs w:val="28"/>
        </w:rPr>
        <w:tab/>
      </w:r>
      <w:r w:rsidRPr="005E1103">
        <w:rPr>
          <w:rFonts w:cstheme="minorHAnsi"/>
          <w:sz w:val="28"/>
          <w:szCs w:val="28"/>
        </w:rPr>
        <w:tab/>
      </w:r>
      <w:r w:rsidRPr="005E1103">
        <w:rPr>
          <w:rFonts w:cstheme="minorHAnsi"/>
          <w:sz w:val="28"/>
          <w:szCs w:val="28"/>
        </w:rPr>
        <w:tab/>
      </w:r>
      <w:r w:rsidRPr="005E1103">
        <w:rPr>
          <w:rFonts w:cstheme="minorHAnsi"/>
          <w:sz w:val="28"/>
          <w:szCs w:val="28"/>
        </w:rPr>
        <w:tab/>
      </w:r>
      <w:r w:rsidRPr="005E1103">
        <w:rPr>
          <w:rFonts w:cstheme="minorHAnsi"/>
          <w:sz w:val="28"/>
          <w:szCs w:val="28"/>
        </w:rPr>
        <w:tab/>
        <w:t>Ingeniería y Accesibilidad</w:t>
      </w:r>
    </w:p>
    <w:p w:rsidR="00DF59FF" w:rsidRPr="005E1103" w:rsidRDefault="00DF59FF" w:rsidP="00DF59FF">
      <w:pPr>
        <w:rPr>
          <w:rFonts w:cstheme="minorHAnsi"/>
          <w:sz w:val="28"/>
          <w:szCs w:val="28"/>
        </w:rPr>
      </w:pPr>
      <w:r w:rsidRPr="005E1103">
        <w:rPr>
          <w:rFonts w:cstheme="minorHAnsi"/>
          <w:sz w:val="28"/>
          <w:szCs w:val="28"/>
        </w:rPr>
        <w:tab/>
      </w:r>
      <w:r w:rsidRPr="005E1103">
        <w:rPr>
          <w:rFonts w:cstheme="minorHAnsi"/>
          <w:sz w:val="28"/>
          <w:szCs w:val="28"/>
        </w:rPr>
        <w:tab/>
      </w:r>
      <w:r w:rsidRPr="005E1103">
        <w:rPr>
          <w:rFonts w:cstheme="minorHAnsi"/>
          <w:sz w:val="28"/>
          <w:szCs w:val="28"/>
        </w:rPr>
        <w:tab/>
      </w:r>
      <w:r w:rsidRPr="005E1103">
        <w:rPr>
          <w:rFonts w:cstheme="minorHAnsi"/>
          <w:sz w:val="28"/>
          <w:szCs w:val="28"/>
        </w:rPr>
        <w:tab/>
      </w:r>
      <w:r w:rsidRPr="005E1103">
        <w:rPr>
          <w:rFonts w:cstheme="minorHAnsi"/>
          <w:sz w:val="28"/>
          <w:szCs w:val="28"/>
        </w:rPr>
        <w:tab/>
      </w:r>
      <w:r w:rsidRPr="005E1103">
        <w:rPr>
          <w:rFonts w:cstheme="minorHAnsi"/>
          <w:sz w:val="28"/>
          <w:szCs w:val="28"/>
        </w:rPr>
        <w:tab/>
      </w:r>
      <w:r w:rsidRPr="005E1103">
        <w:rPr>
          <w:rFonts w:cstheme="minorHAnsi"/>
          <w:sz w:val="28"/>
          <w:szCs w:val="28"/>
        </w:rPr>
        <w:tab/>
      </w:r>
      <w:r w:rsidRPr="005E1103">
        <w:rPr>
          <w:rFonts w:cstheme="minorHAnsi"/>
          <w:sz w:val="28"/>
          <w:szCs w:val="28"/>
        </w:rPr>
        <w:tab/>
      </w:r>
    </w:p>
    <w:p w:rsidR="00DF59FF" w:rsidRPr="005E1103" w:rsidRDefault="00DF59FF" w:rsidP="00DF59FF">
      <w:pPr>
        <w:rPr>
          <w:rFonts w:cstheme="minorHAnsi"/>
          <w:sz w:val="28"/>
          <w:szCs w:val="28"/>
        </w:rPr>
      </w:pPr>
      <w:r w:rsidRPr="005E1103">
        <w:rPr>
          <w:rFonts w:cstheme="minorHAnsi"/>
          <w:sz w:val="28"/>
          <w:szCs w:val="28"/>
        </w:rPr>
        <w:tab/>
      </w:r>
      <w:r w:rsidRPr="005E1103">
        <w:rPr>
          <w:rFonts w:cstheme="minorHAnsi"/>
          <w:sz w:val="28"/>
          <w:szCs w:val="28"/>
        </w:rPr>
        <w:tab/>
      </w:r>
      <w:r w:rsidRPr="005E1103">
        <w:rPr>
          <w:rFonts w:cstheme="minorHAnsi"/>
          <w:sz w:val="28"/>
          <w:szCs w:val="28"/>
        </w:rPr>
        <w:tab/>
      </w:r>
      <w:r w:rsidRPr="005E1103">
        <w:rPr>
          <w:rFonts w:cstheme="minorHAnsi"/>
          <w:sz w:val="28"/>
          <w:szCs w:val="28"/>
        </w:rPr>
        <w:tab/>
      </w:r>
      <w:r w:rsidRPr="005E1103">
        <w:rPr>
          <w:rFonts w:cstheme="minorHAnsi"/>
          <w:sz w:val="28"/>
          <w:szCs w:val="28"/>
        </w:rPr>
        <w:tab/>
        <w:t>Fernando López Rodríguez</w:t>
      </w:r>
    </w:p>
    <w:p w:rsidR="00DF59FF" w:rsidRPr="005E1103" w:rsidRDefault="00DF59FF" w:rsidP="00DF59FF">
      <w:pPr>
        <w:rPr>
          <w:rFonts w:cstheme="minorHAnsi"/>
          <w:sz w:val="28"/>
          <w:szCs w:val="28"/>
        </w:rPr>
      </w:pPr>
      <w:r w:rsidRPr="005E1103">
        <w:rPr>
          <w:rFonts w:cstheme="minorHAnsi"/>
          <w:sz w:val="28"/>
          <w:szCs w:val="28"/>
        </w:rPr>
        <w:tab/>
      </w:r>
      <w:r w:rsidRPr="005E1103">
        <w:rPr>
          <w:rFonts w:cstheme="minorHAnsi"/>
          <w:sz w:val="28"/>
          <w:szCs w:val="28"/>
        </w:rPr>
        <w:tab/>
      </w:r>
      <w:r w:rsidRPr="005E1103">
        <w:rPr>
          <w:rFonts w:cstheme="minorHAnsi"/>
          <w:sz w:val="28"/>
          <w:szCs w:val="28"/>
        </w:rPr>
        <w:tab/>
      </w:r>
      <w:r w:rsidRPr="005E1103">
        <w:rPr>
          <w:rFonts w:cstheme="minorHAnsi"/>
          <w:sz w:val="28"/>
          <w:szCs w:val="28"/>
        </w:rPr>
        <w:tab/>
      </w:r>
      <w:r w:rsidRPr="005E1103">
        <w:rPr>
          <w:rFonts w:cstheme="minorHAnsi"/>
          <w:sz w:val="28"/>
          <w:szCs w:val="28"/>
        </w:rPr>
        <w:tab/>
        <w:t>Dr. Ingeniero Industrial</w:t>
      </w:r>
    </w:p>
    <w:p w:rsidR="00DF59FF" w:rsidRPr="005E1103" w:rsidRDefault="00DF59FF" w:rsidP="00DF59FF">
      <w:pPr>
        <w:rPr>
          <w:rFonts w:cstheme="minorHAnsi"/>
          <w:sz w:val="28"/>
          <w:szCs w:val="28"/>
        </w:rPr>
      </w:pPr>
      <w:r w:rsidRPr="005E1103">
        <w:rPr>
          <w:rFonts w:cstheme="minorHAnsi"/>
          <w:sz w:val="28"/>
          <w:szCs w:val="28"/>
        </w:rPr>
        <w:tab/>
      </w:r>
      <w:r w:rsidRPr="005E1103">
        <w:rPr>
          <w:rFonts w:cstheme="minorHAnsi"/>
          <w:sz w:val="28"/>
          <w:szCs w:val="28"/>
        </w:rPr>
        <w:tab/>
      </w:r>
      <w:r w:rsidRPr="005E1103">
        <w:rPr>
          <w:rFonts w:cstheme="minorHAnsi"/>
          <w:sz w:val="28"/>
          <w:szCs w:val="28"/>
        </w:rPr>
        <w:tab/>
      </w:r>
      <w:r w:rsidRPr="005E1103">
        <w:rPr>
          <w:rFonts w:cstheme="minorHAnsi"/>
          <w:sz w:val="28"/>
          <w:szCs w:val="28"/>
        </w:rPr>
        <w:tab/>
      </w:r>
      <w:r w:rsidRPr="005E1103">
        <w:rPr>
          <w:rFonts w:cstheme="minorHAnsi"/>
          <w:sz w:val="28"/>
          <w:szCs w:val="28"/>
        </w:rPr>
        <w:tab/>
        <w:t>Profesor de la Universidad de Extremadura</w:t>
      </w:r>
    </w:p>
    <w:p w:rsidR="00DF59FF" w:rsidRPr="005E1103" w:rsidRDefault="00DF59FF" w:rsidP="00DF59FF">
      <w:pPr>
        <w:rPr>
          <w:rFonts w:cstheme="minorHAnsi"/>
          <w:sz w:val="28"/>
          <w:szCs w:val="28"/>
        </w:rPr>
      </w:pPr>
    </w:p>
    <w:p w:rsidR="00DF59FF" w:rsidRPr="005E1103" w:rsidRDefault="00DF59FF" w:rsidP="00DF59FF">
      <w:pPr>
        <w:rPr>
          <w:rFonts w:cstheme="minorHAnsi"/>
          <w:sz w:val="28"/>
          <w:szCs w:val="28"/>
        </w:rPr>
      </w:pPr>
      <w:r w:rsidRPr="005E1103">
        <w:rPr>
          <w:rFonts w:cstheme="minorHAnsi"/>
          <w:sz w:val="28"/>
          <w:szCs w:val="28"/>
        </w:rPr>
        <w:tab/>
      </w:r>
      <w:r w:rsidRPr="005E1103">
        <w:rPr>
          <w:rFonts w:cstheme="minorHAnsi"/>
          <w:sz w:val="28"/>
          <w:szCs w:val="28"/>
        </w:rPr>
        <w:tab/>
      </w:r>
      <w:r w:rsidRPr="005E1103">
        <w:rPr>
          <w:rFonts w:cstheme="minorHAnsi"/>
          <w:sz w:val="28"/>
          <w:szCs w:val="28"/>
        </w:rPr>
        <w:tab/>
      </w:r>
      <w:r w:rsidRPr="005E1103">
        <w:rPr>
          <w:rFonts w:cstheme="minorHAnsi"/>
          <w:sz w:val="28"/>
          <w:szCs w:val="28"/>
        </w:rPr>
        <w:tab/>
      </w:r>
      <w:r w:rsidRPr="005E1103">
        <w:rPr>
          <w:rFonts w:cstheme="minorHAnsi"/>
          <w:sz w:val="28"/>
          <w:szCs w:val="28"/>
        </w:rPr>
        <w:tab/>
        <w:t>Francisco Ayuga Tellez</w:t>
      </w:r>
    </w:p>
    <w:p w:rsidR="00DF59FF" w:rsidRPr="005E1103" w:rsidRDefault="00DF59FF" w:rsidP="00DF59FF">
      <w:pPr>
        <w:rPr>
          <w:rFonts w:cstheme="minorHAnsi"/>
          <w:sz w:val="28"/>
          <w:szCs w:val="28"/>
        </w:rPr>
      </w:pPr>
      <w:r w:rsidRPr="005E1103">
        <w:rPr>
          <w:rFonts w:cstheme="minorHAnsi"/>
          <w:sz w:val="28"/>
          <w:szCs w:val="28"/>
        </w:rPr>
        <w:tab/>
      </w:r>
      <w:r w:rsidRPr="005E1103">
        <w:rPr>
          <w:rFonts w:cstheme="minorHAnsi"/>
          <w:sz w:val="28"/>
          <w:szCs w:val="28"/>
        </w:rPr>
        <w:tab/>
      </w:r>
      <w:r w:rsidRPr="005E1103">
        <w:rPr>
          <w:rFonts w:cstheme="minorHAnsi"/>
          <w:sz w:val="28"/>
          <w:szCs w:val="28"/>
        </w:rPr>
        <w:tab/>
      </w:r>
      <w:r w:rsidRPr="005E1103">
        <w:rPr>
          <w:rFonts w:cstheme="minorHAnsi"/>
          <w:sz w:val="28"/>
          <w:szCs w:val="28"/>
        </w:rPr>
        <w:tab/>
      </w:r>
      <w:r w:rsidRPr="005E1103">
        <w:rPr>
          <w:rFonts w:cstheme="minorHAnsi"/>
          <w:sz w:val="28"/>
          <w:szCs w:val="28"/>
        </w:rPr>
        <w:tab/>
        <w:t xml:space="preserve">Dr. Ingeniero Agrónomo, Catedrático de </w:t>
      </w:r>
      <w:r w:rsidRPr="005E1103">
        <w:rPr>
          <w:rFonts w:cstheme="minorHAnsi"/>
          <w:sz w:val="28"/>
          <w:szCs w:val="28"/>
        </w:rPr>
        <w:tab/>
      </w:r>
      <w:r w:rsidRPr="005E1103">
        <w:rPr>
          <w:rFonts w:cstheme="minorHAnsi"/>
          <w:sz w:val="28"/>
          <w:szCs w:val="28"/>
        </w:rPr>
        <w:tab/>
      </w:r>
      <w:r w:rsidRPr="005E1103">
        <w:rPr>
          <w:rFonts w:cstheme="minorHAnsi"/>
          <w:sz w:val="28"/>
          <w:szCs w:val="28"/>
        </w:rPr>
        <w:tab/>
      </w:r>
      <w:r w:rsidRPr="005E1103">
        <w:rPr>
          <w:rFonts w:cstheme="minorHAnsi"/>
          <w:sz w:val="28"/>
          <w:szCs w:val="28"/>
        </w:rPr>
        <w:tab/>
      </w:r>
      <w:r w:rsidRPr="005E1103">
        <w:rPr>
          <w:rFonts w:cstheme="minorHAnsi"/>
          <w:sz w:val="28"/>
          <w:szCs w:val="28"/>
        </w:rPr>
        <w:tab/>
      </w:r>
      <w:r w:rsidRPr="005E1103">
        <w:rPr>
          <w:rFonts w:cstheme="minorHAnsi"/>
          <w:sz w:val="28"/>
          <w:szCs w:val="28"/>
        </w:rPr>
        <w:tab/>
      </w:r>
      <w:r w:rsidRPr="005E1103">
        <w:rPr>
          <w:rFonts w:cstheme="minorHAnsi"/>
          <w:sz w:val="28"/>
          <w:szCs w:val="28"/>
        </w:rPr>
        <w:tab/>
        <w:t xml:space="preserve">Universidad. UPM - ETSI Agronómica, </w:t>
      </w:r>
      <w:r w:rsidRPr="005E1103">
        <w:rPr>
          <w:rFonts w:cstheme="minorHAnsi"/>
          <w:sz w:val="28"/>
          <w:szCs w:val="28"/>
        </w:rPr>
        <w:tab/>
      </w:r>
      <w:r w:rsidRPr="005E1103">
        <w:rPr>
          <w:rFonts w:cstheme="minorHAnsi"/>
          <w:sz w:val="28"/>
          <w:szCs w:val="28"/>
        </w:rPr>
        <w:tab/>
      </w:r>
      <w:r w:rsidRPr="005E1103">
        <w:rPr>
          <w:rFonts w:cstheme="minorHAnsi"/>
          <w:sz w:val="28"/>
          <w:szCs w:val="28"/>
        </w:rPr>
        <w:tab/>
      </w:r>
      <w:r w:rsidRPr="005E1103">
        <w:rPr>
          <w:rFonts w:cstheme="minorHAnsi"/>
          <w:sz w:val="28"/>
          <w:szCs w:val="28"/>
        </w:rPr>
        <w:tab/>
      </w:r>
      <w:r w:rsidRPr="005E1103">
        <w:rPr>
          <w:rFonts w:cstheme="minorHAnsi"/>
          <w:sz w:val="28"/>
          <w:szCs w:val="28"/>
        </w:rPr>
        <w:tab/>
      </w:r>
      <w:r w:rsidRPr="005E1103">
        <w:rPr>
          <w:rFonts w:cstheme="minorHAnsi"/>
          <w:sz w:val="28"/>
          <w:szCs w:val="28"/>
        </w:rPr>
        <w:tab/>
      </w:r>
      <w:r w:rsidRPr="005E1103">
        <w:rPr>
          <w:rFonts w:cstheme="minorHAnsi"/>
          <w:sz w:val="28"/>
          <w:szCs w:val="28"/>
        </w:rPr>
        <w:tab/>
        <w:t>Alimentaria y de Biosistemas</w:t>
      </w:r>
    </w:p>
    <w:p w:rsidR="00DF59FF" w:rsidRPr="005E1103" w:rsidRDefault="00DF59FF" w:rsidP="00DF59FF">
      <w:pPr>
        <w:rPr>
          <w:rFonts w:cstheme="minorHAnsi"/>
          <w:sz w:val="28"/>
          <w:szCs w:val="28"/>
        </w:rPr>
      </w:pPr>
    </w:p>
    <w:p w:rsidR="00DF59FF" w:rsidRPr="005E1103" w:rsidRDefault="00DF59FF" w:rsidP="00DF59FF">
      <w:pPr>
        <w:rPr>
          <w:rFonts w:cstheme="minorHAnsi"/>
          <w:sz w:val="28"/>
          <w:szCs w:val="28"/>
        </w:rPr>
      </w:pPr>
      <w:r w:rsidRPr="005E1103">
        <w:rPr>
          <w:rFonts w:cstheme="minorHAnsi"/>
          <w:sz w:val="28"/>
          <w:szCs w:val="28"/>
        </w:rPr>
        <w:tab/>
      </w:r>
      <w:r w:rsidRPr="005E1103">
        <w:rPr>
          <w:rFonts w:cstheme="minorHAnsi"/>
          <w:sz w:val="28"/>
          <w:szCs w:val="28"/>
        </w:rPr>
        <w:tab/>
      </w:r>
      <w:r w:rsidRPr="005E1103">
        <w:rPr>
          <w:rFonts w:cstheme="minorHAnsi"/>
          <w:sz w:val="28"/>
          <w:szCs w:val="28"/>
        </w:rPr>
        <w:tab/>
      </w:r>
      <w:r w:rsidRPr="005E1103">
        <w:rPr>
          <w:rFonts w:cstheme="minorHAnsi"/>
          <w:sz w:val="28"/>
          <w:szCs w:val="28"/>
        </w:rPr>
        <w:tab/>
      </w:r>
      <w:r w:rsidRPr="005E1103">
        <w:rPr>
          <w:rFonts w:cstheme="minorHAnsi"/>
          <w:sz w:val="28"/>
          <w:szCs w:val="28"/>
        </w:rPr>
        <w:tab/>
        <w:t xml:space="preserve">Miguel Esteban Herrero </w:t>
      </w:r>
    </w:p>
    <w:p w:rsidR="00DF59FF" w:rsidRPr="005E1103" w:rsidRDefault="00DF59FF" w:rsidP="00DF59FF">
      <w:pPr>
        <w:rPr>
          <w:rFonts w:cstheme="minorHAnsi"/>
          <w:sz w:val="28"/>
          <w:szCs w:val="28"/>
        </w:rPr>
      </w:pPr>
      <w:r w:rsidRPr="005E1103">
        <w:rPr>
          <w:rFonts w:cstheme="minorHAnsi"/>
          <w:sz w:val="28"/>
          <w:szCs w:val="28"/>
        </w:rPr>
        <w:tab/>
      </w:r>
      <w:r w:rsidRPr="005E1103">
        <w:rPr>
          <w:rFonts w:cstheme="minorHAnsi"/>
          <w:sz w:val="28"/>
          <w:szCs w:val="28"/>
        </w:rPr>
        <w:tab/>
      </w:r>
      <w:r w:rsidRPr="005E1103">
        <w:rPr>
          <w:rFonts w:cstheme="minorHAnsi"/>
          <w:sz w:val="28"/>
          <w:szCs w:val="28"/>
        </w:rPr>
        <w:tab/>
      </w:r>
      <w:r w:rsidRPr="005E1103">
        <w:rPr>
          <w:rFonts w:cstheme="minorHAnsi"/>
          <w:sz w:val="28"/>
          <w:szCs w:val="28"/>
        </w:rPr>
        <w:tab/>
      </w:r>
      <w:r w:rsidRPr="005E1103">
        <w:rPr>
          <w:rFonts w:cstheme="minorHAnsi"/>
          <w:sz w:val="28"/>
          <w:szCs w:val="28"/>
        </w:rPr>
        <w:tab/>
        <w:t xml:space="preserve">Dr. Ingeniero de Montes, Profesor Titular de </w:t>
      </w:r>
      <w:r w:rsidRPr="005E1103">
        <w:rPr>
          <w:rFonts w:cstheme="minorHAnsi"/>
          <w:sz w:val="28"/>
          <w:szCs w:val="28"/>
        </w:rPr>
        <w:tab/>
      </w:r>
      <w:r w:rsidRPr="005E1103">
        <w:rPr>
          <w:rFonts w:cstheme="minorHAnsi"/>
          <w:sz w:val="28"/>
          <w:szCs w:val="28"/>
        </w:rPr>
        <w:tab/>
      </w:r>
      <w:r w:rsidRPr="005E1103">
        <w:rPr>
          <w:rFonts w:cstheme="minorHAnsi"/>
          <w:sz w:val="28"/>
          <w:szCs w:val="28"/>
        </w:rPr>
        <w:tab/>
      </w:r>
      <w:r w:rsidRPr="005E1103">
        <w:rPr>
          <w:rFonts w:cstheme="minorHAnsi"/>
          <w:sz w:val="28"/>
          <w:szCs w:val="28"/>
        </w:rPr>
        <w:tab/>
      </w:r>
      <w:r w:rsidRPr="005E1103">
        <w:rPr>
          <w:rFonts w:cstheme="minorHAnsi"/>
          <w:sz w:val="28"/>
          <w:szCs w:val="28"/>
        </w:rPr>
        <w:tab/>
      </w:r>
      <w:r w:rsidRPr="005E1103">
        <w:rPr>
          <w:rFonts w:cstheme="minorHAnsi"/>
          <w:sz w:val="28"/>
          <w:szCs w:val="28"/>
        </w:rPr>
        <w:tab/>
        <w:t>Universidad. UPM - ETSI Montes, Forestal y</w:t>
      </w:r>
      <w:r w:rsidRPr="005E1103">
        <w:rPr>
          <w:rFonts w:cstheme="minorHAnsi"/>
          <w:sz w:val="28"/>
          <w:szCs w:val="28"/>
        </w:rPr>
        <w:tab/>
      </w:r>
      <w:r w:rsidRPr="005E1103">
        <w:rPr>
          <w:rFonts w:cstheme="minorHAnsi"/>
          <w:sz w:val="28"/>
          <w:szCs w:val="28"/>
        </w:rPr>
        <w:tab/>
      </w:r>
      <w:r w:rsidRPr="005E1103">
        <w:rPr>
          <w:rFonts w:cstheme="minorHAnsi"/>
          <w:sz w:val="28"/>
          <w:szCs w:val="28"/>
        </w:rPr>
        <w:tab/>
      </w:r>
      <w:r w:rsidRPr="005E1103">
        <w:rPr>
          <w:rFonts w:cstheme="minorHAnsi"/>
          <w:sz w:val="28"/>
          <w:szCs w:val="28"/>
        </w:rPr>
        <w:tab/>
      </w:r>
      <w:r w:rsidRPr="005E1103">
        <w:rPr>
          <w:rFonts w:cstheme="minorHAnsi"/>
          <w:sz w:val="28"/>
          <w:szCs w:val="28"/>
        </w:rPr>
        <w:tab/>
      </w:r>
      <w:r w:rsidRPr="005E1103">
        <w:rPr>
          <w:rFonts w:cstheme="minorHAnsi"/>
          <w:sz w:val="28"/>
          <w:szCs w:val="28"/>
        </w:rPr>
        <w:tab/>
        <w:t>Medio Natural</w:t>
      </w:r>
    </w:p>
    <w:p w:rsidR="00DF59FF" w:rsidRPr="005E1103" w:rsidRDefault="00DF59FF" w:rsidP="00DF59FF">
      <w:pPr>
        <w:rPr>
          <w:rFonts w:cstheme="minorHAnsi"/>
          <w:sz w:val="28"/>
          <w:szCs w:val="28"/>
        </w:rPr>
      </w:pPr>
      <w:r w:rsidRPr="005E1103">
        <w:rPr>
          <w:rFonts w:cstheme="minorHAnsi"/>
          <w:sz w:val="28"/>
          <w:szCs w:val="28"/>
        </w:rPr>
        <w:tab/>
      </w:r>
      <w:r w:rsidRPr="005E1103">
        <w:rPr>
          <w:rFonts w:cstheme="minorHAnsi"/>
          <w:sz w:val="28"/>
          <w:szCs w:val="28"/>
        </w:rPr>
        <w:tab/>
      </w:r>
      <w:r w:rsidRPr="005E1103">
        <w:rPr>
          <w:rFonts w:cstheme="minorHAnsi"/>
          <w:sz w:val="28"/>
          <w:szCs w:val="28"/>
        </w:rPr>
        <w:tab/>
      </w:r>
      <w:r w:rsidRPr="005E1103">
        <w:rPr>
          <w:rFonts w:cstheme="minorHAnsi"/>
          <w:sz w:val="28"/>
          <w:szCs w:val="28"/>
        </w:rPr>
        <w:tab/>
      </w:r>
      <w:r w:rsidRPr="005E1103">
        <w:rPr>
          <w:rFonts w:cstheme="minorHAnsi"/>
          <w:sz w:val="28"/>
          <w:szCs w:val="28"/>
        </w:rPr>
        <w:tab/>
      </w:r>
      <w:r w:rsidRPr="005E1103">
        <w:rPr>
          <w:rFonts w:cstheme="minorHAnsi"/>
          <w:sz w:val="28"/>
          <w:szCs w:val="28"/>
        </w:rPr>
        <w:tab/>
      </w:r>
      <w:r w:rsidRPr="005E1103">
        <w:rPr>
          <w:rFonts w:cstheme="minorHAnsi"/>
          <w:sz w:val="28"/>
          <w:szCs w:val="28"/>
        </w:rPr>
        <w:tab/>
      </w:r>
      <w:r w:rsidRPr="005E1103">
        <w:rPr>
          <w:rFonts w:cstheme="minorHAnsi"/>
          <w:sz w:val="28"/>
          <w:szCs w:val="28"/>
        </w:rPr>
        <w:tab/>
      </w:r>
      <w:r w:rsidRPr="005E1103">
        <w:rPr>
          <w:rFonts w:cstheme="minorHAnsi"/>
          <w:sz w:val="28"/>
          <w:szCs w:val="28"/>
        </w:rPr>
        <w:tab/>
      </w:r>
      <w:r w:rsidRPr="005E1103">
        <w:rPr>
          <w:rFonts w:cstheme="minorHAnsi"/>
          <w:sz w:val="28"/>
          <w:szCs w:val="28"/>
        </w:rPr>
        <w:tab/>
      </w:r>
      <w:r w:rsidRPr="005E1103">
        <w:rPr>
          <w:rFonts w:cstheme="minorHAnsi"/>
          <w:sz w:val="28"/>
          <w:szCs w:val="28"/>
        </w:rPr>
        <w:tab/>
      </w:r>
      <w:r w:rsidRPr="005E1103">
        <w:rPr>
          <w:rFonts w:cstheme="minorHAnsi"/>
          <w:sz w:val="28"/>
          <w:szCs w:val="28"/>
        </w:rPr>
        <w:tab/>
      </w:r>
      <w:r w:rsidRPr="005E1103">
        <w:rPr>
          <w:rFonts w:cstheme="minorHAnsi"/>
          <w:sz w:val="28"/>
          <w:szCs w:val="28"/>
        </w:rPr>
        <w:tab/>
      </w:r>
      <w:r w:rsidRPr="005E1103">
        <w:rPr>
          <w:rFonts w:cstheme="minorHAnsi"/>
          <w:sz w:val="28"/>
          <w:szCs w:val="28"/>
        </w:rPr>
        <w:tab/>
      </w:r>
      <w:r w:rsidRPr="005E1103">
        <w:rPr>
          <w:rFonts w:cstheme="minorHAnsi"/>
          <w:sz w:val="28"/>
          <w:szCs w:val="28"/>
        </w:rPr>
        <w:tab/>
      </w:r>
      <w:r w:rsidRPr="005E1103">
        <w:rPr>
          <w:rFonts w:cstheme="minorHAnsi"/>
          <w:sz w:val="28"/>
          <w:szCs w:val="28"/>
        </w:rPr>
        <w:tab/>
      </w:r>
    </w:p>
    <w:p w:rsidR="00DF59FF" w:rsidRPr="005E1103" w:rsidRDefault="00DF59FF" w:rsidP="00DF59FF">
      <w:pPr>
        <w:spacing w:line="360" w:lineRule="auto"/>
        <w:jc w:val="both"/>
        <w:rPr>
          <w:rFonts w:cstheme="minorHAnsi"/>
          <w:b/>
          <w:sz w:val="28"/>
          <w:szCs w:val="28"/>
        </w:rPr>
      </w:pPr>
      <w:r w:rsidRPr="005E1103">
        <w:rPr>
          <w:rFonts w:cstheme="minorHAnsi"/>
          <w:b/>
          <w:sz w:val="28"/>
          <w:szCs w:val="28"/>
        </w:rPr>
        <w:t>Justificación</w:t>
      </w:r>
    </w:p>
    <w:p w:rsidR="00DF59FF" w:rsidRPr="005E1103" w:rsidRDefault="00DF59FF" w:rsidP="00DF59FF">
      <w:pPr>
        <w:spacing w:line="360" w:lineRule="auto"/>
        <w:jc w:val="both"/>
        <w:rPr>
          <w:rFonts w:cstheme="minorHAnsi"/>
          <w:sz w:val="28"/>
          <w:szCs w:val="28"/>
        </w:rPr>
      </w:pPr>
      <w:r w:rsidRPr="005E1103">
        <w:rPr>
          <w:rFonts w:cstheme="minorHAnsi"/>
          <w:sz w:val="28"/>
          <w:szCs w:val="28"/>
        </w:rPr>
        <w:t xml:space="preserve">En el marco del III Congreso Internacional Universidad y Discapacidad bajo el lema “Una Universidad Inclusiva para una Sociedad Incluyente” se plantea esta Comunicación que </w:t>
      </w:r>
      <w:r w:rsidRPr="005E1103">
        <w:rPr>
          <w:rFonts w:cstheme="minorHAnsi"/>
          <w:sz w:val="28"/>
          <w:szCs w:val="28"/>
        </w:rPr>
        <w:lastRenderedPageBreak/>
        <w:t>presenta la iniciativa denominada Ciclo de Sesiones sobre Ingeniería y Accesibilidad (en adelante, CSIA) dado que entendemos que la misma establece un vínculo de la Universidad con la formación en materia de accesibilidad. Los autores forman parte del Comité de Edificación del Instituto de la Ingeniería de España, promotores e impulsores del CSIA.</w:t>
      </w:r>
    </w:p>
    <w:p w:rsidR="00DF59FF" w:rsidRPr="005E1103" w:rsidRDefault="00DF59FF" w:rsidP="00DF59FF">
      <w:pPr>
        <w:spacing w:line="360" w:lineRule="auto"/>
        <w:jc w:val="both"/>
        <w:rPr>
          <w:rFonts w:cstheme="minorHAnsi"/>
          <w:b/>
          <w:sz w:val="28"/>
          <w:szCs w:val="28"/>
        </w:rPr>
      </w:pPr>
      <w:r w:rsidRPr="005E1103">
        <w:rPr>
          <w:rFonts w:cstheme="minorHAnsi"/>
          <w:b/>
          <w:sz w:val="28"/>
          <w:szCs w:val="28"/>
        </w:rPr>
        <w:t>Fundamento</w:t>
      </w:r>
    </w:p>
    <w:p w:rsidR="00DF59FF" w:rsidRPr="005E1103" w:rsidRDefault="00DF59FF" w:rsidP="00DF59FF">
      <w:pPr>
        <w:spacing w:line="360" w:lineRule="auto"/>
        <w:jc w:val="both"/>
        <w:rPr>
          <w:rFonts w:cstheme="minorHAnsi"/>
          <w:sz w:val="28"/>
          <w:szCs w:val="28"/>
        </w:rPr>
      </w:pPr>
      <w:r w:rsidRPr="005E1103">
        <w:rPr>
          <w:rFonts w:cstheme="minorHAnsi"/>
          <w:sz w:val="28"/>
          <w:szCs w:val="28"/>
        </w:rPr>
        <w:t>La educación, desde edades tempranas, hasta llegar a la formación universitaria es uno de los cimientos de una sociedad saludable, que esté atenta a sus necesidades y que se plantee el futuro encarando los retos y desafíos que se le presentan, desde el conocimiento de la realidad, de los diferentes ámbitos del saber –bien se trate de disciplinas de carácter técnico, humanístico, social o científico- y, en este contexto, la educación en valores, en primera instancia, y la formación en las diferentes disciplinas vinculadas al ser humano y al modo de satisfacer sus necesidades resultan factores clave para dar respuesta a una sociedad sustentada en el respeto a unos derechos y obligaciones de los individuos y de las organizaciones que la conforman.</w:t>
      </w:r>
    </w:p>
    <w:p w:rsidR="00DF59FF" w:rsidRPr="005E1103" w:rsidRDefault="00DF59FF" w:rsidP="00DF59FF">
      <w:pPr>
        <w:spacing w:line="360" w:lineRule="auto"/>
        <w:jc w:val="both"/>
        <w:rPr>
          <w:rFonts w:cstheme="minorHAnsi"/>
          <w:b/>
          <w:sz w:val="28"/>
          <w:szCs w:val="28"/>
        </w:rPr>
      </w:pPr>
      <w:r w:rsidRPr="005E1103">
        <w:rPr>
          <w:rFonts w:cstheme="minorHAnsi"/>
          <w:b/>
          <w:sz w:val="28"/>
          <w:szCs w:val="28"/>
        </w:rPr>
        <w:t>Estructura de la Comunicación</w:t>
      </w:r>
    </w:p>
    <w:p w:rsidR="00DF59FF" w:rsidRPr="005E1103" w:rsidRDefault="00DF59FF" w:rsidP="00DF59FF">
      <w:pPr>
        <w:spacing w:line="360" w:lineRule="auto"/>
        <w:jc w:val="both"/>
        <w:rPr>
          <w:rFonts w:cstheme="minorHAnsi"/>
          <w:sz w:val="28"/>
          <w:szCs w:val="28"/>
        </w:rPr>
      </w:pPr>
      <w:r w:rsidRPr="005E1103">
        <w:rPr>
          <w:rFonts w:cstheme="minorHAnsi"/>
          <w:sz w:val="28"/>
          <w:szCs w:val="28"/>
        </w:rPr>
        <w:t xml:space="preserve">Esta comunicación se vertebra en tres partes, a saber: La primera aborda el contexto en el que surge la propuesta de llevar a cabo un Ciclo de Sesiones sobre Ingeniería y Accesibilidad. La segunda se centra en describir esta iniciativa, de cómo surge, de cuáles son sus objetivos y de cómo se articula y desarrolla. Y la tercera, la que vincula este proyecto con la formación universitaria en materia de accesibilidad, en particular en al campo de la Ingeniería en sus diferentes disciplinas. Unas consideraciones finales completan esta aportación al Congreso. </w:t>
      </w:r>
    </w:p>
    <w:p w:rsidR="00995D7A" w:rsidRDefault="00995D7A">
      <w:pPr>
        <w:rPr>
          <w:rFonts w:eastAsia="Calibri" w:cstheme="minorHAnsi"/>
          <w:b/>
          <w:sz w:val="28"/>
          <w:szCs w:val="28"/>
        </w:rPr>
      </w:pPr>
      <w:r>
        <w:rPr>
          <w:rFonts w:cstheme="minorHAnsi"/>
          <w:b/>
          <w:sz w:val="28"/>
          <w:szCs w:val="28"/>
        </w:rPr>
        <w:br w:type="page"/>
      </w:r>
    </w:p>
    <w:p w:rsidR="00DF59FF" w:rsidRPr="005E1103" w:rsidRDefault="00DF59FF" w:rsidP="00DF59FF">
      <w:pPr>
        <w:pStyle w:val="Prrafodelista"/>
        <w:numPr>
          <w:ilvl w:val="0"/>
          <w:numId w:val="21"/>
        </w:numPr>
        <w:spacing w:before="0" w:after="200" w:line="360" w:lineRule="auto"/>
        <w:jc w:val="both"/>
        <w:rPr>
          <w:rFonts w:asciiTheme="minorHAnsi" w:hAnsiTheme="minorHAnsi" w:cstheme="minorHAnsi"/>
          <w:b/>
          <w:sz w:val="28"/>
          <w:szCs w:val="28"/>
        </w:rPr>
      </w:pPr>
      <w:r w:rsidRPr="005E1103">
        <w:rPr>
          <w:rFonts w:asciiTheme="minorHAnsi" w:hAnsiTheme="minorHAnsi" w:cstheme="minorHAnsi"/>
          <w:b/>
          <w:sz w:val="28"/>
          <w:szCs w:val="28"/>
        </w:rPr>
        <w:lastRenderedPageBreak/>
        <w:t>Contexto en el que se plantea el Ciclo de Sesiones sobre Ingeniería y Accesibilidad (en adelante, CSIA)</w:t>
      </w:r>
    </w:p>
    <w:p w:rsidR="00DF59FF" w:rsidRPr="005E1103" w:rsidRDefault="00DF59FF" w:rsidP="00DF59FF">
      <w:pPr>
        <w:spacing w:line="360" w:lineRule="auto"/>
        <w:jc w:val="both"/>
        <w:rPr>
          <w:rFonts w:cstheme="minorHAnsi"/>
          <w:sz w:val="28"/>
          <w:szCs w:val="28"/>
        </w:rPr>
      </w:pPr>
      <w:r w:rsidRPr="005E1103">
        <w:rPr>
          <w:rFonts w:cstheme="minorHAnsi"/>
          <w:sz w:val="28"/>
          <w:szCs w:val="28"/>
        </w:rPr>
        <w:t>Esta iniciativa no surge por generación espontánea ni fruto de una conversación tomando un café una serie de personas; no se trata de una ocurrencia. Desde hace años, el Comité de Edificación, uno de los Comités operativos en el seno del Instituto de la Ingeniería de España se ha ocupado de la problemática de la accesibilidad, dado que considera que éste es un factor clave a considerar en los proyectos de edificación –tanto en nueva construcción como en rehabilitación- esencial para la calidad del proyecto y para dotar a los edificios de la mayor seguridad de utilización y confort, junto con los requisitos de accesibilidad.</w:t>
      </w:r>
    </w:p>
    <w:p w:rsidR="00DF59FF" w:rsidRPr="005E1103" w:rsidRDefault="00DF59FF" w:rsidP="00DF59FF">
      <w:pPr>
        <w:spacing w:line="360" w:lineRule="auto"/>
        <w:jc w:val="both"/>
        <w:rPr>
          <w:rFonts w:cstheme="minorHAnsi"/>
          <w:sz w:val="28"/>
          <w:szCs w:val="28"/>
        </w:rPr>
      </w:pPr>
      <w:r w:rsidRPr="005E1103">
        <w:rPr>
          <w:rFonts w:cstheme="minorHAnsi"/>
          <w:sz w:val="28"/>
          <w:szCs w:val="28"/>
        </w:rPr>
        <w:t>En el Comité se analiza la edificación desde la óptica de la Ingeniería que, como todo el mundo sabe, resulta complementaria del de la Arquitectura siendo asimismo imprescindible en una etapa de la evolución tecnológica en la que se impone trabajar en entornos pluridisciplinares, aplicando metodologías BIM y dando las mejores respuestas en temas como la sostenibilidad, la eficiencia energética, las condiciones de habitabilidad y una vinculación entre la edificación y el entorno urbano coherente, bien organizada y respondiendo a los patrones de la renovación y regeneración urbana.</w:t>
      </w:r>
    </w:p>
    <w:p w:rsidR="00DF59FF" w:rsidRPr="005E1103" w:rsidRDefault="00DF59FF" w:rsidP="00DF59FF">
      <w:pPr>
        <w:spacing w:line="360" w:lineRule="auto"/>
        <w:jc w:val="both"/>
        <w:rPr>
          <w:rFonts w:cstheme="minorHAnsi"/>
          <w:sz w:val="28"/>
          <w:szCs w:val="28"/>
        </w:rPr>
      </w:pPr>
      <w:r w:rsidRPr="005E1103">
        <w:rPr>
          <w:rFonts w:cstheme="minorHAnsi"/>
          <w:sz w:val="28"/>
          <w:szCs w:val="28"/>
        </w:rPr>
        <w:t xml:space="preserve">Es en este foro, del que forman parte especialistas en edificación desde diversas facetas, (la académica y docente de la Universidad, las Administraciones Públicas, el sector de la construcción y la consultoría técnica), el Comité de Edificación estudió, maduró y propuso la iniciativa –tras otras actividades en materia de accesibilidad- de emprender un Ciclo de Sesiones centrado en el binomio de la Ingeniería y la Accesibilidad cuyo principal objetivo era el de transmitir, y llamar la atención, a los Ingenieros, en sus diferentes disciplinas,- sobre la importancia que la Accesibilidad –asimismo en sus diversas áreas- tiene en su ejercicio profesional, a la hora de redactar los proyectos y ejecutar las obras, equipamientos e instalaciones. Para ello se optó, no por organizar una </w:t>
      </w:r>
      <w:r w:rsidRPr="005E1103">
        <w:rPr>
          <w:rFonts w:cstheme="minorHAnsi"/>
          <w:sz w:val="28"/>
          <w:szCs w:val="28"/>
        </w:rPr>
        <w:lastRenderedPageBreak/>
        <w:t xml:space="preserve">Jornada que dura el día en el que tiene lugar, sino por abarcar un periodo más amplio, todo un Ciclo de dos años de duración, de modo que con periodicidad trimestral se planteara una Sesión en la que se tratara un ámbito de </w:t>
      </w:r>
      <w:r w:rsidR="00995D7A" w:rsidRPr="005E1103">
        <w:rPr>
          <w:rFonts w:cstheme="minorHAnsi"/>
          <w:sz w:val="28"/>
          <w:szCs w:val="28"/>
        </w:rPr>
        <w:t>actividad característico</w:t>
      </w:r>
      <w:r w:rsidRPr="005E1103">
        <w:rPr>
          <w:rFonts w:cstheme="minorHAnsi"/>
          <w:sz w:val="28"/>
          <w:szCs w:val="28"/>
        </w:rPr>
        <w:t xml:space="preserve"> de una o varias ramas de la Ingeniería, mostrando la incidencia de la Accesibilidad en cada uno de ellos. De este modo se pretendía dilatar en el tiempo el abordaje de la cuestión y mantener el interés y la atención en el tema. Y el Ciclo de Sesiones cumple ahora 14 meses desde su inicio, que tuvo lugar en septiembre de 2015 en la Real Academia de Ingeniería, que se sumó de forma entusiasta a este proyecto al Instituto de la Ingeniería de España, de modo que las dos Instituciones españolas más relevantes en relación con las Ingenierías trabajaban juntas en el tema. A ellas se sumaron asimismo el Ministerio de Fomento, como el referente privilegiado de la Ingeniería en la Administración, y la Fundación ONCE, de la que nadie duda de su relevancia en el impulso de la accesibilidad en la sociedad española.</w:t>
      </w:r>
    </w:p>
    <w:p w:rsidR="00DF59FF" w:rsidRPr="005E1103" w:rsidRDefault="00DF59FF" w:rsidP="00DF59FF">
      <w:pPr>
        <w:pStyle w:val="Prrafodelista"/>
        <w:numPr>
          <w:ilvl w:val="0"/>
          <w:numId w:val="21"/>
        </w:numPr>
        <w:spacing w:before="0" w:after="200" w:line="360" w:lineRule="auto"/>
        <w:jc w:val="both"/>
        <w:rPr>
          <w:rFonts w:asciiTheme="minorHAnsi" w:hAnsiTheme="minorHAnsi" w:cstheme="minorHAnsi"/>
          <w:b/>
          <w:sz w:val="28"/>
          <w:szCs w:val="28"/>
        </w:rPr>
      </w:pPr>
      <w:r w:rsidRPr="005E1103">
        <w:rPr>
          <w:rFonts w:asciiTheme="minorHAnsi" w:hAnsiTheme="minorHAnsi" w:cstheme="minorHAnsi"/>
          <w:b/>
          <w:sz w:val="28"/>
          <w:szCs w:val="28"/>
        </w:rPr>
        <w:t>Descripción del proyecto Ciclo de Sesiones sobre Ingeniería y Accesibilidad</w:t>
      </w:r>
    </w:p>
    <w:p w:rsidR="00DF59FF" w:rsidRPr="005E1103" w:rsidRDefault="00DF59FF" w:rsidP="00DF59FF">
      <w:pPr>
        <w:spacing w:line="360" w:lineRule="auto"/>
        <w:jc w:val="both"/>
        <w:rPr>
          <w:rFonts w:cstheme="minorHAnsi"/>
          <w:sz w:val="28"/>
          <w:szCs w:val="28"/>
        </w:rPr>
      </w:pPr>
      <w:r w:rsidRPr="005E1103">
        <w:rPr>
          <w:rFonts w:cstheme="minorHAnsi"/>
          <w:sz w:val="28"/>
          <w:szCs w:val="28"/>
        </w:rPr>
        <w:t>Ha de subrayarse el hecho de que esta iniciativa es pionera e innovadora en el panorama europeo e internacional. Tan sólo en Canadá se ha organizado en fecha reciente una Jornada sobre el tema. Se trata por tanto de un enfoque nuevo de la cuestión, abarcando además en su mayor amplitud tanto en lo relativo a la Ingeniería, en sus diversas ramas –todas aquellas representadas en el Instituto de la Ingeniería de España- como a lo que respecta a la Accesibilidad, disciplina o área de conocimiento de muy amplio espectro y que opera de forma transversal en el paisaje del conocimiento. De ahí que convenga destacar la labor de preparación tanto del Ciclo en su conjunto como de las diferentes Sesiones que lo maclan.</w:t>
      </w:r>
    </w:p>
    <w:p w:rsidR="00DF59FF" w:rsidRPr="005E1103" w:rsidRDefault="00DF59FF" w:rsidP="00DF59FF">
      <w:pPr>
        <w:spacing w:line="360" w:lineRule="auto"/>
        <w:jc w:val="both"/>
        <w:rPr>
          <w:rFonts w:cstheme="minorHAnsi"/>
          <w:sz w:val="28"/>
          <w:szCs w:val="28"/>
        </w:rPr>
      </w:pPr>
      <w:r w:rsidRPr="005E1103">
        <w:rPr>
          <w:rFonts w:cstheme="minorHAnsi"/>
          <w:sz w:val="28"/>
          <w:szCs w:val="28"/>
        </w:rPr>
        <w:t xml:space="preserve">Hasta la fecha, octubre de 2016, se han celebrado un total de 5 Sesiones, la ya referida de inauguración del Ciclo –que revistió un carácter solemne-, la primera de carácter temático propiamente dicho, celebrada en el Palacio de Zurbano del Ministerio de </w:t>
      </w:r>
      <w:r w:rsidRPr="005E1103">
        <w:rPr>
          <w:rFonts w:cstheme="minorHAnsi"/>
          <w:sz w:val="28"/>
          <w:szCs w:val="28"/>
        </w:rPr>
        <w:lastRenderedPageBreak/>
        <w:t>Fomento, titulada “La ingeniería al servicio de la sociedad” y en la que la accesibilidad estuvo presente en el transcurso de las diferentes intervenciones. La tercera Sesión se centró en el análisis de la Accesibilidad en la Ciudad, teniendo lugar en el Salón de Actos de la Fundación ONCE y en la que se presentaron experiencias seleccionadas en materia de accesibilidad en diferentes ciudades españolas. Ya en 2016 se han celebrado dos Sesiones más, en este caso en torno a la Accesibilidad y las TIC, teniendo ambas lugar en la Escuela de Ingenieros de Telecomunicación de la Universidad Politécnica de Madrid, destacando el hecho de que la primera de las mismas fue inaugurada por el Rector Magnífico de la UPM. La diversidad de temas en torno a la accesibilidad a las TIC y, a sensu contrario, las oportunidades que éstas brindan en materia de accesibilidad aconsejaron dedicar dos Sesiones, entiéndase dos tardes, al tratamiento de esta cuestión.</w:t>
      </w:r>
    </w:p>
    <w:p w:rsidR="00DF59FF" w:rsidRPr="005E1103" w:rsidRDefault="00DF59FF" w:rsidP="00DF59FF">
      <w:pPr>
        <w:spacing w:line="360" w:lineRule="auto"/>
        <w:jc w:val="both"/>
        <w:rPr>
          <w:rFonts w:cstheme="minorHAnsi"/>
          <w:sz w:val="28"/>
          <w:szCs w:val="28"/>
        </w:rPr>
      </w:pPr>
      <w:r w:rsidRPr="005E1103">
        <w:rPr>
          <w:rFonts w:cstheme="minorHAnsi"/>
          <w:sz w:val="28"/>
          <w:szCs w:val="28"/>
        </w:rPr>
        <w:t>Las Sesiones que en los próximos meses tendrán lugar, y que el Comité de Edificación está programando a través del Director Técnico del Ciclo, estarán dedicadas a la Accesibilidad en parques, jardines y entornos naturales; y a la Accesibilidad en la Ingeniería Industrial que –por su amplitud- abarcará dos Sesiones. Más adelante el Ciclo abordará la Accesibilidad y los transportes, la Accesibilidad y el marco jurídico regulador; y, por último, la formación en Accesibilidad en las Escuelas de Ingeniería.</w:t>
      </w:r>
    </w:p>
    <w:p w:rsidR="00DF59FF" w:rsidRPr="005E1103" w:rsidRDefault="00DF59FF" w:rsidP="00DF59FF">
      <w:pPr>
        <w:spacing w:line="360" w:lineRule="auto"/>
        <w:jc w:val="both"/>
        <w:rPr>
          <w:rFonts w:cstheme="minorHAnsi"/>
          <w:sz w:val="28"/>
          <w:szCs w:val="28"/>
        </w:rPr>
      </w:pPr>
      <w:r w:rsidRPr="005E1103">
        <w:rPr>
          <w:rFonts w:cstheme="minorHAnsi"/>
          <w:sz w:val="28"/>
          <w:szCs w:val="28"/>
        </w:rPr>
        <w:t xml:space="preserve">Estas Sesiones, además de contar con las cuatro Instituciones ya citadas, en calidad de coorganizadoras, se celebran de forma presencial y se transmiten por streaming. Está prevista, a la finalización del Ciclo, la edición de una publicación sobre Ingeniería y Accesibilidad, en la que se reflejarán no sólo los contenidos de las Ponencias de cada Sesión sino un relato del Ciclo y </w:t>
      </w:r>
      <w:r w:rsidR="00995D7A" w:rsidRPr="005E1103">
        <w:rPr>
          <w:rFonts w:cstheme="minorHAnsi"/>
          <w:sz w:val="28"/>
          <w:szCs w:val="28"/>
        </w:rPr>
        <w:t>una propuesta</w:t>
      </w:r>
      <w:r w:rsidRPr="005E1103">
        <w:rPr>
          <w:rFonts w:cstheme="minorHAnsi"/>
          <w:sz w:val="28"/>
          <w:szCs w:val="28"/>
        </w:rPr>
        <w:t xml:space="preserve"> de futuro vinculadas a reforzar el papel de la Ingeniería en la temática de la Accesibilidad y a robustecer la formación en estas cuestiones en la Universidad española, flanco éste que –como veremos- está prácticamente por desarrollar.</w:t>
      </w:r>
    </w:p>
    <w:p w:rsidR="00DF59FF" w:rsidRPr="005E1103" w:rsidRDefault="00DF59FF" w:rsidP="00DF59FF">
      <w:pPr>
        <w:pStyle w:val="Prrafodelista"/>
        <w:spacing w:line="360" w:lineRule="auto"/>
        <w:jc w:val="both"/>
        <w:rPr>
          <w:rFonts w:asciiTheme="minorHAnsi" w:hAnsiTheme="minorHAnsi" w:cstheme="minorHAnsi"/>
          <w:b/>
          <w:sz w:val="28"/>
          <w:szCs w:val="28"/>
        </w:rPr>
      </w:pPr>
    </w:p>
    <w:p w:rsidR="00DF59FF" w:rsidRPr="005E1103" w:rsidRDefault="00DF59FF" w:rsidP="00DF59FF">
      <w:pPr>
        <w:pStyle w:val="Prrafodelista"/>
        <w:numPr>
          <w:ilvl w:val="0"/>
          <w:numId w:val="21"/>
        </w:numPr>
        <w:spacing w:before="0" w:after="200" w:line="360" w:lineRule="auto"/>
        <w:jc w:val="both"/>
        <w:rPr>
          <w:rFonts w:asciiTheme="minorHAnsi" w:hAnsiTheme="minorHAnsi" w:cstheme="minorHAnsi"/>
          <w:b/>
          <w:sz w:val="28"/>
          <w:szCs w:val="28"/>
        </w:rPr>
      </w:pPr>
      <w:r w:rsidRPr="005E1103">
        <w:rPr>
          <w:rFonts w:asciiTheme="minorHAnsi" w:hAnsiTheme="minorHAnsi" w:cstheme="minorHAnsi"/>
          <w:b/>
          <w:sz w:val="28"/>
          <w:szCs w:val="28"/>
        </w:rPr>
        <w:t>Vínculo entre el CSIA y la formación universitaria en accesibilidad en las Escuelas de Ingeniería</w:t>
      </w:r>
    </w:p>
    <w:p w:rsidR="00DF59FF" w:rsidRPr="005E1103" w:rsidRDefault="00DF59FF" w:rsidP="00DF59FF">
      <w:pPr>
        <w:spacing w:line="360" w:lineRule="auto"/>
        <w:jc w:val="both"/>
        <w:rPr>
          <w:rFonts w:cstheme="minorHAnsi"/>
          <w:sz w:val="28"/>
          <w:szCs w:val="28"/>
        </w:rPr>
      </w:pPr>
      <w:r w:rsidRPr="005E1103">
        <w:rPr>
          <w:rFonts w:cstheme="minorHAnsi"/>
          <w:sz w:val="28"/>
          <w:szCs w:val="28"/>
        </w:rPr>
        <w:t xml:space="preserve">Como se desprende de lo expuesto con anterioridad, la iniciativa del Ciclo de Sesiones sobre Ingeniería y Accesibilidad no es un fin en sí </w:t>
      </w:r>
      <w:r w:rsidR="00995D7A" w:rsidRPr="005E1103">
        <w:rPr>
          <w:rFonts w:cstheme="minorHAnsi"/>
          <w:sz w:val="28"/>
          <w:szCs w:val="28"/>
        </w:rPr>
        <w:t>mismo,</w:t>
      </w:r>
      <w:r w:rsidRPr="005E1103">
        <w:rPr>
          <w:rFonts w:cstheme="minorHAnsi"/>
          <w:sz w:val="28"/>
          <w:szCs w:val="28"/>
        </w:rPr>
        <w:t xml:space="preserve"> sino que es un proyecto de largo alcance.</w:t>
      </w:r>
    </w:p>
    <w:p w:rsidR="00DF59FF" w:rsidRPr="005E1103" w:rsidRDefault="00DF59FF" w:rsidP="00DF59FF">
      <w:pPr>
        <w:spacing w:line="360" w:lineRule="auto"/>
        <w:jc w:val="both"/>
        <w:rPr>
          <w:rFonts w:cstheme="minorHAnsi"/>
          <w:sz w:val="28"/>
          <w:szCs w:val="28"/>
        </w:rPr>
      </w:pPr>
      <w:r w:rsidRPr="005E1103">
        <w:rPr>
          <w:rFonts w:cstheme="minorHAnsi"/>
          <w:sz w:val="28"/>
          <w:szCs w:val="28"/>
        </w:rPr>
        <w:t>Como se ha subrayado el primer objetivo del CSIA es el de trasladar la importancia del tema a las Ingenierías, dar un toque de atención acerca de la necesidad de abordar los requisitos de accesibilidad en la redacción de proyectos y, en general, en el ejercicio profesional de los ingenieros, no sólo por el hecho de tratarse de un tema vital, no sólo por la exigencia deontológica de proyectar sin discriminar, sino también por la exigencia de dar cumplimiento al marco jurídico regulador en estas materias vigente en España.</w:t>
      </w:r>
    </w:p>
    <w:p w:rsidR="00DF59FF" w:rsidRPr="005E1103" w:rsidRDefault="00DF59FF" w:rsidP="00DF59FF">
      <w:pPr>
        <w:spacing w:line="360" w:lineRule="auto"/>
        <w:jc w:val="both"/>
        <w:rPr>
          <w:rFonts w:cstheme="minorHAnsi"/>
          <w:sz w:val="28"/>
          <w:szCs w:val="28"/>
        </w:rPr>
      </w:pPr>
      <w:r w:rsidRPr="005E1103">
        <w:rPr>
          <w:rFonts w:cstheme="minorHAnsi"/>
          <w:sz w:val="28"/>
          <w:szCs w:val="28"/>
        </w:rPr>
        <w:t>Ahora bien, craso error sería dar carpetazo a esta compleja cuestión –por el hecho de que en España siempre se ha asociado Accesibilidad a Arquitectura, y punto- tras celebrarse todas las Sesiones del Ciclo y editado el libro. Se trata, por el contrario, de un primer impulso del tema, que requiere de una serie de intervenciones de alcance temporal y que ha de tener su reflejo en el mundo Universitario, incorporando en los curriculae académicos los temas de accesibilidad para cada una de las Ingenierías, en las respectivas Escuelas, con una buena comunicación entre las diferentes Universidades que imparten títulos de ingeniería.</w:t>
      </w:r>
    </w:p>
    <w:p w:rsidR="00DF59FF" w:rsidRPr="005E1103" w:rsidRDefault="00DF59FF" w:rsidP="00DF59FF">
      <w:pPr>
        <w:spacing w:line="360" w:lineRule="auto"/>
        <w:jc w:val="both"/>
        <w:rPr>
          <w:rFonts w:cstheme="minorHAnsi"/>
          <w:sz w:val="28"/>
          <w:szCs w:val="28"/>
        </w:rPr>
      </w:pPr>
      <w:r w:rsidRPr="005E1103">
        <w:rPr>
          <w:rFonts w:cstheme="minorHAnsi"/>
          <w:sz w:val="28"/>
          <w:szCs w:val="28"/>
        </w:rPr>
        <w:t>El punto de partida en lo que atañe a la formación en accesibilidad en las Escuelas de Ingeniería, hoy por hoy, es desolador. Podría definirse, con benevolencia, como testimonial. Esto resulta altamente preocupante si se analiza desde un doble enfoque:</w:t>
      </w:r>
    </w:p>
    <w:p w:rsidR="00DF59FF" w:rsidRPr="005E1103" w:rsidRDefault="00DF59FF" w:rsidP="00DF59FF">
      <w:pPr>
        <w:pStyle w:val="Prrafodelista"/>
        <w:numPr>
          <w:ilvl w:val="0"/>
          <w:numId w:val="22"/>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lastRenderedPageBreak/>
        <w:t>Desde la vertiente social, al no preparar a uno de sus principales perfiles profesionales, los Ingenieros, en uno de los temas de mayor calado técnico, tecnológico y de repercusión en la sociedad como es el de la Accesibilidad.</w:t>
      </w:r>
    </w:p>
    <w:p w:rsidR="00DF59FF" w:rsidRPr="005E1103" w:rsidRDefault="00DF59FF" w:rsidP="00DF59FF">
      <w:pPr>
        <w:pStyle w:val="Prrafodelista"/>
        <w:numPr>
          <w:ilvl w:val="0"/>
          <w:numId w:val="22"/>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Desde la óptica de los Ingenieros, tomados de uno en uno, las carencias en su formación que arrastrarán en su desempeño profesional, no estando habilitados para incluir de forma pertinente y con conocimiento de causa y de aplicabilidad los criterios, requisitos y especificaciones en materia de accesibilidad. Además, quedan en una situación de alarmante indefensión dado que se les va a exigir legalmente la aplicación de los criterios de accesibilidad, pudiendo incurrir en responsabilidad.</w:t>
      </w:r>
    </w:p>
    <w:p w:rsidR="00DF59FF" w:rsidRPr="005E1103" w:rsidRDefault="00DF59FF" w:rsidP="00DF59FF">
      <w:pPr>
        <w:spacing w:line="360" w:lineRule="auto"/>
        <w:jc w:val="both"/>
        <w:rPr>
          <w:rFonts w:cstheme="minorHAnsi"/>
          <w:sz w:val="28"/>
          <w:szCs w:val="28"/>
        </w:rPr>
      </w:pPr>
      <w:r w:rsidRPr="005E1103">
        <w:rPr>
          <w:rFonts w:cstheme="minorHAnsi"/>
          <w:sz w:val="28"/>
          <w:szCs w:val="28"/>
        </w:rPr>
        <w:t>De lo anterior, que responde a un análisis aséptico de la cuestión, se desprende que prácticamente se ha de partir de cero en cuanto a la formación universitaria en accesibilidad de los Ingenieros, así como de aquellos que ya están ejerciendo como tales, pues ni antes ni ahora se ha enseñado accesibilidad en nuestras Escuelas de Ingeniería.</w:t>
      </w:r>
    </w:p>
    <w:p w:rsidR="00DF59FF" w:rsidRPr="005E1103" w:rsidRDefault="00DF59FF" w:rsidP="00DF59FF">
      <w:pPr>
        <w:spacing w:line="360" w:lineRule="auto"/>
        <w:jc w:val="both"/>
        <w:rPr>
          <w:rFonts w:cstheme="minorHAnsi"/>
          <w:sz w:val="28"/>
          <w:szCs w:val="28"/>
        </w:rPr>
      </w:pPr>
      <w:r w:rsidRPr="005E1103">
        <w:rPr>
          <w:rFonts w:cstheme="minorHAnsi"/>
          <w:sz w:val="28"/>
          <w:szCs w:val="28"/>
        </w:rPr>
        <w:t>Existen iniciativas de incorporar la temática de la accesibilidad en los curriculae académicos de las ingenierías. A este respecto cabe citar la impulsada por la Fundación ONCE, el IMSERSO y la Coordinadora del Diseño para todas las personas en España sobre formación curricular en accesibilidad de diferentes carreras universitarias, acometida en 2010. En este sentido, se debe citar la publicación dentro de esta colección “Formación Curricular de Diseño para Todos en Ingeniería de Caminos, Canales y Puertos”, redactada por el Director Técnico del CSIA y uno de los autores de esta Comunicación. Destaquemos sólo dos párrafos de la introducción de este documento, que entra en el detalle de las materias a impartir:</w:t>
      </w:r>
    </w:p>
    <w:p w:rsidR="00DF59FF" w:rsidRPr="005E1103" w:rsidRDefault="00DF59FF" w:rsidP="00DF59FF">
      <w:pPr>
        <w:spacing w:line="360" w:lineRule="auto"/>
        <w:ind w:left="567"/>
        <w:jc w:val="both"/>
        <w:rPr>
          <w:rFonts w:cstheme="minorHAnsi"/>
          <w:sz w:val="28"/>
          <w:szCs w:val="28"/>
        </w:rPr>
      </w:pPr>
      <w:r w:rsidRPr="005E1103">
        <w:rPr>
          <w:rFonts w:cstheme="minorHAnsi"/>
          <w:sz w:val="28"/>
          <w:szCs w:val="28"/>
        </w:rPr>
        <w:t xml:space="preserve">“La Ingeniería Civil del Siglo XXI, las nuevas Obras Públicas tienen por delante innumerables retos, entre otros, el de la calidad, el de la sostenibilidad, el de la eficiencia, el de la seguridad y, también, el de la Universalidad, entendido como </w:t>
      </w:r>
      <w:r w:rsidRPr="005E1103">
        <w:rPr>
          <w:rFonts w:cstheme="minorHAnsi"/>
          <w:sz w:val="28"/>
          <w:szCs w:val="28"/>
        </w:rPr>
        <w:lastRenderedPageBreak/>
        <w:t>aquél que concibe, proyecta, construye y rehabilita los espacios públicos, las obras de Ingeniería Civil en su diversidad de tipos, de forma tal que puedan ser utilizados por el conjunto de la sociedad, por todas las personas, con independencia de sus capacidades, edad o cualquier otra circunstancia que condicione su interacción con el entorno”.</w:t>
      </w:r>
    </w:p>
    <w:p w:rsidR="00DF59FF" w:rsidRPr="005E1103" w:rsidRDefault="00DF59FF" w:rsidP="00DF59FF">
      <w:pPr>
        <w:spacing w:line="360" w:lineRule="auto"/>
        <w:jc w:val="both"/>
        <w:rPr>
          <w:rFonts w:cstheme="minorHAnsi"/>
          <w:sz w:val="28"/>
          <w:szCs w:val="28"/>
        </w:rPr>
      </w:pPr>
    </w:p>
    <w:p w:rsidR="00DF59FF" w:rsidRPr="005E1103" w:rsidRDefault="00DF59FF" w:rsidP="00DF59FF">
      <w:pPr>
        <w:spacing w:line="360" w:lineRule="auto"/>
        <w:jc w:val="both"/>
        <w:rPr>
          <w:rFonts w:cstheme="minorHAnsi"/>
          <w:sz w:val="28"/>
          <w:szCs w:val="28"/>
        </w:rPr>
      </w:pPr>
      <w:r w:rsidRPr="005E1103">
        <w:rPr>
          <w:rFonts w:cstheme="minorHAnsi"/>
          <w:sz w:val="28"/>
          <w:szCs w:val="28"/>
        </w:rPr>
        <w:t>Para añadir a renglón seguido:</w:t>
      </w:r>
    </w:p>
    <w:p w:rsidR="00DF59FF" w:rsidRPr="005E1103" w:rsidRDefault="00DF59FF" w:rsidP="00DF59FF">
      <w:pPr>
        <w:spacing w:line="360" w:lineRule="auto"/>
        <w:ind w:left="567"/>
        <w:jc w:val="both"/>
        <w:rPr>
          <w:rFonts w:cstheme="minorHAnsi"/>
          <w:sz w:val="28"/>
          <w:szCs w:val="28"/>
        </w:rPr>
      </w:pPr>
      <w:r w:rsidRPr="005E1103">
        <w:rPr>
          <w:rFonts w:cstheme="minorHAnsi"/>
          <w:sz w:val="28"/>
          <w:szCs w:val="28"/>
        </w:rPr>
        <w:t>“Así pues, Obras Públicas y Accesibilidad Universal son asuntos que se entrelazan en un momento en el que ya no proyectamos para ese hombre medio del que hablaba Leonardo da Vinci, o antes Vitruvio; el reto de la Ingeniería de Caminos, de la Ingeniería Civil del siglo XXI y venideros es el de proyectar para todos, atendiendo a la diversidad humana; sólo de este modo se lograrán Obras Públicas e Infraestructuras que nos permitan a toda la sociedad su utilización de forma segura, autónoma y accesible”.</w:t>
      </w:r>
    </w:p>
    <w:p w:rsidR="00DF59FF" w:rsidRPr="005E1103" w:rsidRDefault="00DF59FF" w:rsidP="00DF59FF">
      <w:pPr>
        <w:spacing w:line="360" w:lineRule="auto"/>
        <w:jc w:val="both"/>
        <w:rPr>
          <w:rFonts w:cstheme="minorHAnsi"/>
          <w:sz w:val="28"/>
          <w:szCs w:val="28"/>
        </w:rPr>
      </w:pPr>
      <w:r w:rsidRPr="005E1103">
        <w:rPr>
          <w:rFonts w:cstheme="minorHAnsi"/>
          <w:sz w:val="28"/>
          <w:szCs w:val="28"/>
        </w:rPr>
        <w:t>Al igual que para los Ingenieros de Caminos, para el resto de los Ingenieros puede aplicarse la misma ecuación con la accesibilidad como denominador común y aplicando las variables que correspondan a cada una de ellas. En el caso de esta Comunicación, en razón de la formación académica de sus autores, podemos referirnos a los Ingenieros Industriales, a los Ingenieros Agrónomos y a los Ingenieros de Montes en términos similares, así como al resto de Ingenierías.</w:t>
      </w:r>
    </w:p>
    <w:p w:rsidR="00DF59FF" w:rsidRPr="005E1103" w:rsidRDefault="00DF59FF" w:rsidP="00DF59FF">
      <w:pPr>
        <w:spacing w:line="360" w:lineRule="auto"/>
        <w:jc w:val="both"/>
        <w:rPr>
          <w:rFonts w:cstheme="minorHAnsi"/>
          <w:sz w:val="28"/>
          <w:szCs w:val="28"/>
        </w:rPr>
      </w:pPr>
      <w:r w:rsidRPr="005E1103">
        <w:rPr>
          <w:rFonts w:cstheme="minorHAnsi"/>
          <w:sz w:val="28"/>
          <w:szCs w:val="28"/>
        </w:rPr>
        <w:t xml:space="preserve">Como es bien conocido, no preguntemos lo que el futuro nos depara, nos corresponde a nosotros construirlo; de ahí que los firmantes de esta Comunicación –que muy bien podría haber revestido el carácter de Manifiesto por la accesibilidad en la ingeniería- hayan querido expresar no sólo su línea de trabajo y actuación en el seno del Comité de Edificación del Instituto de la Ingeniería de España sino su firme convicción de que desde </w:t>
      </w:r>
      <w:r w:rsidRPr="005E1103">
        <w:rPr>
          <w:rFonts w:cstheme="minorHAnsi"/>
          <w:sz w:val="28"/>
          <w:szCs w:val="28"/>
        </w:rPr>
        <w:lastRenderedPageBreak/>
        <w:t>la Universidad española se ha de potenciar la formación en accesibilidad, en las Ingenierías y –por supuesto- en otras disciplinas.</w:t>
      </w:r>
    </w:p>
    <w:p w:rsidR="00DF59FF" w:rsidRPr="005E1103" w:rsidRDefault="00DF59FF" w:rsidP="00DF59FF">
      <w:pPr>
        <w:spacing w:line="360" w:lineRule="auto"/>
        <w:jc w:val="both"/>
        <w:rPr>
          <w:rFonts w:cstheme="minorHAnsi"/>
          <w:sz w:val="28"/>
          <w:szCs w:val="28"/>
        </w:rPr>
      </w:pPr>
    </w:p>
    <w:p w:rsidR="00DF59FF" w:rsidRPr="00995D7A" w:rsidRDefault="00DF59FF" w:rsidP="00DF59FF">
      <w:pPr>
        <w:spacing w:line="360" w:lineRule="auto"/>
        <w:jc w:val="both"/>
        <w:rPr>
          <w:rFonts w:cstheme="minorHAnsi"/>
          <w:b/>
          <w:sz w:val="28"/>
          <w:szCs w:val="28"/>
        </w:rPr>
      </w:pPr>
      <w:r w:rsidRPr="00995D7A">
        <w:rPr>
          <w:rFonts w:cstheme="minorHAnsi"/>
          <w:b/>
          <w:sz w:val="28"/>
          <w:szCs w:val="28"/>
        </w:rPr>
        <w:t>CITAS BIBLIOGRÁFICAS</w:t>
      </w:r>
    </w:p>
    <w:p w:rsidR="00DF59FF" w:rsidRPr="005E1103" w:rsidRDefault="00DF59FF" w:rsidP="00DF59FF">
      <w:pPr>
        <w:spacing w:line="360" w:lineRule="auto"/>
        <w:jc w:val="both"/>
        <w:rPr>
          <w:rFonts w:cstheme="minorHAnsi"/>
          <w:sz w:val="28"/>
          <w:szCs w:val="28"/>
        </w:rPr>
      </w:pPr>
      <w:r w:rsidRPr="005E1103">
        <w:rPr>
          <w:rFonts w:cstheme="minorHAnsi"/>
          <w:sz w:val="28"/>
          <w:szCs w:val="28"/>
        </w:rPr>
        <w:t>Juncà Ubierna, José Antonio (2010), Formación Curricular de Diseño para Todos en Ingeniería de Caminos, Canales y Puertos, Barcelona, IMSERSO; Fundación ONCE; Coordinadora del Diseño Para Todas las Personas en España, Gráfiko</w:t>
      </w:r>
    </w:p>
    <w:p w:rsidR="00DF59FF" w:rsidRPr="005E1103" w:rsidRDefault="00DF59FF">
      <w:pPr>
        <w:rPr>
          <w:rFonts w:cstheme="minorHAnsi"/>
          <w:sz w:val="28"/>
          <w:szCs w:val="28"/>
        </w:rPr>
      </w:pPr>
      <w:r w:rsidRPr="005E1103">
        <w:rPr>
          <w:rFonts w:cstheme="minorHAnsi"/>
          <w:sz w:val="28"/>
          <w:szCs w:val="28"/>
        </w:rPr>
        <w:br w:type="page"/>
      </w:r>
    </w:p>
    <w:p w:rsidR="00DF59FF" w:rsidRPr="005E1103" w:rsidRDefault="00DF59FF" w:rsidP="00DF59FF">
      <w:pPr>
        <w:spacing w:line="360" w:lineRule="auto"/>
        <w:jc w:val="center"/>
        <w:rPr>
          <w:rFonts w:cstheme="minorHAnsi"/>
          <w:b/>
          <w:sz w:val="28"/>
          <w:szCs w:val="28"/>
        </w:rPr>
      </w:pPr>
      <w:r w:rsidRPr="005E1103">
        <w:rPr>
          <w:rFonts w:cstheme="minorHAnsi"/>
          <w:b/>
          <w:sz w:val="28"/>
          <w:szCs w:val="28"/>
        </w:rPr>
        <w:lastRenderedPageBreak/>
        <w:t>COMUNICACIÓN 2</w:t>
      </w:r>
    </w:p>
    <w:p w:rsidR="00DF59FF" w:rsidRPr="005E1103" w:rsidRDefault="00DF59FF" w:rsidP="00DF59FF">
      <w:pPr>
        <w:pStyle w:val="Ttulo1"/>
        <w:pBdr>
          <w:top w:val="single" w:sz="4" w:space="1" w:color="auto"/>
          <w:left w:val="single" w:sz="4" w:space="4" w:color="auto"/>
          <w:bottom w:val="single" w:sz="4" w:space="1" w:color="auto"/>
          <w:right w:val="single" w:sz="4" w:space="4" w:color="auto"/>
        </w:pBdr>
        <w:jc w:val="center"/>
        <w:rPr>
          <w:rFonts w:asciiTheme="minorHAnsi" w:hAnsiTheme="minorHAnsi" w:cstheme="minorHAnsi"/>
          <w:color w:val="auto"/>
        </w:rPr>
      </w:pPr>
      <w:r w:rsidRPr="005E1103">
        <w:rPr>
          <w:rFonts w:asciiTheme="minorHAnsi" w:hAnsiTheme="minorHAnsi" w:cstheme="minorHAnsi"/>
          <w:color w:val="auto"/>
        </w:rPr>
        <w:t>La necesidad de transversalidad en la formación sobre Accesibilidad Universal y Diseño para todas las personas en la Educación Universitaria</w:t>
      </w:r>
    </w:p>
    <w:p w:rsidR="00DF59FF" w:rsidRPr="005E1103" w:rsidRDefault="00DF59FF" w:rsidP="00DF59FF">
      <w:pPr>
        <w:spacing w:line="360" w:lineRule="auto"/>
        <w:jc w:val="center"/>
        <w:rPr>
          <w:rFonts w:cstheme="minorHAnsi"/>
          <w:b/>
          <w:sz w:val="28"/>
          <w:szCs w:val="28"/>
        </w:rPr>
      </w:pPr>
    </w:p>
    <w:p w:rsidR="00DF59FF" w:rsidRPr="005E1103" w:rsidRDefault="00DF59FF" w:rsidP="00DF59FF">
      <w:pPr>
        <w:spacing w:before="120" w:after="0" w:line="360" w:lineRule="auto"/>
        <w:jc w:val="right"/>
        <w:rPr>
          <w:rFonts w:cstheme="minorHAnsi"/>
          <w:sz w:val="28"/>
          <w:szCs w:val="28"/>
        </w:rPr>
      </w:pPr>
      <w:r w:rsidRPr="005E1103">
        <w:rPr>
          <w:rFonts w:cstheme="minorHAnsi"/>
          <w:sz w:val="28"/>
          <w:szCs w:val="28"/>
        </w:rPr>
        <w:t>Delfín Jiménez Martín</w:t>
      </w:r>
    </w:p>
    <w:p w:rsidR="00DF59FF" w:rsidRPr="005E1103" w:rsidRDefault="00DF59FF" w:rsidP="00DF59FF">
      <w:pPr>
        <w:spacing w:before="120" w:after="0" w:line="360" w:lineRule="auto"/>
        <w:jc w:val="right"/>
        <w:rPr>
          <w:rFonts w:cstheme="minorHAnsi"/>
          <w:sz w:val="28"/>
          <w:szCs w:val="28"/>
        </w:rPr>
      </w:pPr>
      <w:r w:rsidRPr="005E1103">
        <w:rPr>
          <w:rFonts w:cstheme="minorHAnsi"/>
          <w:sz w:val="28"/>
          <w:szCs w:val="28"/>
        </w:rPr>
        <w:t>Dr. Arquitecto por la UPM</w:t>
      </w:r>
    </w:p>
    <w:p w:rsidR="00DF59FF" w:rsidRPr="005E1103" w:rsidRDefault="00DF59FF" w:rsidP="00DF59FF">
      <w:pPr>
        <w:rPr>
          <w:rFonts w:cstheme="minorHAnsi"/>
          <w:sz w:val="28"/>
          <w:szCs w:val="28"/>
        </w:rPr>
      </w:pPr>
      <w:bookmarkStart w:id="29" w:name="_Toc463201027"/>
      <w:bookmarkStart w:id="30" w:name="_Toc463204639"/>
      <w:bookmarkStart w:id="31" w:name="_Toc463211440"/>
      <w:r w:rsidRPr="005E1103">
        <w:rPr>
          <w:rFonts w:cstheme="minorHAnsi"/>
          <w:sz w:val="28"/>
          <w:szCs w:val="28"/>
        </w:rPr>
        <w:t>ÍNDICE DE CONTENIDOS</w:t>
      </w:r>
      <w:bookmarkEnd w:id="29"/>
      <w:bookmarkEnd w:id="30"/>
      <w:bookmarkEnd w:id="31"/>
    </w:p>
    <w:sdt>
      <w:sdtPr>
        <w:rPr>
          <w:rFonts w:asciiTheme="minorHAnsi" w:hAnsiTheme="minorHAnsi" w:cstheme="minorHAnsi"/>
          <w:sz w:val="28"/>
          <w:szCs w:val="28"/>
          <w:lang w:val="es-ES"/>
        </w:rPr>
        <w:id w:val="5336171"/>
        <w:docPartObj>
          <w:docPartGallery w:val="Table of Contents"/>
          <w:docPartUnique/>
        </w:docPartObj>
      </w:sdtPr>
      <w:sdtEndPr>
        <w:rPr>
          <w:b/>
          <w:bCs/>
        </w:rPr>
      </w:sdtEndPr>
      <w:sdtContent>
        <w:p w:rsidR="00DF59FF" w:rsidRPr="005E1103" w:rsidRDefault="00DF59FF" w:rsidP="00DF59FF">
          <w:pPr>
            <w:pStyle w:val="TDC1"/>
            <w:tabs>
              <w:tab w:val="right" w:leader="dot" w:pos="8493"/>
            </w:tabs>
            <w:rPr>
              <w:rFonts w:asciiTheme="minorHAnsi" w:eastAsiaTheme="minorEastAsia" w:hAnsiTheme="minorHAnsi" w:cstheme="minorHAnsi"/>
              <w:noProof/>
              <w:sz w:val="28"/>
              <w:szCs w:val="28"/>
              <w:lang w:eastAsia="es-ES"/>
            </w:rPr>
          </w:pPr>
          <w:r w:rsidRPr="005E1103">
            <w:rPr>
              <w:rFonts w:asciiTheme="minorHAnsi" w:hAnsiTheme="minorHAnsi" w:cstheme="minorHAnsi"/>
              <w:sz w:val="28"/>
              <w:szCs w:val="28"/>
            </w:rPr>
            <w:fldChar w:fldCharType="begin"/>
          </w:r>
          <w:r w:rsidRPr="005E1103">
            <w:rPr>
              <w:rFonts w:asciiTheme="minorHAnsi" w:hAnsiTheme="minorHAnsi" w:cstheme="minorHAnsi"/>
              <w:sz w:val="28"/>
              <w:szCs w:val="28"/>
            </w:rPr>
            <w:instrText xml:space="preserve"> TOC \o "1-3" \h \z \u </w:instrText>
          </w:r>
          <w:r w:rsidRPr="005E1103">
            <w:rPr>
              <w:rFonts w:asciiTheme="minorHAnsi" w:hAnsiTheme="minorHAnsi" w:cstheme="minorHAnsi"/>
              <w:sz w:val="28"/>
              <w:szCs w:val="28"/>
            </w:rPr>
            <w:fldChar w:fldCharType="separate"/>
          </w:r>
        </w:p>
        <w:p w:rsidR="00DF59FF" w:rsidRPr="005E1103" w:rsidRDefault="00BF6455" w:rsidP="00DF59FF">
          <w:pPr>
            <w:pStyle w:val="TDC2"/>
            <w:tabs>
              <w:tab w:val="right" w:leader="dot" w:pos="8493"/>
            </w:tabs>
            <w:rPr>
              <w:rFonts w:asciiTheme="minorHAnsi" w:eastAsiaTheme="minorEastAsia" w:hAnsiTheme="minorHAnsi" w:cstheme="minorHAnsi"/>
              <w:noProof/>
              <w:sz w:val="28"/>
              <w:szCs w:val="28"/>
              <w:lang w:eastAsia="es-ES"/>
            </w:rPr>
          </w:pPr>
          <w:hyperlink w:anchor="_Toc463211441" w:history="1">
            <w:r w:rsidR="00DF59FF" w:rsidRPr="005E1103">
              <w:rPr>
                <w:rStyle w:val="Hipervnculo"/>
                <w:rFonts w:asciiTheme="minorHAnsi" w:hAnsiTheme="minorHAnsi" w:cstheme="minorHAnsi"/>
                <w:noProof/>
                <w:sz w:val="28"/>
                <w:szCs w:val="28"/>
              </w:rPr>
              <w:t>INTRODUCCIÓN</w:t>
            </w:r>
            <w:r w:rsidR="00DF59FF" w:rsidRPr="005E1103">
              <w:rPr>
                <w:rFonts w:asciiTheme="minorHAnsi" w:hAnsiTheme="minorHAnsi" w:cstheme="minorHAnsi"/>
                <w:noProof/>
                <w:webHidden/>
                <w:sz w:val="28"/>
                <w:szCs w:val="28"/>
              </w:rPr>
              <w:tab/>
            </w:r>
            <w:r w:rsidR="00DF59FF" w:rsidRPr="005E1103">
              <w:rPr>
                <w:rFonts w:asciiTheme="minorHAnsi" w:hAnsiTheme="minorHAnsi" w:cstheme="minorHAnsi"/>
                <w:noProof/>
                <w:webHidden/>
                <w:sz w:val="28"/>
                <w:szCs w:val="28"/>
              </w:rPr>
              <w:fldChar w:fldCharType="begin"/>
            </w:r>
            <w:r w:rsidR="00DF59FF" w:rsidRPr="005E1103">
              <w:rPr>
                <w:rFonts w:asciiTheme="minorHAnsi" w:hAnsiTheme="minorHAnsi" w:cstheme="minorHAnsi"/>
                <w:noProof/>
                <w:webHidden/>
                <w:sz w:val="28"/>
                <w:szCs w:val="28"/>
              </w:rPr>
              <w:instrText xml:space="preserve"> PAGEREF _Toc463211441 \h </w:instrText>
            </w:r>
            <w:r w:rsidR="00DF59FF" w:rsidRPr="005E1103">
              <w:rPr>
                <w:rFonts w:asciiTheme="minorHAnsi" w:hAnsiTheme="minorHAnsi" w:cstheme="minorHAnsi"/>
                <w:noProof/>
                <w:webHidden/>
                <w:sz w:val="28"/>
                <w:szCs w:val="28"/>
              </w:rPr>
            </w:r>
            <w:r w:rsidR="00DF59FF" w:rsidRPr="005E1103">
              <w:rPr>
                <w:rFonts w:asciiTheme="minorHAnsi" w:hAnsiTheme="minorHAnsi" w:cstheme="minorHAnsi"/>
                <w:noProof/>
                <w:webHidden/>
                <w:sz w:val="28"/>
                <w:szCs w:val="28"/>
              </w:rPr>
              <w:fldChar w:fldCharType="separate"/>
            </w:r>
            <w:r w:rsidR="00C273FC">
              <w:rPr>
                <w:rFonts w:asciiTheme="minorHAnsi" w:hAnsiTheme="minorHAnsi" w:cstheme="minorHAnsi"/>
                <w:noProof/>
                <w:webHidden/>
                <w:sz w:val="28"/>
                <w:szCs w:val="28"/>
              </w:rPr>
              <w:t>2</w:t>
            </w:r>
            <w:r w:rsidR="00DF59FF" w:rsidRPr="005E1103">
              <w:rPr>
                <w:rFonts w:asciiTheme="minorHAnsi" w:hAnsiTheme="minorHAnsi" w:cstheme="minorHAnsi"/>
                <w:noProof/>
                <w:webHidden/>
                <w:sz w:val="28"/>
                <w:szCs w:val="28"/>
              </w:rPr>
              <w:fldChar w:fldCharType="end"/>
            </w:r>
          </w:hyperlink>
        </w:p>
        <w:p w:rsidR="00DF59FF" w:rsidRPr="005E1103" w:rsidRDefault="00DF59FF" w:rsidP="00DF59FF">
          <w:pPr>
            <w:pStyle w:val="TDC2"/>
            <w:tabs>
              <w:tab w:val="right" w:leader="dot" w:pos="8493"/>
            </w:tabs>
            <w:rPr>
              <w:rStyle w:val="Hipervnculo"/>
              <w:rFonts w:asciiTheme="minorHAnsi" w:hAnsiTheme="minorHAnsi" w:cstheme="minorHAnsi"/>
              <w:noProof/>
              <w:sz w:val="28"/>
              <w:szCs w:val="28"/>
            </w:rPr>
          </w:pPr>
        </w:p>
        <w:p w:rsidR="00DF59FF" w:rsidRPr="005E1103" w:rsidRDefault="00BF6455" w:rsidP="00DF59FF">
          <w:pPr>
            <w:pStyle w:val="TDC2"/>
            <w:tabs>
              <w:tab w:val="right" w:leader="dot" w:pos="8493"/>
            </w:tabs>
            <w:rPr>
              <w:rFonts w:asciiTheme="minorHAnsi" w:eastAsiaTheme="minorEastAsia" w:hAnsiTheme="minorHAnsi" w:cstheme="minorHAnsi"/>
              <w:noProof/>
              <w:sz w:val="28"/>
              <w:szCs w:val="28"/>
              <w:lang w:eastAsia="es-ES"/>
            </w:rPr>
          </w:pPr>
          <w:hyperlink w:anchor="_Toc463211442" w:history="1">
            <w:r w:rsidR="00DF59FF" w:rsidRPr="005E1103">
              <w:rPr>
                <w:rStyle w:val="Hipervnculo"/>
                <w:rFonts w:asciiTheme="minorHAnsi" w:hAnsiTheme="minorHAnsi" w:cstheme="minorHAnsi"/>
                <w:noProof/>
                <w:sz w:val="28"/>
                <w:szCs w:val="28"/>
              </w:rPr>
              <w:t>ANÁLISIS DEL ACTUAL PLANTEAMIENTO DE LA AU Y EL DPT EN LA FORMACIÓN UNIVERSITARIA</w:t>
            </w:r>
            <w:r w:rsidR="00DF59FF" w:rsidRPr="005E1103">
              <w:rPr>
                <w:rFonts w:asciiTheme="minorHAnsi" w:hAnsiTheme="minorHAnsi" w:cstheme="minorHAnsi"/>
                <w:noProof/>
                <w:webHidden/>
                <w:sz w:val="28"/>
                <w:szCs w:val="28"/>
              </w:rPr>
              <w:tab/>
            </w:r>
            <w:r w:rsidR="00DF59FF" w:rsidRPr="005E1103">
              <w:rPr>
                <w:rFonts w:asciiTheme="minorHAnsi" w:hAnsiTheme="minorHAnsi" w:cstheme="minorHAnsi"/>
                <w:noProof/>
                <w:webHidden/>
                <w:sz w:val="28"/>
                <w:szCs w:val="28"/>
              </w:rPr>
              <w:fldChar w:fldCharType="begin"/>
            </w:r>
            <w:r w:rsidR="00DF59FF" w:rsidRPr="005E1103">
              <w:rPr>
                <w:rFonts w:asciiTheme="minorHAnsi" w:hAnsiTheme="minorHAnsi" w:cstheme="minorHAnsi"/>
                <w:noProof/>
                <w:webHidden/>
                <w:sz w:val="28"/>
                <w:szCs w:val="28"/>
              </w:rPr>
              <w:instrText xml:space="preserve"> PAGEREF _Toc463211442 \h </w:instrText>
            </w:r>
            <w:r w:rsidR="00DF59FF" w:rsidRPr="005E1103">
              <w:rPr>
                <w:rFonts w:asciiTheme="minorHAnsi" w:hAnsiTheme="minorHAnsi" w:cstheme="minorHAnsi"/>
                <w:noProof/>
                <w:webHidden/>
                <w:sz w:val="28"/>
                <w:szCs w:val="28"/>
              </w:rPr>
            </w:r>
            <w:r w:rsidR="00DF59FF" w:rsidRPr="005E1103">
              <w:rPr>
                <w:rFonts w:asciiTheme="minorHAnsi" w:hAnsiTheme="minorHAnsi" w:cstheme="minorHAnsi"/>
                <w:noProof/>
                <w:webHidden/>
                <w:sz w:val="28"/>
                <w:szCs w:val="28"/>
              </w:rPr>
              <w:fldChar w:fldCharType="separate"/>
            </w:r>
            <w:r w:rsidR="00C273FC">
              <w:rPr>
                <w:rFonts w:asciiTheme="minorHAnsi" w:hAnsiTheme="minorHAnsi" w:cstheme="minorHAnsi"/>
                <w:noProof/>
                <w:webHidden/>
                <w:sz w:val="28"/>
                <w:szCs w:val="28"/>
              </w:rPr>
              <w:t>2</w:t>
            </w:r>
            <w:r w:rsidR="00DF59FF" w:rsidRPr="005E1103">
              <w:rPr>
                <w:rFonts w:asciiTheme="minorHAnsi" w:hAnsiTheme="minorHAnsi" w:cstheme="minorHAnsi"/>
                <w:noProof/>
                <w:webHidden/>
                <w:sz w:val="28"/>
                <w:szCs w:val="28"/>
              </w:rPr>
              <w:fldChar w:fldCharType="end"/>
            </w:r>
          </w:hyperlink>
        </w:p>
        <w:p w:rsidR="00DF59FF" w:rsidRPr="005E1103" w:rsidRDefault="00BF6455" w:rsidP="00DF59FF">
          <w:pPr>
            <w:pStyle w:val="TDC3"/>
            <w:tabs>
              <w:tab w:val="left" w:pos="880"/>
              <w:tab w:val="right" w:leader="dot" w:pos="8493"/>
            </w:tabs>
            <w:rPr>
              <w:rFonts w:eastAsiaTheme="minorEastAsia" w:cstheme="minorHAnsi"/>
              <w:noProof/>
              <w:sz w:val="28"/>
              <w:szCs w:val="28"/>
              <w:lang w:eastAsia="es-ES"/>
            </w:rPr>
          </w:pPr>
          <w:hyperlink w:anchor="_Toc463211443" w:history="1">
            <w:r w:rsidR="00DF59FF" w:rsidRPr="005E1103">
              <w:rPr>
                <w:rStyle w:val="Hipervnculo"/>
                <w:rFonts w:cstheme="minorHAnsi"/>
                <w:noProof/>
                <w:sz w:val="28"/>
                <w:szCs w:val="28"/>
              </w:rPr>
              <w:t>1.</w:t>
            </w:r>
            <w:r w:rsidR="00DF59FF" w:rsidRPr="005E1103">
              <w:rPr>
                <w:rFonts w:eastAsiaTheme="minorEastAsia" w:cstheme="minorHAnsi"/>
                <w:noProof/>
                <w:sz w:val="28"/>
                <w:szCs w:val="28"/>
                <w:lang w:eastAsia="es-ES"/>
              </w:rPr>
              <w:tab/>
            </w:r>
            <w:r w:rsidR="00DF59FF" w:rsidRPr="005E1103">
              <w:rPr>
                <w:rStyle w:val="Hipervnculo"/>
                <w:rFonts w:cstheme="minorHAnsi"/>
                <w:noProof/>
                <w:sz w:val="28"/>
                <w:szCs w:val="28"/>
              </w:rPr>
              <w:t>Marco normativo</w:t>
            </w:r>
            <w:r w:rsidR="00DF59FF" w:rsidRPr="005E1103">
              <w:rPr>
                <w:rFonts w:cstheme="minorHAnsi"/>
                <w:noProof/>
                <w:webHidden/>
                <w:sz w:val="28"/>
                <w:szCs w:val="28"/>
              </w:rPr>
              <w:tab/>
            </w:r>
            <w:r w:rsidR="00DF59FF" w:rsidRPr="005E1103">
              <w:rPr>
                <w:rFonts w:cstheme="minorHAnsi"/>
                <w:noProof/>
                <w:webHidden/>
                <w:sz w:val="28"/>
                <w:szCs w:val="28"/>
              </w:rPr>
              <w:fldChar w:fldCharType="begin"/>
            </w:r>
            <w:r w:rsidR="00DF59FF" w:rsidRPr="005E1103">
              <w:rPr>
                <w:rFonts w:cstheme="minorHAnsi"/>
                <w:noProof/>
                <w:webHidden/>
                <w:sz w:val="28"/>
                <w:szCs w:val="28"/>
              </w:rPr>
              <w:instrText xml:space="preserve"> PAGEREF _Toc463211443 \h </w:instrText>
            </w:r>
            <w:r w:rsidR="00DF59FF" w:rsidRPr="005E1103">
              <w:rPr>
                <w:rFonts w:cstheme="minorHAnsi"/>
                <w:noProof/>
                <w:webHidden/>
                <w:sz w:val="28"/>
                <w:szCs w:val="28"/>
              </w:rPr>
            </w:r>
            <w:r w:rsidR="00DF59FF" w:rsidRPr="005E1103">
              <w:rPr>
                <w:rFonts w:cstheme="minorHAnsi"/>
                <w:noProof/>
                <w:webHidden/>
                <w:sz w:val="28"/>
                <w:szCs w:val="28"/>
              </w:rPr>
              <w:fldChar w:fldCharType="separate"/>
            </w:r>
            <w:r w:rsidR="00C273FC">
              <w:rPr>
                <w:rFonts w:cstheme="minorHAnsi"/>
                <w:noProof/>
                <w:webHidden/>
                <w:sz w:val="28"/>
                <w:szCs w:val="28"/>
              </w:rPr>
              <w:t>2</w:t>
            </w:r>
            <w:r w:rsidR="00DF59FF" w:rsidRPr="005E1103">
              <w:rPr>
                <w:rFonts w:cstheme="minorHAnsi"/>
                <w:noProof/>
                <w:webHidden/>
                <w:sz w:val="28"/>
                <w:szCs w:val="28"/>
              </w:rPr>
              <w:fldChar w:fldCharType="end"/>
            </w:r>
          </w:hyperlink>
        </w:p>
        <w:p w:rsidR="00DF59FF" w:rsidRPr="005E1103" w:rsidRDefault="00BF6455" w:rsidP="00DF59FF">
          <w:pPr>
            <w:pStyle w:val="TDC3"/>
            <w:tabs>
              <w:tab w:val="left" w:pos="880"/>
              <w:tab w:val="right" w:leader="dot" w:pos="8493"/>
            </w:tabs>
            <w:rPr>
              <w:rFonts w:eastAsiaTheme="minorEastAsia" w:cstheme="minorHAnsi"/>
              <w:noProof/>
              <w:sz w:val="28"/>
              <w:szCs w:val="28"/>
              <w:lang w:eastAsia="es-ES"/>
            </w:rPr>
          </w:pPr>
          <w:hyperlink w:anchor="_Toc463211444" w:history="1">
            <w:r w:rsidR="00DF59FF" w:rsidRPr="005E1103">
              <w:rPr>
                <w:rStyle w:val="Hipervnculo"/>
                <w:rFonts w:cstheme="minorHAnsi"/>
                <w:noProof/>
                <w:sz w:val="28"/>
                <w:szCs w:val="28"/>
              </w:rPr>
              <w:t>2.</w:t>
            </w:r>
            <w:r w:rsidR="00DF59FF" w:rsidRPr="005E1103">
              <w:rPr>
                <w:rFonts w:eastAsiaTheme="minorEastAsia" w:cstheme="minorHAnsi"/>
                <w:noProof/>
                <w:sz w:val="28"/>
                <w:szCs w:val="28"/>
                <w:lang w:eastAsia="es-ES"/>
              </w:rPr>
              <w:tab/>
            </w:r>
            <w:r w:rsidR="00DF59FF" w:rsidRPr="005E1103">
              <w:rPr>
                <w:rStyle w:val="Hipervnculo"/>
                <w:rFonts w:cstheme="minorHAnsi"/>
                <w:noProof/>
                <w:sz w:val="28"/>
                <w:szCs w:val="28"/>
              </w:rPr>
              <w:t>Concreción de los contenidos curriculares de las diferentes titulaciones</w:t>
            </w:r>
            <w:r w:rsidR="00DF59FF" w:rsidRPr="005E1103">
              <w:rPr>
                <w:rFonts w:cstheme="minorHAnsi"/>
                <w:noProof/>
                <w:webHidden/>
                <w:sz w:val="28"/>
                <w:szCs w:val="28"/>
              </w:rPr>
              <w:tab/>
            </w:r>
            <w:r w:rsidR="00DF59FF" w:rsidRPr="005E1103">
              <w:rPr>
                <w:rFonts w:cstheme="minorHAnsi"/>
                <w:noProof/>
                <w:webHidden/>
                <w:sz w:val="28"/>
                <w:szCs w:val="28"/>
              </w:rPr>
              <w:fldChar w:fldCharType="begin"/>
            </w:r>
            <w:r w:rsidR="00DF59FF" w:rsidRPr="005E1103">
              <w:rPr>
                <w:rFonts w:cstheme="minorHAnsi"/>
                <w:noProof/>
                <w:webHidden/>
                <w:sz w:val="28"/>
                <w:szCs w:val="28"/>
              </w:rPr>
              <w:instrText xml:space="preserve"> PAGEREF _Toc463211444 \h </w:instrText>
            </w:r>
            <w:r w:rsidR="00DF59FF" w:rsidRPr="005E1103">
              <w:rPr>
                <w:rFonts w:cstheme="minorHAnsi"/>
                <w:noProof/>
                <w:webHidden/>
                <w:sz w:val="28"/>
                <w:szCs w:val="28"/>
              </w:rPr>
            </w:r>
            <w:r w:rsidR="00DF59FF" w:rsidRPr="005E1103">
              <w:rPr>
                <w:rFonts w:cstheme="minorHAnsi"/>
                <w:noProof/>
                <w:webHidden/>
                <w:sz w:val="28"/>
                <w:szCs w:val="28"/>
              </w:rPr>
              <w:fldChar w:fldCharType="separate"/>
            </w:r>
            <w:r w:rsidR="00C273FC">
              <w:rPr>
                <w:rFonts w:cstheme="minorHAnsi"/>
                <w:noProof/>
                <w:webHidden/>
                <w:sz w:val="28"/>
                <w:szCs w:val="28"/>
              </w:rPr>
              <w:t>2</w:t>
            </w:r>
            <w:r w:rsidR="00DF59FF" w:rsidRPr="005E1103">
              <w:rPr>
                <w:rFonts w:cstheme="minorHAnsi"/>
                <w:noProof/>
                <w:webHidden/>
                <w:sz w:val="28"/>
                <w:szCs w:val="28"/>
              </w:rPr>
              <w:fldChar w:fldCharType="end"/>
            </w:r>
          </w:hyperlink>
        </w:p>
        <w:p w:rsidR="00DF59FF" w:rsidRPr="005E1103" w:rsidRDefault="00BF6455" w:rsidP="00DF59FF">
          <w:pPr>
            <w:pStyle w:val="TDC3"/>
            <w:tabs>
              <w:tab w:val="left" w:pos="880"/>
              <w:tab w:val="right" w:leader="dot" w:pos="8493"/>
            </w:tabs>
            <w:rPr>
              <w:rFonts w:eastAsiaTheme="minorEastAsia" w:cstheme="minorHAnsi"/>
              <w:noProof/>
              <w:sz w:val="28"/>
              <w:szCs w:val="28"/>
              <w:lang w:eastAsia="es-ES"/>
            </w:rPr>
          </w:pPr>
          <w:hyperlink w:anchor="_Toc463211445" w:history="1">
            <w:r w:rsidR="00DF59FF" w:rsidRPr="005E1103">
              <w:rPr>
                <w:rStyle w:val="Hipervnculo"/>
                <w:rFonts w:cstheme="minorHAnsi"/>
                <w:noProof/>
                <w:sz w:val="28"/>
                <w:szCs w:val="28"/>
              </w:rPr>
              <w:t>3.</w:t>
            </w:r>
            <w:r w:rsidR="00DF59FF" w:rsidRPr="005E1103">
              <w:rPr>
                <w:rFonts w:eastAsiaTheme="minorEastAsia" w:cstheme="minorHAnsi"/>
                <w:noProof/>
                <w:sz w:val="28"/>
                <w:szCs w:val="28"/>
                <w:lang w:eastAsia="es-ES"/>
              </w:rPr>
              <w:tab/>
            </w:r>
            <w:r w:rsidR="00DF59FF" w:rsidRPr="005E1103">
              <w:rPr>
                <w:rStyle w:val="Hipervnculo"/>
                <w:rFonts w:cstheme="minorHAnsi"/>
                <w:noProof/>
                <w:sz w:val="28"/>
                <w:szCs w:val="28"/>
              </w:rPr>
              <w:t>La formación en AU y DPT desde el observatorio de universidad y discapacidad</w:t>
            </w:r>
            <w:r w:rsidR="00DF59FF" w:rsidRPr="005E1103">
              <w:rPr>
                <w:rFonts w:cstheme="minorHAnsi"/>
                <w:noProof/>
                <w:webHidden/>
                <w:sz w:val="28"/>
                <w:szCs w:val="28"/>
              </w:rPr>
              <w:tab/>
            </w:r>
            <w:r w:rsidR="00DF59FF" w:rsidRPr="005E1103">
              <w:rPr>
                <w:rFonts w:cstheme="minorHAnsi"/>
                <w:noProof/>
                <w:webHidden/>
                <w:sz w:val="28"/>
                <w:szCs w:val="28"/>
              </w:rPr>
              <w:fldChar w:fldCharType="begin"/>
            </w:r>
            <w:r w:rsidR="00DF59FF" w:rsidRPr="005E1103">
              <w:rPr>
                <w:rFonts w:cstheme="minorHAnsi"/>
                <w:noProof/>
                <w:webHidden/>
                <w:sz w:val="28"/>
                <w:szCs w:val="28"/>
              </w:rPr>
              <w:instrText xml:space="preserve"> PAGEREF _Toc463211445 \h </w:instrText>
            </w:r>
            <w:r w:rsidR="00DF59FF" w:rsidRPr="005E1103">
              <w:rPr>
                <w:rFonts w:cstheme="minorHAnsi"/>
                <w:noProof/>
                <w:webHidden/>
                <w:sz w:val="28"/>
                <w:szCs w:val="28"/>
              </w:rPr>
            </w:r>
            <w:r w:rsidR="00DF59FF" w:rsidRPr="005E1103">
              <w:rPr>
                <w:rFonts w:cstheme="minorHAnsi"/>
                <w:noProof/>
                <w:webHidden/>
                <w:sz w:val="28"/>
                <w:szCs w:val="28"/>
              </w:rPr>
              <w:fldChar w:fldCharType="separate"/>
            </w:r>
            <w:r w:rsidR="00C273FC">
              <w:rPr>
                <w:rFonts w:cstheme="minorHAnsi"/>
                <w:noProof/>
                <w:webHidden/>
                <w:sz w:val="28"/>
                <w:szCs w:val="28"/>
              </w:rPr>
              <w:t>2</w:t>
            </w:r>
            <w:r w:rsidR="00DF59FF" w:rsidRPr="005E1103">
              <w:rPr>
                <w:rFonts w:cstheme="minorHAnsi"/>
                <w:noProof/>
                <w:webHidden/>
                <w:sz w:val="28"/>
                <w:szCs w:val="28"/>
              </w:rPr>
              <w:fldChar w:fldCharType="end"/>
            </w:r>
          </w:hyperlink>
        </w:p>
        <w:p w:rsidR="00DF59FF" w:rsidRPr="005E1103" w:rsidRDefault="00DF59FF" w:rsidP="00DF59FF">
          <w:pPr>
            <w:pStyle w:val="TDC2"/>
            <w:tabs>
              <w:tab w:val="right" w:leader="dot" w:pos="8493"/>
            </w:tabs>
            <w:rPr>
              <w:rStyle w:val="Hipervnculo"/>
              <w:rFonts w:asciiTheme="minorHAnsi" w:hAnsiTheme="minorHAnsi" w:cstheme="minorHAnsi"/>
              <w:noProof/>
              <w:sz w:val="28"/>
              <w:szCs w:val="28"/>
            </w:rPr>
          </w:pPr>
        </w:p>
        <w:p w:rsidR="00DF59FF" w:rsidRPr="005E1103" w:rsidRDefault="00BF6455" w:rsidP="00DF59FF">
          <w:pPr>
            <w:pStyle w:val="TDC2"/>
            <w:tabs>
              <w:tab w:val="right" w:leader="dot" w:pos="8493"/>
            </w:tabs>
            <w:rPr>
              <w:rFonts w:asciiTheme="minorHAnsi" w:eastAsiaTheme="minorEastAsia" w:hAnsiTheme="minorHAnsi" w:cstheme="minorHAnsi"/>
              <w:noProof/>
              <w:sz w:val="28"/>
              <w:szCs w:val="28"/>
              <w:lang w:eastAsia="es-ES"/>
            </w:rPr>
          </w:pPr>
          <w:hyperlink w:anchor="_Toc463211446" w:history="1">
            <w:r w:rsidR="00DF59FF" w:rsidRPr="005E1103">
              <w:rPr>
                <w:rStyle w:val="Hipervnculo"/>
                <w:rFonts w:asciiTheme="minorHAnsi" w:hAnsiTheme="minorHAnsi" w:cstheme="minorHAnsi"/>
                <w:noProof/>
                <w:sz w:val="28"/>
                <w:szCs w:val="28"/>
              </w:rPr>
              <w:t>ESTRATEGIAS Y HERRAMIENTAS DE APLICACIÓN</w:t>
            </w:r>
            <w:r w:rsidR="00DF59FF" w:rsidRPr="005E1103">
              <w:rPr>
                <w:rFonts w:asciiTheme="minorHAnsi" w:hAnsiTheme="minorHAnsi" w:cstheme="minorHAnsi"/>
                <w:noProof/>
                <w:webHidden/>
                <w:sz w:val="28"/>
                <w:szCs w:val="28"/>
              </w:rPr>
              <w:tab/>
            </w:r>
            <w:r w:rsidR="00DF59FF" w:rsidRPr="005E1103">
              <w:rPr>
                <w:rFonts w:asciiTheme="minorHAnsi" w:hAnsiTheme="minorHAnsi" w:cstheme="minorHAnsi"/>
                <w:noProof/>
                <w:webHidden/>
                <w:sz w:val="28"/>
                <w:szCs w:val="28"/>
              </w:rPr>
              <w:fldChar w:fldCharType="begin"/>
            </w:r>
            <w:r w:rsidR="00DF59FF" w:rsidRPr="005E1103">
              <w:rPr>
                <w:rFonts w:asciiTheme="minorHAnsi" w:hAnsiTheme="minorHAnsi" w:cstheme="minorHAnsi"/>
                <w:noProof/>
                <w:webHidden/>
                <w:sz w:val="28"/>
                <w:szCs w:val="28"/>
              </w:rPr>
              <w:instrText xml:space="preserve"> PAGEREF _Toc463211446 \h </w:instrText>
            </w:r>
            <w:r w:rsidR="00DF59FF" w:rsidRPr="005E1103">
              <w:rPr>
                <w:rFonts w:asciiTheme="minorHAnsi" w:hAnsiTheme="minorHAnsi" w:cstheme="minorHAnsi"/>
                <w:noProof/>
                <w:webHidden/>
                <w:sz w:val="28"/>
                <w:szCs w:val="28"/>
              </w:rPr>
            </w:r>
            <w:r w:rsidR="00DF59FF" w:rsidRPr="005E1103">
              <w:rPr>
                <w:rFonts w:asciiTheme="minorHAnsi" w:hAnsiTheme="minorHAnsi" w:cstheme="minorHAnsi"/>
                <w:noProof/>
                <w:webHidden/>
                <w:sz w:val="28"/>
                <w:szCs w:val="28"/>
              </w:rPr>
              <w:fldChar w:fldCharType="separate"/>
            </w:r>
            <w:r w:rsidR="00C273FC">
              <w:rPr>
                <w:rFonts w:asciiTheme="minorHAnsi" w:hAnsiTheme="minorHAnsi" w:cstheme="minorHAnsi"/>
                <w:noProof/>
                <w:webHidden/>
                <w:sz w:val="28"/>
                <w:szCs w:val="28"/>
              </w:rPr>
              <w:t>2</w:t>
            </w:r>
            <w:r w:rsidR="00DF59FF" w:rsidRPr="005E1103">
              <w:rPr>
                <w:rFonts w:asciiTheme="minorHAnsi" w:hAnsiTheme="minorHAnsi" w:cstheme="minorHAnsi"/>
                <w:noProof/>
                <w:webHidden/>
                <w:sz w:val="28"/>
                <w:szCs w:val="28"/>
              </w:rPr>
              <w:fldChar w:fldCharType="end"/>
            </w:r>
          </w:hyperlink>
        </w:p>
        <w:p w:rsidR="00DF59FF" w:rsidRPr="005E1103" w:rsidRDefault="00BF6455" w:rsidP="00DF59FF">
          <w:pPr>
            <w:pStyle w:val="TDC3"/>
            <w:tabs>
              <w:tab w:val="left" w:pos="880"/>
              <w:tab w:val="right" w:leader="dot" w:pos="8493"/>
            </w:tabs>
            <w:rPr>
              <w:rFonts w:eastAsiaTheme="minorEastAsia" w:cstheme="minorHAnsi"/>
              <w:noProof/>
              <w:sz w:val="28"/>
              <w:szCs w:val="28"/>
              <w:lang w:eastAsia="es-ES"/>
            </w:rPr>
          </w:pPr>
          <w:hyperlink w:anchor="_Toc463211447" w:history="1">
            <w:r w:rsidR="00DF59FF" w:rsidRPr="005E1103">
              <w:rPr>
                <w:rStyle w:val="Hipervnculo"/>
                <w:rFonts w:cstheme="minorHAnsi"/>
                <w:noProof/>
                <w:sz w:val="28"/>
                <w:szCs w:val="28"/>
              </w:rPr>
              <w:t>1.</w:t>
            </w:r>
            <w:r w:rsidR="00DF59FF" w:rsidRPr="005E1103">
              <w:rPr>
                <w:rFonts w:eastAsiaTheme="minorEastAsia" w:cstheme="minorHAnsi"/>
                <w:noProof/>
                <w:sz w:val="28"/>
                <w:szCs w:val="28"/>
                <w:lang w:eastAsia="es-ES"/>
              </w:rPr>
              <w:tab/>
            </w:r>
            <w:r w:rsidR="00DF59FF" w:rsidRPr="005E1103">
              <w:rPr>
                <w:rStyle w:val="Hipervnculo"/>
                <w:rFonts w:cstheme="minorHAnsi"/>
                <w:noProof/>
                <w:sz w:val="28"/>
                <w:szCs w:val="28"/>
              </w:rPr>
              <w:t>Formación reglada y formación complementaria</w:t>
            </w:r>
            <w:r w:rsidR="00DF59FF" w:rsidRPr="005E1103">
              <w:rPr>
                <w:rFonts w:cstheme="minorHAnsi"/>
                <w:noProof/>
                <w:webHidden/>
                <w:sz w:val="28"/>
                <w:szCs w:val="28"/>
              </w:rPr>
              <w:tab/>
            </w:r>
            <w:r w:rsidR="00DF59FF" w:rsidRPr="005E1103">
              <w:rPr>
                <w:rFonts w:cstheme="minorHAnsi"/>
                <w:noProof/>
                <w:webHidden/>
                <w:sz w:val="28"/>
                <w:szCs w:val="28"/>
              </w:rPr>
              <w:fldChar w:fldCharType="begin"/>
            </w:r>
            <w:r w:rsidR="00DF59FF" w:rsidRPr="005E1103">
              <w:rPr>
                <w:rFonts w:cstheme="minorHAnsi"/>
                <w:noProof/>
                <w:webHidden/>
                <w:sz w:val="28"/>
                <w:szCs w:val="28"/>
              </w:rPr>
              <w:instrText xml:space="preserve"> PAGEREF _Toc463211447 \h </w:instrText>
            </w:r>
            <w:r w:rsidR="00DF59FF" w:rsidRPr="005E1103">
              <w:rPr>
                <w:rFonts w:cstheme="minorHAnsi"/>
                <w:noProof/>
                <w:webHidden/>
                <w:sz w:val="28"/>
                <w:szCs w:val="28"/>
              </w:rPr>
            </w:r>
            <w:r w:rsidR="00DF59FF" w:rsidRPr="005E1103">
              <w:rPr>
                <w:rFonts w:cstheme="minorHAnsi"/>
                <w:noProof/>
                <w:webHidden/>
                <w:sz w:val="28"/>
                <w:szCs w:val="28"/>
              </w:rPr>
              <w:fldChar w:fldCharType="separate"/>
            </w:r>
            <w:r w:rsidR="00C273FC">
              <w:rPr>
                <w:rFonts w:cstheme="minorHAnsi"/>
                <w:noProof/>
                <w:webHidden/>
                <w:sz w:val="28"/>
                <w:szCs w:val="28"/>
              </w:rPr>
              <w:t>2</w:t>
            </w:r>
            <w:r w:rsidR="00DF59FF" w:rsidRPr="005E1103">
              <w:rPr>
                <w:rFonts w:cstheme="minorHAnsi"/>
                <w:noProof/>
                <w:webHidden/>
                <w:sz w:val="28"/>
                <w:szCs w:val="28"/>
              </w:rPr>
              <w:fldChar w:fldCharType="end"/>
            </w:r>
          </w:hyperlink>
        </w:p>
        <w:p w:rsidR="00DF59FF" w:rsidRPr="005E1103" w:rsidRDefault="00BF6455" w:rsidP="00DF59FF">
          <w:pPr>
            <w:pStyle w:val="TDC3"/>
            <w:tabs>
              <w:tab w:val="left" w:pos="880"/>
              <w:tab w:val="right" w:leader="dot" w:pos="8493"/>
            </w:tabs>
            <w:rPr>
              <w:rFonts w:eastAsiaTheme="minorEastAsia" w:cstheme="minorHAnsi"/>
              <w:noProof/>
              <w:sz w:val="28"/>
              <w:szCs w:val="28"/>
              <w:lang w:eastAsia="es-ES"/>
            </w:rPr>
          </w:pPr>
          <w:hyperlink w:anchor="_Toc463211448" w:history="1">
            <w:r w:rsidR="00DF59FF" w:rsidRPr="005E1103">
              <w:rPr>
                <w:rStyle w:val="Hipervnculo"/>
                <w:rFonts w:cstheme="minorHAnsi"/>
                <w:noProof/>
                <w:sz w:val="28"/>
                <w:szCs w:val="28"/>
              </w:rPr>
              <w:t>2.</w:t>
            </w:r>
            <w:r w:rsidR="00DF59FF" w:rsidRPr="005E1103">
              <w:rPr>
                <w:rFonts w:eastAsiaTheme="minorEastAsia" w:cstheme="minorHAnsi"/>
                <w:noProof/>
                <w:sz w:val="28"/>
                <w:szCs w:val="28"/>
                <w:lang w:eastAsia="es-ES"/>
              </w:rPr>
              <w:tab/>
            </w:r>
            <w:r w:rsidR="00DF59FF" w:rsidRPr="005E1103">
              <w:rPr>
                <w:rStyle w:val="Hipervnculo"/>
                <w:rFonts w:cstheme="minorHAnsi"/>
                <w:noProof/>
                <w:sz w:val="28"/>
                <w:szCs w:val="28"/>
              </w:rPr>
              <w:t>Formación específica y formación integrada</w:t>
            </w:r>
            <w:r w:rsidR="00DF59FF" w:rsidRPr="005E1103">
              <w:rPr>
                <w:rFonts w:cstheme="minorHAnsi"/>
                <w:noProof/>
                <w:webHidden/>
                <w:sz w:val="28"/>
                <w:szCs w:val="28"/>
              </w:rPr>
              <w:tab/>
            </w:r>
            <w:r w:rsidR="00DF59FF" w:rsidRPr="005E1103">
              <w:rPr>
                <w:rFonts w:cstheme="minorHAnsi"/>
                <w:noProof/>
                <w:webHidden/>
                <w:sz w:val="28"/>
                <w:szCs w:val="28"/>
              </w:rPr>
              <w:fldChar w:fldCharType="begin"/>
            </w:r>
            <w:r w:rsidR="00DF59FF" w:rsidRPr="005E1103">
              <w:rPr>
                <w:rFonts w:cstheme="minorHAnsi"/>
                <w:noProof/>
                <w:webHidden/>
                <w:sz w:val="28"/>
                <w:szCs w:val="28"/>
              </w:rPr>
              <w:instrText xml:space="preserve"> PAGEREF _Toc463211448 \h </w:instrText>
            </w:r>
            <w:r w:rsidR="00DF59FF" w:rsidRPr="005E1103">
              <w:rPr>
                <w:rFonts w:cstheme="minorHAnsi"/>
                <w:noProof/>
                <w:webHidden/>
                <w:sz w:val="28"/>
                <w:szCs w:val="28"/>
              </w:rPr>
            </w:r>
            <w:r w:rsidR="00DF59FF" w:rsidRPr="005E1103">
              <w:rPr>
                <w:rFonts w:cstheme="minorHAnsi"/>
                <w:noProof/>
                <w:webHidden/>
                <w:sz w:val="28"/>
                <w:szCs w:val="28"/>
              </w:rPr>
              <w:fldChar w:fldCharType="separate"/>
            </w:r>
            <w:r w:rsidR="00C273FC">
              <w:rPr>
                <w:rFonts w:cstheme="minorHAnsi"/>
                <w:noProof/>
                <w:webHidden/>
                <w:sz w:val="28"/>
                <w:szCs w:val="28"/>
              </w:rPr>
              <w:t>2</w:t>
            </w:r>
            <w:r w:rsidR="00DF59FF" w:rsidRPr="005E1103">
              <w:rPr>
                <w:rFonts w:cstheme="minorHAnsi"/>
                <w:noProof/>
                <w:webHidden/>
                <w:sz w:val="28"/>
                <w:szCs w:val="28"/>
              </w:rPr>
              <w:fldChar w:fldCharType="end"/>
            </w:r>
          </w:hyperlink>
        </w:p>
        <w:p w:rsidR="00DF59FF" w:rsidRPr="005E1103" w:rsidRDefault="00BF6455" w:rsidP="00DF59FF">
          <w:pPr>
            <w:pStyle w:val="TDC3"/>
            <w:tabs>
              <w:tab w:val="left" w:pos="880"/>
              <w:tab w:val="right" w:leader="dot" w:pos="8493"/>
            </w:tabs>
            <w:rPr>
              <w:rFonts w:eastAsiaTheme="minorEastAsia" w:cstheme="minorHAnsi"/>
              <w:noProof/>
              <w:sz w:val="28"/>
              <w:szCs w:val="28"/>
              <w:lang w:eastAsia="es-ES"/>
            </w:rPr>
          </w:pPr>
          <w:hyperlink w:anchor="_Toc463211449" w:history="1">
            <w:r w:rsidR="00DF59FF" w:rsidRPr="005E1103">
              <w:rPr>
                <w:rStyle w:val="Hipervnculo"/>
                <w:rFonts w:cstheme="minorHAnsi"/>
                <w:noProof/>
                <w:sz w:val="28"/>
                <w:szCs w:val="28"/>
              </w:rPr>
              <w:t>3.</w:t>
            </w:r>
            <w:r w:rsidR="00DF59FF" w:rsidRPr="005E1103">
              <w:rPr>
                <w:rFonts w:eastAsiaTheme="minorEastAsia" w:cstheme="minorHAnsi"/>
                <w:noProof/>
                <w:sz w:val="28"/>
                <w:szCs w:val="28"/>
                <w:lang w:eastAsia="es-ES"/>
              </w:rPr>
              <w:tab/>
            </w:r>
            <w:r w:rsidR="00DF59FF" w:rsidRPr="005E1103">
              <w:rPr>
                <w:rStyle w:val="Hipervnculo"/>
                <w:rFonts w:cstheme="minorHAnsi"/>
                <w:noProof/>
                <w:sz w:val="28"/>
                <w:szCs w:val="28"/>
              </w:rPr>
              <w:t>Titulaciones y áreas temáticas</w:t>
            </w:r>
            <w:r w:rsidR="00DF59FF" w:rsidRPr="005E1103">
              <w:rPr>
                <w:rFonts w:cstheme="minorHAnsi"/>
                <w:noProof/>
                <w:webHidden/>
                <w:sz w:val="28"/>
                <w:szCs w:val="28"/>
              </w:rPr>
              <w:tab/>
            </w:r>
            <w:r w:rsidR="00DF59FF" w:rsidRPr="005E1103">
              <w:rPr>
                <w:rFonts w:cstheme="minorHAnsi"/>
                <w:noProof/>
                <w:webHidden/>
                <w:sz w:val="28"/>
                <w:szCs w:val="28"/>
              </w:rPr>
              <w:fldChar w:fldCharType="begin"/>
            </w:r>
            <w:r w:rsidR="00DF59FF" w:rsidRPr="005E1103">
              <w:rPr>
                <w:rFonts w:cstheme="minorHAnsi"/>
                <w:noProof/>
                <w:webHidden/>
                <w:sz w:val="28"/>
                <w:szCs w:val="28"/>
              </w:rPr>
              <w:instrText xml:space="preserve"> PAGEREF _Toc463211449 \h </w:instrText>
            </w:r>
            <w:r w:rsidR="00DF59FF" w:rsidRPr="005E1103">
              <w:rPr>
                <w:rFonts w:cstheme="minorHAnsi"/>
                <w:noProof/>
                <w:webHidden/>
                <w:sz w:val="28"/>
                <w:szCs w:val="28"/>
              </w:rPr>
            </w:r>
            <w:r w:rsidR="00DF59FF" w:rsidRPr="005E1103">
              <w:rPr>
                <w:rFonts w:cstheme="minorHAnsi"/>
                <w:noProof/>
                <w:webHidden/>
                <w:sz w:val="28"/>
                <w:szCs w:val="28"/>
              </w:rPr>
              <w:fldChar w:fldCharType="separate"/>
            </w:r>
            <w:r w:rsidR="00C273FC">
              <w:rPr>
                <w:rFonts w:cstheme="minorHAnsi"/>
                <w:noProof/>
                <w:webHidden/>
                <w:sz w:val="28"/>
                <w:szCs w:val="28"/>
              </w:rPr>
              <w:t>2</w:t>
            </w:r>
            <w:r w:rsidR="00DF59FF" w:rsidRPr="005E1103">
              <w:rPr>
                <w:rFonts w:cstheme="minorHAnsi"/>
                <w:noProof/>
                <w:webHidden/>
                <w:sz w:val="28"/>
                <w:szCs w:val="28"/>
              </w:rPr>
              <w:fldChar w:fldCharType="end"/>
            </w:r>
          </w:hyperlink>
        </w:p>
        <w:p w:rsidR="00DF59FF" w:rsidRPr="005E1103" w:rsidRDefault="00BF6455" w:rsidP="00DF59FF">
          <w:pPr>
            <w:pStyle w:val="TDC3"/>
            <w:tabs>
              <w:tab w:val="left" w:pos="880"/>
              <w:tab w:val="right" w:leader="dot" w:pos="8493"/>
            </w:tabs>
            <w:rPr>
              <w:rFonts w:eastAsiaTheme="minorEastAsia" w:cstheme="minorHAnsi"/>
              <w:noProof/>
              <w:sz w:val="28"/>
              <w:szCs w:val="28"/>
              <w:lang w:eastAsia="es-ES"/>
            </w:rPr>
          </w:pPr>
          <w:hyperlink w:anchor="_Toc463211450" w:history="1">
            <w:r w:rsidR="00DF59FF" w:rsidRPr="005E1103">
              <w:rPr>
                <w:rStyle w:val="Hipervnculo"/>
                <w:rFonts w:cstheme="minorHAnsi"/>
                <w:noProof/>
                <w:sz w:val="28"/>
                <w:szCs w:val="28"/>
              </w:rPr>
              <w:t>4.</w:t>
            </w:r>
            <w:r w:rsidR="00DF59FF" w:rsidRPr="005E1103">
              <w:rPr>
                <w:rFonts w:eastAsiaTheme="minorEastAsia" w:cstheme="minorHAnsi"/>
                <w:noProof/>
                <w:sz w:val="28"/>
                <w:szCs w:val="28"/>
                <w:lang w:eastAsia="es-ES"/>
              </w:rPr>
              <w:tab/>
            </w:r>
            <w:r w:rsidR="00DF59FF" w:rsidRPr="005E1103">
              <w:rPr>
                <w:rStyle w:val="Hipervnculo"/>
                <w:rFonts w:cstheme="minorHAnsi"/>
                <w:noProof/>
                <w:sz w:val="28"/>
                <w:szCs w:val="28"/>
              </w:rPr>
              <w:t>Nuevas estrategias de formación</w:t>
            </w:r>
            <w:r w:rsidR="00DF59FF" w:rsidRPr="005E1103">
              <w:rPr>
                <w:rFonts w:cstheme="minorHAnsi"/>
                <w:noProof/>
                <w:webHidden/>
                <w:sz w:val="28"/>
                <w:szCs w:val="28"/>
              </w:rPr>
              <w:tab/>
            </w:r>
            <w:r w:rsidR="00DF59FF" w:rsidRPr="005E1103">
              <w:rPr>
                <w:rFonts w:cstheme="minorHAnsi"/>
                <w:noProof/>
                <w:webHidden/>
                <w:sz w:val="28"/>
                <w:szCs w:val="28"/>
              </w:rPr>
              <w:fldChar w:fldCharType="begin"/>
            </w:r>
            <w:r w:rsidR="00DF59FF" w:rsidRPr="005E1103">
              <w:rPr>
                <w:rFonts w:cstheme="minorHAnsi"/>
                <w:noProof/>
                <w:webHidden/>
                <w:sz w:val="28"/>
                <w:szCs w:val="28"/>
              </w:rPr>
              <w:instrText xml:space="preserve"> PAGEREF _Toc463211450 \h </w:instrText>
            </w:r>
            <w:r w:rsidR="00DF59FF" w:rsidRPr="005E1103">
              <w:rPr>
                <w:rFonts w:cstheme="minorHAnsi"/>
                <w:noProof/>
                <w:webHidden/>
                <w:sz w:val="28"/>
                <w:szCs w:val="28"/>
              </w:rPr>
            </w:r>
            <w:r w:rsidR="00DF59FF" w:rsidRPr="005E1103">
              <w:rPr>
                <w:rFonts w:cstheme="minorHAnsi"/>
                <w:noProof/>
                <w:webHidden/>
                <w:sz w:val="28"/>
                <w:szCs w:val="28"/>
              </w:rPr>
              <w:fldChar w:fldCharType="separate"/>
            </w:r>
            <w:r w:rsidR="00C273FC">
              <w:rPr>
                <w:rFonts w:cstheme="minorHAnsi"/>
                <w:noProof/>
                <w:webHidden/>
                <w:sz w:val="28"/>
                <w:szCs w:val="28"/>
              </w:rPr>
              <w:t>2</w:t>
            </w:r>
            <w:r w:rsidR="00DF59FF" w:rsidRPr="005E1103">
              <w:rPr>
                <w:rFonts w:cstheme="minorHAnsi"/>
                <w:noProof/>
                <w:webHidden/>
                <w:sz w:val="28"/>
                <w:szCs w:val="28"/>
              </w:rPr>
              <w:fldChar w:fldCharType="end"/>
            </w:r>
          </w:hyperlink>
        </w:p>
        <w:p w:rsidR="00DF59FF" w:rsidRPr="005E1103" w:rsidRDefault="00DF59FF" w:rsidP="00DF59FF">
          <w:pPr>
            <w:pStyle w:val="TDC2"/>
            <w:tabs>
              <w:tab w:val="right" w:leader="dot" w:pos="8493"/>
            </w:tabs>
            <w:rPr>
              <w:rStyle w:val="Hipervnculo"/>
              <w:rFonts w:asciiTheme="minorHAnsi" w:hAnsiTheme="minorHAnsi" w:cstheme="minorHAnsi"/>
              <w:noProof/>
              <w:sz w:val="28"/>
              <w:szCs w:val="28"/>
            </w:rPr>
          </w:pPr>
        </w:p>
        <w:p w:rsidR="00DF59FF" w:rsidRPr="005E1103" w:rsidRDefault="00BF6455" w:rsidP="00DF59FF">
          <w:pPr>
            <w:pStyle w:val="TDC2"/>
            <w:tabs>
              <w:tab w:val="right" w:leader="dot" w:pos="8493"/>
            </w:tabs>
            <w:rPr>
              <w:rFonts w:asciiTheme="minorHAnsi" w:eastAsiaTheme="minorEastAsia" w:hAnsiTheme="minorHAnsi" w:cstheme="minorHAnsi"/>
              <w:noProof/>
              <w:sz w:val="28"/>
              <w:szCs w:val="28"/>
              <w:lang w:eastAsia="es-ES"/>
            </w:rPr>
          </w:pPr>
          <w:hyperlink w:anchor="_Toc463211451" w:history="1">
            <w:r w:rsidR="00DF59FF" w:rsidRPr="005E1103">
              <w:rPr>
                <w:rStyle w:val="Hipervnculo"/>
                <w:rFonts w:asciiTheme="minorHAnsi" w:hAnsiTheme="minorHAnsi" w:cstheme="minorHAnsi"/>
                <w:noProof/>
                <w:sz w:val="28"/>
                <w:szCs w:val="28"/>
              </w:rPr>
              <w:t>EXPERIENCIAS REALES; LOGROS Y RETOS</w:t>
            </w:r>
            <w:r w:rsidR="00DF59FF" w:rsidRPr="005E1103">
              <w:rPr>
                <w:rFonts w:asciiTheme="minorHAnsi" w:hAnsiTheme="minorHAnsi" w:cstheme="minorHAnsi"/>
                <w:noProof/>
                <w:webHidden/>
                <w:sz w:val="28"/>
                <w:szCs w:val="28"/>
              </w:rPr>
              <w:tab/>
            </w:r>
            <w:r w:rsidR="00DF59FF" w:rsidRPr="005E1103">
              <w:rPr>
                <w:rFonts w:asciiTheme="minorHAnsi" w:hAnsiTheme="minorHAnsi" w:cstheme="minorHAnsi"/>
                <w:noProof/>
                <w:webHidden/>
                <w:sz w:val="28"/>
                <w:szCs w:val="28"/>
              </w:rPr>
              <w:fldChar w:fldCharType="begin"/>
            </w:r>
            <w:r w:rsidR="00DF59FF" w:rsidRPr="005E1103">
              <w:rPr>
                <w:rFonts w:asciiTheme="minorHAnsi" w:hAnsiTheme="minorHAnsi" w:cstheme="minorHAnsi"/>
                <w:noProof/>
                <w:webHidden/>
                <w:sz w:val="28"/>
                <w:szCs w:val="28"/>
              </w:rPr>
              <w:instrText xml:space="preserve"> PAGEREF _Toc463211451 \h </w:instrText>
            </w:r>
            <w:r w:rsidR="00DF59FF" w:rsidRPr="005E1103">
              <w:rPr>
                <w:rFonts w:asciiTheme="minorHAnsi" w:hAnsiTheme="minorHAnsi" w:cstheme="minorHAnsi"/>
                <w:noProof/>
                <w:webHidden/>
                <w:sz w:val="28"/>
                <w:szCs w:val="28"/>
              </w:rPr>
            </w:r>
            <w:r w:rsidR="00DF59FF" w:rsidRPr="005E1103">
              <w:rPr>
                <w:rFonts w:asciiTheme="minorHAnsi" w:hAnsiTheme="minorHAnsi" w:cstheme="minorHAnsi"/>
                <w:noProof/>
                <w:webHidden/>
                <w:sz w:val="28"/>
                <w:szCs w:val="28"/>
              </w:rPr>
              <w:fldChar w:fldCharType="separate"/>
            </w:r>
            <w:r w:rsidR="00C273FC">
              <w:rPr>
                <w:rFonts w:asciiTheme="minorHAnsi" w:hAnsiTheme="minorHAnsi" w:cstheme="minorHAnsi"/>
                <w:noProof/>
                <w:webHidden/>
                <w:sz w:val="28"/>
                <w:szCs w:val="28"/>
              </w:rPr>
              <w:t>2</w:t>
            </w:r>
            <w:r w:rsidR="00DF59FF" w:rsidRPr="005E1103">
              <w:rPr>
                <w:rFonts w:asciiTheme="minorHAnsi" w:hAnsiTheme="minorHAnsi" w:cstheme="minorHAnsi"/>
                <w:noProof/>
                <w:webHidden/>
                <w:sz w:val="28"/>
                <w:szCs w:val="28"/>
              </w:rPr>
              <w:fldChar w:fldCharType="end"/>
            </w:r>
          </w:hyperlink>
        </w:p>
        <w:p w:rsidR="00DF59FF" w:rsidRPr="005E1103" w:rsidRDefault="00BF6455" w:rsidP="00DF59FF">
          <w:pPr>
            <w:pStyle w:val="TDC3"/>
            <w:tabs>
              <w:tab w:val="left" w:pos="880"/>
              <w:tab w:val="right" w:leader="dot" w:pos="8493"/>
            </w:tabs>
            <w:rPr>
              <w:rFonts w:eastAsiaTheme="minorEastAsia" w:cstheme="minorHAnsi"/>
              <w:noProof/>
              <w:sz w:val="28"/>
              <w:szCs w:val="28"/>
              <w:lang w:eastAsia="es-ES"/>
            </w:rPr>
          </w:pPr>
          <w:hyperlink w:anchor="_Toc463211452" w:history="1">
            <w:r w:rsidR="00DF59FF" w:rsidRPr="005E1103">
              <w:rPr>
                <w:rStyle w:val="Hipervnculo"/>
                <w:rFonts w:cstheme="minorHAnsi"/>
                <w:noProof/>
                <w:sz w:val="28"/>
                <w:szCs w:val="28"/>
              </w:rPr>
              <w:t>1.</w:t>
            </w:r>
            <w:r w:rsidR="00DF59FF" w:rsidRPr="005E1103">
              <w:rPr>
                <w:rFonts w:eastAsiaTheme="minorEastAsia" w:cstheme="minorHAnsi"/>
                <w:noProof/>
                <w:sz w:val="28"/>
                <w:szCs w:val="28"/>
                <w:lang w:eastAsia="es-ES"/>
              </w:rPr>
              <w:tab/>
            </w:r>
            <w:r w:rsidR="00DF59FF" w:rsidRPr="005E1103">
              <w:rPr>
                <w:rStyle w:val="Hipervnculo"/>
                <w:rFonts w:cstheme="minorHAnsi"/>
                <w:noProof/>
                <w:sz w:val="28"/>
                <w:szCs w:val="28"/>
              </w:rPr>
              <w:t>Talleres multidisciplinares sobre au en las Udesign de la UDEM</w:t>
            </w:r>
            <w:r w:rsidR="00DF59FF" w:rsidRPr="005E1103">
              <w:rPr>
                <w:rFonts w:cstheme="minorHAnsi"/>
                <w:noProof/>
                <w:webHidden/>
                <w:sz w:val="28"/>
                <w:szCs w:val="28"/>
              </w:rPr>
              <w:tab/>
            </w:r>
            <w:r w:rsidR="00DF59FF" w:rsidRPr="005E1103">
              <w:rPr>
                <w:rFonts w:cstheme="minorHAnsi"/>
                <w:noProof/>
                <w:webHidden/>
                <w:sz w:val="28"/>
                <w:szCs w:val="28"/>
              </w:rPr>
              <w:fldChar w:fldCharType="begin"/>
            </w:r>
            <w:r w:rsidR="00DF59FF" w:rsidRPr="005E1103">
              <w:rPr>
                <w:rFonts w:cstheme="minorHAnsi"/>
                <w:noProof/>
                <w:webHidden/>
                <w:sz w:val="28"/>
                <w:szCs w:val="28"/>
              </w:rPr>
              <w:instrText xml:space="preserve"> PAGEREF _Toc463211452 \h </w:instrText>
            </w:r>
            <w:r w:rsidR="00DF59FF" w:rsidRPr="005E1103">
              <w:rPr>
                <w:rFonts w:cstheme="minorHAnsi"/>
                <w:noProof/>
                <w:webHidden/>
                <w:sz w:val="28"/>
                <w:szCs w:val="28"/>
              </w:rPr>
            </w:r>
            <w:r w:rsidR="00DF59FF" w:rsidRPr="005E1103">
              <w:rPr>
                <w:rFonts w:cstheme="minorHAnsi"/>
                <w:noProof/>
                <w:webHidden/>
                <w:sz w:val="28"/>
                <w:szCs w:val="28"/>
              </w:rPr>
              <w:fldChar w:fldCharType="separate"/>
            </w:r>
            <w:r w:rsidR="00C273FC">
              <w:rPr>
                <w:rFonts w:cstheme="minorHAnsi"/>
                <w:noProof/>
                <w:webHidden/>
                <w:sz w:val="28"/>
                <w:szCs w:val="28"/>
              </w:rPr>
              <w:t>2</w:t>
            </w:r>
            <w:r w:rsidR="00DF59FF" w:rsidRPr="005E1103">
              <w:rPr>
                <w:rFonts w:cstheme="minorHAnsi"/>
                <w:noProof/>
                <w:webHidden/>
                <w:sz w:val="28"/>
                <w:szCs w:val="28"/>
              </w:rPr>
              <w:fldChar w:fldCharType="end"/>
            </w:r>
          </w:hyperlink>
        </w:p>
        <w:p w:rsidR="00DF59FF" w:rsidRPr="005E1103" w:rsidRDefault="00BF6455" w:rsidP="00DF59FF">
          <w:pPr>
            <w:pStyle w:val="TDC3"/>
            <w:tabs>
              <w:tab w:val="left" w:pos="880"/>
              <w:tab w:val="right" w:leader="dot" w:pos="8493"/>
            </w:tabs>
            <w:rPr>
              <w:rFonts w:eastAsiaTheme="minorEastAsia" w:cstheme="minorHAnsi"/>
              <w:noProof/>
              <w:sz w:val="28"/>
              <w:szCs w:val="28"/>
              <w:lang w:eastAsia="es-ES"/>
            </w:rPr>
          </w:pPr>
          <w:hyperlink w:anchor="_Toc463211453" w:history="1">
            <w:r w:rsidR="00DF59FF" w:rsidRPr="005E1103">
              <w:rPr>
                <w:rStyle w:val="Hipervnculo"/>
                <w:rFonts w:cstheme="minorHAnsi"/>
                <w:noProof/>
                <w:sz w:val="28"/>
                <w:szCs w:val="28"/>
              </w:rPr>
              <w:t>2.</w:t>
            </w:r>
            <w:r w:rsidR="00DF59FF" w:rsidRPr="005E1103">
              <w:rPr>
                <w:rFonts w:eastAsiaTheme="minorEastAsia" w:cstheme="minorHAnsi"/>
                <w:noProof/>
                <w:sz w:val="28"/>
                <w:szCs w:val="28"/>
                <w:lang w:eastAsia="es-ES"/>
              </w:rPr>
              <w:tab/>
            </w:r>
            <w:r w:rsidR="00DF59FF" w:rsidRPr="005E1103">
              <w:rPr>
                <w:rStyle w:val="Hipervnculo"/>
                <w:rFonts w:cstheme="minorHAnsi"/>
                <w:noProof/>
                <w:sz w:val="28"/>
                <w:szCs w:val="28"/>
              </w:rPr>
              <w:t>Contenidos multidisciplinares en los máster de la Univ ersidad de Jaén</w:t>
            </w:r>
            <w:r w:rsidR="00DF59FF" w:rsidRPr="005E1103">
              <w:rPr>
                <w:rFonts w:cstheme="minorHAnsi"/>
                <w:noProof/>
                <w:webHidden/>
                <w:sz w:val="28"/>
                <w:szCs w:val="28"/>
              </w:rPr>
              <w:tab/>
            </w:r>
            <w:r w:rsidR="00DF59FF" w:rsidRPr="005E1103">
              <w:rPr>
                <w:rFonts w:cstheme="minorHAnsi"/>
                <w:noProof/>
                <w:webHidden/>
                <w:sz w:val="28"/>
                <w:szCs w:val="28"/>
              </w:rPr>
              <w:fldChar w:fldCharType="begin"/>
            </w:r>
            <w:r w:rsidR="00DF59FF" w:rsidRPr="005E1103">
              <w:rPr>
                <w:rFonts w:cstheme="minorHAnsi"/>
                <w:noProof/>
                <w:webHidden/>
                <w:sz w:val="28"/>
                <w:szCs w:val="28"/>
              </w:rPr>
              <w:instrText xml:space="preserve"> PAGEREF _Toc463211453 \h </w:instrText>
            </w:r>
            <w:r w:rsidR="00DF59FF" w:rsidRPr="005E1103">
              <w:rPr>
                <w:rFonts w:cstheme="minorHAnsi"/>
                <w:noProof/>
                <w:webHidden/>
                <w:sz w:val="28"/>
                <w:szCs w:val="28"/>
              </w:rPr>
            </w:r>
            <w:r w:rsidR="00DF59FF" w:rsidRPr="005E1103">
              <w:rPr>
                <w:rFonts w:cstheme="minorHAnsi"/>
                <w:noProof/>
                <w:webHidden/>
                <w:sz w:val="28"/>
                <w:szCs w:val="28"/>
              </w:rPr>
              <w:fldChar w:fldCharType="separate"/>
            </w:r>
            <w:r w:rsidR="00C273FC">
              <w:rPr>
                <w:rFonts w:cstheme="minorHAnsi"/>
                <w:noProof/>
                <w:webHidden/>
                <w:sz w:val="28"/>
                <w:szCs w:val="28"/>
              </w:rPr>
              <w:t>2</w:t>
            </w:r>
            <w:r w:rsidR="00DF59FF" w:rsidRPr="005E1103">
              <w:rPr>
                <w:rFonts w:cstheme="minorHAnsi"/>
                <w:noProof/>
                <w:webHidden/>
                <w:sz w:val="28"/>
                <w:szCs w:val="28"/>
              </w:rPr>
              <w:fldChar w:fldCharType="end"/>
            </w:r>
          </w:hyperlink>
        </w:p>
        <w:p w:rsidR="00DF59FF" w:rsidRPr="005E1103" w:rsidRDefault="00DF59FF" w:rsidP="00DF59FF">
          <w:pPr>
            <w:pStyle w:val="TDC2"/>
            <w:tabs>
              <w:tab w:val="right" w:leader="dot" w:pos="8493"/>
            </w:tabs>
            <w:rPr>
              <w:rStyle w:val="Hipervnculo"/>
              <w:rFonts w:asciiTheme="minorHAnsi" w:hAnsiTheme="minorHAnsi" w:cstheme="minorHAnsi"/>
              <w:noProof/>
              <w:sz w:val="28"/>
              <w:szCs w:val="28"/>
            </w:rPr>
          </w:pPr>
        </w:p>
        <w:p w:rsidR="00DF59FF" w:rsidRPr="005E1103" w:rsidRDefault="00BF6455" w:rsidP="00DF59FF">
          <w:pPr>
            <w:pStyle w:val="TDC2"/>
            <w:tabs>
              <w:tab w:val="right" w:leader="dot" w:pos="8493"/>
            </w:tabs>
            <w:rPr>
              <w:rFonts w:asciiTheme="minorHAnsi" w:eastAsiaTheme="minorEastAsia" w:hAnsiTheme="minorHAnsi" w:cstheme="minorHAnsi"/>
              <w:noProof/>
              <w:sz w:val="28"/>
              <w:szCs w:val="28"/>
              <w:lang w:eastAsia="es-ES"/>
            </w:rPr>
          </w:pPr>
          <w:hyperlink w:anchor="_Toc463211454" w:history="1">
            <w:r w:rsidR="00DF59FF" w:rsidRPr="005E1103">
              <w:rPr>
                <w:rStyle w:val="Hipervnculo"/>
                <w:rFonts w:asciiTheme="minorHAnsi" w:hAnsiTheme="minorHAnsi" w:cstheme="minorHAnsi"/>
                <w:noProof/>
                <w:sz w:val="28"/>
                <w:szCs w:val="28"/>
              </w:rPr>
              <w:t>CONCLUSIONES</w:t>
            </w:r>
            <w:r w:rsidR="00DF59FF" w:rsidRPr="005E1103">
              <w:rPr>
                <w:rFonts w:asciiTheme="minorHAnsi" w:hAnsiTheme="minorHAnsi" w:cstheme="minorHAnsi"/>
                <w:noProof/>
                <w:webHidden/>
                <w:sz w:val="28"/>
                <w:szCs w:val="28"/>
              </w:rPr>
              <w:tab/>
            </w:r>
            <w:r w:rsidR="00DF59FF" w:rsidRPr="005E1103">
              <w:rPr>
                <w:rFonts w:asciiTheme="minorHAnsi" w:hAnsiTheme="minorHAnsi" w:cstheme="minorHAnsi"/>
                <w:noProof/>
                <w:webHidden/>
                <w:sz w:val="28"/>
                <w:szCs w:val="28"/>
              </w:rPr>
              <w:fldChar w:fldCharType="begin"/>
            </w:r>
            <w:r w:rsidR="00DF59FF" w:rsidRPr="005E1103">
              <w:rPr>
                <w:rFonts w:asciiTheme="minorHAnsi" w:hAnsiTheme="minorHAnsi" w:cstheme="minorHAnsi"/>
                <w:noProof/>
                <w:webHidden/>
                <w:sz w:val="28"/>
                <w:szCs w:val="28"/>
              </w:rPr>
              <w:instrText xml:space="preserve"> PAGEREF _Toc463211454 \h </w:instrText>
            </w:r>
            <w:r w:rsidR="00DF59FF" w:rsidRPr="005E1103">
              <w:rPr>
                <w:rFonts w:asciiTheme="minorHAnsi" w:hAnsiTheme="minorHAnsi" w:cstheme="minorHAnsi"/>
                <w:noProof/>
                <w:webHidden/>
                <w:sz w:val="28"/>
                <w:szCs w:val="28"/>
              </w:rPr>
            </w:r>
            <w:r w:rsidR="00DF59FF" w:rsidRPr="005E1103">
              <w:rPr>
                <w:rFonts w:asciiTheme="minorHAnsi" w:hAnsiTheme="minorHAnsi" w:cstheme="minorHAnsi"/>
                <w:noProof/>
                <w:webHidden/>
                <w:sz w:val="28"/>
                <w:szCs w:val="28"/>
              </w:rPr>
              <w:fldChar w:fldCharType="separate"/>
            </w:r>
            <w:r w:rsidR="00C273FC">
              <w:rPr>
                <w:rFonts w:asciiTheme="minorHAnsi" w:hAnsiTheme="minorHAnsi" w:cstheme="minorHAnsi"/>
                <w:noProof/>
                <w:webHidden/>
                <w:sz w:val="28"/>
                <w:szCs w:val="28"/>
              </w:rPr>
              <w:t>2</w:t>
            </w:r>
            <w:r w:rsidR="00DF59FF" w:rsidRPr="005E1103">
              <w:rPr>
                <w:rFonts w:asciiTheme="minorHAnsi" w:hAnsiTheme="minorHAnsi" w:cstheme="minorHAnsi"/>
                <w:noProof/>
                <w:webHidden/>
                <w:sz w:val="28"/>
                <w:szCs w:val="28"/>
              </w:rPr>
              <w:fldChar w:fldCharType="end"/>
            </w:r>
          </w:hyperlink>
        </w:p>
        <w:p w:rsidR="00DF59FF" w:rsidRPr="005E1103" w:rsidRDefault="00DF59FF" w:rsidP="00DF59FF">
          <w:pPr>
            <w:pStyle w:val="TDC2"/>
            <w:tabs>
              <w:tab w:val="right" w:leader="dot" w:pos="8493"/>
            </w:tabs>
            <w:rPr>
              <w:rStyle w:val="Hipervnculo"/>
              <w:rFonts w:asciiTheme="minorHAnsi" w:hAnsiTheme="minorHAnsi" w:cstheme="minorHAnsi"/>
              <w:noProof/>
              <w:sz w:val="28"/>
              <w:szCs w:val="28"/>
            </w:rPr>
          </w:pPr>
        </w:p>
        <w:p w:rsidR="00DF59FF" w:rsidRPr="005E1103" w:rsidRDefault="00BF6455" w:rsidP="00DF59FF">
          <w:pPr>
            <w:pStyle w:val="TDC2"/>
            <w:tabs>
              <w:tab w:val="right" w:leader="dot" w:pos="8493"/>
            </w:tabs>
            <w:rPr>
              <w:rFonts w:asciiTheme="minorHAnsi" w:eastAsiaTheme="minorEastAsia" w:hAnsiTheme="minorHAnsi" w:cstheme="minorHAnsi"/>
              <w:noProof/>
              <w:sz w:val="28"/>
              <w:szCs w:val="28"/>
              <w:lang w:eastAsia="es-ES"/>
            </w:rPr>
          </w:pPr>
          <w:hyperlink w:anchor="_Toc463211455" w:history="1">
            <w:r w:rsidR="00DF59FF" w:rsidRPr="005E1103">
              <w:rPr>
                <w:rStyle w:val="Hipervnculo"/>
                <w:rFonts w:asciiTheme="minorHAnsi" w:hAnsiTheme="minorHAnsi" w:cstheme="minorHAnsi"/>
                <w:noProof/>
                <w:sz w:val="28"/>
                <w:szCs w:val="28"/>
              </w:rPr>
              <w:t>BIBLIOGRAFÍA</w:t>
            </w:r>
            <w:r w:rsidR="00DF59FF" w:rsidRPr="005E1103">
              <w:rPr>
                <w:rFonts w:asciiTheme="minorHAnsi" w:hAnsiTheme="minorHAnsi" w:cstheme="minorHAnsi"/>
                <w:noProof/>
                <w:webHidden/>
                <w:sz w:val="28"/>
                <w:szCs w:val="28"/>
              </w:rPr>
              <w:tab/>
            </w:r>
            <w:r w:rsidR="00DF59FF" w:rsidRPr="005E1103">
              <w:rPr>
                <w:rFonts w:asciiTheme="minorHAnsi" w:hAnsiTheme="minorHAnsi" w:cstheme="minorHAnsi"/>
                <w:noProof/>
                <w:webHidden/>
                <w:sz w:val="28"/>
                <w:szCs w:val="28"/>
              </w:rPr>
              <w:fldChar w:fldCharType="begin"/>
            </w:r>
            <w:r w:rsidR="00DF59FF" w:rsidRPr="005E1103">
              <w:rPr>
                <w:rFonts w:asciiTheme="minorHAnsi" w:hAnsiTheme="minorHAnsi" w:cstheme="minorHAnsi"/>
                <w:noProof/>
                <w:webHidden/>
                <w:sz w:val="28"/>
                <w:szCs w:val="28"/>
              </w:rPr>
              <w:instrText xml:space="preserve"> PAGEREF _Toc463211455 \h </w:instrText>
            </w:r>
            <w:r w:rsidR="00DF59FF" w:rsidRPr="005E1103">
              <w:rPr>
                <w:rFonts w:asciiTheme="minorHAnsi" w:hAnsiTheme="minorHAnsi" w:cstheme="minorHAnsi"/>
                <w:noProof/>
                <w:webHidden/>
                <w:sz w:val="28"/>
                <w:szCs w:val="28"/>
              </w:rPr>
            </w:r>
            <w:r w:rsidR="00DF59FF" w:rsidRPr="005E1103">
              <w:rPr>
                <w:rFonts w:asciiTheme="minorHAnsi" w:hAnsiTheme="minorHAnsi" w:cstheme="minorHAnsi"/>
                <w:noProof/>
                <w:webHidden/>
                <w:sz w:val="28"/>
                <w:szCs w:val="28"/>
              </w:rPr>
              <w:fldChar w:fldCharType="separate"/>
            </w:r>
            <w:r w:rsidR="00C273FC">
              <w:rPr>
                <w:rFonts w:asciiTheme="minorHAnsi" w:hAnsiTheme="minorHAnsi" w:cstheme="minorHAnsi"/>
                <w:noProof/>
                <w:webHidden/>
                <w:sz w:val="28"/>
                <w:szCs w:val="28"/>
              </w:rPr>
              <w:t>2</w:t>
            </w:r>
            <w:r w:rsidR="00DF59FF" w:rsidRPr="005E1103">
              <w:rPr>
                <w:rFonts w:asciiTheme="minorHAnsi" w:hAnsiTheme="minorHAnsi" w:cstheme="minorHAnsi"/>
                <w:noProof/>
                <w:webHidden/>
                <w:sz w:val="28"/>
                <w:szCs w:val="28"/>
              </w:rPr>
              <w:fldChar w:fldCharType="end"/>
            </w:r>
          </w:hyperlink>
        </w:p>
        <w:p w:rsidR="00DF59FF" w:rsidRPr="005E1103" w:rsidRDefault="00DF59FF" w:rsidP="00DF59FF">
          <w:pPr>
            <w:rPr>
              <w:rFonts w:cstheme="minorHAnsi"/>
              <w:sz w:val="28"/>
              <w:szCs w:val="28"/>
            </w:rPr>
          </w:pPr>
          <w:r w:rsidRPr="005E1103">
            <w:rPr>
              <w:rFonts w:cstheme="minorHAnsi"/>
              <w:b/>
              <w:bCs/>
              <w:sz w:val="28"/>
              <w:szCs w:val="28"/>
            </w:rPr>
            <w:fldChar w:fldCharType="end"/>
          </w:r>
        </w:p>
      </w:sdtContent>
    </w:sdt>
    <w:p w:rsidR="00DF59FF" w:rsidRPr="005E1103" w:rsidRDefault="00DF59FF" w:rsidP="00DF59FF">
      <w:pPr>
        <w:spacing w:before="120" w:after="0" w:line="360" w:lineRule="auto"/>
        <w:jc w:val="both"/>
        <w:rPr>
          <w:rFonts w:cstheme="minorHAnsi"/>
          <w:sz w:val="28"/>
          <w:szCs w:val="28"/>
        </w:rPr>
      </w:pPr>
    </w:p>
    <w:p w:rsidR="00DF59FF" w:rsidRPr="005E1103" w:rsidRDefault="00DF59FF" w:rsidP="00DF59FF">
      <w:pPr>
        <w:pStyle w:val="Ttulo2"/>
        <w:rPr>
          <w:rFonts w:asciiTheme="minorHAnsi" w:hAnsiTheme="minorHAnsi" w:cstheme="minorHAnsi"/>
          <w:sz w:val="28"/>
          <w:szCs w:val="28"/>
        </w:rPr>
      </w:pPr>
      <w:bookmarkStart w:id="32" w:name="_Toc463211441"/>
      <w:r w:rsidRPr="005E1103">
        <w:rPr>
          <w:rFonts w:asciiTheme="minorHAnsi" w:hAnsiTheme="minorHAnsi" w:cstheme="minorHAnsi"/>
          <w:sz w:val="28"/>
          <w:szCs w:val="28"/>
        </w:rPr>
        <w:t>INTRODUCCIÓN</w:t>
      </w:r>
      <w:bookmarkEnd w:id="32"/>
    </w:p>
    <w:p w:rsidR="00DF59FF" w:rsidRPr="005E1103" w:rsidRDefault="00DF59FF" w:rsidP="00DF59FF">
      <w:pPr>
        <w:spacing w:before="120" w:after="0" w:line="360" w:lineRule="auto"/>
        <w:jc w:val="both"/>
        <w:rPr>
          <w:rFonts w:cstheme="minorHAnsi"/>
          <w:sz w:val="28"/>
          <w:szCs w:val="28"/>
        </w:rPr>
      </w:pPr>
      <w:r w:rsidRPr="005E1103">
        <w:rPr>
          <w:rFonts w:cstheme="minorHAnsi"/>
          <w:sz w:val="28"/>
          <w:szCs w:val="28"/>
        </w:rPr>
        <w:t>Frente al planteamiento de implantación de la Accesibilidad Universal como una materia específica dentro de una formación universitaria determinada (Ingeniería, Arquitectura, Diseño…) se presenta la posibilidad de implantación de una formación múltiple. Se potencia así la formación transversal en la que, dejando lugar también a las particularidades específicas de cada titulación, se presenta el Diseño Universal desde diferentes perspectivas, produciéndose un intercambio de conocimientos que ayudan al alumnado a ampliar su campo conceptual sobre AU</w:t>
      </w:r>
      <w:r w:rsidRPr="005E1103">
        <w:rPr>
          <w:rStyle w:val="Refdenotaalpie"/>
          <w:rFonts w:cstheme="minorHAnsi"/>
          <w:sz w:val="28"/>
          <w:szCs w:val="28"/>
        </w:rPr>
        <w:footnoteReference w:id="15"/>
      </w:r>
      <w:r w:rsidRPr="005E1103">
        <w:rPr>
          <w:rFonts w:cstheme="minorHAnsi"/>
          <w:sz w:val="28"/>
          <w:szCs w:val="28"/>
        </w:rPr>
        <w:t xml:space="preserve"> y DpT</w:t>
      </w:r>
      <w:r w:rsidRPr="005E1103">
        <w:rPr>
          <w:rStyle w:val="Refdenotaalpie"/>
          <w:rFonts w:cstheme="minorHAnsi"/>
          <w:sz w:val="28"/>
          <w:szCs w:val="28"/>
        </w:rPr>
        <w:footnoteReference w:id="16"/>
      </w:r>
      <w:r w:rsidRPr="005E1103">
        <w:rPr>
          <w:rFonts w:cstheme="minorHAnsi"/>
          <w:sz w:val="28"/>
          <w:szCs w:val="28"/>
        </w:rPr>
        <w:t>. Esta multiplicidad se plantea desde dos estrategias diferentes:</w:t>
      </w:r>
    </w:p>
    <w:p w:rsidR="00DF59FF" w:rsidRPr="005E1103" w:rsidRDefault="00DF59FF" w:rsidP="00DF59FF">
      <w:pPr>
        <w:pStyle w:val="Prrafodelista"/>
        <w:numPr>
          <w:ilvl w:val="0"/>
          <w:numId w:val="23"/>
        </w:numPr>
        <w:spacing w:line="360" w:lineRule="auto"/>
        <w:contextualSpacing w:val="0"/>
        <w:jc w:val="both"/>
        <w:rPr>
          <w:rFonts w:asciiTheme="minorHAnsi" w:hAnsiTheme="minorHAnsi" w:cstheme="minorHAnsi"/>
          <w:sz w:val="28"/>
          <w:szCs w:val="28"/>
        </w:rPr>
      </w:pPr>
      <w:r w:rsidRPr="005E1103">
        <w:rPr>
          <w:rFonts w:asciiTheme="minorHAnsi" w:hAnsiTheme="minorHAnsi" w:cstheme="minorHAnsi"/>
          <w:sz w:val="28"/>
          <w:szCs w:val="28"/>
        </w:rPr>
        <w:t>La extensión de consideraciones específicas de Accesibilidad Universal a todas las asignaturas, integrando así dichos parámetros con el resto de necesidades básicas en la capacitación de cada área temática.</w:t>
      </w:r>
    </w:p>
    <w:p w:rsidR="00DF59FF" w:rsidRPr="005E1103" w:rsidRDefault="00DF59FF" w:rsidP="00DF59FF">
      <w:pPr>
        <w:pStyle w:val="Prrafodelista"/>
        <w:numPr>
          <w:ilvl w:val="0"/>
          <w:numId w:val="23"/>
        </w:numPr>
        <w:spacing w:line="360" w:lineRule="auto"/>
        <w:contextualSpacing w:val="0"/>
        <w:jc w:val="both"/>
        <w:rPr>
          <w:rFonts w:asciiTheme="minorHAnsi" w:hAnsiTheme="minorHAnsi" w:cstheme="minorHAnsi"/>
          <w:sz w:val="28"/>
          <w:szCs w:val="28"/>
        </w:rPr>
      </w:pPr>
      <w:r w:rsidRPr="005E1103">
        <w:rPr>
          <w:rFonts w:asciiTheme="minorHAnsi" w:hAnsiTheme="minorHAnsi" w:cstheme="minorHAnsi"/>
          <w:sz w:val="28"/>
          <w:szCs w:val="28"/>
        </w:rPr>
        <w:t>La puesta en marcha de actividades pluridisciplinares de formación en Accesibilidad Universal y Diseño para todas las personas, con un carácter transversal en las diferentes titulaciones.</w:t>
      </w:r>
    </w:p>
    <w:p w:rsidR="00DF59FF" w:rsidRPr="005E1103" w:rsidRDefault="00DF59FF" w:rsidP="00DF59FF">
      <w:pPr>
        <w:spacing w:before="120" w:after="0" w:line="360" w:lineRule="auto"/>
        <w:jc w:val="both"/>
        <w:rPr>
          <w:rFonts w:cstheme="minorHAnsi"/>
          <w:sz w:val="28"/>
          <w:szCs w:val="28"/>
        </w:rPr>
      </w:pPr>
      <w:r w:rsidRPr="005E1103">
        <w:rPr>
          <w:rFonts w:cstheme="minorHAnsi"/>
          <w:sz w:val="28"/>
          <w:szCs w:val="28"/>
        </w:rPr>
        <w:t xml:space="preserve">La primera estrategia precisa mucho más que una mera implantación curricular genérica. Es preciso que expertos en la materia concreten para cada materia dichas consideraciones para que desde una formación escalada (formación de formadores) la </w:t>
      </w:r>
      <w:r w:rsidRPr="005E1103">
        <w:rPr>
          <w:rFonts w:cstheme="minorHAnsi"/>
          <w:sz w:val="28"/>
          <w:szCs w:val="28"/>
        </w:rPr>
        <w:lastRenderedPageBreak/>
        <w:t>Accesibilidad inunde todos los campos de formación al igual que otras temáticas como la Seguridad o la Sostenibilidad.</w:t>
      </w:r>
    </w:p>
    <w:p w:rsidR="00DF59FF" w:rsidRPr="005E1103" w:rsidRDefault="00DF59FF" w:rsidP="00DF59FF">
      <w:pPr>
        <w:spacing w:before="120" w:after="0" w:line="360" w:lineRule="auto"/>
        <w:jc w:val="both"/>
        <w:rPr>
          <w:rFonts w:cstheme="minorHAnsi"/>
          <w:sz w:val="28"/>
          <w:szCs w:val="28"/>
        </w:rPr>
      </w:pPr>
      <w:r w:rsidRPr="005E1103">
        <w:rPr>
          <w:rFonts w:cstheme="minorHAnsi"/>
          <w:sz w:val="28"/>
          <w:szCs w:val="28"/>
        </w:rPr>
        <w:t>En relación a la segunda estrategia, la experiencia profesional evidencia cada vez más la necesidad del trabajo en equipo en grupos multidisciplinares por lo que es no sólo enriquecedor sino necesario tener una visión global sobre la Accesibilidad Universal y el Diseño Universal mucho más allá de las consideraciones propias de la formación específica de cada alumno. La transversalidad por tanto favorece una visión más amplia del tema y capacita al alumnado para afrontar los retos que el mercado laboral les exigirá de una forma más competente</w:t>
      </w:r>
    </w:p>
    <w:p w:rsidR="00DF59FF" w:rsidRPr="005E1103" w:rsidRDefault="00DF59FF" w:rsidP="00DF59FF">
      <w:pPr>
        <w:spacing w:before="120" w:after="0" w:line="360" w:lineRule="auto"/>
        <w:jc w:val="both"/>
        <w:rPr>
          <w:rFonts w:cstheme="minorHAnsi"/>
          <w:sz w:val="28"/>
          <w:szCs w:val="28"/>
        </w:rPr>
      </w:pPr>
      <w:r w:rsidRPr="005E1103">
        <w:rPr>
          <w:rFonts w:cstheme="minorHAnsi"/>
          <w:sz w:val="28"/>
          <w:szCs w:val="28"/>
        </w:rPr>
        <w:t>Para ello se analizan diferentes propuestas curriculares sobre AU y DpT y se describen varias experiencias sobre la formación sobre Accesibilidad de forma transversal: Talleres multidisciplinares sobre Accesibilidad en las UDESIGN de la UDEM (México), estrategias de transversalidad en el Máster de Accesibilidad de la UJA,…</w:t>
      </w:r>
    </w:p>
    <w:p w:rsidR="00DF59FF" w:rsidRPr="005E1103" w:rsidRDefault="00DF59FF" w:rsidP="00DF59FF">
      <w:pPr>
        <w:spacing w:before="120" w:after="0" w:line="360" w:lineRule="auto"/>
        <w:jc w:val="both"/>
        <w:rPr>
          <w:rFonts w:cstheme="minorHAnsi"/>
          <w:sz w:val="28"/>
          <w:szCs w:val="28"/>
        </w:rPr>
      </w:pPr>
    </w:p>
    <w:p w:rsidR="00DF59FF" w:rsidRPr="005E1103" w:rsidRDefault="00DF59FF" w:rsidP="00DF59FF">
      <w:pPr>
        <w:pStyle w:val="Ttulo2"/>
        <w:rPr>
          <w:rFonts w:asciiTheme="minorHAnsi" w:hAnsiTheme="minorHAnsi" w:cstheme="minorHAnsi"/>
          <w:sz w:val="28"/>
          <w:szCs w:val="28"/>
        </w:rPr>
      </w:pPr>
      <w:bookmarkStart w:id="33" w:name="_Toc463211442"/>
      <w:r w:rsidRPr="005E1103">
        <w:rPr>
          <w:rFonts w:asciiTheme="minorHAnsi" w:hAnsiTheme="minorHAnsi" w:cstheme="minorHAnsi"/>
          <w:sz w:val="28"/>
          <w:szCs w:val="28"/>
        </w:rPr>
        <w:t>ANÁLISIS DEL ACTUAL PLANTEAMIENTO DE LA AU Y EL DPT EN LA FORMACIÓN UNIVERSITARIA</w:t>
      </w:r>
      <w:bookmarkEnd w:id="33"/>
    </w:p>
    <w:p w:rsidR="00DF59FF" w:rsidRPr="005E1103" w:rsidRDefault="00DF59FF" w:rsidP="00DF59FF">
      <w:pPr>
        <w:pStyle w:val="Ttulo3"/>
        <w:keepNext w:val="0"/>
        <w:keepLines w:val="0"/>
        <w:numPr>
          <w:ilvl w:val="0"/>
          <w:numId w:val="28"/>
        </w:numPr>
        <w:spacing w:before="120" w:line="360" w:lineRule="auto"/>
        <w:jc w:val="both"/>
        <w:rPr>
          <w:rFonts w:asciiTheme="minorHAnsi" w:hAnsiTheme="minorHAnsi" w:cstheme="minorHAnsi"/>
          <w:sz w:val="28"/>
          <w:szCs w:val="28"/>
        </w:rPr>
      </w:pPr>
      <w:bookmarkStart w:id="34" w:name="_Toc463211443"/>
      <w:r w:rsidRPr="005E1103">
        <w:rPr>
          <w:rFonts w:asciiTheme="minorHAnsi" w:hAnsiTheme="minorHAnsi" w:cstheme="minorHAnsi"/>
          <w:sz w:val="28"/>
          <w:szCs w:val="28"/>
        </w:rPr>
        <w:t>MARCO NORMATIVO</w:t>
      </w:r>
      <w:bookmarkEnd w:id="34"/>
    </w:p>
    <w:p w:rsidR="00DF59FF" w:rsidRPr="005E1103" w:rsidRDefault="00DF59FF" w:rsidP="00DF59FF">
      <w:pPr>
        <w:spacing w:before="120" w:after="0" w:line="360" w:lineRule="auto"/>
        <w:jc w:val="both"/>
        <w:rPr>
          <w:rFonts w:cstheme="minorHAnsi"/>
          <w:sz w:val="28"/>
          <w:szCs w:val="28"/>
        </w:rPr>
      </w:pPr>
      <w:r w:rsidRPr="005E1103">
        <w:rPr>
          <w:rFonts w:cstheme="minorHAnsi"/>
          <w:sz w:val="28"/>
          <w:szCs w:val="28"/>
        </w:rPr>
        <w:t>Es relevante empezar recordando lo que el marco normativo español dice sobre la formación en Accesibilidad Universal y Diseño para Todas las personas. Para ello basta recordar dos citas significativas:</w:t>
      </w:r>
    </w:p>
    <w:p w:rsidR="00DF59FF" w:rsidRPr="005E1103" w:rsidRDefault="00DF59FF" w:rsidP="00DF59FF">
      <w:pPr>
        <w:pStyle w:val="Prrafodelista"/>
        <w:numPr>
          <w:ilvl w:val="0"/>
          <w:numId w:val="24"/>
        </w:numPr>
        <w:spacing w:line="360" w:lineRule="auto"/>
        <w:jc w:val="both"/>
        <w:rPr>
          <w:rFonts w:asciiTheme="minorHAnsi" w:hAnsiTheme="minorHAnsi" w:cstheme="minorHAnsi"/>
          <w:sz w:val="28"/>
          <w:szCs w:val="28"/>
        </w:rPr>
      </w:pPr>
      <w:r w:rsidRPr="005E1103">
        <w:rPr>
          <w:rFonts w:asciiTheme="minorHAnsi" w:hAnsiTheme="minorHAnsi" w:cstheme="minorHAnsi"/>
          <w:sz w:val="28"/>
          <w:szCs w:val="28"/>
        </w:rPr>
        <w:t>L 4/2007 LOMLOU: “Todos los Planes de Estudios propuestos por las universidades deben tener en cuenta que la formación en cualquier actividad profesional debe realizarse desde el respeto y la promoción de los Derechos Humanos y los principios de Accesibilidad Universal y diseño para todos”</w:t>
      </w:r>
      <w:sdt>
        <w:sdtPr>
          <w:rPr>
            <w:rFonts w:asciiTheme="minorHAnsi" w:hAnsiTheme="minorHAnsi" w:cstheme="minorHAnsi"/>
            <w:sz w:val="28"/>
            <w:szCs w:val="28"/>
          </w:rPr>
          <w:id w:val="-372387152"/>
          <w:citation/>
        </w:sdtPr>
        <w:sdtEndPr/>
        <w:sdtContent>
          <w:r w:rsidRPr="005E1103">
            <w:rPr>
              <w:rFonts w:asciiTheme="minorHAnsi" w:hAnsiTheme="minorHAnsi" w:cstheme="minorHAnsi"/>
              <w:sz w:val="28"/>
              <w:szCs w:val="28"/>
            </w:rPr>
            <w:fldChar w:fldCharType="begin"/>
          </w:r>
          <w:r w:rsidRPr="005E1103">
            <w:rPr>
              <w:rFonts w:asciiTheme="minorHAnsi" w:hAnsiTheme="minorHAnsi" w:cstheme="minorHAnsi"/>
              <w:sz w:val="28"/>
              <w:szCs w:val="28"/>
            </w:rPr>
            <w:instrText xml:space="preserve">CITATION Jef07 \p "disposici&amp;#243;n adicional vig&amp;#233;simo cuarta, apartado 5" \l 3082 </w:instrText>
          </w:r>
          <w:r w:rsidRPr="005E1103">
            <w:rPr>
              <w:rFonts w:asciiTheme="minorHAnsi" w:hAnsiTheme="minorHAnsi" w:cstheme="minorHAnsi"/>
              <w:sz w:val="28"/>
              <w:szCs w:val="28"/>
            </w:rPr>
            <w:fldChar w:fldCharType="separate"/>
          </w:r>
          <w:r w:rsidRPr="005E1103">
            <w:rPr>
              <w:rFonts w:asciiTheme="minorHAnsi" w:hAnsiTheme="minorHAnsi" w:cstheme="minorHAnsi"/>
              <w:noProof/>
              <w:sz w:val="28"/>
              <w:szCs w:val="28"/>
            </w:rPr>
            <w:t xml:space="preserve"> (Jefatura del Estado, 2007, pp. disposición adicional vigésimo cuarta, apartado 5)</w:t>
          </w:r>
          <w:r w:rsidRPr="005E1103">
            <w:rPr>
              <w:rFonts w:asciiTheme="minorHAnsi" w:hAnsiTheme="minorHAnsi" w:cstheme="minorHAnsi"/>
              <w:sz w:val="28"/>
              <w:szCs w:val="28"/>
            </w:rPr>
            <w:fldChar w:fldCharType="end"/>
          </w:r>
        </w:sdtContent>
      </w:sdt>
    </w:p>
    <w:p w:rsidR="00DF59FF" w:rsidRPr="005E1103" w:rsidRDefault="00DF59FF" w:rsidP="00DF59FF">
      <w:pPr>
        <w:pStyle w:val="Prrafodelista"/>
        <w:numPr>
          <w:ilvl w:val="0"/>
          <w:numId w:val="24"/>
        </w:numPr>
        <w:spacing w:line="360" w:lineRule="auto"/>
        <w:jc w:val="both"/>
        <w:rPr>
          <w:rFonts w:asciiTheme="minorHAnsi" w:hAnsiTheme="minorHAnsi" w:cstheme="minorHAnsi"/>
          <w:sz w:val="28"/>
          <w:szCs w:val="28"/>
        </w:rPr>
      </w:pPr>
      <w:r w:rsidRPr="005E1103">
        <w:rPr>
          <w:rFonts w:asciiTheme="minorHAnsi" w:hAnsiTheme="minorHAnsi" w:cstheme="minorHAnsi"/>
          <w:sz w:val="28"/>
          <w:szCs w:val="28"/>
        </w:rPr>
        <w:lastRenderedPageBreak/>
        <w:t>RDL 1/2013: “El Gobierno fomentará que las universidades contemplen medidas para que en el desarrollo de los currículos de sus titulaciones se incluya la formación en Diseño para Todas las Personas</w:t>
      </w:r>
      <w:sdt>
        <w:sdtPr>
          <w:rPr>
            <w:rFonts w:asciiTheme="minorHAnsi" w:hAnsiTheme="minorHAnsi" w:cstheme="minorHAnsi"/>
            <w:sz w:val="28"/>
            <w:szCs w:val="28"/>
          </w:rPr>
          <w:id w:val="1551801648"/>
          <w:citation/>
        </w:sdtPr>
        <w:sdtEndPr/>
        <w:sdtContent>
          <w:r w:rsidRPr="005E1103">
            <w:rPr>
              <w:rFonts w:asciiTheme="minorHAnsi" w:hAnsiTheme="minorHAnsi" w:cstheme="minorHAnsi"/>
              <w:sz w:val="28"/>
              <w:szCs w:val="28"/>
            </w:rPr>
            <w:fldChar w:fldCharType="begin"/>
          </w:r>
          <w:r w:rsidRPr="005E1103">
            <w:rPr>
              <w:rFonts w:asciiTheme="minorHAnsi" w:hAnsiTheme="minorHAnsi" w:cstheme="minorHAnsi"/>
              <w:sz w:val="28"/>
              <w:szCs w:val="28"/>
            </w:rPr>
            <w:instrText xml:space="preserve">CITATION MSS13 \p "disposici&amp;#243;n final segunda, sobre &amp;#8220;Formaci&amp;#243;n en Dise&amp;#241;o Universal o Dise&amp;#241;o para Todas las Personas&amp;#8221;" \l 3082 </w:instrText>
          </w:r>
          <w:r w:rsidRPr="005E1103">
            <w:rPr>
              <w:rFonts w:asciiTheme="minorHAnsi" w:hAnsiTheme="minorHAnsi" w:cstheme="minorHAnsi"/>
              <w:sz w:val="28"/>
              <w:szCs w:val="28"/>
            </w:rPr>
            <w:fldChar w:fldCharType="separate"/>
          </w:r>
          <w:r w:rsidRPr="005E1103">
            <w:rPr>
              <w:rFonts w:asciiTheme="minorHAnsi" w:hAnsiTheme="minorHAnsi" w:cstheme="minorHAnsi"/>
              <w:noProof/>
              <w:sz w:val="28"/>
              <w:szCs w:val="28"/>
            </w:rPr>
            <w:t xml:space="preserve"> (Ministerio de Sanidad Servicios Sociales e Igualdad, 2013, pp. disposición final segunda, sobre “Formación en Diseño Universal o Diseño para Todas las Personas”)</w:t>
          </w:r>
          <w:r w:rsidRPr="005E1103">
            <w:rPr>
              <w:rFonts w:asciiTheme="minorHAnsi" w:hAnsiTheme="minorHAnsi" w:cstheme="minorHAnsi"/>
              <w:sz w:val="28"/>
              <w:szCs w:val="28"/>
            </w:rPr>
            <w:fldChar w:fldCharType="end"/>
          </w:r>
        </w:sdtContent>
      </w:sdt>
    </w:p>
    <w:p w:rsidR="00DF59FF" w:rsidRPr="005E1103" w:rsidRDefault="00DF59FF" w:rsidP="00DF59FF">
      <w:pPr>
        <w:spacing w:before="120" w:after="0" w:line="360" w:lineRule="auto"/>
        <w:jc w:val="both"/>
        <w:rPr>
          <w:rFonts w:cstheme="minorHAnsi"/>
          <w:sz w:val="28"/>
          <w:szCs w:val="28"/>
        </w:rPr>
      </w:pPr>
      <w:r w:rsidRPr="005E1103">
        <w:rPr>
          <w:rFonts w:cstheme="minorHAnsi"/>
          <w:sz w:val="28"/>
          <w:szCs w:val="28"/>
        </w:rPr>
        <w:t>En la presente publicación se analiza la interpretación de estos textos y el nivel de desarrollo e implantación de las directrices que ahí se indican.</w:t>
      </w:r>
    </w:p>
    <w:p w:rsidR="00DF59FF" w:rsidRPr="005E1103" w:rsidRDefault="00DF59FF">
      <w:pPr>
        <w:rPr>
          <w:rFonts w:eastAsiaTheme="majorEastAsia" w:cstheme="minorHAnsi"/>
          <w:color w:val="1F4D78" w:themeColor="accent1" w:themeShade="7F"/>
          <w:sz w:val="28"/>
          <w:szCs w:val="28"/>
        </w:rPr>
      </w:pPr>
      <w:bookmarkStart w:id="35" w:name="_Toc463211444"/>
      <w:r w:rsidRPr="005E1103">
        <w:rPr>
          <w:rFonts w:cstheme="minorHAnsi"/>
          <w:sz w:val="28"/>
          <w:szCs w:val="28"/>
        </w:rPr>
        <w:br w:type="page"/>
      </w:r>
    </w:p>
    <w:p w:rsidR="00DF59FF" w:rsidRPr="005E1103" w:rsidRDefault="00DF59FF" w:rsidP="00DF59FF">
      <w:pPr>
        <w:pStyle w:val="Ttulo3"/>
        <w:keepNext w:val="0"/>
        <w:keepLines w:val="0"/>
        <w:numPr>
          <w:ilvl w:val="0"/>
          <w:numId w:val="28"/>
        </w:numPr>
        <w:spacing w:before="120" w:line="360" w:lineRule="auto"/>
        <w:jc w:val="both"/>
        <w:rPr>
          <w:rFonts w:asciiTheme="minorHAnsi" w:hAnsiTheme="minorHAnsi" w:cstheme="minorHAnsi"/>
          <w:sz w:val="28"/>
          <w:szCs w:val="28"/>
        </w:rPr>
      </w:pPr>
      <w:r w:rsidRPr="005E1103">
        <w:rPr>
          <w:rFonts w:asciiTheme="minorHAnsi" w:hAnsiTheme="minorHAnsi" w:cstheme="minorHAnsi"/>
          <w:sz w:val="28"/>
          <w:szCs w:val="28"/>
        </w:rPr>
        <w:lastRenderedPageBreak/>
        <w:t>CONCRECIÓN DE LOS CONTENIDOS CURRICULARES DE LAS DIFERENTES TITULACIONES</w:t>
      </w:r>
      <w:bookmarkEnd w:id="35"/>
    </w:p>
    <w:p w:rsidR="00DF59FF" w:rsidRPr="005E1103" w:rsidRDefault="00DF59FF" w:rsidP="00DF59FF">
      <w:pPr>
        <w:spacing w:before="120" w:after="0" w:line="360" w:lineRule="auto"/>
        <w:jc w:val="both"/>
        <w:rPr>
          <w:rFonts w:cstheme="minorHAnsi"/>
          <w:sz w:val="28"/>
          <w:szCs w:val="28"/>
        </w:rPr>
      </w:pPr>
      <w:r w:rsidRPr="005E1103">
        <w:rPr>
          <w:rFonts w:cstheme="minorHAnsi"/>
          <w:sz w:val="28"/>
          <w:szCs w:val="28"/>
        </w:rPr>
        <w:t>Como principal referencia concreta debe citarse al Libro Blanco del Diseño para Todos en la Universidad</w:t>
      </w:r>
      <w:sdt>
        <w:sdtPr>
          <w:rPr>
            <w:rFonts w:cstheme="minorHAnsi"/>
            <w:sz w:val="28"/>
            <w:szCs w:val="28"/>
          </w:rPr>
          <w:id w:val="1683160461"/>
          <w:citation/>
        </w:sdtPr>
        <w:sdtEndPr/>
        <w:sdtContent>
          <w:r w:rsidRPr="005E1103">
            <w:rPr>
              <w:rFonts w:cstheme="minorHAnsi"/>
              <w:sz w:val="28"/>
              <w:szCs w:val="28"/>
            </w:rPr>
            <w:fldChar w:fldCharType="begin"/>
          </w:r>
          <w:r w:rsidRPr="005E1103">
            <w:rPr>
              <w:rFonts w:cstheme="minorHAnsi"/>
              <w:sz w:val="28"/>
              <w:szCs w:val="28"/>
            </w:rPr>
            <w:instrText xml:space="preserve"> CITATION IMS06 \l 3082 </w:instrText>
          </w:r>
          <w:r w:rsidRPr="005E1103">
            <w:rPr>
              <w:rFonts w:cstheme="minorHAnsi"/>
              <w:sz w:val="28"/>
              <w:szCs w:val="28"/>
            </w:rPr>
            <w:fldChar w:fldCharType="separate"/>
          </w:r>
          <w:r w:rsidRPr="005E1103">
            <w:rPr>
              <w:rFonts w:cstheme="minorHAnsi"/>
              <w:noProof/>
              <w:sz w:val="28"/>
              <w:szCs w:val="28"/>
            </w:rPr>
            <w:t xml:space="preserve"> (IMSERSO, Fundación ONCE, EIDD -Spain, 2006)</w:t>
          </w:r>
          <w:r w:rsidRPr="005E1103">
            <w:rPr>
              <w:rFonts w:cstheme="minorHAnsi"/>
              <w:sz w:val="28"/>
              <w:szCs w:val="28"/>
            </w:rPr>
            <w:fldChar w:fldCharType="end"/>
          </w:r>
        </w:sdtContent>
      </w:sdt>
      <w:r w:rsidRPr="005E1103">
        <w:rPr>
          <w:rFonts w:cstheme="minorHAnsi"/>
          <w:sz w:val="28"/>
          <w:szCs w:val="28"/>
        </w:rPr>
        <w:t>, donde se aborda por primera vez de forma más específica cómo se podría abordar la formación en Diseño para Todos en la educación superior española. Sin embargo, esta publicación surge como preámbulo de la colección sobre formación curricular para diferentes titulaciones:</w:t>
      </w:r>
    </w:p>
    <w:p w:rsidR="00DF59FF" w:rsidRPr="005E1103" w:rsidRDefault="00DF59FF" w:rsidP="00DF59FF">
      <w:pPr>
        <w:pStyle w:val="Prrafodelista"/>
        <w:numPr>
          <w:ilvl w:val="0"/>
          <w:numId w:val="25"/>
        </w:numPr>
        <w:spacing w:line="360" w:lineRule="auto"/>
        <w:ind w:left="426" w:hanging="66"/>
        <w:jc w:val="both"/>
        <w:rPr>
          <w:rFonts w:asciiTheme="minorHAnsi" w:hAnsiTheme="minorHAnsi" w:cstheme="minorHAnsi"/>
          <w:sz w:val="28"/>
          <w:szCs w:val="28"/>
        </w:rPr>
      </w:pPr>
      <w:r w:rsidRPr="005E1103">
        <w:rPr>
          <w:rFonts w:asciiTheme="minorHAnsi" w:hAnsiTheme="minorHAnsi" w:cstheme="minorHAnsi"/>
          <w:sz w:val="28"/>
          <w:szCs w:val="28"/>
        </w:rPr>
        <w:t>En una primera fase, el IMSERSO, junto con Fundación ONCE y la Coordinadora del Diseño para todas las personas de España (EIDD – Design for All Europe in Spain), detallan cómo estructurar este tipo de formación en las titulaciones relacionadas con entornos construidos y tecnologías de la información:</w:t>
      </w:r>
    </w:p>
    <w:p w:rsidR="00DF59FF" w:rsidRPr="005E1103" w:rsidRDefault="00DF59FF" w:rsidP="00DF59FF">
      <w:pPr>
        <w:pStyle w:val="Prrafodelista"/>
        <w:numPr>
          <w:ilvl w:val="1"/>
          <w:numId w:val="26"/>
        </w:numPr>
        <w:spacing w:line="360" w:lineRule="auto"/>
        <w:ind w:left="1134" w:hanging="425"/>
        <w:jc w:val="both"/>
        <w:rPr>
          <w:rFonts w:asciiTheme="minorHAnsi" w:hAnsiTheme="minorHAnsi" w:cstheme="minorHAnsi"/>
          <w:sz w:val="28"/>
          <w:szCs w:val="28"/>
        </w:rPr>
      </w:pPr>
      <w:r w:rsidRPr="005E1103">
        <w:rPr>
          <w:rFonts w:asciiTheme="minorHAnsi" w:hAnsiTheme="minorHAnsi" w:cstheme="minorHAnsi"/>
          <w:sz w:val="28"/>
          <w:szCs w:val="28"/>
        </w:rPr>
        <w:t>Arquitectura</w:t>
      </w:r>
      <w:sdt>
        <w:sdtPr>
          <w:rPr>
            <w:rFonts w:asciiTheme="minorHAnsi" w:hAnsiTheme="minorHAnsi" w:cstheme="minorHAnsi"/>
            <w:sz w:val="28"/>
            <w:szCs w:val="28"/>
          </w:rPr>
          <w:id w:val="38254009"/>
          <w:citation/>
        </w:sdtPr>
        <w:sdtEndPr/>
        <w:sdtContent>
          <w:r w:rsidRPr="005E1103">
            <w:rPr>
              <w:rFonts w:asciiTheme="minorHAnsi" w:hAnsiTheme="minorHAnsi" w:cstheme="minorHAnsi"/>
              <w:sz w:val="28"/>
              <w:szCs w:val="28"/>
            </w:rPr>
            <w:fldChar w:fldCharType="begin"/>
          </w:r>
          <w:r w:rsidRPr="005E1103">
            <w:rPr>
              <w:rFonts w:asciiTheme="minorHAnsi" w:hAnsiTheme="minorHAnsi" w:cstheme="minorHAnsi"/>
              <w:sz w:val="28"/>
              <w:szCs w:val="28"/>
            </w:rPr>
            <w:instrText xml:space="preserve">CITATION IMS10 \l 3082 </w:instrText>
          </w:r>
          <w:r w:rsidRPr="005E1103">
            <w:rPr>
              <w:rFonts w:asciiTheme="minorHAnsi" w:hAnsiTheme="minorHAnsi" w:cstheme="minorHAnsi"/>
              <w:sz w:val="28"/>
              <w:szCs w:val="28"/>
            </w:rPr>
            <w:fldChar w:fldCharType="separate"/>
          </w:r>
          <w:r w:rsidRPr="005E1103">
            <w:rPr>
              <w:rFonts w:asciiTheme="minorHAnsi" w:hAnsiTheme="minorHAnsi" w:cstheme="minorHAnsi"/>
              <w:noProof/>
              <w:sz w:val="28"/>
              <w:szCs w:val="28"/>
            </w:rPr>
            <w:t xml:space="preserve"> (IMSERSO, Fundación ONCE, EIDD-Spain, 2010 -1)</w:t>
          </w:r>
          <w:r w:rsidRPr="005E1103">
            <w:rPr>
              <w:rFonts w:asciiTheme="minorHAnsi" w:hAnsiTheme="minorHAnsi" w:cstheme="minorHAnsi"/>
              <w:sz w:val="28"/>
              <w:szCs w:val="28"/>
            </w:rPr>
            <w:fldChar w:fldCharType="end"/>
          </w:r>
        </w:sdtContent>
      </w:sdt>
    </w:p>
    <w:p w:rsidR="00DF59FF" w:rsidRPr="005E1103" w:rsidRDefault="00DF59FF" w:rsidP="00DF59FF">
      <w:pPr>
        <w:pStyle w:val="Prrafodelista"/>
        <w:numPr>
          <w:ilvl w:val="1"/>
          <w:numId w:val="26"/>
        </w:numPr>
        <w:spacing w:line="360" w:lineRule="auto"/>
        <w:ind w:left="1134" w:hanging="425"/>
        <w:jc w:val="both"/>
        <w:rPr>
          <w:rFonts w:asciiTheme="minorHAnsi" w:hAnsiTheme="minorHAnsi" w:cstheme="minorHAnsi"/>
          <w:sz w:val="28"/>
          <w:szCs w:val="28"/>
        </w:rPr>
      </w:pPr>
      <w:r w:rsidRPr="005E1103">
        <w:rPr>
          <w:rFonts w:asciiTheme="minorHAnsi" w:hAnsiTheme="minorHAnsi" w:cstheme="minorHAnsi"/>
          <w:sz w:val="28"/>
          <w:szCs w:val="28"/>
        </w:rPr>
        <w:t>Diseño</w:t>
      </w:r>
      <w:sdt>
        <w:sdtPr>
          <w:rPr>
            <w:rFonts w:asciiTheme="minorHAnsi" w:hAnsiTheme="minorHAnsi" w:cstheme="minorHAnsi"/>
            <w:sz w:val="28"/>
            <w:szCs w:val="28"/>
          </w:rPr>
          <w:id w:val="1205518946"/>
          <w:citation/>
        </w:sdtPr>
        <w:sdtEndPr/>
        <w:sdtContent>
          <w:r w:rsidRPr="005E1103">
            <w:rPr>
              <w:rFonts w:asciiTheme="minorHAnsi" w:hAnsiTheme="minorHAnsi" w:cstheme="minorHAnsi"/>
              <w:sz w:val="28"/>
              <w:szCs w:val="28"/>
            </w:rPr>
            <w:fldChar w:fldCharType="begin"/>
          </w:r>
          <w:r w:rsidRPr="005E1103">
            <w:rPr>
              <w:rFonts w:asciiTheme="minorHAnsi" w:hAnsiTheme="minorHAnsi" w:cstheme="minorHAnsi"/>
              <w:sz w:val="28"/>
              <w:szCs w:val="28"/>
            </w:rPr>
            <w:instrText xml:space="preserve">CITATION IMS102 \l 3082 </w:instrText>
          </w:r>
          <w:r w:rsidRPr="005E1103">
            <w:rPr>
              <w:rFonts w:asciiTheme="minorHAnsi" w:hAnsiTheme="minorHAnsi" w:cstheme="minorHAnsi"/>
              <w:sz w:val="28"/>
              <w:szCs w:val="28"/>
            </w:rPr>
            <w:fldChar w:fldCharType="separate"/>
          </w:r>
          <w:r w:rsidRPr="005E1103">
            <w:rPr>
              <w:rFonts w:asciiTheme="minorHAnsi" w:hAnsiTheme="minorHAnsi" w:cstheme="minorHAnsi"/>
              <w:noProof/>
              <w:sz w:val="28"/>
              <w:szCs w:val="28"/>
            </w:rPr>
            <w:t xml:space="preserve"> (IMSERSO, Fundación ONCE, EIDD-Spain, 2010 -2)</w:t>
          </w:r>
          <w:r w:rsidRPr="005E1103">
            <w:rPr>
              <w:rFonts w:asciiTheme="minorHAnsi" w:hAnsiTheme="minorHAnsi" w:cstheme="minorHAnsi"/>
              <w:sz w:val="28"/>
              <w:szCs w:val="28"/>
            </w:rPr>
            <w:fldChar w:fldCharType="end"/>
          </w:r>
        </w:sdtContent>
      </w:sdt>
    </w:p>
    <w:p w:rsidR="00DF59FF" w:rsidRPr="005E1103" w:rsidRDefault="00DF59FF" w:rsidP="00DF59FF">
      <w:pPr>
        <w:pStyle w:val="Prrafodelista"/>
        <w:numPr>
          <w:ilvl w:val="1"/>
          <w:numId w:val="26"/>
        </w:numPr>
        <w:spacing w:line="360" w:lineRule="auto"/>
        <w:ind w:left="1134" w:hanging="425"/>
        <w:jc w:val="both"/>
        <w:rPr>
          <w:rFonts w:asciiTheme="minorHAnsi" w:hAnsiTheme="minorHAnsi" w:cstheme="minorHAnsi"/>
          <w:sz w:val="28"/>
          <w:szCs w:val="28"/>
        </w:rPr>
      </w:pPr>
      <w:r w:rsidRPr="005E1103">
        <w:rPr>
          <w:rFonts w:asciiTheme="minorHAnsi" w:hAnsiTheme="minorHAnsi" w:cstheme="minorHAnsi"/>
          <w:sz w:val="28"/>
          <w:szCs w:val="28"/>
        </w:rPr>
        <w:t>Informática y Telecomunicaciones</w:t>
      </w:r>
      <w:sdt>
        <w:sdtPr>
          <w:rPr>
            <w:rFonts w:asciiTheme="minorHAnsi" w:hAnsiTheme="minorHAnsi" w:cstheme="minorHAnsi"/>
            <w:sz w:val="28"/>
            <w:szCs w:val="28"/>
          </w:rPr>
          <w:id w:val="-398142108"/>
          <w:citation/>
        </w:sdtPr>
        <w:sdtEndPr/>
        <w:sdtContent>
          <w:r w:rsidRPr="005E1103">
            <w:rPr>
              <w:rFonts w:asciiTheme="minorHAnsi" w:hAnsiTheme="minorHAnsi" w:cstheme="minorHAnsi"/>
              <w:sz w:val="28"/>
              <w:szCs w:val="28"/>
            </w:rPr>
            <w:fldChar w:fldCharType="begin"/>
          </w:r>
          <w:r w:rsidRPr="005E1103">
            <w:rPr>
              <w:rFonts w:asciiTheme="minorHAnsi" w:hAnsiTheme="minorHAnsi" w:cstheme="minorHAnsi"/>
              <w:sz w:val="28"/>
              <w:szCs w:val="28"/>
            </w:rPr>
            <w:instrText xml:space="preserve">CITATION IMS103 \l 3082 </w:instrText>
          </w:r>
          <w:r w:rsidRPr="005E1103">
            <w:rPr>
              <w:rFonts w:asciiTheme="minorHAnsi" w:hAnsiTheme="minorHAnsi" w:cstheme="minorHAnsi"/>
              <w:sz w:val="28"/>
              <w:szCs w:val="28"/>
            </w:rPr>
            <w:fldChar w:fldCharType="separate"/>
          </w:r>
          <w:r w:rsidRPr="005E1103">
            <w:rPr>
              <w:rFonts w:asciiTheme="minorHAnsi" w:hAnsiTheme="minorHAnsi" w:cstheme="minorHAnsi"/>
              <w:noProof/>
              <w:sz w:val="28"/>
              <w:szCs w:val="28"/>
            </w:rPr>
            <w:t xml:space="preserve"> (IMSERSO, Fundación ONCE, EIDD-Spain, 2010 -3)</w:t>
          </w:r>
          <w:r w:rsidRPr="005E1103">
            <w:rPr>
              <w:rFonts w:asciiTheme="minorHAnsi" w:hAnsiTheme="minorHAnsi" w:cstheme="minorHAnsi"/>
              <w:sz w:val="28"/>
              <w:szCs w:val="28"/>
            </w:rPr>
            <w:fldChar w:fldCharType="end"/>
          </w:r>
        </w:sdtContent>
      </w:sdt>
    </w:p>
    <w:p w:rsidR="00DF59FF" w:rsidRPr="005E1103" w:rsidRDefault="00DF59FF" w:rsidP="00DF59FF">
      <w:pPr>
        <w:pStyle w:val="Prrafodelista"/>
        <w:numPr>
          <w:ilvl w:val="1"/>
          <w:numId w:val="26"/>
        </w:numPr>
        <w:spacing w:line="360" w:lineRule="auto"/>
        <w:ind w:left="1134" w:hanging="425"/>
        <w:jc w:val="both"/>
        <w:rPr>
          <w:rFonts w:asciiTheme="minorHAnsi" w:hAnsiTheme="minorHAnsi" w:cstheme="minorHAnsi"/>
          <w:sz w:val="28"/>
          <w:szCs w:val="28"/>
        </w:rPr>
      </w:pPr>
      <w:r w:rsidRPr="005E1103">
        <w:rPr>
          <w:rFonts w:asciiTheme="minorHAnsi" w:hAnsiTheme="minorHAnsi" w:cstheme="minorHAnsi"/>
          <w:sz w:val="28"/>
          <w:szCs w:val="28"/>
        </w:rPr>
        <w:t>Ingeniería de Caminos, Canales y Puertos</w:t>
      </w:r>
      <w:sdt>
        <w:sdtPr>
          <w:rPr>
            <w:rFonts w:asciiTheme="minorHAnsi" w:hAnsiTheme="minorHAnsi" w:cstheme="minorHAnsi"/>
            <w:sz w:val="28"/>
            <w:szCs w:val="28"/>
          </w:rPr>
          <w:id w:val="1749842931"/>
          <w:citation/>
        </w:sdtPr>
        <w:sdtEndPr/>
        <w:sdtContent>
          <w:r w:rsidRPr="005E1103">
            <w:rPr>
              <w:rFonts w:asciiTheme="minorHAnsi" w:hAnsiTheme="minorHAnsi" w:cstheme="minorHAnsi"/>
              <w:sz w:val="28"/>
              <w:szCs w:val="28"/>
            </w:rPr>
            <w:fldChar w:fldCharType="begin"/>
          </w:r>
          <w:r w:rsidRPr="005E1103">
            <w:rPr>
              <w:rFonts w:asciiTheme="minorHAnsi" w:hAnsiTheme="minorHAnsi" w:cstheme="minorHAnsi"/>
              <w:sz w:val="28"/>
              <w:szCs w:val="28"/>
            </w:rPr>
            <w:instrText xml:space="preserve">CITATION IMS101 \l 3082 </w:instrText>
          </w:r>
          <w:r w:rsidRPr="005E1103">
            <w:rPr>
              <w:rFonts w:asciiTheme="minorHAnsi" w:hAnsiTheme="minorHAnsi" w:cstheme="minorHAnsi"/>
              <w:sz w:val="28"/>
              <w:szCs w:val="28"/>
            </w:rPr>
            <w:fldChar w:fldCharType="separate"/>
          </w:r>
          <w:r w:rsidRPr="005E1103">
            <w:rPr>
              <w:rFonts w:asciiTheme="minorHAnsi" w:hAnsiTheme="minorHAnsi" w:cstheme="minorHAnsi"/>
              <w:noProof/>
              <w:sz w:val="28"/>
              <w:szCs w:val="28"/>
            </w:rPr>
            <w:t xml:space="preserve"> (IMSERSO, Fundación ONCE, EIDD-Spain, 2010 -4)</w:t>
          </w:r>
          <w:r w:rsidRPr="005E1103">
            <w:rPr>
              <w:rFonts w:asciiTheme="minorHAnsi" w:hAnsiTheme="minorHAnsi" w:cstheme="minorHAnsi"/>
              <w:sz w:val="28"/>
              <w:szCs w:val="28"/>
            </w:rPr>
            <w:fldChar w:fldCharType="end"/>
          </w:r>
        </w:sdtContent>
      </w:sdt>
    </w:p>
    <w:p w:rsidR="00DF59FF" w:rsidRPr="005E1103" w:rsidRDefault="00DF59FF" w:rsidP="00DF59FF">
      <w:pPr>
        <w:pStyle w:val="Prrafodelista"/>
        <w:numPr>
          <w:ilvl w:val="1"/>
          <w:numId w:val="26"/>
        </w:numPr>
        <w:spacing w:line="360" w:lineRule="auto"/>
        <w:ind w:left="1134" w:hanging="425"/>
        <w:jc w:val="both"/>
        <w:rPr>
          <w:rFonts w:asciiTheme="minorHAnsi" w:hAnsiTheme="minorHAnsi" w:cstheme="minorHAnsi"/>
          <w:sz w:val="28"/>
          <w:szCs w:val="28"/>
        </w:rPr>
      </w:pPr>
      <w:r w:rsidRPr="005E1103">
        <w:rPr>
          <w:rFonts w:asciiTheme="minorHAnsi" w:hAnsiTheme="minorHAnsi" w:cstheme="minorHAnsi"/>
          <w:sz w:val="28"/>
          <w:szCs w:val="28"/>
        </w:rPr>
        <w:t>Ingeniería Industrial</w:t>
      </w:r>
      <w:sdt>
        <w:sdtPr>
          <w:rPr>
            <w:rFonts w:asciiTheme="minorHAnsi" w:hAnsiTheme="minorHAnsi" w:cstheme="minorHAnsi"/>
            <w:sz w:val="28"/>
            <w:szCs w:val="28"/>
          </w:rPr>
          <w:id w:val="912666915"/>
          <w:citation/>
        </w:sdtPr>
        <w:sdtEndPr/>
        <w:sdtContent>
          <w:r w:rsidRPr="005E1103">
            <w:rPr>
              <w:rFonts w:asciiTheme="minorHAnsi" w:hAnsiTheme="minorHAnsi" w:cstheme="minorHAnsi"/>
              <w:sz w:val="28"/>
              <w:szCs w:val="28"/>
            </w:rPr>
            <w:fldChar w:fldCharType="begin"/>
          </w:r>
          <w:r w:rsidRPr="005E1103">
            <w:rPr>
              <w:rFonts w:asciiTheme="minorHAnsi" w:hAnsiTheme="minorHAnsi" w:cstheme="minorHAnsi"/>
              <w:sz w:val="28"/>
              <w:szCs w:val="28"/>
            </w:rPr>
            <w:instrText xml:space="preserve">CITATION IMS104 \l 3082 </w:instrText>
          </w:r>
          <w:r w:rsidRPr="005E1103">
            <w:rPr>
              <w:rFonts w:asciiTheme="minorHAnsi" w:hAnsiTheme="minorHAnsi" w:cstheme="minorHAnsi"/>
              <w:sz w:val="28"/>
              <w:szCs w:val="28"/>
            </w:rPr>
            <w:fldChar w:fldCharType="separate"/>
          </w:r>
          <w:r w:rsidRPr="005E1103">
            <w:rPr>
              <w:rFonts w:asciiTheme="minorHAnsi" w:hAnsiTheme="minorHAnsi" w:cstheme="minorHAnsi"/>
              <w:noProof/>
              <w:sz w:val="28"/>
              <w:szCs w:val="28"/>
            </w:rPr>
            <w:t xml:space="preserve"> (IMSERSO, Fundación ONCE, EIDD-Spain, 2010 -5)</w:t>
          </w:r>
          <w:r w:rsidRPr="005E1103">
            <w:rPr>
              <w:rFonts w:asciiTheme="minorHAnsi" w:hAnsiTheme="minorHAnsi" w:cstheme="minorHAnsi"/>
              <w:sz w:val="28"/>
              <w:szCs w:val="28"/>
            </w:rPr>
            <w:fldChar w:fldCharType="end"/>
          </w:r>
        </w:sdtContent>
      </w:sdt>
    </w:p>
    <w:p w:rsidR="00DF59FF" w:rsidRPr="005E1103" w:rsidRDefault="00DF59FF" w:rsidP="00DF59FF">
      <w:pPr>
        <w:pStyle w:val="Prrafodelista"/>
        <w:numPr>
          <w:ilvl w:val="0"/>
          <w:numId w:val="25"/>
        </w:numPr>
        <w:spacing w:line="360" w:lineRule="auto"/>
        <w:ind w:left="426" w:hanging="66"/>
        <w:jc w:val="both"/>
        <w:rPr>
          <w:rFonts w:asciiTheme="minorHAnsi" w:hAnsiTheme="minorHAnsi" w:cstheme="minorHAnsi"/>
          <w:sz w:val="28"/>
          <w:szCs w:val="28"/>
        </w:rPr>
      </w:pPr>
      <w:r w:rsidRPr="005E1103">
        <w:rPr>
          <w:rFonts w:asciiTheme="minorHAnsi" w:hAnsiTheme="minorHAnsi" w:cstheme="minorHAnsi"/>
          <w:sz w:val="28"/>
          <w:szCs w:val="28"/>
        </w:rPr>
        <w:t>En una segunda fase, la CRUE</w:t>
      </w:r>
      <w:r w:rsidRPr="005E1103">
        <w:rPr>
          <w:rFonts w:asciiTheme="minorHAnsi" w:hAnsiTheme="minorHAnsi" w:cstheme="minorHAnsi"/>
          <w:sz w:val="28"/>
          <w:szCs w:val="28"/>
          <w:vertAlign w:val="superscript"/>
        </w:rPr>
        <w:footnoteReference w:id="17"/>
      </w:r>
      <w:r w:rsidRPr="005E1103">
        <w:rPr>
          <w:rFonts w:asciiTheme="minorHAnsi" w:hAnsiTheme="minorHAnsi" w:cstheme="minorHAnsi"/>
          <w:sz w:val="28"/>
          <w:szCs w:val="28"/>
        </w:rPr>
        <w:t xml:space="preserve"> junto con la Fundación ONCE desarrollan la estructura formativa en Diseño para Todos, de las siguientes titulaciones:</w:t>
      </w:r>
    </w:p>
    <w:p w:rsidR="00DF59FF" w:rsidRPr="005E1103" w:rsidRDefault="00DF59FF" w:rsidP="00DF59FF">
      <w:pPr>
        <w:pStyle w:val="Prrafodelista"/>
        <w:numPr>
          <w:ilvl w:val="1"/>
          <w:numId w:val="26"/>
        </w:numPr>
        <w:spacing w:line="360" w:lineRule="auto"/>
        <w:ind w:left="1134" w:hanging="425"/>
        <w:jc w:val="both"/>
        <w:rPr>
          <w:rFonts w:asciiTheme="minorHAnsi" w:hAnsiTheme="minorHAnsi" w:cstheme="minorHAnsi"/>
          <w:sz w:val="28"/>
          <w:szCs w:val="28"/>
        </w:rPr>
      </w:pPr>
      <w:r w:rsidRPr="005E1103">
        <w:rPr>
          <w:rFonts w:asciiTheme="minorHAnsi" w:hAnsiTheme="minorHAnsi" w:cstheme="minorHAnsi"/>
          <w:sz w:val="28"/>
          <w:szCs w:val="28"/>
        </w:rPr>
        <w:t>Administración y Dirección de Empresas - ADE</w:t>
      </w:r>
      <w:sdt>
        <w:sdtPr>
          <w:rPr>
            <w:rFonts w:asciiTheme="minorHAnsi" w:hAnsiTheme="minorHAnsi" w:cstheme="minorHAnsi"/>
            <w:sz w:val="28"/>
            <w:szCs w:val="28"/>
          </w:rPr>
          <w:id w:val="617409518"/>
          <w:citation/>
        </w:sdtPr>
        <w:sdtEndPr/>
        <w:sdtContent>
          <w:r w:rsidRPr="005E1103">
            <w:rPr>
              <w:rFonts w:asciiTheme="minorHAnsi" w:hAnsiTheme="minorHAnsi" w:cstheme="minorHAnsi"/>
              <w:sz w:val="28"/>
              <w:szCs w:val="28"/>
            </w:rPr>
            <w:fldChar w:fldCharType="begin"/>
          </w:r>
          <w:r w:rsidRPr="005E1103">
            <w:rPr>
              <w:rFonts w:asciiTheme="minorHAnsi" w:hAnsiTheme="minorHAnsi" w:cstheme="minorHAnsi"/>
              <w:sz w:val="28"/>
              <w:szCs w:val="28"/>
            </w:rPr>
            <w:instrText xml:space="preserve">CITATION Fun145 \l 3082 </w:instrText>
          </w:r>
          <w:r w:rsidRPr="005E1103">
            <w:rPr>
              <w:rFonts w:asciiTheme="minorHAnsi" w:hAnsiTheme="minorHAnsi" w:cstheme="minorHAnsi"/>
              <w:sz w:val="28"/>
              <w:szCs w:val="28"/>
            </w:rPr>
            <w:fldChar w:fldCharType="separate"/>
          </w:r>
          <w:r w:rsidRPr="005E1103">
            <w:rPr>
              <w:rFonts w:asciiTheme="minorHAnsi" w:hAnsiTheme="minorHAnsi" w:cstheme="minorHAnsi"/>
              <w:noProof/>
              <w:sz w:val="28"/>
              <w:szCs w:val="28"/>
            </w:rPr>
            <w:t xml:space="preserve"> (Fundación ONCE, CRUE, 2014 -1)</w:t>
          </w:r>
          <w:r w:rsidRPr="005E1103">
            <w:rPr>
              <w:rFonts w:asciiTheme="minorHAnsi" w:hAnsiTheme="minorHAnsi" w:cstheme="minorHAnsi"/>
              <w:sz w:val="28"/>
              <w:szCs w:val="28"/>
            </w:rPr>
            <w:fldChar w:fldCharType="end"/>
          </w:r>
        </w:sdtContent>
      </w:sdt>
    </w:p>
    <w:p w:rsidR="00DF59FF" w:rsidRPr="005E1103" w:rsidRDefault="00DF59FF" w:rsidP="00DF59FF">
      <w:pPr>
        <w:pStyle w:val="Prrafodelista"/>
        <w:numPr>
          <w:ilvl w:val="1"/>
          <w:numId w:val="26"/>
        </w:numPr>
        <w:spacing w:line="360" w:lineRule="auto"/>
        <w:ind w:left="1134" w:hanging="425"/>
        <w:jc w:val="both"/>
        <w:rPr>
          <w:rFonts w:asciiTheme="minorHAnsi" w:hAnsiTheme="minorHAnsi" w:cstheme="minorHAnsi"/>
          <w:sz w:val="28"/>
          <w:szCs w:val="28"/>
        </w:rPr>
      </w:pPr>
      <w:r w:rsidRPr="005E1103">
        <w:rPr>
          <w:rFonts w:asciiTheme="minorHAnsi" w:hAnsiTheme="minorHAnsi" w:cstheme="minorHAnsi"/>
          <w:sz w:val="28"/>
          <w:szCs w:val="28"/>
        </w:rPr>
        <w:t>Derecho</w:t>
      </w:r>
      <w:sdt>
        <w:sdtPr>
          <w:rPr>
            <w:rFonts w:asciiTheme="minorHAnsi" w:hAnsiTheme="minorHAnsi" w:cstheme="minorHAnsi"/>
            <w:sz w:val="28"/>
            <w:szCs w:val="28"/>
          </w:rPr>
          <w:id w:val="238689262"/>
          <w:citation/>
        </w:sdtPr>
        <w:sdtEndPr/>
        <w:sdtContent>
          <w:r w:rsidRPr="005E1103">
            <w:rPr>
              <w:rFonts w:asciiTheme="minorHAnsi" w:hAnsiTheme="minorHAnsi" w:cstheme="minorHAnsi"/>
              <w:sz w:val="28"/>
              <w:szCs w:val="28"/>
            </w:rPr>
            <w:fldChar w:fldCharType="begin"/>
          </w:r>
          <w:r w:rsidRPr="005E1103">
            <w:rPr>
              <w:rFonts w:asciiTheme="minorHAnsi" w:hAnsiTheme="minorHAnsi" w:cstheme="minorHAnsi"/>
              <w:sz w:val="28"/>
              <w:szCs w:val="28"/>
            </w:rPr>
            <w:instrText xml:space="preserve">CITATION Fun144 \l 3082 </w:instrText>
          </w:r>
          <w:r w:rsidRPr="005E1103">
            <w:rPr>
              <w:rFonts w:asciiTheme="minorHAnsi" w:hAnsiTheme="minorHAnsi" w:cstheme="minorHAnsi"/>
              <w:sz w:val="28"/>
              <w:szCs w:val="28"/>
            </w:rPr>
            <w:fldChar w:fldCharType="separate"/>
          </w:r>
          <w:r w:rsidRPr="005E1103">
            <w:rPr>
              <w:rFonts w:asciiTheme="minorHAnsi" w:hAnsiTheme="minorHAnsi" w:cstheme="minorHAnsi"/>
              <w:noProof/>
              <w:sz w:val="28"/>
              <w:szCs w:val="28"/>
            </w:rPr>
            <w:t xml:space="preserve"> (Fundación ONCE, CRUE, 2014 -2)</w:t>
          </w:r>
          <w:r w:rsidRPr="005E1103">
            <w:rPr>
              <w:rFonts w:asciiTheme="minorHAnsi" w:hAnsiTheme="minorHAnsi" w:cstheme="minorHAnsi"/>
              <w:sz w:val="28"/>
              <w:szCs w:val="28"/>
            </w:rPr>
            <w:fldChar w:fldCharType="end"/>
          </w:r>
        </w:sdtContent>
      </w:sdt>
    </w:p>
    <w:p w:rsidR="00DF59FF" w:rsidRPr="005E1103" w:rsidRDefault="00DF59FF" w:rsidP="00DF59FF">
      <w:pPr>
        <w:pStyle w:val="Prrafodelista"/>
        <w:numPr>
          <w:ilvl w:val="1"/>
          <w:numId w:val="26"/>
        </w:numPr>
        <w:spacing w:line="360" w:lineRule="auto"/>
        <w:ind w:left="1134" w:hanging="425"/>
        <w:jc w:val="both"/>
        <w:rPr>
          <w:rFonts w:asciiTheme="minorHAnsi" w:hAnsiTheme="minorHAnsi" w:cstheme="minorHAnsi"/>
          <w:sz w:val="28"/>
          <w:szCs w:val="28"/>
        </w:rPr>
      </w:pPr>
      <w:r w:rsidRPr="005E1103">
        <w:rPr>
          <w:rFonts w:asciiTheme="minorHAnsi" w:hAnsiTheme="minorHAnsi" w:cstheme="minorHAnsi"/>
          <w:sz w:val="28"/>
          <w:szCs w:val="28"/>
        </w:rPr>
        <w:t>Medicina</w:t>
      </w:r>
      <w:sdt>
        <w:sdtPr>
          <w:rPr>
            <w:rFonts w:asciiTheme="minorHAnsi" w:hAnsiTheme="minorHAnsi" w:cstheme="minorHAnsi"/>
            <w:sz w:val="28"/>
            <w:szCs w:val="28"/>
          </w:rPr>
          <w:id w:val="1179385048"/>
          <w:citation/>
        </w:sdtPr>
        <w:sdtEndPr/>
        <w:sdtContent>
          <w:r w:rsidRPr="005E1103">
            <w:rPr>
              <w:rFonts w:asciiTheme="minorHAnsi" w:hAnsiTheme="minorHAnsi" w:cstheme="minorHAnsi"/>
              <w:sz w:val="28"/>
              <w:szCs w:val="28"/>
            </w:rPr>
            <w:fldChar w:fldCharType="begin"/>
          </w:r>
          <w:r w:rsidRPr="005E1103">
            <w:rPr>
              <w:rFonts w:asciiTheme="minorHAnsi" w:hAnsiTheme="minorHAnsi" w:cstheme="minorHAnsi"/>
              <w:sz w:val="28"/>
              <w:szCs w:val="28"/>
            </w:rPr>
            <w:instrText xml:space="preserve">CITATION Fun14 \l 3082 </w:instrText>
          </w:r>
          <w:r w:rsidRPr="005E1103">
            <w:rPr>
              <w:rFonts w:asciiTheme="minorHAnsi" w:hAnsiTheme="minorHAnsi" w:cstheme="minorHAnsi"/>
              <w:sz w:val="28"/>
              <w:szCs w:val="28"/>
            </w:rPr>
            <w:fldChar w:fldCharType="separate"/>
          </w:r>
          <w:r w:rsidRPr="005E1103">
            <w:rPr>
              <w:rFonts w:asciiTheme="minorHAnsi" w:hAnsiTheme="minorHAnsi" w:cstheme="minorHAnsi"/>
              <w:noProof/>
              <w:sz w:val="28"/>
              <w:szCs w:val="28"/>
            </w:rPr>
            <w:t xml:space="preserve"> (Fundación ONCE, CRUE, 2014 -3)</w:t>
          </w:r>
          <w:r w:rsidRPr="005E1103">
            <w:rPr>
              <w:rFonts w:asciiTheme="minorHAnsi" w:hAnsiTheme="minorHAnsi" w:cstheme="minorHAnsi"/>
              <w:sz w:val="28"/>
              <w:szCs w:val="28"/>
            </w:rPr>
            <w:fldChar w:fldCharType="end"/>
          </w:r>
        </w:sdtContent>
      </w:sdt>
    </w:p>
    <w:p w:rsidR="00DF59FF" w:rsidRPr="005E1103" w:rsidRDefault="00DF59FF" w:rsidP="00DF59FF">
      <w:pPr>
        <w:pStyle w:val="Prrafodelista"/>
        <w:numPr>
          <w:ilvl w:val="1"/>
          <w:numId w:val="26"/>
        </w:numPr>
        <w:spacing w:line="360" w:lineRule="auto"/>
        <w:ind w:left="1134" w:hanging="425"/>
        <w:jc w:val="both"/>
        <w:rPr>
          <w:rFonts w:asciiTheme="minorHAnsi" w:hAnsiTheme="minorHAnsi" w:cstheme="minorHAnsi"/>
          <w:sz w:val="28"/>
          <w:szCs w:val="28"/>
        </w:rPr>
      </w:pPr>
      <w:r w:rsidRPr="005E1103">
        <w:rPr>
          <w:rFonts w:asciiTheme="minorHAnsi" w:hAnsiTheme="minorHAnsi" w:cstheme="minorHAnsi"/>
          <w:sz w:val="28"/>
          <w:szCs w:val="28"/>
        </w:rPr>
        <w:t>Pedagogía</w:t>
      </w:r>
      <w:sdt>
        <w:sdtPr>
          <w:rPr>
            <w:rFonts w:asciiTheme="minorHAnsi" w:hAnsiTheme="minorHAnsi" w:cstheme="minorHAnsi"/>
            <w:sz w:val="28"/>
            <w:szCs w:val="28"/>
          </w:rPr>
          <w:id w:val="1272970752"/>
          <w:citation/>
        </w:sdtPr>
        <w:sdtEndPr/>
        <w:sdtContent>
          <w:r w:rsidRPr="005E1103">
            <w:rPr>
              <w:rFonts w:asciiTheme="minorHAnsi" w:hAnsiTheme="minorHAnsi" w:cstheme="minorHAnsi"/>
              <w:sz w:val="28"/>
              <w:szCs w:val="28"/>
            </w:rPr>
            <w:fldChar w:fldCharType="begin"/>
          </w:r>
          <w:r w:rsidRPr="005E1103">
            <w:rPr>
              <w:rFonts w:asciiTheme="minorHAnsi" w:hAnsiTheme="minorHAnsi" w:cstheme="minorHAnsi"/>
              <w:sz w:val="28"/>
              <w:szCs w:val="28"/>
            </w:rPr>
            <w:instrText xml:space="preserve">CITATION Fun141 \l 3082 </w:instrText>
          </w:r>
          <w:r w:rsidRPr="005E1103">
            <w:rPr>
              <w:rFonts w:asciiTheme="minorHAnsi" w:hAnsiTheme="minorHAnsi" w:cstheme="minorHAnsi"/>
              <w:sz w:val="28"/>
              <w:szCs w:val="28"/>
            </w:rPr>
            <w:fldChar w:fldCharType="separate"/>
          </w:r>
          <w:r w:rsidRPr="005E1103">
            <w:rPr>
              <w:rFonts w:asciiTheme="minorHAnsi" w:hAnsiTheme="minorHAnsi" w:cstheme="minorHAnsi"/>
              <w:noProof/>
              <w:sz w:val="28"/>
              <w:szCs w:val="28"/>
            </w:rPr>
            <w:t xml:space="preserve"> (Fundación ONCE, CRUE, 2014 4)</w:t>
          </w:r>
          <w:r w:rsidRPr="005E1103">
            <w:rPr>
              <w:rFonts w:asciiTheme="minorHAnsi" w:hAnsiTheme="minorHAnsi" w:cstheme="minorHAnsi"/>
              <w:sz w:val="28"/>
              <w:szCs w:val="28"/>
            </w:rPr>
            <w:fldChar w:fldCharType="end"/>
          </w:r>
        </w:sdtContent>
      </w:sdt>
    </w:p>
    <w:p w:rsidR="00DF59FF" w:rsidRPr="005E1103" w:rsidRDefault="00DF59FF" w:rsidP="00DF59FF">
      <w:pPr>
        <w:pStyle w:val="Prrafodelista"/>
        <w:numPr>
          <w:ilvl w:val="1"/>
          <w:numId w:val="26"/>
        </w:numPr>
        <w:spacing w:line="360" w:lineRule="auto"/>
        <w:ind w:left="1134" w:hanging="425"/>
        <w:jc w:val="both"/>
        <w:rPr>
          <w:rFonts w:asciiTheme="minorHAnsi" w:hAnsiTheme="minorHAnsi" w:cstheme="minorHAnsi"/>
          <w:sz w:val="28"/>
          <w:szCs w:val="28"/>
        </w:rPr>
      </w:pPr>
      <w:r w:rsidRPr="005E1103">
        <w:rPr>
          <w:rFonts w:asciiTheme="minorHAnsi" w:hAnsiTheme="minorHAnsi" w:cstheme="minorHAnsi"/>
          <w:sz w:val="28"/>
          <w:szCs w:val="28"/>
        </w:rPr>
        <w:t>Psicología</w:t>
      </w:r>
      <w:sdt>
        <w:sdtPr>
          <w:rPr>
            <w:rFonts w:asciiTheme="minorHAnsi" w:hAnsiTheme="minorHAnsi" w:cstheme="minorHAnsi"/>
            <w:sz w:val="28"/>
            <w:szCs w:val="28"/>
          </w:rPr>
          <w:id w:val="-2035110771"/>
          <w:citation/>
        </w:sdtPr>
        <w:sdtEndPr/>
        <w:sdtContent>
          <w:r w:rsidRPr="005E1103">
            <w:rPr>
              <w:rFonts w:asciiTheme="minorHAnsi" w:hAnsiTheme="minorHAnsi" w:cstheme="minorHAnsi"/>
              <w:sz w:val="28"/>
              <w:szCs w:val="28"/>
            </w:rPr>
            <w:fldChar w:fldCharType="begin"/>
          </w:r>
          <w:r w:rsidRPr="005E1103">
            <w:rPr>
              <w:rFonts w:asciiTheme="minorHAnsi" w:hAnsiTheme="minorHAnsi" w:cstheme="minorHAnsi"/>
              <w:sz w:val="28"/>
              <w:szCs w:val="28"/>
            </w:rPr>
            <w:instrText xml:space="preserve">CITATION Fun142 \l 3082 </w:instrText>
          </w:r>
          <w:r w:rsidRPr="005E1103">
            <w:rPr>
              <w:rFonts w:asciiTheme="minorHAnsi" w:hAnsiTheme="minorHAnsi" w:cstheme="minorHAnsi"/>
              <w:sz w:val="28"/>
              <w:szCs w:val="28"/>
            </w:rPr>
            <w:fldChar w:fldCharType="separate"/>
          </w:r>
          <w:r w:rsidRPr="005E1103">
            <w:rPr>
              <w:rFonts w:asciiTheme="minorHAnsi" w:hAnsiTheme="minorHAnsi" w:cstheme="minorHAnsi"/>
              <w:noProof/>
              <w:sz w:val="28"/>
              <w:szCs w:val="28"/>
            </w:rPr>
            <w:t xml:space="preserve"> (Fundación ONCE, CRUE, 2014 -5)</w:t>
          </w:r>
          <w:r w:rsidRPr="005E1103">
            <w:rPr>
              <w:rFonts w:asciiTheme="minorHAnsi" w:hAnsiTheme="minorHAnsi" w:cstheme="minorHAnsi"/>
              <w:sz w:val="28"/>
              <w:szCs w:val="28"/>
            </w:rPr>
            <w:fldChar w:fldCharType="end"/>
          </w:r>
        </w:sdtContent>
      </w:sdt>
    </w:p>
    <w:p w:rsidR="00DF59FF" w:rsidRPr="005E1103" w:rsidRDefault="00DF59FF" w:rsidP="00DF59FF">
      <w:pPr>
        <w:pStyle w:val="Prrafodelista"/>
        <w:numPr>
          <w:ilvl w:val="1"/>
          <w:numId w:val="26"/>
        </w:numPr>
        <w:spacing w:line="360" w:lineRule="auto"/>
        <w:ind w:left="1134" w:hanging="425"/>
        <w:jc w:val="both"/>
        <w:rPr>
          <w:rFonts w:asciiTheme="minorHAnsi" w:hAnsiTheme="minorHAnsi" w:cstheme="minorHAnsi"/>
          <w:sz w:val="28"/>
          <w:szCs w:val="28"/>
        </w:rPr>
      </w:pPr>
      <w:r w:rsidRPr="005E1103">
        <w:rPr>
          <w:rFonts w:asciiTheme="minorHAnsi" w:hAnsiTheme="minorHAnsi" w:cstheme="minorHAnsi"/>
          <w:sz w:val="28"/>
          <w:szCs w:val="28"/>
        </w:rPr>
        <w:t>Trabajo Social</w:t>
      </w:r>
      <w:sdt>
        <w:sdtPr>
          <w:rPr>
            <w:rFonts w:asciiTheme="minorHAnsi" w:hAnsiTheme="minorHAnsi" w:cstheme="minorHAnsi"/>
            <w:sz w:val="28"/>
            <w:szCs w:val="28"/>
          </w:rPr>
          <w:id w:val="41642754"/>
          <w:citation/>
        </w:sdtPr>
        <w:sdtEndPr/>
        <w:sdtContent>
          <w:r w:rsidRPr="005E1103">
            <w:rPr>
              <w:rFonts w:asciiTheme="minorHAnsi" w:hAnsiTheme="minorHAnsi" w:cstheme="minorHAnsi"/>
              <w:sz w:val="28"/>
              <w:szCs w:val="28"/>
            </w:rPr>
            <w:fldChar w:fldCharType="begin"/>
          </w:r>
          <w:r w:rsidRPr="005E1103">
            <w:rPr>
              <w:rFonts w:asciiTheme="minorHAnsi" w:hAnsiTheme="minorHAnsi" w:cstheme="minorHAnsi"/>
              <w:sz w:val="28"/>
              <w:szCs w:val="28"/>
            </w:rPr>
            <w:instrText xml:space="preserve">CITATION Fun143 \l 3082 </w:instrText>
          </w:r>
          <w:r w:rsidRPr="005E1103">
            <w:rPr>
              <w:rFonts w:asciiTheme="minorHAnsi" w:hAnsiTheme="minorHAnsi" w:cstheme="minorHAnsi"/>
              <w:sz w:val="28"/>
              <w:szCs w:val="28"/>
            </w:rPr>
            <w:fldChar w:fldCharType="separate"/>
          </w:r>
          <w:r w:rsidRPr="005E1103">
            <w:rPr>
              <w:rFonts w:asciiTheme="minorHAnsi" w:hAnsiTheme="minorHAnsi" w:cstheme="minorHAnsi"/>
              <w:noProof/>
              <w:sz w:val="28"/>
              <w:szCs w:val="28"/>
            </w:rPr>
            <w:t xml:space="preserve"> (Fundación ONCE, CRUE, 2014 -6)</w:t>
          </w:r>
          <w:r w:rsidRPr="005E1103">
            <w:rPr>
              <w:rFonts w:asciiTheme="minorHAnsi" w:hAnsiTheme="minorHAnsi" w:cstheme="minorHAnsi"/>
              <w:sz w:val="28"/>
              <w:szCs w:val="28"/>
            </w:rPr>
            <w:fldChar w:fldCharType="end"/>
          </w:r>
        </w:sdtContent>
      </w:sdt>
    </w:p>
    <w:p w:rsidR="00DF59FF" w:rsidRPr="005E1103" w:rsidRDefault="00DF59FF" w:rsidP="00DF59FF">
      <w:pPr>
        <w:spacing w:before="120" w:after="0" w:line="360" w:lineRule="auto"/>
        <w:jc w:val="both"/>
        <w:rPr>
          <w:rFonts w:cstheme="minorHAnsi"/>
          <w:sz w:val="28"/>
          <w:szCs w:val="28"/>
        </w:rPr>
      </w:pPr>
      <w:r w:rsidRPr="005E1103">
        <w:rPr>
          <w:rFonts w:cstheme="minorHAnsi"/>
          <w:sz w:val="28"/>
          <w:szCs w:val="28"/>
        </w:rPr>
        <w:lastRenderedPageBreak/>
        <w:t>En cada una de estas publicaciones se desarrolla de forma independiente cómo abordar, para cada titulación, la formación del alumnado en Diseño para Todos. A pesar de la referencia común del citado Libro Blanco del DpT en la Universidad, y una metodología parecida en muchos casos (seminarios específicos, recopilación de experiencias existentes…) la concreción de las capacidades que debe lograr el alumnado así como los módulos temáticos en los que se concretarán esas capacidades tienen una estructura diferenciada unos de otros.</w:t>
      </w:r>
    </w:p>
    <w:p w:rsidR="00DF59FF" w:rsidRPr="005E1103" w:rsidRDefault="00DF59FF" w:rsidP="00DF59FF">
      <w:pPr>
        <w:spacing w:before="120" w:after="0" w:line="360" w:lineRule="auto"/>
        <w:jc w:val="both"/>
        <w:rPr>
          <w:rFonts w:cstheme="minorHAnsi"/>
          <w:sz w:val="28"/>
          <w:szCs w:val="28"/>
        </w:rPr>
      </w:pPr>
      <w:r w:rsidRPr="005E1103">
        <w:rPr>
          <w:rFonts w:cstheme="minorHAnsi"/>
          <w:sz w:val="28"/>
          <w:szCs w:val="28"/>
        </w:rPr>
        <w:t>Sin embargo, del análisis de los once casos de estudio analizados se puede deducir que existen dos grupos de capacidades. En algunos casos se diferencian de forma explícita (capacidades transversales CT y capacidades específicas CE) mientras que en otros casos quedan subyacentes de forma implícita.</w:t>
      </w:r>
    </w:p>
    <w:p w:rsidR="00DF59FF" w:rsidRPr="005E1103" w:rsidRDefault="00DF59FF" w:rsidP="00DF59FF">
      <w:pPr>
        <w:spacing w:before="120" w:after="0" w:line="360" w:lineRule="auto"/>
        <w:jc w:val="both"/>
        <w:rPr>
          <w:rFonts w:cstheme="minorHAnsi"/>
          <w:sz w:val="28"/>
          <w:szCs w:val="28"/>
        </w:rPr>
      </w:pPr>
      <w:r w:rsidRPr="005E1103">
        <w:rPr>
          <w:rFonts w:cstheme="minorHAnsi"/>
          <w:sz w:val="28"/>
          <w:szCs w:val="28"/>
        </w:rPr>
        <w:t>Si nos centramos en las capacidades transversales (CT) y recordamos la recomendación del Libro Blanco sobre las mismas que indicaba “Definir los contenidos curriculares imprescindibles sobre Diseño para Todos para garantizar que los profesionales de las carreras relacionadas puedan dar una respuesta eficiente y eficaz a la accesibilidad que la sociedad demanda”</w:t>
      </w:r>
      <w:sdt>
        <w:sdtPr>
          <w:rPr>
            <w:rFonts w:cstheme="minorHAnsi"/>
            <w:sz w:val="28"/>
            <w:szCs w:val="28"/>
          </w:rPr>
          <w:id w:val="-1689439437"/>
          <w:citation/>
        </w:sdtPr>
        <w:sdtEndPr/>
        <w:sdtContent>
          <w:r w:rsidRPr="005E1103">
            <w:rPr>
              <w:rFonts w:cstheme="minorHAnsi"/>
              <w:sz w:val="28"/>
              <w:szCs w:val="28"/>
            </w:rPr>
            <w:fldChar w:fldCharType="begin"/>
          </w:r>
          <w:r w:rsidRPr="005E1103">
            <w:rPr>
              <w:rFonts w:cstheme="minorHAnsi"/>
              <w:sz w:val="28"/>
              <w:szCs w:val="28"/>
            </w:rPr>
            <w:instrText xml:space="preserve">CITATION IMS06 \p 65 \l 3082 </w:instrText>
          </w:r>
          <w:r w:rsidRPr="005E1103">
            <w:rPr>
              <w:rFonts w:cstheme="minorHAnsi"/>
              <w:sz w:val="28"/>
              <w:szCs w:val="28"/>
            </w:rPr>
            <w:fldChar w:fldCharType="separate"/>
          </w:r>
          <w:r w:rsidRPr="005E1103">
            <w:rPr>
              <w:rFonts w:cstheme="minorHAnsi"/>
              <w:noProof/>
              <w:sz w:val="28"/>
              <w:szCs w:val="28"/>
            </w:rPr>
            <w:t xml:space="preserve"> (IMSERSO, Fundación ONCE, EIDD -Spain, 2006, p. 65)</w:t>
          </w:r>
          <w:r w:rsidRPr="005E1103">
            <w:rPr>
              <w:rFonts w:cstheme="minorHAnsi"/>
              <w:sz w:val="28"/>
              <w:szCs w:val="28"/>
            </w:rPr>
            <w:fldChar w:fldCharType="end"/>
          </w:r>
        </w:sdtContent>
      </w:sdt>
      <w:r w:rsidRPr="005E1103">
        <w:rPr>
          <w:rFonts w:cstheme="minorHAnsi"/>
          <w:sz w:val="28"/>
          <w:szCs w:val="28"/>
        </w:rPr>
        <w:t xml:space="preserve"> se puede evidenciar que estos contenidos básicos son prácticamente los mismos entre unas titulaciones y otras. Así se podría deducir que dentro de esos contenidos básicos hay una serie de temáticas que se remiten de forma sistemática en la práctica totalidad de los casos analizados:</w:t>
      </w:r>
    </w:p>
    <w:p w:rsidR="00DF59FF" w:rsidRPr="005E1103" w:rsidRDefault="00DF59FF" w:rsidP="00DF59FF">
      <w:pPr>
        <w:pStyle w:val="Prrafodelista"/>
        <w:numPr>
          <w:ilvl w:val="0"/>
          <w:numId w:val="27"/>
        </w:numPr>
        <w:spacing w:line="360" w:lineRule="auto"/>
        <w:jc w:val="both"/>
        <w:rPr>
          <w:rFonts w:asciiTheme="minorHAnsi" w:hAnsiTheme="minorHAnsi" w:cstheme="minorHAnsi"/>
          <w:sz w:val="28"/>
          <w:szCs w:val="28"/>
        </w:rPr>
      </w:pPr>
      <w:r w:rsidRPr="005E1103">
        <w:rPr>
          <w:rFonts w:asciiTheme="minorHAnsi" w:hAnsiTheme="minorHAnsi" w:cstheme="minorHAnsi"/>
          <w:sz w:val="28"/>
          <w:szCs w:val="28"/>
        </w:rPr>
        <w:t>Conocimiento de la Diversidad Humana y de la interacción persona-entorno</w:t>
      </w:r>
    </w:p>
    <w:p w:rsidR="00DF59FF" w:rsidRPr="005E1103" w:rsidRDefault="00DF59FF" w:rsidP="00DF59FF">
      <w:pPr>
        <w:pStyle w:val="Prrafodelista"/>
        <w:numPr>
          <w:ilvl w:val="0"/>
          <w:numId w:val="27"/>
        </w:numPr>
        <w:spacing w:line="360" w:lineRule="auto"/>
        <w:jc w:val="both"/>
        <w:rPr>
          <w:rFonts w:asciiTheme="minorHAnsi" w:hAnsiTheme="minorHAnsi" w:cstheme="minorHAnsi"/>
          <w:sz w:val="28"/>
          <w:szCs w:val="28"/>
        </w:rPr>
      </w:pPr>
      <w:r w:rsidRPr="005E1103">
        <w:rPr>
          <w:rFonts w:asciiTheme="minorHAnsi" w:hAnsiTheme="minorHAnsi" w:cstheme="minorHAnsi"/>
          <w:sz w:val="28"/>
          <w:szCs w:val="28"/>
        </w:rPr>
        <w:t>Conocimiento de los conceptos de AU y DpT</w:t>
      </w:r>
    </w:p>
    <w:p w:rsidR="00DF59FF" w:rsidRPr="005E1103" w:rsidRDefault="00DF59FF" w:rsidP="00DF59FF">
      <w:pPr>
        <w:pStyle w:val="Prrafodelista"/>
        <w:numPr>
          <w:ilvl w:val="0"/>
          <w:numId w:val="27"/>
        </w:numPr>
        <w:spacing w:line="360" w:lineRule="auto"/>
        <w:jc w:val="both"/>
        <w:rPr>
          <w:rFonts w:asciiTheme="minorHAnsi" w:hAnsiTheme="minorHAnsi" w:cstheme="minorHAnsi"/>
          <w:sz w:val="28"/>
          <w:szCs w:val="28"/>
        </w:rPr>
      </w:pPr>
      <w:r w:rsidRPr="005E1103">
        <w:rPr>
          <w:rFonts w:asciiTheme="minorHAnsi" w:hAnsiTheme="minorHAnsi" w:cstheme="minorHAnsi"/>
          <w:sz w:val="28"/>
          <w:szCs w:val="28"/>
        </w:rPr>
        <w:t>Conocimiento del Marco Normativo en materia de AU y DpT</w:t>
      </w:r>
    </w:p>
    <w:p w:rsidR="00DF59FF" w:rsidRPr="005E1103" w:rsidRDefault="00DF59FF" w:rsidP="00DF59FF">
      <w:pPr>
        <w:spacing w:before="120" w:after="0" w:line="360" w:lineRule="auto"/>
        <w:jc w:val="both"/>
        <w:rPr>
          <w:rFonts w:cstheme="minorHAnsi"/>
          <w:sz w:val="28"/>
          <w:szCs w:val="28"/>
        </w:rPr>
      </w:pPr>
      <w:r w:rsidRPr="005E1103">
        <w:rPr>
          <w:rFonts w:cstheme="minorHAnsi"/>
          <w:sz w:val="28"/>
          <w:szCs w:val="28"/>
        </w:rPr>
        <w:t>Mientras que en el desarrollo de las temáticas específicas se evidencian algunos elementos comunes subyacentes:</w:t>
      </w:r>
    </w:p>
    <w:p w:rsidR="00DF59FF" w:rsidRPr="005E1103" w:rsidRDefault="00DF59FF" w:rsidP="00DF59FF">
      <w:pPr>
        <w:pStyle w:val="Prrafodelista"/>
        <w:numPr>
          <w:ilvl w:val="0"/>
          <w:numId w:val="27"/>
        </w:numPr>
        <w:spacing w:line="360" w:lineRule="auto"/>
        <w:jc w:val="both"/>
        <w:rPr>
          <w:rFonts w:asciiTheme="minorHAnsi" w:hAnsiTheme="minorHAnsi" w:cstheme="minorHAnsi"/>
          <w:sz w:val="28"/>
          <w:szCs w:val="28"/>
        </w:rPr>
      </w:pPr>
      <w:r w:rsidRPr="005E1103">
        <w:rPr>
          <w:rFonts w:asciiTheme="minorHAnsi" w:hAnsiTheme="minorHAnsi" w:cstheme="minorHAnsi"/>
          <w:sz w:val="28"/>
          <w:szCs w:val="28"/>
        </w:rPr>
        <w:t>Capacidad de aportar una dimensión social al proyecto</w:t>
      </w:r>
    </w:p>
    <w:p w:rsidR="00DF59FF" w:rsidRPr="005E1103" w:rsidRDefault="00DF59FF" w:rsidP="00DF59FF">
      <w:pPr>
        <w:pStyle w:val="Prrafodelista"/>
        <w:numPr>
          <w:ilvl w:val="0"/>
          <w:numId w:val="27"/>
        </w:numPr>
        <w:spacing w:line="360" w:lineRule="auto"/>
        <w:jc w:val="both"/>
        <w:rPr>
          <w:rFonts w:asciiTheme="minorHAnsi" w:hAnsiTheme="minorHAnsi" w:cstheme="minorHAnsi"/>
          <w:sz w:val="28"/>
          <w:szCs w:val="28"/>
        </w:rPr>
      </w:pPr>
      <w:r w:rsidRPr="005E1103">
        <w:rPr>
          <w:rFonts w:asciiTheme="minorHAnsi" w:hAnsiTheme="minorHAnsi" w:cstheme="minorHAnsi"/>
          <w:sz w:val="28"/>
          <w:szCs w:val="28"/>
        </w:rPr>
        <w:lastRenderedPageBreak/>
        <w:t>Capacidad de desarrollar nuevos proyectos desde la perspectiva de la AU y el DpT. Aspecto desglosado en varios grupos dependiendo de las diferentes temáticas a desarrollar dentro de cada titulación.</w:t>
      </w:r>
    </w:p>
    <w:p w:rsidR="00DF59FF" w:rsidRPr="005E1103" w:rsidRDefault="00DF59FF" w:rsidP="00DF59FF">
      <w:pPr>
        <w:pStyle w:val="Prrafodelista"/>
        <w:numPr>
          <w:ilvl w:val="0"/>
          <w:numId w:val="27"/>
        </w:numPr>
        <w:spacing w:line="360" w:lineRule="auto"/>
        <w:jc w:val="both"/>
        <w:rPr>
          <w:rFonts w:asciiTheme="minorHAnsi" w:hAnsiTheme="minorHAnsi" w:cstheme="minorHAnsi"/>
          <w:sz w:val="28"/>
          <w:szCs w:val="28"/>
        </w:rPr>
      </w:pPr>
      <w:r w:rsidRPr="005E1103">
        <w:rPr>
          <w:rFonts w:asciiTheme="minorHAnsi" w:hAnsiTheme="minorHAnsi" w:cstheme="minorHAnsi"/>
          <w:sz w:val="28"/>
          <w:szCs w:val="28"/>
        </w:rPr>
        <w:t>Capacidad para integrar en proyectos existentes los criterios de AU y DpT</w:t>
      </w:r>
    </w:p>
    <w:p w:rsidR="00DF59FF" w:rsidRPr="005E1103" w:rsidRDefault="00DF59FF" w:rsidP="00DF59FF">
      <w:pPr>
        <w:pStyle w:val="Prrafodelista"/>
        <w:numPr>
          <w:ilvl w:val="0"/>
          <w:numId w:val="27"/>
        </w:numPr>
        <w:spacing w:line="360" w:lineRule="auto"/>
        <w:jc w:val="both"/>
        <w:rPr>
          <w:rFonts w:asciiTheme="minorHAnsi" w:hAnsiTheme="minorHAnsi" w:cstheme="minorHAnsi"/>
          <w:sz w:val="28"/>
          <w:szCs w:val="28"/>
        </w:rPr>
      </w:pPr>
      <w:r w:rsidRPr="005E1103">
        <w:rPr>
          <w:rFonts w:asciiTheme="minorHAnsi" w:hAnsiTheme="minorHAnsi" w:cstheme="minorHAnsi"/>
          <w:sz w:val="28"/>
          <w:szCs w:val="28"/>
        </w:rPr>
        <w:t>Capacidad de analizar con espíritu crítico e innovar, en el campo específico de cada titulación, desde la perspectiva de la AU y el DpT</w:t>
      </w:r>
    </w:p>
    <w:p w:rsidR="00DF59FF" w:rsidRPr="005E1103" w:rsidRDefault="00DF59FF" w:rsidP="00DF59FF">
      <w:pPr>
        <w:pStyle w:val="Prrafodelista"/>
        <w:numPr>
          <w:ilvl w:val="0"/>
          <w:numId w:val="27"/>
        </w:numPr>
        <w:spacing w:line="360" w:lineRule="auto"/>
        <w:jc w:val="both"/>
        <w:rPr>
          <w:rFonts w:asciiTheme="minorHAnsi" w:hAnsiTheme="minorHAnsi" w:cstheme="minorHAnsi"/>
          <w:sz w:val="28"/>
          <w:szCs w:val="28"/>
        </w:rPr>
      </w:pPr>
      <w:r w:rsidRPr="005E1103">
        <w:rPr>
          <w:rFonts w:asciiTheme="minorHAnsi" w:hAnsiTheme="minorHAnsi" w:cstheme="minorHAnsi"/>
          <w:sz w:val="28"/>
          <w:szCs w:val="28"/>
        </w:rPr>
        <w:t>Capacidad de gestionar la AU y el DpT en los diferentes proyectos</w:t>
      </w:r>
    </w:p>
    <w:p w:rsidR="00DF59FF" w:rsidRPr="005E1103" w:rsidRDefault="00DF59FF" w:rsidP="00DF59FF">
      <w:pPr>
        <w:pStyle w:val="Prrafodelista"/>
        <w:numPr>
          <w:ilvl w:val="0"/>
          <w:numId w:val="27"/>
        </w:numPr>
        <w:spacing w:line="360" w:lineRule="auto"/>
        <w:jc w:val="both"/>
        <w:rPr>
          <w:rFonts w:asciiTheme="minorHAnsi" w:hAnsiTheme="minorHAnsi" w:cstheme="minorHAnsi"/>
          <w:sz w:val="28"/>
          <w:szCs w:val="28"/>
        </w:rPr>
      </w:pPr>
      <w:r w:rsidRPr="005E1103">
        <w:rPr>
          <w:rFonts w:asciiTheme="minorHAnsi" w:hAnsiTheme="minorHAnsi" w:cstheme="minorHAnsi"/>
          <w:sz w:val="28"/>
          <w:szCs w:val="28"/>
        </w:rPr>
        <w:t>Capacidad de desarrollo desde el trabajo en equipo y valoración de la comunicación y participación “del” y “con” el usuario.</w:t>
      </w:r>
    </w:p>
    <w:p w:rsidR="00DF59FF" w:rsidRPr="005E1103" w:rsidRDefault="00DF59FF" w:rsidP="00DF59FF">
      <w:pPr>
        <w:pStyle w:val="Ttulo3"/>
        <w:keepNext w:val="0"/>
        <w:keepLines w:val="0"/>
        <w:numPr>
          <w:ilvl w:val="0"/>
          <w:numId w:val="28"/>
        </w:numPr>
        <w:spacing w:before="120" w:line="360" w:lineRule="auto"/>
        <w:jc w:val="both"/>
        <w:rPr>
          <w:rFonts w:asciiTheme="minorHAnsi" w:hAnsiTheme="minorHAnsi" w:cstheme="minorHAnsi"/>
          <w:sz w:val="28"/>
          <w:szCs w:val="28"/>
        </w:rPr>
      </w:pPr>
      <w:bookmarkStart w:id="36" w:name="_Toc463211445"/>
      <w:r w:rsidRPr="005E1103">
        <w:rPr>
          <w:rFonts w:asciiTheme="minorHAnsi" w:hAnsiTheme="minorHAnsi" w:cstheme="minorHAnsi"/>
          <w:sz w:val="28"/>
          <w:szCs w:val="28"/>
        </w:rPr>
        <w:t>LA FORMACIÓN EN AU Y DPT DESDE EL OBSERVATORIO DE UNIVERSIDAD Y DISCAPACIDAD</w:t>
      </w:r>
      <w:bookmarkEnd w:id="36"/>
    </w:p>
    <w:p w:rsidR="00DF59FF" w:rsidRPr="005E1103" w:rsidRDefault="00DF59FF" w:rsidP="00DF59FF">
      <w:pPr>
        <w:spacing w:before="120" w:after="0" w:line="360" w:lineRule="auto"/>
        <w:jc w:val="both"/>
        <w:rPr>
          <w:rFonts w:cstheme="minorHAnsi"/>
          <w:sz w:val="28"/>
          <w:szCs w:val="28"/>
        </w:rPr>
      </w:pPr>
      <w:r w:rsidRPr="005E1103">
        <w:rPr>
          <w:rFonts w:cstheme="minorHAnsi"/>
          <w:sz w:val="28"/>
          <w:szCs w:val="28"/>
        </w:rPr>
        <w:t>Como se indica en el OUD</w:t>
      </w:r>
      <w:r w:rsidRPr="005E1103">
        <w:rPr>
          <w:rStyle w:val="Refdenotaalpie"/>
          <w:rFonts w:cstheme="minorHAnsi"/>
          <w:sz w:val="28"/>
          <w:szCs w:val="28"/>
        </w:rPr>
        <w:footnoteReference w:id="18"/>
      </w:r>
      <w:r w:rsidRPr="005E1103">
        <w:rPr>
          <w:rFonts w:cstheme="minorHAnsi"/>
          <w:sz w:val="28"/>
          <w:szCs w:val="28"/>
        </w:rPr>
        <w:t>, el sistema universitario español “se encuentra actualmente en un momento de consolidación del proceso de convergencia del Espacio Europeo de Educación Superior en el que se han puesto a prueba los mecanismos de definición y redacción de los planes de estudio por parte de las universidades y también los procesos de evaluación por parte de ANECA”</w:t>
      </w:r>
      <w:sdt>
        <w:sdtPr>
          <w:rPr>
            <w:rFonts w:cstheme="minorHAnsi"/>
            <w:sz w:val="28"/>
            <w:szCs w:val="28"/>
          </w:rPr>
          <w:id w:val="620810869"/>
          <w:citation/>
        </w:sdtPr>
        <w:sdtEndPr/>
        <w:sdtContent>
          <w:r w:rsidRPr="005E1103">
            <w:rPr>
              <w:rFonts w:cstheme="minorHAnsi"/>
              <w:sz w:val="28"/>
              <w:szCs w:val="28"/>
            </w:rPr>
            <w:fldChar w:fldCharType="begin"/>
          </w:r>
          <w:r w:rsidRPr="005E1103">
            <w:rPr>
              <w:rFonts w:cstheme="minorHAnsi"/>
              <w:sz w:val="28"/>
              <w:szCs w:val="28"/>
            </w:rPr>
            <w:instrText xml:space="preserve">CITATION Gua12 \p 32 \l 3082 </w:instrText>
          </w:r>
          <w:r w:rsidRPr="005E1103">
            <w:rPr>
              <w:rFonts w:cstheme="minorHAnsi"/>
              <w:sz w:val="28"/>
              <w:szCs w:val="28"/>
            </w:rPr>
            <w:fldChar w:fldCharType="separate"/>
          </w:r>
          <w:r w:rsidRPr="005E1103">
            <w:rPr>
              <w:rFonts w:cstheme="minorHAnsi"/>
              <w:noProof/>
              <w:sz w:val="28"/>
              <w:szCs w:val="28"/>
            </w:rPr>
            <w:t xml:space="preserve"> (CATAC, 2013, p. 32)</w:t>
          </w:r>
          <w:r w:rsidRPr="005E1103">
            <w:rPr>
              <w:rFonts w:cstheme="minorHAnsi"/>
              <w:sz w:val="28"/>
              <w:szCs w:val="28"/>
            </w:rPr>
            <w:fldChar w:fldCharType="end"/>
          </w:r>
        </w:sdtContent>
      </w:sdt>
      <w:r w:rsidRPr="005E1103">
        <w:rPr>
          <w:rFonts w:cstheme="minorHAnsi"/>
          <w:sz w:val="28"/>
          <w:szCs w:val="28"/>
        </w:rPr>
        <w:t>. En esa misma publicación se concluye cómo la implantación de la formación en AU y DpT, aunque con avances y progresos, está todavía en una fase inicial a la que le falta todavía mucho recorrido por realizar. Es significativo que menos del 20% incluyen algún tipo de enseñanza específica relacionada con la Accesibilidad y y el Diseño Universal. Y en menos del 2% se consideran los temas de AU y DpT en grupos de investigación.</w:t>
      </w:r>
    </w:p>
    <w:p w:rsidR="00DF59FF" w:rsidRPr="005E1103" w:rsidRDefault="00DF59FF" w:rsidP="00DF59FF">
      <w:pPr>
        <w:spacing w:before="120" w:after="0" w:line="360" w:lineRule="auto"/>
        <w:jc w:val="both"/>
        <w:rPr>
          <w:rFonts w:cstheme="minorHAnsi"/>
          <w:sz w:val="28"/>
          <w:szCs w:val="28"/>
        </w:rPr>
      </w:pPr>
    </w:p>
    <w:p w:rsidR="00DF59FF" w:rsidRPr="005E1103" w:rsidRDefault="00DF59FF" w:rsidP="00DF59FF">
      <w:pPr>
        <w:pStyle w:val="Ttulo2"/>
        <w:rPr>
          <w:rFonts w:asciiTheme="minorHAnsi" w:hAnsiTheme="minorHAnsi" w:cstheme="minorHAnsi"/>
          <w:sz w:val="28"/>
          <w:szCs w:val="28"/>
        </w:rPr>
      </w:pPr>
      <w:bookmarkStart w:id="37" w:name="_Toc463211446"/>
      <w:r w:rsidRPr="005E1103">
        <w:rPr>
          <w:rFonts w:asciiTheme="minorHAnsi" w:hAnsiTheme="minorHAnsi" w:cstheme="minorHAnsi"/>
          <w:sz w:val="28"/>
          <w:szCs w:val="28"/>
        </w:rPr>
        <w:t>ESTRATEGIAS Y HERRAMIENTAS DE APLICACIÓN</w:t>
      </w:r>
      <w:bookmarkEnd w:id="37"/>
    </w:p>
    <w:p w:rsidR="00DF59FF" w:rsidRPr="005E1103" w:rsidRDefault="00DF59FF" w:rsidP="00DF59FF">
      <w:pPr>
        <w:pStyle w:val="Ttulo3"/>
        <w:keepNext w:val="0"/>
        <w:keepLines w:val="0"/>
        <w:numPr>
          <w:ilvl w:val="0"/>
          <w:numId w:val="30"/>
        </w:numPr>
        <w:spacing w:before="120" w:line="360" w:lineRule="auto"/>
        <w:jc w:val="both"/>
        <w:rPr>
          <w:rFonts w:asciiTheme="minorHAnsi" w:hAnsiTheme="minorHAnsi" w:cstheme="minorHAnsi"/>
          <w:sz w:val="28"/>
          <w:szCs w:val="28"/>
        </w:rPr>
      </w:pPr>
      <w:bookmarkStart w:id="38" w:name="_Toc463211447"/>
      <w:r w:rsidRPr="005E1103">
        <w:rPr>
          <w:rFonts w:asciiTheme="minorHAnsi" w:hAnsiTheme="minorHAnsi" w:cstheme="minorHAnsi"/>
          <w:sz w:val="28"/>
          <w:szCs w:val="28"/>
        </w:rPr>
        <w:t>FORMACIÓN REGLADA Y FORMACIÓN COMPLEMENTARIA</w:t>
      </w:r>
      <w:bookmarkEnd w:id="38"/>
    </w:p>
    <w:p w:rsidR="00DF59FF" w:rsidRPr="005E1103" w:rsidRDefault="00DF59FF" w:rsidP="00DF59FF">
      <w:pPr>
        <w:spacing w:before="120" w:after="0" w:line="360" w:lineRule="auto"/>
        <w:jc w:val="both"/>
        <w:rPr>
          <w:rFonts w:cstheme="minorHAnsi"/>
          <w:sz w:val="28"/>
          <w:szCs w:val="28"/>
        </w:rPr>
      </w:pPr>
      <w:r w:rsidRPr="005E1103">
        <w:rPr>
          <w:rFonts w:cstheme="minorHAnsi"/>
          <w:sz w:val="28"/>
          <w:szCs w:val="28"/>
        </w:rPr>
        <w:lastRenderedPageBreak/>
        <w:t>Como se ha adelantado la implantación de la AU  y el DpT en los planes de estudio no se debe desarrollar desde una perspectiva unidireccional, sino combinando diferentes herramientas y estrategias. Ya el propio Libro Blanco del DpT en la Universidad</w:t>
      </w:r>
      <w:sdt>
        <w:sdtPr>
          <w:rPr>
            <w:rFonts w:cstheme="minorHAnsi"/>
            <w:sz w:val="28"/>
            <w:szCs w:val="28"/>
          </w:rPr>
          <w:id w:val="-496417635"/>
          <w:citation/>
        </w:sdtPr>
        <w:sdtEndPr/>
        <w:sdtContent>
          <w:r w:rsidRPr="005E1103">
            <w:rPr>
              <w:rFonts w:cstheme="minorHAnsi"/>
              <w:sz w:val="28"/>
              <w:szCs w:val="28"/>
            </w:rPr>
            <w:fldChar w:fldCharType="begin"/>
          </w:r>
          <w:r w:rsidRPr="005E1103">
            <w:rPr>
              <w:rFonts w:cstheme="minorHAnsi"/>
              <w:sz w:val="28"/>
              <w:szCs w:val="28"/>
            </w:rPr>
            <w:instrText xml:space="preserve"> CITATION IMS06 \l 3082 </w:instrText>
          </w:r>
          <w:r w:rsidRPr="005E1103">
            <w:rPr>
              <w:rFonts w:cstheme="minorHAnsi"/>
              <w:sz w:val="28"/>
              <w:szCs w:val="28"/>
            </w:rPr>
            <w:fldChar w:fldCharType="separate"/>
          </w:r>
          <w:r w:rsidRPr="005E1103">
            <w:rPr>
              <w:rFonts w:cstheme="minorHAnsi"/>
              <w:noProof/>
              <w:sz w:val="28"/>
              <w:szCs w:val="28"/>
            </w:rPr>
            <w:t xml:space="preserve"> (IMSERSO, Fundación ONCE, EIDD -Spain, 2006)</w:t>
          </w:r>
          <w:r w:rsidRPr="005E1103">
            <w:rPr>
              <w:rFonts w:cstheme="minorHAnsi"/>
              <w:sz w:val="28"/>
              <w:szCs w:val="28"/>
            </w:rPr>
            <w:fldChar w:fldCharType="end"/>
          </w:r>
        </w:sdtContent>
      </w:sdt>
      <w:r w:rsidRPr="005E1103">
        <w:rPr>
          <w:rFonts w:cstheme="minorHAnsi"/>
          <w:sz w:val="28"/>
          <w:szCs w:val="28"/>
        </w:rPr>
        <w:t xml:space="preserve"> habla de diferentes tipos de actividades, distinguiendo entre Formación de grado, Formación de postgrado, Investigación y Otras actividades. Dentro de esas estrategias formativas complementarias cabe citar algunas de especial interés:</w:t>
      </w:r>
    </w:p>
    <w:p w:rsidR="00DF59FF" w:rsidRPr="005E1103" w:rsidRDefault="00DF59FF" w:rsidP="00DF59FF">
      <w:pPr>
        <w:pStyle w:val="Prrafodelista"/>
        <w:numPr>
          <w:ilvl w:val="0"/>
          <w:numId w:val="27"/>
        </w:numPr>
        <w:spacing w:line="360" w:lineRule="auto"/>
        <w:jc w:val="both"/>
        <w:rPr>
          <w:rFonts w:asciiTheme="minorHAnsi" w:hAnsiTheme="minorHAnsi" w:cstheme="minorHAnsi"/>
          <w:sz w:val="28"/>
          <w:szCs w:val="28"/>
        </w:rPr>
      </w:pPr>
      <w:r w:rsidRPr="005E1103">
        <w:rPr>
          <w:rFonts w:asciiTheme="minorHAnsi" w:hAnsiTheme="minorHAnsi" w:cstheme="minorHAnsi"/>
          <w:sz w:val="28"/>
          <w:szCs w:val="28"/>
        </w:rPr>
        <w:t>Formación del profesorado en DpT</w:t>
      </w:r>
    </w:p>
    <w:p w:rsidR="00DF59FF" w:rsidRPr="005E1103" w:rsidRDefault="00DF59FF" w:rsidP="00DF59FF">
      <w:pPr>
        <w:pStyle w:val="Prrafodelista"/>
        <w:numPr>
          <w:ilvl w:val="0"/>
          <w:numId w:val="27"/>
        </w:numPr>
        <w:spacing w:line="360" w:lineRule="auto"/>
        <w:jc w:val="both"/>
        <w:rPr>
          <w:rFonts w:asciiTheme="minorHAnsi" w:hAnsiTheme="minorHAnsi" w:cstheme="minorHAnsi"/>
          <w:sz w:val="28"/>
          <w:szCs w:val="28"/>
        </w:rPr>
      </w:pPr>
      <w:r w:rsidRPr="005E1103">
        <w:rPr>
          <w:rFonts w:asciiTheme="minorHAnsi" w:hAnsiTheme="minorHAnsi" w:cstheme="minorHAnsi"/>
          <w:sz w:val="28"/>
          <w:szCs w:val="28"/>
        </w:rPr>
        <w:t>Ofertar prácticas en empresas</w:t>
      </w:r>
    </w:p>
    <w:p w:rsidR="00DF59FF" w:rsidRPr="005E1103" w:rsidRDefault="00DF59FF" w:rsidP="00DF59FF">
      <w:pPr>
        <w:pStyle w:val="Prrafodelista"/>
        <w:numPr>
          <w:ilvl w:val="0"/>
          <w:numId w:val="27"/>
        </w:numPr>
        <w:spacing w:line="360" w:lineRule="auto"/>
        <w:jc w:val="both"/>
        <w:rPr>
          <w:rFonts w:asciiTheme="minorHAnsi" w:hAnsiTheme="minorHAnsi" w:cstheme="minorHAnsi"/>
          <w:sz w:val="28"/>
          <w:szCs w:val="28"/>
        </w:rPr>
      </w:pPr>
      <w:r w:rsidRPr="005E1103">
        <w:rPr>
          <w:rFonts w:asciiTheme="minorHAnsi" w:hAnsiTheme="minorHAnsi" w:cstheme="minorHAnsi"/>
          <w:sz w:val="28"/>
          <w:szCs w:val="28"/>
        </w:rPr>
        <w:t>Ofertar créditos de libre disposición y formación continua</w:t>
      </w:r>
    </w:p>
    <w:p w:rsidR="00DF59FF" w:rsidRPr="005E1103" w:rsidRDefault="00DF59FF" w:rsidP="00DF59FF">
      <w:pPr>
        <w:pStyle w:val="Prrafodelista"/>
        <w:numPr>
          <w:ilvl w:val="0"/>
          <w:numId w:val="27"/>
        </w:numPr>
        <w:spacing w:line="360" w:lineRule="auto"/>
        <w:jc w:val="both"/>
        <w:rPr>
          <w:rFonts w:asciiTheme="minorHAnsi" w:hAnsiTheme="minorHAnsi" w:cstheme="minorHAnsi"/>
          <w:sz w:val="28"/>
          <w:szCs w:val="28"/>
        </w:rPr>
      </w:pPr>
      <w:r w:rsidRPr="005E1103">
        <w:rPr>
          <w:rFonts w:asciiTheme="minorHAnsi" w:hAnsiTheme="minorHAnsi" w:cstheme="minorHAnsi"/>
          <w:sz w:val="28"/>
          <w:szCs w:val="28"/>
        </w:rPr>
        <w:t>Ofertar asignaturas optativas en Grado, Máster, Doctorado y Títulos Propios</w:t>
      </w:r>
    </w:p>
    <w:p w:rsidR="00DF59FF" w:rsidRPr="005E1103" w:rsidRDefault="00DF59FF" w:rsidP="00DF59FF">
      <w:pPr>
        <w:pStyle w:val="Prrafodelista"/>
        <w:numPr>
          <w:ilvl w:val="0"/>
          <w:numId w:val="27"/>
        </w:numPr>
        <w:spacing w:line="360" w:lineRule="auto"/>
        <w:jc w:val="both"/>
        <w:rPr>
          <w:rFonts w:asciiTheme="minorHAnsi" w:hAnsiTheme="minorHAnsi" w:cstheme="minorHAnsi"/>
          <w:sz w:val="28"/>
          <w:szCs w:val="28"/>
        </w:rPr>
      </w:pPr>
      <w:r w:rsidRPr="005E1103">
        <w:rPr>
          <w:rFonts w:asciiTheme="minorHAnsi" w:hAnsiTheme="minorHAnsi" w:cstheme="minorHAnsi"/>
          <w:sz w:val="28"/>
          <w:szCs w:val="28"/>
        </w:rPr>
        <w:t>Ofertar Cursos de Experto y Másteres específicos</w:t>
      </w:r>
    </w:p>
    <w:p w:rsidR="00DF59FF" w:rsidRPr="005E1103" w:rsidRDefault="00DF59FF" w:rsidP="00DF59FF">
      <w:pPr>
        <w:pStyle w:val="Ttulo3"/>
        <w:keepNext w:val="0"/>
        <w:keepLines w:val="0"/>
        <w:numPr>
          <w:ilvl w:val="0"/>
          <w:numId w:val="30"/>
        </w:numPr>
        <w:spacing w:before="120" w:line="360" w:lineRule="auto"/>
        <w:jc w:val="both"/>
        <w:rPr>
          <w:rFonts w:asciiTheme="minorHAnsi" w:hAnsiTheme="minorHAnsi" w:cstheme="minorHAnsi"/>
          <w:sz w:val="28"/>
          <w:szCs w:val="28"/>
        </w:rPr>
      </w:pPr>
      <w:bookmarkStart w:id="39" w:name="_Toc463211448"/>
      <w:r w:rsidRPr="005E1103">
        <w:rPr>
          <w:rFonts w:asciiTheme="minorHAnsi" w:hAnsiTheme="minorHAnsi" w:cstheme="minorHAnsi"/>
          <w:sz w:val="28"/>
          <w:szCs w:val="28"/>
        </w:rPr>
        <w:t>FORMACIÓN ESPECÍFICA Y FORMACIÓN INTEGRADA</w:t>
      </w:r>
      <w:bookmarkEnd w:id="39"/>
    </w:p>
    <w:p w:rsidR="00DF59FF" w:rsidRPr="005E1103" w:rsidRDefault="00DF59FF" w:rsidP="00DF59FF">
      <w:pPr>
        <w:spacing w:before="120" w:after="0" w:line="360" w:lineRule="auto"/>
        <w:jc w:val="both"/>
        <w:rPr>
          <w:rFonts w:cstheme="minorHAnsi"/>
          <w:sz w:val="28"/>
          <w:szCs w:val="28"/>
        </w:rPr>
      </w:pPr>
      <w:r w:rsidRPr="005E1103">
        <w:rPr>
          <w:rFonts w:cstheme="minorHAnsi"/>
          <w:sz w:val="28"/>
          <w:szCs w:val="28"/>
        </w:rPr>
        <w:t>Es importante en este sentido tener presente la necesidad de ambos tipos de estrategias y valorar sus ventajas y sus inconvenientes:</w:t>
      </w:r>
    </w:p>
    <w:p w:rsidR="00DF59FF" w:rsidRPr="005E1103" w:rsidRDefault="00DF59FF" w:rsidP="00DF59FF">
      <w:pPr>
        <w:pStyle w:val="Prrafodelista"/>
        <w:numPr>
          <w:ilvl w:val="0"/>
          <w:numId w:val="29"/>
        </w:numPr>
        <w:spacing w:line="360" w:lineRule="auto"/>
        <w:jc w:val="both"/>
        <w:rPr>
          <w:rFonts w:asciiTheme="minorHAnsi" w:hAnsiTheme="minorHAnsi" w:cstheme="minorHAnsi"/>
          <w:sz w:val="28"/>
          <w:szCs w:val="28"/>
        </w:rPr>
      </w:pPr>
      <w:r w:rsidRPr="005E1103">
        <w:rPr>
          <w:rFonts w:asciiTheme="minorHAnsi" w:hAnsiTheme="minorHAnsi" w:cstheme="minorHAnsi"/>
          <w:sz w:val="28"/>
          <w:szCs w:val="28"/>
        </w:rPr>
        <w:t>La formación a través de materias específicas es una oferta de fácil identificación, pero tiene un alcance limitado a los alumnos que se matriculan de esa asignatura</w:t>
      </w:r>
    </w:p>
    <w:p w:rsidR="00DF59FF" w:rsidRPr="005E1103" w:rsidRDefault="00DF59FF" w:rsidP="00DF59FF">
      <w:pPr>
        <w:pStyle w:val="Prrafodelista"/>
        <w:numPr>
          <w:ilvl w:val="0"/>
          <w:numId w:val="29"/>
        </w:numPr>
        <w:spacing w:line="360" w:lineRule="auto"/>
        <w:jc w:val="both"/>
        <w:rPr>
          <w:rFonts w:asciiTheme="minorHAnsi" w:hAnsiTheme="minorHAnsi" w:cstheme="minorHAnsi"/>
          <w:sz w:val="28"/>
          <w:szCs w:val="28"/>
        </w:rPr>
      </w:pPr>
      <w:r w:rsidRPr="005E1103">
        <w:rPr>
          <w:rFonts w:asciiTheme="minorHAnsi" w:hAnsiTheme="minorHAnsi" w:cstheme="minorHAnsi"/>
          <w:sz w:val="28"/>
          <w:szCs w:val="28"/>
        </w:rPr>
        <w:t>La formación en AU y DpT de forma implícita en todas las materias del plan de estudio llegará a todo el alumnado, aunque su implantación es mucho más compleja y lenta.</w:t>
      </w:r>
    </w:p>
    <w:p w:rsidR="00DF59FF" w:rsidRPr="005E1103" w:rsidRDefault="00DF59FF" w:rsidP="00DF59FF">
      <w:pPr>
        <w:spacing w:before="120" w:after="0" w:line="360" w:lineRule="auto"/>
        <w:jc w:val="both"/>
        <w:rPr>
          <w:rFonts w:cstheme="minorHAnsi"/>
          <w:sz w:val="28"/>
          <w:szCs w:val="28"/>
        </w:rPr>
      </w:pPr>
      <w:r w:rsidRPr="005E1103">
        <w:rPr>
          <w:rFonts w:cstheme="minorHAnsi"/>
          <w:sz w:val="28"/>
          <w:szCs w:val="28"/>
        </w:rPr>
        <w:t>Ambas opciones no son contrapuestas y pueden tener un carácter complementario donde unas pueden servir de paso previo hacia las otras o incluso después suponer una especialización y profundización frente a una formación básica.</w:t>
      </w:r>
    </w:p>
    <w:p w:rsidR="00DF59FF" w:rsidRPr="005E1103" w:rsidRDefault="00DF59FF" w:rsidP="00DF59FF">
      <w:pPr>
        <w:spacing w:before="120" w:after="0" w:line="360" w:lineRule="auto"/>
        <w:jc w:val="both"/>
        <w:rPr>
          <w:rFonts w:cstheme="minorHAnsi"/>
          <w:sz w:val="28"/>
          <w:szCs w:val="28"/>
        </w:rPr>
      </w:pPr>
    </w:p>
    <w:p w:rsidR="00995D7A" w:rsidRDefault="00995D7A">
      <w:pPr>
        <w:rPr>
          <w:rFonts w:eastAsiaTheme="majorEastAsia" w:cstheme="minorHAnsi"/>
          <w:color w:val="1F4D78" w:themeColor="accent1" w:themeShade="7F"/>
          <w:sz w:val="28"/>
          <w:szCs w:val="28"/>
        </w:rPr>
      </w:pPr>
      <w:bookmarkStart w:id="40" w:name="_Toc463211449"/>
      <w:r>
        <w:rPr>
          <w:rFonts w:cstheme="minorHAnsi"/>
          <w:sz w:val="28"/>
          <w:szCs w:val="28"/>
        </w:rPr>
        <w:br w:type="page"/>
      </w:r>
    </w:p>
    <w:p w:rsidR="00DF59FF" w:rsidRPr="005E1103" w:rsidRDefault="00DF59FF" w:rsidP="00DF59FF">
      <w:pPr>
        <w:pStyle w:val="Ttulo3"/>
        <w:keepNext w:val="0"/>
        <w:keepLines w:val="0"/>
        <w:numPr>
          <w:ilvl w:val="0"/>
          <w:numId w:val="30"/>
        </w:numPr>
        <w:spacing w:before="120" w:line="360" w:lineRule="auto"/>
        <w:jc w:val="both"/>
        <w:rPr>
          <w:rFonts w:asciiTheme="minorHAnsi" w:hAnsiTheme="minorHAnsi" w:cstheme="minorHAnsi"/>
          <w:sz w:val="28"/>
          <w:szCs w:val="28"/>
        </w:rPr>
      </w:pPr>
      <w:r w:rsidRPr="005E1103">
        <w:rPr>
          <w:rFonts w:asciiTheme="minorHAnsi" w:hAnsiTheme="minorHAnsi" w:cstheme="minorHAnsi"/>
          <w:sz w:val="28"/>
          <w:szCs w:val="28"/>
        </w:rPr>
        <w:lastRenderedPageBreak/>
        <w:t>TITULACIONES Y ÁREAS TEMÁTICAS</w:t>
      </w:r>
      <w:bookmarkEnd w:id="40"/>
    </w:p>
    <w:p w:rsidR="00DF59FF" w:rsidRPr="005E1103" w:rsidRDefault="00DF59FF" w:rsidP="00DF59FF">
      <w:pPr>
        <w:spacing w:before="120" w:after="0" w:line="360" w:lineRule="auto"/>
        <w:jc w:val="both"/>
        <w:rPr>
          <w:rFonts w:cstheme="minorHAnsi"/>
          <w:sz w:val="28"/>
          <w:szCs w:val="28"/>
        </w:rPr>
      </w:pPr>
      <w:r w:rsidRPr="005E1103">
        <w:rPr>
          <w:rFonts w:cstheme="minorHAnsi"/>
          <w:sz w:val="28"/>
          <w:szCs w:val="28"/>
        </w:rPr>
        <w:t>Es una realidad que cada curso surgen nuevas titulaciones, grados y dobles grados, nuevas tipologías de estudios… La evolución es exponencial por lo que no parece tener mucho futuro un desarrollo y análisis de la implantación de la AU y el DpT desde las titulaciones. Una alternativa, aprovechando los contenidos comunes detallados en la parte inicial de este artículo, es el desarrollo por áreas temáticas, de modo que un mismo bloque formativo puede servir para diferentes titulaciones (ej. El bloque de contenidos de “AU y DpT en la Planificación Urbanística” podría ser de aplicación tanto en Arquitectura como en Ingeniería de Caminos, etc…)</w:t>
      </w:r>
    </w:p>
    <w:p w:rsidR="00DF59FF" w:rsidRPr="005E1103" w:rsidRDefault="00DF59FF">
      <w:pPr>
        <w:rPr>
          <w:rFonts w:eastAsiaTheme="majorEastAsia" w:cstheme="minorHAnsi"/>
          <w:color w:val="1F4D78" w:themeColor="accent1" w:themeShade="7F"/>
          <w:sz w:val="28"/>
          <w:szCs w:val="28"/>
        </w:rPr>
      </w:pPr>
      <w:bookmarkStart w:id="41" w:name="_Toc463211450"/>
      <w:r w:rsidRPr="005E1103">
        <w:rPr>
          <w:rFonts w:cstheme="minorHAnsi"/>
          <w:sz w:val="28"/>
          <w:szCs w:val="28"/>
        </w:rPr>
        <w:br w:type="page"/>
      </w:r>
    </w:p>
    <w:p w:rsidR="00DF59FF" w:rsidRPr="005E1103" w:rsidRDefault="00DF59FF" w:rsidP="00DF59FF">
      <w:pPr>
        <w:pStyle w:val="Ttulo3"/>
        <w:keepNext w:val="0"/>
        <w:keepLines w:val="0"/>
        <w:numPr>
          <w:ilvl w:val="0"/>
          <w:numId w:val="30"/>
        </w:numPr>
        <w:spacing w:before="120" w:line="360" w:lineRule="auto"/>
        <w:jc w:val="both"/>
        <w:rPr>
          <w:rFonts w:asciiTheme="minorHAnsi" w:hAnsiTheme="minorHAnsi" w:cstheme="minorHAnsi"/>
          <w:sz w:val="28"/>
          <w:szCs w:val="28"/>
        </w:rPr>
      </w:pPr>
      <w:r w:rsidRPr="005E1103">
        <w:rPr>
          <w:rFonts w:asciiTheme="minorHAnsi" w:hAnsiTheme="minorHAnsi" w:cstheme="minorHAnsi"/>
          <w:sz w:val="28"/>
          <w:szCs w:val="28"/>
        </w:rPr>
        <w:lastRenderedPageBreak/>
        <w:t>NUEVAS ESTRATEGIAS DE FORMACIÓN</w:t>
      </w:r>
      <w:bookmarkEnd w:id="41"/>
    </w:p>
    <w:p w:rsidR="00DF59FF" w:rsidRPr="005E1103" w:rsidRDefault="00DF59FF" w:rsidP="00DF59FF">
      <w:pPr>
        <w:spacing w:before="120" w:after="0" w:line="360" w:lineRule="auto"/>
        <w:jc w:val="both"/>
        <w:rPr>
          <w:rFonts w:cstheme="minorHAnsi"/>
          <w:sz w:val="28"/>
          <w:szCs w:val="28"/>
        </w:rPr>
      </w:pPr>
      <w:r w:rsidRPr="005E1103">
        <w:rPr>
          <w:rFonts w:cstheme="minorHAnsi"/>
          <w:sz w:val="28"/>
          <w:szCs w:val="28"/>
        </w:rPr>
        <w:t xml:space="preserve">Cabe reseñar aquí cómo, independientemente del lugar dentro del plan de estudios o de la forma de materialización de la asignatura, es de vital importancia la forma de impartir esa formación. En ese sentido es destacable la aplicación del </w:t>
      </w:r>
      <w:r w:rsidRPr="005E1103">
        <w:rPr>
          <w:rFonts w:cstheme="minorHAnsi"/>
          <w:i/>
          <w:sz w:val="28"/>
          <w:szCs w:val="28"/>
        </w:rPr>
        <w:t>Desing Thinking</w:t>
      </w:r>
      <w:r w:rsidRPr="005E1103">
        <w:rPr>
          <w:rFonts w:cstheme="minorHAnsi"/>
          <w:sz w:val="28"/>
          <w:szCs w:val="28"/>
        </w:rPr>
        <w:t>, como método de eficacia en la formación sobre AU y DpT</w:t>
      </w:r>
      <w:sdt>
        <w:sdtPr>
          <w:rPr>
            <w:rFonts w:cstheme="minorHAnsi"/>
            <w:sz w:val="28"/>
            <w:szCs w:val="28"/>
          </w:rPr>
          <w:id w:val="-134036062"/>
          <w:citation/>
        </w:sdtPr>
        <w:sdtEndPr/>
        <w:sdtContent>
          <w:r w:rsidRPr="005E1103">
            <w:rPr>
              <w:rFonts w:cstheme="minorHAnsi"/>
              <w:sz w:val="28"/>
              <w:szCs w:val="28"/>
            </w:rPr>
            <w:fldChar w:fldCharType="begin"/>
          </w:r>
          <w:r w:rsidRPr="005E1103">
            <w:rPr>
              <w:rFonts w:cstheme="minorHAnsi"/>
              <w:sz w:val="28"/>
              <w:szCs w:val="28"/>
            </w:rPr>
            <w:instrText xml:space="preserve">CITATION Her14 \l 3082 </w:instrText>
          </w:r>
          <w:r w:rsidRPr="005E1103">
            <w:rPr>
              <w:rFonts w:cstheme="minorHAnsi"/>
              <w:sz w:val="28"/>
              <w:szCs w:val="28"/>
            </w:rPr>
            <w:fldChar w:fldCharType="separate"/>
          </w:r>
          <w:r w:rsidRPr="005E1103">
            <w:rPr>
              <w:rFonts w:cstheme="minorHAnsi"/>
              <w:noProof/>
              <w:sz w:val="28"/>
              <w:szCs w:val="28"/>
            </w:rPr>
            <w:t xml:space="preserve"> (De la Fuente Y, 2014)</w:t>
          </w:r>
          <w:r w:rsidRPr="005E1103">
            <w:rPr>
              <w:rFonts w:cstheme="minorHAnsi"/>
              <w:sz w:val="28"/>
              <w:szCs w:val="28"/>
            </w:rPr>
            <w:fldChar w:fldCharType="end"/>
          </w:r>
        </w:sdtContent>
      </w:sdt>
      <w:r w:rsidRPr="005E1103">
        <w:rPr>
          <w:rFonts w:cstheme="minorHAnsi"/>
          <w:sz w:val="28"/>
          <w:szCs w:val="28"/>
        </w:rPr>
        <w:t>.</w:t>
      </w:r>
    </w:p>
    <w:p w:rsidR="00DF59FF" w:rsidRPr="005E1103" w:rsidRDefault="00DF59FF" w:rsidP="00DF59FF">
      <w:pPr>
        <w:spacing w:before="120" w:after="0" w:line="360" w:lineRule="auto"/>
        <w:jc w:val="both"/>
        <w:rPr>
          <w:rFonts w:cstheme="minorHAnsi"/>
          <w:sz w:val="28"/>
          <w:szCs w:val="28"/>
        </w:rPr>
      </w:pPr>
      <w:r w:rsidRPr="005E1103">
        <w:rPr>
          <w:rFonts w:cstheme="minorHAnsi"/>
          <w:sz w:val="28"/>
          <w:szCs w:val="28"/>
        </w:rPr>
        <w:t>Esta herramienta parte de dos condicionantes previos a tener en cuenta: la responsabilidad universitaria (tanto a nivel interno institucional como externo con la creación de redes) y la creación de herramientas de innovación formativa que hagan la formación más accesible y cercana. Una vez establecidas estas premisas se puede aplicar el método que consta de cinco fases:</w:t>
      </w:r>
    </w:p>
    <w:p w:rsidR="00DF59FF" w:rsidRPr="005E1103" w:rsidRDefault="00DF59FF" w:rsidP="00DF59FF">
      <w:pPr>
        <w:pStyle w:val="Prrafodelista"/>
        <w:numPr>
          <w:ilvl w:val="0"/>
          <w:numId w:val="31"/>
        </w:numPr>
        <w:spacing w:line="360" w:lineRule="auto"/>
        <w:jc w:val="both"/>
        <w:rPr>
          <w:rFonts w:asciiTheme="minorHAnsi" w:hAnsiTheme="minorHAnsi" w:cstheme="minorHAnsi"/>
          <w:sz w:val="28"/>
          <w:szCs w:val="28"/>
        </w:rPr>
      </w:pPr>
      <w:r w:rsidRPr="005E1103">
        <w:rPr>
          <w:rFonts w:asciiTheme="minorHAnsi" w:hAnsiTheme="minorHAnsi" w:cstheme="minorHAnsi"/>
          <w:sz w:val="28"/>
          <w:szCs w:val="28"/>
        </w:rPr>
        <w:t>Empatizar: aprender del usuario/a para el que se está diseñando</w:t>
      </w:r>
    </w:p>
    <w:p w:rsidR="00DF59FF" w:rsidRPr="005E1103" w:rsidRDefault="00DF59FF" w:rsidP="00DF59FF">
      <w:pPr>
        <w:pStyle w:val="Prrafodelista"/>
        <w:numPr>
          <w:ilvl w:val="0"/>
          <w:numId w:val="31"/>
        </w:numPr>
        <w:spacing w:line="360" w:lineRule="auto"/>
        <w:jc w:val="both"/>
        <w:rPr>
          <w:rFonts w:asciiTheme="minorHAnsi" w:hAnsiTheme="minorHAnsi" w:cstheme="minorHAnsi"/>
          <w:sz w:val="28"/>
          <w:szCs w:val="28"/>
        </w:rPr>
      </w:pPr>
      <w:r w:rsidRPr="005E1103">
        <w:rPr>
          <w:rFonts w:asciiTheme="minorHAnsi" w:hAnsiTheme="minorHAnsi" w:cstheme="minorHAnsi"/>
          <w:sz w:val="28"/>
          <w:szCs w:val="28"/>
        </w:rPr>
        <w:t>Definir: establecer un punto de partida basado en las necesidades de la ciudadanía</w:t>
      </w:r>
    </w:p>
    <w:p w:rsidR="00DF59FF" w:rsidRPr="005E1103" w:rsidRDefault="00DF59FF" w:rsidP="00DF59FF">
      <w:pPr>
        <w:pStyle w:val="Prrafodelista"/>
        <w:numPr>
          <w:ilvl w:val="0"/>
          <w:numId w:val="31"/>
        </w:numPr>
        <w:spacing w:line="360" w:lineRule="auto"/>
        <w:jc w:val="both"/>
        <w:rPr>
          <w:rFonts w:asciiTheme="minorHAnsi" w:hAnsiTheme="minorHAnsi" w:cstheme="minorHAnsi"/>
          <w:sz w:val="28"/>
          <w:szCs w:val="28"/>
        </w:rPr>
      </w:pPr>
      <w:r w:rsidRPr="005E1103">
        <w:rPr>
          <w:rFonts w:asciiTheme="minorHAnsi" w:hAnsiTheme="minorHAnsi" w:cstheme="minorHAnsi"/>
          <w:sz w:val="28"/>
          <w:szCs w:val="28"/>
        </w:rPr>
        <w:t>Idear: generar ideas e idear soluciones creativas</w:t>
      </w:r>
    </w:p>
    <w:p w:rsidR="00DF59FF" w:rsidRPr="005E1103" w:rsidRDefault="00DF59FF" w:rsidP="00DF59FF">
      <w:pPr>
        <w:pStyle w:val="Prrafodelista"/>
        <w:numPr>
          <w:ilvl w:val="0"/>
          <w:numId w:val="31"/>
        </w:numPr>
        <w:spacing w:line="360" w:lineRule="auto"/>
        <w:jc w:val="both"/>
        <w:rPr>
          <w:rFonts w:asciiTheme="minorHAnsi" w:hAnsiTheme="minorHAnsi" w:cstheme="minorHAnsi"/>
          <w:sz w:val="28"/>
          <w:szCs w:val="28"/>
        </w:rPr>
      </w:pPr>
      <w:r w:rsidRPr="005E1103">
        <w:rPr>
          <w:rFonts w:asciiTheme="minorHAnsi" w:hAnsiTheme="minorHAnsi" w:cstheme="minorHAnsi"/>
          <w:sz w:val="28"/>
          <w:szCs w:val="28"/>
        </w:rPr>
        <w:t>Prototipar: construir haciendo tangible la propuesta para mostrársela al usuario</w:t>
      </w:r>
    </w:p>
    <w:p w:rsidR="00DF59FF" w:rsidRPr="005E1103" w:rsidRDefault="00DF59FF" w:rsidP="00DF59FF">
      <w:pPr>
        <w:pStyle w:val="Prrafodelista"/>
        <w:numPr>
          <w:ilvl w:val="0"/>
          <w:numId w:val="31"/>
        </w:numPr>
        <w:spacing w:line="360" w:lineRule="auto"/>
        <w:jc w:val="both"/>
        <w:rPr>
          <w:rFonts w:asciiTheme="minorHAnsi" w:hAnsiTheme="minorHAnsi" w:cstheme="minorHAnsi"/>
          <w:sz w:val="28"/>
          <w:szCs w:val="28"/>
        </w:rPr>
      </w:pPr>
      <w:r w:rsidRPr="005E1103">
        <w:rPr>
          <w:rFonts w:asciiTheme="minorHAnsi" w:hAnsiTheme="minorHAnsi" w:cstheme="minorHAnsi"/>
          <w:sz w:val="28"/>
          <w:szCs w:val="28"/>
        </w:rPr>
        <w:t>Testear: Testear estas nuevas propuestas formativas con su aplicación e inclusión en los diferentes currícula</w:t>
      </w:r>
    </w:p>
    <w:p w:rsidR="00DF59FF" w:rsidRPr="005E1103" w:rsidRDefault="00DF59FF" w:rsidP="00DF59FF">
      <w:pPr>
        <w:spacing w:before="120" w:after="0" w:line="360" w:lineRule="auto"/>
        <w:jc w:val="both"/>
        <w:rPr>
          <w:rFonts w:cstheme="minorHAnsi"/>
          <w:sz w:val="28"/>
          <w:szCs w:val="28"/>
        </w:rPr>
      </w:pPr>
      <w:r w:rsidRPr="005E1103">
        <w:rPr>
          <w:rFonts w:cstheme="minorHAnsi"/>
          <w:sz w:val="28"/>
          <w:szCs w:val="28"/>
        </w:rPr>
        <w:t>Todo esto lleva a constatar, como indica Avril Accolla</w:t>
      </w:r>
      <w:r w:rsidRPr="005E1103">
        <w:rPr>
          <w:rStyle w:val="Refdenotaalpie"/>
          <w:rFonts w:cstheme="minorHAnsi"/>
          <w:sz w:val="28"/>
          <w:szCs w:val="28"/>
        </w:rPr>
        <w:footnoteReference w:id="19"/>
      </w:r>
      <w:r w:rsidRPr="005E1103">
        <w:rPr>
          <w:rFonts w:cstheme="minorHAnsi"/>
          <w:sz w:val="28"/>
          <w:szCs w:val="28"/>
        </w:rPr>
        <w:t xml:space="preserve"> dos claves que subyacen en todo este planteamiento:</w:t>
      </w:r>
    </w:p>
    <w:p w:rsidR="00DF59FF" w:rsidRPr="005E1103" w:rsidRDefault="00DF59FF" w:rsidP="00DF59FF">
      <w:pPr>
        <w:pStyle w:val="Prrafodelista"/>
        <w:numPr>
          <w:ilvl w:val="0"/>
          <w:numId w:val="35"/>
        </w:numPr>
        <w:spacing w:line="360" w:lineRule="auto"/>
        <w:jc w:val="both"/>
        <w:rPr>
          <w:rFonts w:asciiTheme="minorHAnsi" w:hAnsiTheme="minorHAnsi" w:cstheme="minorHAnsi"/>
          <w:sz w:val="28"/>
          <w:szCs w:val="28"/>
        </w:rPr>
      </w:pPr>
      <w:r w:rsidRPr="005E1103">
        <w:rPr>
          <w:rFonts w:asciiTheme="minorHAnsi" w:hAnsiTheme="minorHAnsi" w:cstheme="minorHAnsi"/>
          <w:sz w:val="28"/>
          <w:szCs w:val="28"/>
        </w:rPr>
        <w:t>“El Diseño para Todos tiene miras más amplias: utilizar el proceso de diseño para conseguir la integración social”</w:t>
      </w:r>
      <w:sdt>
        <w:sdtPr>
          <w:rPr>
            <w:rFonts w:asciiTheme="minorHAnsi" w:hAnsiTheme="minorHAnsi" w:cstheme="minorHAnsi"/>
            <w:sz w:val="28"/>
            <w:szCs w:val="28"/>
          </w:rPr>
          <w:id w:val="-2088065814"/>
          <w:citation/>
        </w:sdtPr>
        <w:sdtEndPr/>
        <w:sdtContent>
          <w:r w:rsidRPr="005E1103">
            <w:rPr>
              <w:rFonts w:asciiTheme="minorHAnsi" w:hAnsiTheme="minorHAnsi" w:cstheme="minorHAnsi"/>
              <w:sz w:val="28"/>
              <w:szCs w:val="28"/>
            </w:rPr>
            <w:fldChar w:fldCharType="begin"/>
          </w:r>
          <w:r w:rsidRPr="005E1103">
            <w:rPr>
              <w:rFonts w:asciiTheme="minorHAnsi" w:hAnsiTheme="minorHAnsi" w:cstheme="minorHAnsi"/>
              <w:sz w:val="28"/>
              <w:szCs w:val="28"/>
            </w:rPr>
            <w:instrText xml:space="preserve">CITATION IMS10 \p 14 \l 3082 </w:instrText>
          </w:r>
          <w:r w:rsidRPr="005E1103">
            <w:rPr>
              <w:rFonts w:asciiTheme="minorHAnsi" w:hAnsiTheme="minorHAnsi" w:cstheme="minorHAnsi"/>
              <w:sz w:val="28"/>
              <w:szCs w:val="28"/>
            </w:rPr>
            <w:fldChar w:fldCharType="separate"/>
          </w:r>
          <w:r w:rsidRPr="005E1103">
            <w:rPr>
              <w:rFonts w:asciiTheme="minorHAnsi" w:hAnsiTheme="minorHAnsi" w:cstheme="minorHAnsi"/>
              <w:noProof/>
              <w:sz w:val="28"/>
              <w:szCs w:val="28"/>
            </w:rPr>
            <w:t xml:space="preserve"> (IMSERSO, Fundación ONCE, EIDD-Spain, 2010 -1, p. 14)</w:t>
          </w:r>
          <w:r w:rsidRPr="005E1103">
            <w:rPr>
              <w:rFonts w:asciiTheme="minorHAnsi" w:hAnsiTheme="minorHAnsi" w:cstheme="minorHAnsi"/>
              <w:sz w:val="28"/>
              <w:szCs w:val="28"/>
            </w:rPr>
            <w:fldChar w:fldCharType="end"/>
          </w:r>
        </w:sdtContent>
      </w:sdt>
    </w:p>
    <w:p w:rsidR="00DF59FF" w:rsidRPr="005E1103" w:rsidRDefault="00DF59FF" w:rsidP="00DF59FF">
      <w:pPr>
        <w:pStyle w:val="Prrafodelista"/>
        <w:numPr>
          <w:ilvl w:val="0"/>
          <w:numId w:val="35"/>
        </w:numPr>
        <w:spacing w:line="360" w:lineRule="auto"/>
        <w:jc w:val="both"/>
        <w:rPr>
          <w:rFonts w:asciiTheme="minorHAnsi" w:hAnsiTheme="minorHAnsi" w:cstheme="minorHAnsi"/>
          <w:sz w:val="28"/>
          <w:szCs w:val="28"/>
        </w:rPr>
      </w:pPr>
      <w:r w:rsidRPr="005E1103">
        <w:rPr>
          <w:rFonts w:asciiTheme="minorHAnsi" w:hAnsiTheme="minorHAnsi" w:cstheme="minorHAnsi"/>
          <w:sz w:val="28"/>
          <w:szCs w:val="28"/>
        </w:rPr>
        <w:t>“Para conseguir una sociedad para Todos que penetre tanto a nivel legal como en la práctica profesional es necesario que se involucren todos los agentes implicados y también los que intervienen en la toma de decisiones.”</w:t>
      </w:r>
      <w:sdt>
        <w:sdtPr>
          <w:rPr>
            <w:rFonts w:asciiTheme="minorHAnsi" w:hAnsiTheme="minorHAnsi" w:cstheme="minorHAnsi"/>
            <w:sz w:val="28"/>
            <w:szCs w:val="28"/>
          </w:rPr>
          <w:id w:val="-953085755"/>
          <w:citation/>
        </w:sdtPr>
        <w:sdtEndPr/>
        <w:sdtContent>
          <w:r w:rsidRPr="005E1103">
            <w:rPr>
              <w:rFonts w:asciiTheme="minorHAnsi" w:hAnsiTheme="minorHAnsi" w:cstheme="minorHAnsi"/>
              <w:sz w:val="28"/>
              <w:szCs w:val="28"/>
            </w:rPr>
            <w:fldChar w:fldCharType="begin"/>
          </w:r>
          <w:r w:rsidRPr="005E1103">
            <w:rPr>
              <w:rFonts w:asciiTheme="minorHAnsi" w:hAnsiTheme="minorHAnsi" w:cstheme="minorHAnsi"/>
              <w:sz w:val="28"/>
              <w:szCs w:val="28"/>
            </w:rPr>
            <w:instrText xml:space="preserve">CITATION IMS10 \p 13 \l 3082 </w:instrText>
          </w:r>
          <w:r w:rsidRPr="005E1103">
            <w:rPr>
              <w:rFonts w:asciiTheme="minorHAnsi" w:hAnsiTheme="minorHAnsi" w:cstheme="minorHAnsi"/>
              <w:sz w:val="28"/>
              <w:szCs w:val="28"/>
            </w:rPr>
            <w:fldChar w:fldCharType="separate"/>
          </w:r>
          <w:r w:rsidRPr="005E1103">
            <w:rPr>
              <w:rFonts w:asciiTheme="minorHAnsi" w:hAnsiTheme="minorHAnsi" w:cstheme="minorHAnsi"/>
              <w:noProof/>
              <w:sz w:val="28"/>
              <w:szCs w:val="28"/>
            </w:rPr>
            <w:t xml:space="preserve"> (IMSERSO, Fundación ONCE, EIDD-Spain, 2010 -1, p. 13)</w:t>
          </w:r>
          <w:r w:rsidRPr="005E1103">
            <w:rPr>
              <w:rFonts w:asciiTheme="minorHAnsi" w:hAnsiTheme="minorHAnsi" w:cstheme="minorHAnsi"/>
              <w:sz w:val="28"/>
              <w:szCs w:val="28"/>
            </w:rPr>
            <w:fldChar w:fldCharType="end"/>
          </w:r>
        </w:sdtContent>
      </w:sdt>
    </w:p>
    <w:p w:rsidR="00DF59FF" w:rsidRPr="005E1103" w:rsidRDefault="00DF59FF" w:rsidP="00DF59FF">
      <w:pPr>
        <w:spacing w:before="120" w:after="0" w:line="360" w:lineRule="auto"/>
        <w:jc w:val="both"/>
        <w:rPr>
          <w:rFonts w:cstheme="minorHAnsi"/>
          <w:sz w:val="28"/>
          <w:szCs w:val="28"/>
        </w:rPr>
      </w:pPr>
    </w:p>
    <w:p w:rsidR="00DF59FF" w:rsidRPr="005E1103" w:rsidRDefault="00DF59FF" w:rsidP="00DF59FF">
      <w:pPr>
        <w:pStyle w:val="Ttulo2"/>
        <w:rPr>
          <w:rFonts w:asciiTheme="minorHAnsi" w:hAnsiTheme="minorHAnsi" w:cstheme="minorHAnsi"/>
          <w:sz w:val="28"/>
          <w:szCs w:val="28"/>
        </w:rPr>
      </w:pPr>
      <w:bookmarkStart w:id="42" w:name="_Toc463211451"/>
      <w:r w:rsidRPr="005E1103">
        <w:rPr>
          <w:rFonts w:asciiTheme="minorHAnsi" w:hAnsiTheme="minorHAnsi" w:cstheme="minorHAnsi"/>
          <w:sz w:val="28"/>
          <w:szCs w:val="28"/>
        </w:rPr>
        <w:t>EXPERIENCIAS REALES; LOGROS Y RETOS</w:t>
      </w:r>
      <w:bookmarkEnd w:id="42"/>
    </w:p>
    <w:p w:rsidR="00DF59FF" w:rsidRPr="005E1103" w:rsidRDefault="00DF59FF" w:rsidP="00DF59FF">
      <w:pPr>
        <w:pStyle w:val="Ttulo3"/>
        <w:keepNext w:val="0"/>
        <w:keepLines w:val="0"/>
        <w:numPr>
          <w:ilvl w:val="0"/>
          <w:numId w:val="32"/>
        </w:numPr>
        <w:spacing w:before="120" w:line="360" w:lineRule="auto"/>
        <w:jc w:val="both"/>
        <w:rPr>
          <w:rFonts w:asciiTheme="minorHAnsi" w:hAnsiTheme="minorHAnsi" w:cstheme="minorHAnsi"/>
          <w:sz w:val="28"/>
          <w:szCs w:val="28"/>
        </w:rPr>
      </w:pPr>
      <w:bookmarkStart w:id="43" w:name="_Toc463211452"/>
      <w:r w:rsidRPr="005E1103">
        <w:rPr>
          <w:rFonts w:asciiTheme="minorHAnsi" w:hAnsiTheme="minorHAnsi" w:cstheme="minorHAnsi"/>
          <w:sz w:val="28"/>
          <w:szCs w:val="28"/>
        </w:rPr>
        <w:t>TALLERES MULTIDISCIPLINARES SOBRE AU EN LAS UDESIGN DE LA UDEM</w:t>
      </w:r>
      <w:bookmarkEnd w:id="43"/>
    </w:p>
    <w:p w:rsidR="00DF59FF" w:rsidRPr="005E1103" w:rsidRDefault="00DF59FF" w:rsidP="00DF59FF">
      <w:pPr>
        <w:spacing w:before="120" w:after="0" w:line="360" w:lineRule="auto"/>
        <w:jc w:val="both"/>
        <w:rPr>
          <w:rFonts w:cstheme="minorHAnsi"/>
          <w:sz w:val="28"/>
          <w:szCs w:val="28"/>
        </w:rPr>
      </w:pPr>
      <w:r w:rsidRPr="005E1103">
        <w:rPr>
          <w:rFonts w:cstheme="minorHAnsi"/>
          <w:sz w:val="28"/>
          <w:szCs w:val="28"/>
        </w:rPr>
        <w:t xml:space="preserve">Durante dos años consecutivos (2014 y 2015) se realizaron diferentes actividades (ponencias, talleres, seminarios…) sobre AU y DpT en el UDESIGN, Congreso Internacional de la División de Arte, Arquitectura y Diseño de la UDEM (Universidad de Monterrey – México). En estos eventos la participación es de todos los alumnos del Centro, independientemente del curso (1º, </w:t>
      </w:r>
      <w:r w:rsidR="00995D7A" w:rsidRPr="005E1103">
        <w:rPr>
          <w:rFonts w:cstheme="minorHAnsi"/>
          <w:sz w:val="28"/>
          <w:szCs w:val="28"/>
        </w:rPr>
        <w:t>2º, 3º</w:t>
      </w:r>
      <w:r w:rsidRPr="005E1103">
        <w:rPr>
          <w:rFonts w:cstheme="minorHAnsi"/>
          <w:sz w:val="28"/>
          <w:szCs w:val="28"/>
        </w:rPr>
        <w:t>, 4º, o ya egresados) como de la carrera que cursan (en este caso se mezcló el alumnado proveniente de las titulaciones de Arquitectura, Arquitectura de Interiores, Ingeniería Industrial, Licenciado en Artes, Diseño Gráfico y Diseño Téxtil y de Modas).</w:t>
      </w:r>
    </w:p>
    <w:p w:rsidR="00DF59FF" w:rsidRPr="005E1103" w:rsidRDefault="00DF59FF" w:rsidP="00DF59FF">
      <w:pPr>
        <w:spacing w:before="120" w:after="0" w:line="360" w:lineRule="auto"/>
        <w:jc w:val="both"/>
        <w:rPr>
          <w:rFonts w:cstheme="minorHAnsi"/>
          <w:sz w:val="28"/>
          <w:szCs w:val="28"/>
        </w:rPr>
      </w:pPr>
      <w:r w:rsidRPr="005E1103">
        <w:rPr>
          <w:rFonts w:cstheme="minorHAnsi"/>
          <w:sz w:val="28"/>
          <w:szCs w:val="28"/>
        </w:rPr>
        <w:t>La participación de alumnado con una formación diferente en primera instancia suscitaba diferentes intereses en algunos aspectos puntuales. Esto provocaba una ampliación del marco de intereses o perspectiva preestablecida sobre el alcance de la temática a desarrollar. Tras las preguntas surgieron las observaciones y aportaciones en los talleres, con lo que se produjo un enriquecimiento de forma horizontal entre el propio alumnado, más allá de las aportaciones del docente. Todo esto puso en evidencia que a partir de una base común de contenidos se puede desarrollar un programa integrando alumnado con diferente formación que propiciará sin duda un enriquecimiento al planteamiento inicial.</w:t>
      </w:r>
    </w:p>
    <w:p w:rsidR="00DF59FF" w:rsidRPr="005E1103" w:rsidRDefault="00DF59FF" w:rsidP="00DF59FF">
      <w:pPr>
        <w:pStyle w:val="Ttulo3"/>
        <w:keepNext w:val="0"/>
        <w:keepLines w:val="0"/>
        <w:numPr>
          <w:ilvl w:val="0"/>
          <w:numId w:val="32"/>
        </w:numPr>
        <w:spacing w:before="120" w:line="360" w:lineRule="auto"/>
        <w:jc w:val="both"/>
        <w:rPr>
          <w:rFonts w:asciiTheme="minorHAnsi" w:hAnsiTheme="minorHAnsi" w:cstheme="minorHAnsi"/>
          <w:sz w:val="28"/>
          <w:szCs w:val="28"/>
        </w:rPr>
      </w:pPr>
      <w:bookmarkStart w:id="44" w:name="_Toc463211453"/>
      <w:r w:rsidRPr="005E1103">
        <w:rPr>
          <w:rFonts w:asciiTheme="minorHAnsi" w:hAnsiTheme="minorHAnsi" w:cstheme="minorHAnsi"/>
          <w:sz w:val="28"/>
          <w:szCs w:val="28"/>
        </w:rPr>
        <w:t>CONTENIDOS MULTIDISCIPLINARES EN LOS MÁSTER DE LA UNIVERSIDAD DE JAÉN</w:t>
      </w:r>
      <w:bookmarkEnd w:id="44"/>
    </w:p>
    <w:p w:rsidR="00DF59FF" w:rsidRPr="005E1103" w:rsidRDefault="00DF59FF" w:rsidP="00DF59FF">
      <w:pPr>
        <w:spacing w:before="120" w:after="0" w:line="360" w:lineRule="auto"/>
        <w:jc w:val="both"/>
        <w:rPr>
          <w:rFonts w:cstheme="minorHAnsi"/>
          <w:sz w:val="28"/>
          <w:szCs w:val="28"/>
        </w:rPr>
      </w:pPr>
      <w:r w:rsidRPr="005E1103">
        <w:rPr>
          <w:rFonts w:cstheme="minorHAnsi"/>
          <w:sz w:val="28"/>
          <w:szCs w:val="28"/>
        </w:rPr>
        <w:t>Tanto en el Máster de Accesibilidad Universal y Diseño para todos como en el Máster de Accesibilidad en la Smart City, la ciudad Global, ambos de la Universidad de Jaén, el diseño de contenidos</w:t>
      </w:r>
      <w:r w:rsidRPr="005E1103">
        <w:rPr>
          <w:rStyle w:val="Refdenotaalpie"/>
          <w:rFonts w:cstheme="minorHAnsi"/>
          <w:sz w:val="28"/>
          <w:szCs w:val="28"/>
        </w:rPr>
        <w:footnoteReference w:id="20"/>
      </w:r>
      <w:r w:rsidRPr="005E1103">
        <w:rPr>
          <w:rFonts w:cstheme="minorHAnsi"/>
          <w:sz w:val="28"/>
          <w:szCs w:val="28"/>
        </w:rPr>
        <w:t xml:space="preserve"> se plantea para un alumnado heterogéneo, donde los contenidos </w:t>
      </w:r>
      <w:r w:rsidRPr="005E1103">
        <w:rPr>
          <w:rFonts w:cstheme="minorHAnsi"/>
          <w:sz w:val="28"/>
          <w:szCs w:val="28"/>
        </w:rPr>
        <w:lastRenderedPageBreak/>
        <w:t>básicos se presentan en asignaturas obligatorias en los que participan esos perfiles pluridisciplinares. Así mismo en el programa de asignaturas específicas, queda abierta la puerta a la participación de perfiles no específicos de esa materia, con objeto de poder tener una aproximación a la temática correspondiente desde una perspectiva no habitual.</w:t>
      </w:r>
    </w:p>
    <w:p w:rsidR="00DF59FF" w:rsidRPr="005E1103" w:rsidRDefault="00DF59FF" w:rsidP="00DF59FF">
      <w:pPr>
        <w:spacing w:before="120" w:after="0" w:line="360" w:lineRule="auto"/>
        <w:jc w:val="both"/>
        <w:rPr>
          <w:rFonts w:cstheme="minorHAnsi"/>
          <w:sz w:val="28"/>
          <w:szCs w:val="28"/>
        </w:rPr>
      </w:pPr>
      <w:r w:rsidRPr="005E1103">
        <w:rPr>
          <w:rFonts w:cstheme="minorHAnsi"/>
          <w:sz w:val="28"/>
          <w:szCs w:val="28"/>
        </w:rPr>
        <w:t>Además, en las tres ediciones de la Madrid Accessibility Week (MAW) promovidas por la Universidad de Jaén, la Fundación Once y la Universidad Internacional de Andalucía, se han desarrollado diferentes talleres sobre AU y DpT en el entorno construído. En el evento de la MAW participa alumnado de diferentes perfiles de los citados másteres de Accesibilidad. Tanto en el taller de la MAW 2014</w:t>
      </w:r>
      <w:sdt>
        <w:sdtPr>
          <w:rPr>
            <w:rFonts w:cstheme="minorHAnsi"/>
            <w:sz w:val="28"/>
            <w:szCs w:val="28"/>
          </w:rPr>
          <w:id w:val="952600844"/>
          <w:citation/>
        </w:sdtPr>
        <w:sdtEndPr/>
        <w:sdtContent>
          <w:r w:rsidRPr="005E1103">
            <w:rPr>
              <w:rFonts w:cstheme="minorHAnsi"/>
              <w:sz w:val="28"/>
              <w:szCs w:val="28"/>
            </w:rPr>
            <w:fldChar w:fldCharType="begin"/>
          </w:r>
          <w:r w:rsidRPr="005E1103">
            <w:rPr>
              <w:rFonts w:cstheme="minorHAnsi"/>
              <w:sz w:val="28"/>
              <w:szCs w:val="28"/>
            </w:rPr>
            <w:instrText xml:space="preserve"> CITATION Jim15 \l 3082 </w:instrText>
          </w:r>
          <w:r w:rsidRPr="005E1103">
            <w:rPr>
              <w:rFonts w:cstheme="minorHAnsi"/>
              <w:sz w:val="28"/>
              <w:szCs w:val="28"/>
            </w:rPr>
            <w:fldChar w:fldCharType="separate"/>
          </w:r>
          <w:r w:rsidRPr="005E1103">
            <w:rPr>
              <w:rFonts w:cstheme="minorHAnsi"/>
              <w:noProof/>
              <w:sz w:val="28"/>
              <w:szCs w:val="28"/>
            </w:rPr>
            <w:t xml:space="preserve"> (Jimenez D, 2015)</w:t>
          </w:r>
          <w:r w:rsidRPr="005E1103">
            <w:rPr>
              <w:rFonts w:cstheme="minorHAnsi"/>
              <w:sz w:val="28"/>
              <w:szCs w:val="28"/>
            </w:rPr>
            <w:fldChar w:fldCharType="end"/>
          </w:r>
        </w:sdtContent>
      </w:sdt>
      <w:r w:rsidRPr="005E1103">
        <w:rPr>
          <w:rFonts w:cstheme="minorHAnsi"/>
          <w:sz w:val="28"/>
          <w:szCs w:val="28"/>
        </w:rPr>
        <w:t xml:space="preserve"> sobre la Accesibilidad de Madrid Río, como en el de la MAW 2015</w:t>
      </w:r>
      <w:sdt>
        <w:sdtPr>
          <w:rPr>
            <w:rFonts w:cstheme="minorHAnsi"/>
            <w:sz w:val="28"/>
            <w:szCs w:val="28"/>
          </w:rPr>
          <w:id w:val="571480271"/>
          <w:citation/>
        </w:sdtPr>
        <w:sdtEndPr/>
        <w:sdtContent>
          <w:r w:rsidRPr="005E1103">
            <w:rPr>
              <w:rFonts w:cstheme="minorHAnsi"/>
              <w:sz w:val="28"/>
              <w:szCs w:val="28"/>
            </w:rPr>
            <w:fldChar w:fldCharType="begin"/>
          </w:r>
          <w:r w:rsidRPr="005E1103">
            <w:rPr>
              <w:rFonts w:cstheme="minorHAnsi"/>
              <w:sz w:val="28"/>
              <w:szCs w:val="28"/>
            </w:rPr>
            <w:instrText xml:space="preserve">CITATION Jim \l 3082 </w:instrText>
          </w:r>
          <w:r w:rsidRPr="005E1103">
            <w:rPr>
              <w:rFonts w:cstheme="minorHAnsi"/>
              <w:sz w:val="28"/>
              <w:szCs w:val="28"/>
            </w:rPr>
            <w:fldChar w:fldCharType="separate"/>
          </w:r>
          <w:r w:rsidRPr="005E1103">
            <w:rPr>
              <w:rFonts w:cstheme="minorHAnsi"/>
              <w:noProof/>
              <w:sz w:val="28"/>
              <w:szCs w:val="28"/>
            </w:rPr>
            <w:t xml:space="preserve"> (Jimenez D, 2016)</w:t>
          </w:r>
          <w:r w:rsidRPr="005E1103">
            <w:rPr>
              <w:rFonts w:cstheme="minorHAnsi"/>
              <w:sz w:val="28"/>
              <w:szCs w:val="28"/>
            </w:rPr>
            <w:fldChar w:fldCharType="end"/>
          </w:r>
        </w:sdtContent>
      </w:sdt>
      <w:r w:rsidRPr="005E1103">
        <w:rPr>
          <w:rFonts w:cstheme="minorHAnsi"/>
          <w:sz w:val="28"/>
          <w:szCs w:val="28"/>
        </w:rPr>
        <w:t xml:space="preserve"> sobre la Accesibilidad de la plaza de Salvador Dalí, como en el de 2016 sobre la Accesibilidad en el entorno de Cibeles y el Palacio de Correos (publicación en elaboración) los talleres se organizaron de forma intencionada con perfiles mixtos del alumnado, en el que se mezclaron personas con formación en arquitectura, arquitectura técnica, ingeniería informática, trabajo social, historia, periodismo,… y donde todos aportaron una visión desde su perspectiva profesional, obteniendo así unos resultados que proporcionaban una visión heurística tanto del problema como de las soluciones y propuestas a realizar. Tanto en el programa teórico-práctico del Máster (a pesar de ser online) como sobre todo en los talleres, el intercambio de puntos de vista sobre diferentes perspectivas de la AU y DpT supone un valor añadido a los propios contenidos iniciales del mismo.</w:t>
      </w:r>
    </w:p>
    <w:p w:rsidR="00DF59FF" w:rsidRPr="005E1103" w:rsidRDefault="00DF59FF" w:rsidP="00DF59FF">
      <w:pPr>
        <w:spacing w:before="120" w:after="0" w:line="360" w:lineRule="auto"/>
        <w:jc w:val="both"/>
        <w:rPr>
          <w:rFonts w:cstheme="minorHAnsi"/>
          <w:sz w:val="28"/>
          <w:szCs w:val="28"/>
        </w:rPr>
      </w:pPr>
    </w:p>
    <w:p w:rsidR="00DF59FF" w:rsidRPr="005E1103" w:rsidRDefault="00DF59FF" w:rsidP="00DF59FF">
      <w:pPr>
        <w:pStyle w:val="Ttulo2"/>
        <w:rPr>
          <w:rFonts w:asciiTheme="minorHAnsi" w:hAnsiTheme="minorHAnsi" w:cstheme="minorHAnsi"/>
          <w:sz w:val="28"/>
          <w:szCs w:val="28"/>
        </w:rPr>
      </w:pPr>
      <w:bookmarkStart w:id="45" w:name="_Toc463211454"/>
      <w:r w:rsidRPr="005E1103">
        <w:rPr>
          <w:rFonts w:asciiTheme="minorHAnsi" w:hAnsiTheme="minorHAnsi" w:cstheme="minorHAnsi"/>
          <w:sz w:val="28"/>
          <w:szCs w:val="28"/>
        </w:rPr>
        <w:t>CONCLUSIONES</w:t>
      </w:r>
      <w:bookmarkEnd w:id="45"/>
    </w:p>
    <w:p w:rsidR="00DF59FF" w:rsidRPr="005E1103" w:rsidRDefault="00DF59FF" w:rsidP="00DF59FF">
      <w:pPr>
        <w:spacing w:before="120" w:after="0" w:line="360" w:lineRule="auto"/>
        <w:jc w:val="both"/>
        <w:rPr>
          <w:rFonts w:cstheme="minorHAnsi"/>
          <w:sz w:val="28"/>
          <w:szCs w:val="28"/>
        </w:rPr>
      </w:pPr>
      <w:r w:rsidRPr="005E1103">
        <w:rPr>
          <w:rFonts w:cstheme="minorHAnsi"/>
          <w:sz w:val="28"/>
          <w:szCs w:val="28"/>
        </w:rPr>
        <w:t>De todo lo desarrollado se destacan, a modo de conclusión, los siguientes aspectos:</w:t>
      </w:r>
    </w:p>
    <w:p w:rsidR="00DF59FF" w:rsidRPr="005E1103" w:rsidRDefault="00DF59FF" w:rsidP="00DF59FF">
      <w:pPr>
        <w:pStyle w:val="Prrafodelista"/>
        <w:numPr>
          <w:ilvl w:val="0"/>
          <w:numId w:val="33"/>
        </w:numPr>
        <w:spacing w:line="360" w:lineRule="auto"/>
        <w:jc w:val="both"/>
        <w:rPr>
          <w:rFonts w:asciiTheme="minorHAnsi" w:hAnsiTheme="minorHAnsi" w:cstheme="minorHAnsi"/>
          <w:sz w:val="28"/>
          <w:szCs w:val="28"/>
        </w:rPr>
      </w:pPr>
      <w:r w:rsidRPr="005E1103">
        <w:rPr>
          <w:rFonts w:asciiTheme="minorHAnsi" w:hAnsiTheme="minorHAnsi" w:cstheme="minorHAnsi"/>
          <w:sz w:val="28"/>
          <w:szCs w:val="28"/>
        </w:rPr>
        <w:t>La implantación de la AU y el DpT en los currícula universitarios está apenas iniciada</w:t>
      </w:r>
    </w:p>
    <w:p w:rsidR="00DF59FF" w:rsidRPr="005E1103" w:rsidRDefault="00DF59FF" w:rsidP="00DF59FF">
      <w:pPr>
        <w:pStyle w:val="Prrafodelista"/>
        <w:numPr>
          <w:ilvl w:val="0"/>
          <w:numId w:val="33"/>
        </w:numPr>
        <w:spacing w:line="360" w:lineRule="auto"/>
        <w:jc w:val="both"/>
        <w:rPr>
          <w:rFonts w:asciiTheme="minorHAnsi" w:hAnsiTheme="minorHAnsi" w:cstheme="minorHAnsi"/>
          <w:sz w:val="28"/>
          <w:szCs w:val="28"/>
        </w:rPr>
      </w:pPr>
      <w:r w:rsidRPr="005E1103">
        <w:rPr>
          <w:rFonts w:asciiTheme="minorHAnsi" w:hAnsiTheme="minorHAnsi" w:cstheme="minorHAnsi"/>
          <w:sz w:val="28"/>
          <w:szCs w:val="28"/>
        </w:rPr>
        <w:lastRenderedPageBreak/>
        <w:t>Las concreciones de los contenidos, pese a tener formatos diferentes, incluyen contenidos comunes en las diferentes titulaciones, por lo que podrían plantearse la creación de bloques básicos (por áreas temáticas) para impartir a alumnado de diferentes titulaciones de forma conjunta</w:t>
      </w:r>
    </w:p>
    <w:p w:rsidR="00DF59FF" w:rsidRPr="005E1103" w:rsidRDefault="00DF59FF" w:rsidP="00DF59FF">
      <w:pPr>
        <w:pStyle w:val="Prrafodelista"/>
        <w:numPr>
          <w:ilvl w:val="0"/>
          <w:numId w:val="33"/>
        </w:numPr>
        <w:spacing w:line="360" w:lineRule="auto"/>
        <w:jc w:val="both"/>
        <w:rPr>
          <w:rFonts w:asciiTheme="minorHAnsi" w:hAnsiTheme="minorHAnsi" w:cstheme="minorHAnsi"/>
          <w:sz w:val="28"/>
          <w:szCs w:val="28"/>
        </w:rPr>
      </w:pPr>
      <w:r w:rsidRPr="005E1103">
        <w:rPr>
          <w:rFonts w:asciiTheme="minorHAnsi" w:hAnsiTheme="minorHAnsi" w:cstheme="minorHAnsi"/>
          <w:sz w:val="28"/>
          <w:szCs w:val="28"/>
        </w:rPr>
        <w:t xml:space="preserve">Deben combinarse la formación específica en AU y DpT (más </w:t>
      </w:r>
      <w:r w:rsidR="00995D7A" w:rsidRPr="005E1103">
        <w:rPr>
          <w:rFonts w:asciiTheme="minorHAnsi" w:hAnsiTheme="minorHAnsi" w:cstheme="minorHAnsi"/>
          <w:sz w:val="28"/>
          <w:szCs w:val="28"/>
        </w:rPr>
        <w:t>directa,</w:t>
      </w:r>
      <w:r w:rsidRPr="005E1103">
        <w:rPr>
          <w:rFonts w:asciiTheme="minorHAnsi" w:hAnsiTheme="minorHAnsi" w:cstheme="minorHAnsi"/>
          <w:sz w:val="28"/>
          <w:szCs w:val="28"/>
        </w:rPr>
        <w:t xml:space="preserve"> pero de menor alcance) en sus diferentes versiones, con la formación integrada de forma implícita dentro de los contenidos de las diferentes asignaturas (más </w:t>
      </w:r>
      <w:r w:rsidR="00995D7A" w:rsidRPr="005E1103">
        <w:rPr>
          <w:rFonts w:asciiTheme="minorHAnsi" w:hAnsiTheme="minorHAnsi" w:cstheme="minorHAnsi"/>
          <w:sz w:val="28"/>
          <w:szCs w:val="28"/>
        </w:rPr>
        <w:t>compleja,</w:t>
      </w:r>
      <w:r w:rsidRPr="005E1103">
        <w:rPr>
          <w:rFonts w:asciiTheme="minorHAnsi" w:hAnsiTheme="minorHAnsi" w:cstheme="minorHAnsi"/>
          <w:sz w:val="28"/>
          <w:szCs w:val="28"/>
        </w:rPr>
        <w:t xml:space="preserve"> pero de mayor alcance).</w:t>
      </w:r>
    </w:p>
    <w:p w:rsidR="00DF59FF" w:rsidRPr="005E1103" w:rsidRDefault="00DF59FF" w:rsidP="00DF59FF">
      <w:pPr>
        <w:pStyle w:val="Prrafodelista"/>
        <w:numPr>
          <w:ilvl w:val="0"/>
          <w:numId w:val="33"/>
        </w:numPr>
        <w:spacing w:line="360" w:lineRule="auto"/>
        <w:jc w:val="both"/>
        <w:rPr>
          <w:rFonts w:asciiTheme="minorHAnsi" w:hAnsiTheme="minorHAnsi" w:cstheme="minorHAnsi"/>
          <w:sz w:val="28"/>
          <w:szCs w:val="28"/>
        </w:rPr>
      </w:pPr>
      <w:r w:rsidRPr="005E1103">
        <w:rPr>
          <w:rFonts w:asciiTheme="minorHAnsi" w:hAnsiTheme="minorHAnsi" w:cstheme="minorHAnsi"/>
          <w:sz w:val="28"/>
          <w:szCs w:val="28"/>
        </w:rPr>
        <w:t>El Design Thinking es una herramienta eficaz para el desarrollo de los contenidos de AU y DpT independientemente de la materia específica de la que se trate.</w:t>
      </w:r>
    </w:p>
    <w:p w:rsidR="00DF59FF" w:rsidRPr="005E1103" w:rsidRDefault="00DF59FF" w:rsidP="00DF59FF">
      <w:pPr>
        <w:spacing w:before="120" w:after="0" w:line="360" w:lineRule="auto"/>
        <w:jc w:val="both"/>
        <w:rPr>
          <w:rFonts w:cstheme="minorHAnsi"/>
          <w:sz w:val="28"/>
          <w:szCs w:val="28"/>
        </w:rPr>
      </w:pPr>
      <w:r w:rsidRPr="005E1103">
        <w:rPr>
          <w:rFonts w:cstheme="minorHAnsi"/>
          <w:sz w:val="28"/>
          <w:szCs w:val="28"/>
        </w:rPr>
        <w:t>Y como conclusión final destacar que la necesidad de transversalidad de la formación en AU y DpT puede por tanto hacer referencia a diferentes perspectivas, todas ellas válidas:</w:t>
      </w:r>
    </w:p>
    <w:p w:rsidR="00DF59FF" w:rsidRPr="005E1103" w:rsidRDefault="00DF59FF" w:rsidP="00DF59FF">
      <w:pPr>
        <w:pStyle w:val="Prrafodelista"/>
        <w:numPr>
          <w:ilvl w:val="0"/>
          <w:numId w:val="34"/>
        </w:numPr>
        <w:spacing w:line="360" w:lineRule="auto"/>
        <w:jc w:val="both"/>
        <w:rPr>
          <w:rFonts w:asciiTheme="minorHAnsi" w:hAnsiTheme="minorHAnsi" w:cstheme="minorHAnsi"/>
          <w:sz w:val="28"/>
          <w:szCs w:val="28"/>
        </w:rPr>
      </w:pPr>
      <w:r w:rsidRPr="005E1103">
        <w:rPr>
          <w:rFonts w:asciiTheme="minorHAnsi" w:hAnsiTheme="minorHAnsi" w:cstheme="minorHAnsi"/>
          <w:sz w:val="28"/>
          <w:szCs w:val="28"/>
        </w:rPr>
        <w:t xml:space="preserve">formación pluridisciplinar (alumnado heterogéneo de diferentes titulaciones) tanto en asignaturas regladas (contenidos comunes en diferentes titulaciones) como en actividades complementarias no regladas (talleres, </w:t>
      </w:r>
      <w:r w:rsidR="00995D7A" w:rsidRPr="005E1103">
        <w:rPr>
          <w:rFonts w:asciiTheme="minorHAnsi" w:hAnsiTheme="minorHAnsi" w:cstheme="minorHAnsi"/>
          <w:sz w:val="28"/>
          <w:szCs w:val="28"/>
        </w:rPr>
        <w:t>seminarios,</w:t>
      </w:r>
      <w:r w:rsidRPr="005E1103">
        <w:rPr>
          <w:rFonts w:asciiTheme="minorHAnsi" w:hAnsiTheme="minorHAnsi" w:cstheme="minorHAnsi"/>
          <w:sz w:val="28"/>
          <w:szCs w:val="28"/>
        </w:rPr>
        <w:t>)</w:t>
      </w:r>
    </w:p>
    <w:p w:rsidR="00DF59FF" w:rsidRPr="005E1103" w:rsidRDefault="00DF59FF" w:rsidP="00DF59FF">
      <w:pPr>
        <w:pStyle w:val="Prrafodelista"/>
        <w:numPr>
          <w:ilvl w:val="0"/>
          <w:numId w:val="34"/>
        </w:numPr>
        <w:spacing w:line="360" w:lineRule="auto"/>
        <w:jc w:val="both"/>
        <w:rPr>
          <w:rFonts w:asciiTheme="minorHAnsi" w:hAnsiTheme="minorHAnsi" w:cstheme="minorHAnsi"/>
          <w:sz w:val="28"/>
          <w:szCs w:val="28"/>
        </w:rPr>
      </w:pPr>
      <w:r w:rsidRPr="005E1103">
        <w:rPr>
          <w:rFonts w:asciiTheme="minorHAnsi" w:hAnsiTheme="minorHAnsi" w:cstheme="minorHAnsi"/>
          <w:sz w:val="28"/>
          <w:szCs w:val="28"/>
        </w:rPr>
        <w:t>formación implícita en todas las asignaturas de una titulación (contenidos repartidos entre las diferentes áreas temáticas del Plan de Estudios)</w:t>
      </w:r>
    </w:p>
    <w:p w:rsidR="00DF59FF" w:rsidRPr="005E1103" w:rsidRDefault="00DF59FF" w:rsidP="00DF59FF">
      <w:pPr>
        <w:spacing w:before="120" w:after="0" w:line="360" w:lineRule="auto"/>
        <w:jc w:val="both"/>
        <w:rPr>
          <w:rFonts w:cstheme="minorHAnsi"/>
          <w:sz w:val="28"/>
          <w:szCs w:val="28"/>
        </w:rPr>
      </w:pPr>
    </w:p>
    <w:p w:rsidR="00DF59FF" w:rsidRPr="005E1103" w:rsidRDefault="00DF59FF" w:rsidP="00DF59FF">
      <w:pPr>
        <w:pStyle w:val="Ttulo2"/>
        <w:rPr>
          <w:rFonts w:asciiTheme="minorHAnsi" w:hAnsiTheme="minorHAnsi" w:cstheme="minorHAnsi"/>
          <w:sz w:val="28"/>
          <w:szCs w:val="28"/>
        </w:rPr>
      </w:pPr>
      <w:bookmarkStart w:id="46" w:name="_Toc463211455"/>
      <w:r w:rsidRPr="005E1103">
        <w:rPr>
          <w:rFonts w:asciiTheme="minorHAnsi" w:hAnsiTheme="minorHAnsi" w:cstheme="minorHAnsi"/>
          <w:sz w:val="28"/>
          <w:szCs w:val="28"/>
        </w:rPr>
        <w:t>BIBLIOGRAFÍA</w:t>
      </w:r>
      <w:bookmarkEnd w:id="46"/>
    </w:p>
    <w:p w:rsidR="00DF59FF" w:rsidRPr="005E1103" w:rsidRDefault="00DF59FF" w:rsidP="00DF59FF">
      <w:pPr>
        <w:pStyle w:val="Bibliografa"/>
        <w:rPr>
          <w:rFonts w:cstheme="minorHAnsi"/>
          <w:noProof/>
          <w:sz w:val="28"/>
          <w:szCs w:val="28"/>
        </w:rPr>
      </w:pPr>
      <w:r w:rsidRPr="005E1103">
        <w:rPr>
          <w:rFonts w:cstheme="minorHAnsi"/>
          <w:sz w:val="28"/>
          <w:szCs w:val="28"/>
        </w:rPr>
        <w:fldChar w:fldCharType="begin"/>
      </w:r>
      <w:r w:rsidRPr="005E1103">
        <w:rPr>
          <w:rFonts w:cstheme="minorHAnsi"/>
          <w:sz w:val="28"/>
          <w:szCs w:val="28"/>
        </w:rPr>
        <w:instrText xml:space="preserve"> BIBLIOGRAPHY  \l 3082 </w:instrText>
      </w:r>
      <w:r w:rsidRPr="005E1103">
        <w:rPr>
          <w:rFonts w:cstheme="minorHAnsi"/>
          <w:sz w:val="28"/>
          <w:szCs w:val="28"/>
        </w:rPr>
        <w:fldChar w:fldCharType="separate"/>
      </w:r>
      <w:r w:rsidRPr="005E1103">
        <w:rPr>
          <w:rFonts w:cstheme="minorHAnsi"/>
          <w:noProof/>
          <w:sz w:val="28"/>
          <w:szCs w:val="28"/>
        </w:rPr>
        <w:t xml:space="preserve">CATAC, 2013. </w:t>
      </w:r>
      <w:r w:rsidRPr="005E1103">
        <w:rPr>
          <w:rFonts w:cstheme="minorHAnsi"/>
          <w:i/>
          <w:iCs/>
          <w:noProof/>
          <w:sz w:val="28"/>
          <w:szCs w:val="28"/>
        </w:rPr>
        <w:t xml:space="preserve">Evaluación de la implementación de los principios de igualdad de oportunidades y accesibilidad universal en los planes de estudios de los títulos de grado de las universidades españolas. </w:t>
      </w:r>
      <w:r w:rsidRPr="005E1103">
        <w:rPr>
          <w:rFonts w:cstheme="minorHAnsi"/>
          <w:noProof/>
          <w:sz w:val="28"/>
          <w:szCs w:val="28"/>
        </w:rPr>
        <w:t>OUD ed. s.l.:s.n.</w:t>
      </w:r>
    </w:p>
    <w:p w:rsidR="00DF59FF" w:rsidRPr="005E1103" w:rsidRDefault="00DF59FF" w:rsidP="00DF59FF">
      <w:pPr>
        <w:pStyle w:val="Bibliografa"/>
        <w:rPr>
          <w:rFonts w:cstheme="minorHAnsi"/>
          <w:noProof/>
          <w:sz w:val="28"/>
          <w:szCs w:val="28"/>
        </w:rPr>
      </w:pPr>
      <w:r w:rsidRPr="005E1103">
        <w:rPr>
          <w:rFonts w:cstheme="minorHAnsi"/>
          <w:noProof/>
          <w:sz w:val="28"/>
          <w:szCs w:val="28"/>
        </w:rPr>
        <w:t xml:space="preserve">De la Fuente Y, H. J. C. M., 2014. La accesibilidad universal y el diseño para todas las personas factor clave para la inclusión social desde el design thinking curricular. </w:t>
      </w:r>
      <w:r w:rsidRPr="005E1103">
        <w:rPr>
          <w:rFonts w:cstheme="minorHAnsi"/>
          <w:i/>
          <w:iCs/>
          <w:noProof/>
          <w:sz w:val="28"/>
          <w:szCs w:val="28"/>
        </w:rPr>
        <w:t xml:space="preserve">Educació Social. Revista d'intervenció Socioeducativa, </w:t>
      </w:r>
      <w:r w:rsidRPr="005E1103">
        <w:rPr>
          <w:rFonts w:cstheme="minorHAnsi"/>
          <w:noProof/>
          <w:sz w:val="28"/>
          <w:szCs w:val="28"/>
        </w:rPr>
        <w:t>Issue 58, pp. 119-134.</w:t>
      </w:r>
    </w:p>
    <w:p w:rsidR="00DF59FF" w:rsidRPr="005E1103" w:rsidRDefault="00DF59FF" w:rsidP="00DF59FF">
      <w:pPr>
        <w:pStyle w:val="Bibliografa"/>
        <w:rPr>
          <w:rFonts w:cstheme="minorHAnsi"/>
          <w:noProof/>
          <w:sz w:val="28"/>
          <w:szCs w:val="28"/>
        </w:rPr>
      </w:pPr>
      <w:r w:rsidRPr="005E1103">
        <w:rPr>
          <w:rFonts w:cstheme="minorHAnsi"/>
          <w:noProof/>
          <w:sz w:val="28"/>
          <w:szCs w:val="28"/>
        </w:rPr>
        <w:t xml:space="preserve">Fundación ONCE, CRUE, 2014 -1. </w:t>
      </w:r>
      <w:r w:rsidRPr="005E1103">
        <w:rPr>
          <w:rFonts w:cstheme="minorHAnsi"/>
          <w:i/>
          <w:iCs/>
          <w:noProof/>
          <w:sz w:val="28"/>
          <w:szCs w:val="28"/>
        </w:rPr>
        <w:t xml:space="preserve">Formación Curricular de Diseño para Todas las Personas en Administración y Dirección de Empresas -ADE. </w:t>
      </w:r>
      <w:r w:rsidRPr="005E1103">
        <w:rPr>
          <w:rFonts w:cstheme="minorHAnsi"/>
          <w:noProof/>
          <w:sz w:val="28"/>
          <w:szCs w:val="28"/>
        </w:rPr>
        <w:t>s.l.:s.n.</w:t>
      </w:r>
    </w:p>
    <w:p w:rsidR="00DF59FF" w:rsidRPr="005E1103" w:rsidRDefault="00DF59FF" w:rsidP="00DF59FF">
      <w:pPr>
        <w:pStyle w:val="Bibliografa"/>
        <w:rPr>
          <w:rFonts w:cstheme="minorHAnsi"/>
          <w:noProof/>
          <w:sz w:val="28"/>
          <w:szCs w:val="28"/>
        </w:rPr>
      </w:pPr>
      <w:r w:rsidRPr="005E1103">
        <w:rPr>
          <w:rFonts w:cstheme="minorHAnsi"/>
          <w:noProof/>
          <w:sz w:val="28"/>
          <w:szCs w:val="28"/>
        </w:rPr>
        <w:lastRenderedPageBreak/>
        <w:t xml:space="preserve">Fundación ONCE, CRUE, 2014 -2. </w:t>
      </w:r>
      <w:r w:rsidRPr="005E1103">
        <w:rPr>
          <w:rFonts w:cstheme="minorHAnsi"/>
          <w:i/>
          <w:iCs/>
          <w:noProof/>
          <w:sz w:val="28"/>
          <w:szCs w:val="28"/>
        </w:rPr>
        <w:t xml:space="preserve">Formación Curricular de Diseño para Todas las Personas en Derecho. </w:t>
      </w:r>
      <w:r w:rsidRPr="005E1103">
        <w:rPr>
          <w:rFonts w:cstheme="minorHAnsi"/>
          <w:noProof/>
          <w:sz w:val="28"/>
          <w:szCs w:val="28"/>
        </w:rPr>
        <w:t>s.l.:s.n.</w:t>
      </w:r>
    </w:p>
    <w:p w:rsidR="00DF59FF" w:rsidRPr="005E1103" w:rsidRDefault="00DF59FF" w:rsidP="00DF59FF">
      <w:pPr>
        <w:pStyle w:val="Bibliografa"/>
        <w:rPr>
          <w:rFonts w:cstheme="minorHAnsi"/>
          <w:noProof/>
          <w:sz w:val="28"/>
          <w:szCs w:val="28"/>
        </w:rPr>
      </w:pPr>
      <w:r w:rsidRPr="005E1103">
        <w:rPr>
          <w:rFonts w:cstheme="minorHAnsi"/>
          <w:noProof/>
          <w:sz w:val="28"/>
          <w:szCs w:val="28"/>
        </w:rPr>
        <w:t xml:space="preserve">Fundación ONCE, CRUE, 2014 -3. </w:t>
      </w:r>
      <w:r w:rsidRPr="005E1103">
        <w:rPr>
          <w:rFonts w:cstheme="minorHAnsi"/>
          <w:i/>
          <w:iCs/>
          <w:noProof/>
          <w:sz w:val="28"/>
          <w:szCs w:val="28"/>
        </w:rPr>
        <w:t xml:space="preserve">Formación Curricular de Diseño para Todas las Personas en Medicina. </w:t>
      </w:r>
      <w:r w:rsidRPr="005E1103">
        <w:rPr>
          <w:rFonts w:cstheme="minorHAnsi"/>
          <w:noProof/>
          <w:sz w:val="28"/>
          <w:szCs w:val="28"/>
        </w:rPr>
        <w:t>s.l.:s.n.</w:t>
      </w:r>
    </w:p>
    <w:p w:rsidR="00DF59FF" w:rsidRPr="005E1103" w:rsidRDefault="00DF59FF" w:rsidP="00DF59FF">
      <w:pPr>
        <w:pStyle w:val="Bibliografa"/>
        <w:rPr>
          <w:rFonts w:cstheme="minorHAnsi"/>
          <w:noProof/>
          <w:sz w:val="28"/>
          <w:szCs w:val="28"/>
        </w:rPr>
      </w:pPr>
      <w:r w:rsidRPr="005E1103">
        <w:rPr>
          <w:rFonts w:cstheme="minorHAnsi"/>
          <w:noProof/>
          <w:sz w:val="28"/>
          <w:szCs w:val="28"/>
        </w:rPr>
        <w:t xml:space="preserve">Fundación ONCE, CRUE, 2014 4. </w:t>
      </w:r>
      <w:r w:rsidRPr="005E1103">
        <w:rPr>
          <w:rFonts w:cstheme="minorHAnsi"/>
          <w:i/>
          <w:iCs/>
          <w:noProof/>
          <w:sz w:val="28"/>
          <w:szCs w:val="28"/>
        </w:rPr>
        <w:t xml:space="preserve">Formación Curricular de Diseño para Todas las Personas en Pedagogía. </w:t>
      </w:r>
      <w:r w:rsidRPr="005E1103">
        <w:rPr>
          <w:rFonts w:cstheme="minorHAnsi"/>
          <w:noProof/>
          <w:sz w:val="28"/>
          <w:szCs w:val="28"/>
        </w:rPr>
        <w:t>s.l.:s.n.</w:t>
      </w:r>
    </w:p>
    <w:p w:rsidR="00DF59FF" w:rsidRPr="005E1103" w:rsidRDefault="00DF59FF" w:rsidP="00DF59FF">
      <w:pPr>
        <w:pStyle w:val="Bibliografa"/>
        <w:rPr>
          <w:rFonts w:cstheme="minorHAnsi"/>
          <w:noProof/>
          <w:sz w:val="28"/>
          <w:szCs w:val="28"/>
        </w:rPr>
      </w:pPr>
      <w:r w:rsidRPr="005E1103">
        <w:rPr>
          <w:rFonts w:cstheme="minorHAnsi"/>
          <w:noProof/>
          <w:sz w:val="28"/>
          <w:szCs w:val="28"/>
        </w:rPr>
        <w:t xml:space="preserve">Fundación ONCE, CRUE, 2014 -5. </w:t>
      </w:r>
      <w:r w:rsidRPr="005E1103">
        <w:rPr>
          <w:rFonts w:cstheme="minorHAnsi"/>
          <w:i/>
          <w:iCs/>
          <w:noProof/>
          <w:sz w:val="28"/>
          <w:szCs w:val="28"/>
        </w:rPr>
        <w:t xml:space="preserve">Formación Curricular de Diseño para Todas las Personas en Psicología. </w:t>
      </w:r>
      <w:r w:rsidRPr="005E1103">
        <w:rPr>
          <w:rFonts w:cstheme="minorHAnsi"/>
          <w:noProof/>
          <w:sz w:val="28"/>
          <w:szCs w:val="28"/>
        </w:rPr>
        <w:t>s.l.:s.n.</w:t>
      </w:r>
    </w:p>
    <w:p w:rsidR="00DF59FF" w:rsidRPr="005E1103" w:rsidRDefault="00DF59FF" w:rsidP="00DF59FF">
      <w:pPr>
        <w:pStyle w:val="Bibliografa"/>
        <w:rPr>
          <w:rFonts w:cstheme="minorHAnsi"/>
          <w:noProof/>
          <w:sz w:val="28"/>
          <w:szCs w:val="28"/>
        </w:rPr>
      </w:pPr>
      <w:r w:rsidRPr="005E1103">
        <w:rPr>
          <w:rFonts w:cstheme="minorHAnsi"/>
          <w:noProof/>
          <w:sz w:val="28"/>
          <w:szCs w:val="28"/>
        </w:rPr>
        <w:t xml:space="preserve">Fundación ONCE, CRUE, 2014 -6. </w:t>
      </w:r>
      <w:r w:rsidRPr="005E1103">
        <w:rPr>
          <w:rFonts w:cstheme="minorHAnsi"/>
          <w:i/>
          <w:iCs/>
          <w:noProof/>
          <w:sz w:val="28"/>
          <w:szCs w:val="28"/>
        </w:rPr>
        <w:t xml:space="preserve">Formación Curricular de Diseño para Todas las Personas en Trabajo Social. </w:t>
      </w:r>
      <w:r w:rsidRPr="005E1103">
        <w:rPr>
          <w:rFonts w:cstheme="minorHAnsi"/>
          <w:noProof/>
          <w:sz w:val="28"/>
          <w:szCs w:val="28"/>
        </w:rPr>
        <w:t>s.l.:s.n.</w:t>
      </w:r>
    </w:p>
    <w:p w:rsidR="00DF59FF" w:rsidRPr="005E1103" w:rsidRDefault="00DF59FF" w:rsidP="00DF59FF">
      <w:pPr>
        <w:pStyle w:val="Bibliografa"/>
        <w:rPr>
          <w:rFonts w:cstheme="minorHAnsi"/>
          <w:noProof/>
          <w:sz w:val="28"/>
          <w:szCs w:val="28"/>
        </w:rPr>
      </w:pPr>
      <w:r w:rsidRPr="005E1103">
        <w:rPr>
          <w:rFonts w:cstheme="minorHAnsi"/>
          <w:noProof/>
          <w:sz w:val="28"/>
          <w:szCs w:val="28"/>
          <w:lang w:val="en-US"/>
        </w:rPr>
        <w:t xml:space="preserve">IMSERSO, Fundación ONCE, EIDD -Spain, 2006. </w:t>
      </w:r>
      <w:r w:rsidRPr="005E1103">
        <w:rPr>
          <w:rFonts w:cstheme="minorHAnsi"/>
          <w:i/>
          <w:iCs/>
          <w:noProof/>
          <w:sz w:val="28"/>
          <w:szCs w:val="28"/>
        </w:rPr>
        <w:t xml:space="preserve">Libro Blanco del Diseño para Todos en la Universidad. </w:t>
      </w:r>
      <w:r w:rsidRPr="005E1103">
        <w:rPr>
          <w:rFonts w:cstheme="minorHAnsi"/>
          <w:noProof/>
          <w:sz w:val="28"/>
          <w:szCs w:val="28"/>
        </w:rPr>
        <w:t>s.l.:s.n.</w:t>
      </w:r>
    </w:p>
    <w:p w:rsidR="00DF59FF" w:rsidRPr="005E1103" w:rsidRDefault="00DF59FF" w:rsidP="00DF59FF">
      <w:pPr>
        <w:pStyle w:val="Bibliografa"/>
        <w:rPr>
          <w:rFonts w:cstheme="minorHAnsi"/>
          <w:noProof/>
          <w:sz w:val="28"/>
          <w:szCs w:val="28"/>
        </w:rPr>
      </w:pPr>
      <w:r w:rsidRPr="005E1103">
        <w:rPr>
          <w:rFonts w:cstheme="minorHAnsi"/>
          <w:noProof/>
          <w:sz w:val="28"/>
          <w:szCs w:val="28"/>
          <w:lang w:val="en-US"/>
        </w:rPr>
        <w:t xml:space="preserve">IMSERSO, Fundación ONCE, EIDD-Spain, 2010 -1. </w:t>
      </w:r>
      <w:r w:rsidRPr="005E1103">
        <w:rPr>
          <w:rFonts w:cstheme="minorHAnsi"/>
          <w:i/>
          <w:iCs/>
          <w:noProof/>
          <w:sz w:val="28"/>
          <w:szCs w:val="28"/>
        </w:rPr>
        <w:t xml:space="preserve">Formación Curricular de Diseño para Todos en Arquitectura. </w:t>
      </w:r>
      <w:r w:rsidRPr="005E1103">
        <w:rPr>
          <w:rFonts w:cstheme="minorHAnsi"/>
          <w:noProof/>
          <w:sz w:val="28"/>
          <w:szCs w:val="28"/>
        </w:rPr>
        <w:t>s.l.:s.n.</w:t>
      </w:r>
    </w:p>
    <w:p w:rsidR="00DF59FF" w:rsidRPr="005E1103" w:rsidRDefault="00DF59FF" w:rsidP="00DF59FF">
      <w:pPr>
        <w:pStyle w:val="Bibliografa"/>
        <w:rPr>
          <w:rFonts w:cstheme="minorHAnsi"/>
          <w:noProof/>
          <w:sz w:val="28"/>
          <w:szCs w:val="28"/>
        </w:rPr>
      </w:pPr>
      <w:r w:rsidRPr="005E1103">
        <w:rPr>
          <w:rFonts w:cstheme="minorHAnsi"/>
          <w:noProof/>
          <w:sz w:val="28"/>
          <w:szCs w:val="28"/>
          <w:lang w:val="en-US"/>
        </w:rPr>
        <w:t xml:space="preserve">IMSERSO, Fundación ONCE, EIDD-Spain, 2010 -2. </w:t>
      </w:r>
      <w:r w:rsidRPr="005E1103">
        <w:rPr>
          <w:rFonts w:cstheme="minorHAnsi"/>
          <w:i/>
          <w:iCs/>
          <w:noProof/>
          <w:sz w:val="28"/>
          <w:szCs w:val="28"/>
        </w:rPr>
        <w:t xml:space="preserve">Formación Curricular de Dseño para Todos en Diseño. </w:t>
      </w:r>
      <w:r w:rsidRPr="005E1103">
        <w:rPr>
          <w:rFonts w:cstheme="minorHAnsi"/>
          <w:noProof/>
          <w:sz w:val="28"/>
          <w:szCs w:val="28"/>
        </w:rPr>
        <w:t>s.l.:s.n.</w:t>
      </w:r>
    </w:p>
    <w:p w:rsidR="00DF59FF" w:rsidRPr="005E1103" w:rsidRDefault="00DF59FF" w:rsidP="00DF59FF">
      <w:pPr>
        <w:pStyle w:val="Bibliografa"/>
        <w:rPr>
          <w:rFonts w:cstheme="minorHAnsi"/>
          <w:noProof/>
          <w:sz w:val="28"/>
          <w:szCs w:val="28"/>
        </w:rPr>
      </w:pPr>
      <w:r w:rsidRPr="005E1103">
        <w:rPr>
          <w:rFonts w:cstheme="minorHAnsi"/>
          <w:noProof/>
          <w:sz w:val="28"/>
          <w:szCs w:val="28"/>
          <w:lang w:val="en-US"/>
        </w:rPr>
        <w:t xml:space="preserve">IMSERSO, Fundación ONCE, EIDD-Spain, 2010 -3. </w:t>
      </w:r>
      <w:r w:rsidRPr="005E1103">
        <w:rPr>
          <w:rFonts w:cstheme="minorHAnsi"/>
          <w:i/>
          <w:iCs/>
          <w:noProof/>
          <w:sz w:val="28"/>
          <w:szCs w:val="28"/>
        </w:rPr>
        <w:t xml:space="preserve">Formación Curricular de Diseño para Todos en Informática y Telecomunicaciones. </w:t>
      </w:r>
      <w:r w:rsidRPr="005E1103">
        <w:rPr>
          <w:rFonts w:cstheme="minorHAnsi"/>
          <w:noProof/>
          <w:sz w:val="28"/>
          <w:szCs w:val="28"/>
        </w:rPr>
        <w:t>s.l.:s.n.</w:t>
      </w:r>
    </w:p>
    <w:p w:rsidR="00DF59FF" w:rsidRPr="005E1103" w:rsidRDefault="00DF59FF" w:rsidP="00DF59FF">
      <w:pPr>
        <w:pStyle w:val="Bibliografa"/>
        <w:rPr>
          <w:rFonts w:cstheme="minorHAnsi"/>
          <w:noProof/>
          <w:sz w:val="28"/>
          <w:szCs w:val="28"/>
        </w:rPr>
      </w:pPr>
      <w:r w:rsidRPr="005E1103">
        <w:rPr>
          <w:rFonts w:cstheme="minorHAnsi"/>
          <w:noProof/>
          <w:sz w:val="28"/>
          <w:szCs w:val="28"/>
          <w:lang w:val="en-US"/>
        </w:rPr>
        <w:t xml:space="preserve">IMSERSO, Fundación ONCE, EIDD-Spain, 2010 -4. </w:t>
      </w:r>
      <w:r w:rsidRPr="005E1103">
        <w:rPr>
          <w:rFonts w:cstheme="minorHAnsi"/>
          <w:i/>
          <w:iCs/>
          <w:noProof/>
          <w:sz w:val="28"/>
          <w:szCs w:val="28"/>
        </w:rPr>
        <w:t xml:space="preserve">Formación Curricular de Diseño para Todos en Ingeniería de Caminos, Cnales y Puertos. </w:t>
      </w:r>
      <w:r w:rsidRPr="005E1103">
        <w:rPr>
          <w:rFonts w:cstheme="minorHAnsi"/>
          <w:noProof/>
          <w:sz w:val="28"/>
          <w:szCs w:val="28"/>
        </w:rPr>
        <w:t>s.l.:s.n.</w:t>
      </w:r>
    </w:p>
    <w:p w:rsidR="00DF59FF" w:rsidRPr="005E1103" w:rsidRDefault="00DF59FF" w:rsidP="00DF59FF">
      <w:pPr>
        <w:pStyle w:val="Bibliografa"/>
        <w:rPr>
          <w:rFonts w:cstheme="minorHAnsi"/>
          <w:noProof/>
          <w:sz w:val="28"/>
          <w:szCs w:val="28"/>
        </w:rPr>
      </w:pPr>
      <w:r w:rsidRPr="005E1103">
        <w:rPr>
          <w:rFonts w:cstheme="minorHAnsi"/>
          <w:noProof/>
          <w:sz w:val="28"/>
          <w:szCs w:val="28"/>
          <w:lang w:val="en-US"/>
        </w:rPr>
        <w:t xml:space="preserve">IMSERSO, Fundación ONCE, EIDD-Spain, 2010 -5. </w:t>
      </w:r>
      <w:r w:rsidRPr="005E1103">
        <w:rPr>
          <w:rFonts w:cstheme="minorHAnsi"/>
          <w:i/>
          <w:iCs/>
          <w:noProof/>
          <w:sz w:val="28"/>
          <w:szCs w:val="28"/>
        </w:rPr>
        <w:t xml:space="preserve">Formación curricular de Diseño para Todos en Informática y Telecomunicaciones. </w:t>
      </w:r>
      <w:r w:rsidRPr="005E1103">
        <w:rPr>
          <w:rFonts w:cstheme="minorHAnsi"/>
          <w:noProof/>
          <w:sz w:val="28"/>
          <w:szCs w:val="28"/>
        </w:rPr>
        <w:t>s.l.:s.n.</w:t>
      </w:r>
    </w:p>
    <w:p w:rsidR="00DF59FF" w:rsidRPr="005E1103" w:rsidRDefault="00DF59FF" w:rsidP="00DF59FF">
      <w:pPr>
        <w:pStyle w:val="Bibliografa"/>
        <w:rPr>
          <w:rFonts w:cstheme="minorHAnsi"/>
          <w:noProof/>
          <w:sz w:val="28"/>
          <w:szCs w:val="28"/>
        </w:rPr>
      </w:pPr>
      <w:r w:rsidRPr="005E1103">
        <w:rPr>
          <w:rFonts w:cstheme="minorHAnsi"/>
          <w:noProof/>
          <w:sz w:val="28"/>
          <w:szCs w:val="28"/>
        </w:rPr>
        <w:t xml:space="preserve">Jefatura del Estado, 2007. </w:t>
      </w:r>
      <w:r w:rsidRPr="005E1103">
        <w:rPr>
          <w:rFonts w:cstheme="minorHAnsi"/>
          <w:i/>
          <w:iCs/>
          <w:noProof/>
          <w:sz w:val="28"/>
          <w:szCs w:val="28"/>
        </w:rPr>
        <w:t xml:space="preserve">LOMLOU. Ley Orgánica 4/2007 que modifica la Ley Orgánica de Universidades. </w:t>
      </w:r>
      <w:r w:rsidRPr="005E1103">
        <w:rPr>
          <w:rFonts w:cstheme="minorHAnsi"/>
          <w:noProof/>
          <w:sz w:val="28"/>
          <w:szCs w:val="28"/>
        </w:rPr>
        <w:t>s.l.:BOE.</w:t>
      </w:r>
    </w:p>
    <w:p w:rsidR="00DF59FF" w:rsidRPr="005E1103" w:rsidRDefault="00DF59FF" w:rsidP="00DF59FF">
      <w:pPr>
        <w:pStyle w:val="Bibliografa"/>
        <w:rPr>
          <w:rFonts w:cstheme="minorHAnsi"/>
          <w:noProof/>
          <w:sz w:val="28"/>
          <w:szCs w:val="28"/>
        </w:rPr>
      </w:pPr>
      <w:r w:rsidRPr="005E1103">
        <w:rPr>
          <w:rFonts w:cstheme="minorHAnsi"/>
          <w:noProof/>
          <w:sz w:val="28"/>
          <w:szCs w:val="28"/>
        </w:rPr>
        <w:t xml:space="preserve">Jimenez D, d. l. F. Y. H.-G. J., 2015. </w:t>
      </w:r>
      <w:r w:rsidRPr="005E1103">
        <w:rPr>
          <w:rFonts w:cstheme="minorHAnsi"/>
          <w:i/>
          <w:iCs/>
          <w:noProof/>
          <w:sz w:val="28"/>
          <w:szCs w:val="28"/>
        </w:rPr>
        <w:t xml:space="preserve">Madrid Accessibility Week 2014. Compartiendo Accesibilidad. </w:t>
      </w:r>
      <w:r w:rsidRPr="005E1103">
        <w:rPr>
          <w:rFonts w:cstheme="minorHAnsi"/>
          <w:noProof/>
          <w:sz w:val="28"/>
          <w:szCs w:val="28"/>
        </w:rPr>
        <w:t>UNIA ed. s.l.:s.n.</w:t>
      </w:r>
    </w:p>
    <w:p w:rsidR="00DF59FF" w:rsidRPr="005E1103" w:rsidRDefault="00DF59FF" w:rsidP="00DF59FF">
      <w:pPr>
        <w:pStyle w:val="Bibliografa"/>
        <w:rPr>
          <w:rFonts w:cstheme="minorHAnsi"/>
          <w:noProof/>
          <w:sz w:val="28"/>
          <w:szCs w:val="28"/>
        </w:rPr>
      </w:pPr>
      <w:r w:rsidRPr="005E1103">
        <w:rPr>
          <w:rFonts w:cstheme="minorHAnsi"/>
          <w:noProof/>
          <w:sz w:val="28"/>
          <w:szCs w:val="28"/>
        </w:rPr>
        <w:t xml:space="preserve">Jimenez D, d. l. F. Y. H.-G. J., 2016. </w:t>
      </w:r>
      <w:r w:rsidRPr="005E1103">
        <w:rPr>
          <w:rFonts w:cstheme="minorHAnsi"/>
          <w:i/>
          <w:iCs/>
          <w:noProof/>
          <w:sz w:val="28"/>
          <w:szCs w:val="28"/>
        </w:rPr>
        <w:t xml:space="preserve">Madrid Accessibility Week 2015. Turismo, Tecnología y Accesibilidad. </w:t>
      </w:r>
      <w:r w:rsidRPr="005E1103">
        <w:rPr>
          <w:rFonts w:cstheme="minorHAnsi"/>
          <w:noProof/>
          <w:sz w:val="28"/>
          <w:szCs w:val="28"/>
        </w:rPr>
        <w:t>UNIA ed. s.l.:s.n.</w:t>
      </w:r>
    </w:p>
    <w:p w:rsidR="00DF59FF" w:rsidRPr="005E1103" w:rsidRDefault="00DF59FF" w:rsidP="00DF59FF">
      <w:pPr>
        <w:pStyle w:val="Bibliografa"/>
        <w:rPr>
          <w:rFonts w:cstheme="minorHAnsi"/>
          <w:noProof/>
          <w:sz w:val="28"/>
          <w:szCs w:val="28"/>
        </w:rPr>
      </w:pPr>
      <w:r w:rsidRPr="005E1103">
        <w:rPr>
          <w:rFonts w:cstheme="minorHAnsi"/>
          <w:noProof/>
          <w:sz w:val="28"/>
          <w:szCs w:val="28"/>
        </w:rPr>
        <w:t xml:space="preserve">Ministerio de Sanidad Servicios Sociales e Igualdad, 2013. </w:t>
      </w:r>
      <w:r w:rsidRPr="005E1103">
        <w:rPr>
          <w:rFonts w:cstheme="minorHAnsi"/>
          <w:i/>
          <w:iCs/>
          <w:noProof/>
          <w:sz w:val="28"/>
          <w:szCs w:val="28"/>
        </w:rPr>
        <w:t xml:space="preserve">RDL 1/2013 por el que se aprueba el Texto Refundido de la Ley General de los derechos de las personas con discapacidad y de su inclusión social. </w:t>
      </w:r>
      <w:r w:rsidRPr="005E1103">
        <w:rPr>
          <w:rFonts w:cstheme="minorHAnsi"/>
          <w:noProof/>
          <w:sz w:val="28"/>
          <w:szCs w:val="28"/>
        </w:rPr>
        <w:t>s.l.:BOE.</w:t>
      </w:r>
    </w:p>
    <w:p w:rsidR="00DF59FF" w:rsidRPr="005E1103" w:rsidRDefault="00DF59FF" w:rsidP="00995D7A">
      <w:pPr>
        <w:spacing w:line="360" w:lineRule="auto"/>
        <w:jc w:val="right"/>
        <w:rPr>
          <w:rFonts w:cstheme="minorHAnsi"/>
          <w:sz w:val="28"/>
          <w:szCs w:val="28"/>
        </w:rPr>
      </w:pPr>
      <w:r w:rsidRPr="005E1103">
        <w:rPr>
          <w:rFonts w:cstheme="minorHAnsi"/>
          <w:sz w:val="28"/>
          <w:szCs w:val="28"/>
        </w:rPr>
        <w:lastRenderedPageBreak/>
        <w:fldChar w:fldCharType="end"/>
      </w:r>
      <w:r w:rsidRPr="005E1103">
        <w:rPr>
          <w:rFonts w:cstheme="minorHAnsi"/>
          <w:sz w:val="28"/>
          <w:szCs w:val="28"/>
        </w:rPr>
        <w:t>octubre de 2016</w:t>
      </w:r>
    </w:p>
    <w:p w:rsidR="00DF59FF" w:rsidRPr="005E1103" w:rsidRDefault="00DF59FF" w:rsidP="00DF59FF">
      <w:pPr>
        <w:spacing w:line="360" w:lineRule="auto"/>
        <w:jc w:val="center"/>
        <w:rPr>
          <w:rFonts w:cstheme="minorHAnsi"/>
          <w:b/>
          <w:sz w:val="28"/>
          <w:szCs w:val="28"/>
        </w:rPr>
      </w:pPr>
      <w:r w:rsidRPr="005E1103">
        <w:rPr>
          <w:rFonts w:cstheme="minorHAnsi"/>
          <w:b/>
          <w:sz w:val="28"/>
          <w:szCs w:val="28"/>
        </w:rPr>
        <w:t>COMUNICACIÓN 3</w:t>
      </w:r>
    </w:p>
    <w:p w:rsidR="00DF59FF" w:rsidRPr="00995D7A" w:rsidRDefault="00DF59FF" w:rsidP="00995D7A">
      <w:pPr>
        <w:pBdr>
          <w:top w:val="single" w:sz="4" w:space="1" w:color="auto"/>
          <w:left w:val="single" w:sz="4" w:space="4" w:color="auto"/>
          <w:bottom w:val="single" w:sz="4" w:space="1" w:color="auto"/>
          <w:right w:val="single" w:sz="4" w:space="4" w:color="auto"/>
        </w:pBdr>
        <w:spacing w:after="0" w:line="240" w:lineRule="auto"/>
        <w:jc w:val="center"/>
        <w:rPr>
          <w:rFonts w:cstheme="minorHAnsi"/>
          <w:b/>
          <w:sz w:val="28"/>
          <w:szCs w:val="28"/>
        </w:rPr>
      </w:pPr>
      <w:r w:rsidRPr="00995D7A">
        <w:rPr>
          <w:rFonts w:cstheme="minorHAnsi"/>
          <w:b/>
          <w:sz w:val="28"/>
          <w:szCs w:val="28"/>
        </w:rPr>
        <w:t>“INNOVACIÓN EN EL ABORDAJE DE LA INCLUSIÓN Y LA ACCESIBILIDAD UNIVERSAL EN LA EDUCACIÓN SUPERIOR ARGENTINA: FUNDAMENTOS Y PROCESO DE GESTACIÓN DE LA CÁTEDRA LIBRE DISEÑO UNIVERSAL E INCLUSIÓN DE LA UNNE”.</w:t>
      </w:r>
    </w:p>
    <w:p w:rsidR="00DF59FF" w:rsidRPr="005E1103" w:rsidRDefault="00DF59FF" w:rsidP="00DF59FF">
      <w:pPr>
        <w:spacing w:line="360" w:lineRule="auto"/>
        <w:jc w:val="center"/>
        <w:rPr>
          <w:rFonts w:cstheme="minorHAnsi"/>
          <w:b/>
          <w:sz w:val="28"/>
          <w:szCs w:val="28"/>
        </w:rPr>
      </w:pPr>
    </w:p>
    <w:p w:rsidR="00DF59FF" w:rsidRPr="005E1103" w:rsidRDefault="00DF59FF" w:rsidP="00DF59FF">
      <w:pPr>
        <w:autoSpaceDE w:val="0"/>
        <w:autoSpaceDN w:val="0"/>
        <w:adjustRightInd w:val="0"/>
        <w:spacing w:after="0" w:line="240" w:lineRule="auto"/>
        <w:jc w:val="right"/>
        <w:rPr>
          <w:rFonts w:cstheme="minorHAnsi"/>
          <w:sz w:val="28"/>
          <w:szCs w:val="28"/>
        </w:rPr>
      </w:pPr>
      <w:r w:rsidRPr="005E1103">
        <w:rPr>
          <w:rFonts w:cstheme="minorHAnsi"/>
          <w:sz w:val="28"/>
          <w:szCs w:val="28"/>
        </w:rPr>
        <w:t>PUTALLAZ, Julio E.</w:t>
      </w:r>
    </w:p>
    <w:p w:rsidR="00DF59FF" w:rsidRPr="005E1103" w:rsidRDefault="00DF59FF" w:rsidP="00DF59FF">
      <w:pPr>
        <w:autoSpaceDE w:val="0"/>
        <w:autoSpaceDN w:val="0"/>
        <w:adjustRightInd w:val="0"/>
        <w:spacing w:after="0" w:line="240" w:lineRule="auto"/>
        <w:jc w:val="right"/>
        <w:rPr>
          <w:rFonts w:cstheme="minorHAnsi"/>
          <w:sz w:val="28"/>
          <w:szCs w:val="28"/>
        </w:rPr>
      </w:pPr>
      <w:r w:rsidRPr="005E1103">
        <w:rPr>
          <w:rFonts w:cstheme="minorHAnsi"/>
          <w:sz w:val="28"/>
          <w:szCs w:val="28"/>
        </w:rPr>
        <w:t xml:space="preserve">Profesor Titular; </w:t>
      </w:r>
    </w:p>
    <w:p w:rsidR="00DF59FF" w:rsidRPr="005E1103" w:rsidRDefault="00DF59FF" w:rsidP="00DF59FF">
      <w:pPr>
        <w:autoSpaceDE w:val="0"/>
        <w:autoSpaceDN w:val="0"/>
        <w:adjustRightInd w:val="0"/>
        <w:spacing w:after="0" w:line="240" w:lineRule="auto"/>
        <w:jc w:val="right"/>
        <w:rPr>
          <w:rFonts w:cstheme="minorHAnsi"/>
          <w:sz w:val="28"/>
          <w:szCs w:val="28"/>
        </w:rPr>
      </w:pPr>
      <w:r w:rsidRPr="005E1103">
        <w:rPr>
          <w:rFonts w:cstheme="minorHAnsi"/>
          <w:sz w:val="28"/>
          <w:szCs w:val="28"/>
        </w:rPr>
        <w:t>BARRIOS D’AMBRA, Marcelo</w:t>
      </w:r>
    </w:p>
    <w:p w:rsidR="00DF59FF" w:rsidRPr="005E1103" w:rsidRDefault="00DF59FF" w:rsidP="00DF59FF">
      <w:pPr>
        <w:autoSpaceDE w:val="0"/>
        <w:autoSpaceDN w:val="0"/>
        <w:adjustRightInd w:val="0"/>
        <w:spacing w:after="0" w:line="240" w:lineRule="auto"/>
        <w:jc w:val="right"/>
        <w:rPr>
          <w:rFonts w:cstheme="minorHAnsi"/>
          <w:sz w:val="28"/>
          <w:szCs w:val="28"/>
        </w:rPr>
      </w:pPr>
      <w:r w:rsidRPr="005E1103">
        <w:rPr>
          <w:rFonts w:cstheme="minorHAnsi"/>
          <w:sz w:val="28"/>
          <w:szCs w:val="28"/>
        </w:rPr>
        <w:t xml:space="preserve">Jefe de Trabajos Prácticos; </w:t>
      </w:r>
    </w:p>
    <w:p w:rsidR="00DF59FF" w:rsidRPr="005E1103" w:rsidRDefault="00DF59FF" w:rsidP="00DF59FF">
      <w:pPr>
        <w:autoSpaceDE w:val="0"/>
        <w:autoSpaceDN w:val="0"/>
        <w:adjustRightInd w:val="0"/>
        <w:spacing w:after="0" w:line="240" w:lineRule="auto"/>
        <w:jc w:val="right"/>
        <w:rPr>
          <w:rFonts w:cstheme="minorHAnsi"/>
          <w:sz w:val="28"/>
          <w:szCs w:val="28"/>
        </w:rPr>
      </w:pPr>
      <w:r w:rsidRPr="005E1103">
        <w:rPr>
          <w:rFonts w:cstheme="minorHAnsi"/>
          <w:sz w:val="28"/>
          <w:szCs w:val="28"/>
        </w:rPr>
        <w:t>TORRES, Liliana G.</w:t>
      </w:r>
      <w:hyperlink r:id="rId66" w:history="1">
        <w:r w:rsidRPr="005E1103">
          <w:rPr>
            <w:rStyle w:val="Hipervnculo"/>
            <w:rFonts w:cstheme="minorHAnsi"/>
            <w:sz w:val="28"/>
            <w:szCs w:val="28"/>
          </w:rPr>
          <w:t>mailto:</w:t>
        </w:r>
      </w:hyperlink>
    </w:p>
    <w:p w:rsidR="00DF59FF" w:rsidRPr="005E1103" w:rsidRDefault="00DF59FF" w:rsidP="00DF59FF">
      <w:pPr>
        <w:autoSpaceDE w:val="0"/>
        <w:autoSpaceDN w:val="0"/>
        <w:adjustRightInd w:val="0"/>
        <w:spacing w:after="0" w:line="240" w:lineRule="auto"/>
        <w:jc w:val="right"/>
        <w:rPr>
          <w:rFonts w:cstheme="minorHAnsi"/>
          <w:sz w:val="28"/>
          <w:szCs w:val="28"/>
        </w:rPr>
      </w:pPr>
      <w:r w:rsidRPr="005E1103">
        <w:rPr>
          <w:rFonts w:cstheme="minorHAnsi"/>
          <w:sz w:val="28"/>
          <w:szCs w:val="28"/>
        </w:rPr>
        <w:t xml:space="preserve">Auxiliar Docente; </w:t>
      </w:r>
    </w:p>
    <w:p w:rsidR="00DF59FF" w:rsidRPr="005E1103" w:rsidRDefault="00DF59FF" w:rsidP="00DF59FF">
      <w:pPr>
        <w:autoSpaceDE w:val="0"/>
        <w:autoSpaceDN w:val="0"/>
        <w:adjustRightInd w:val="0"/>
        <w:spacing w:after="0" w:line="240" w:lineRule="auto"/>
        <w:jc w:val="right"/>
        <w:rPr>
          <w:rFonts w:cstheme="minorHAnsi"/>
          <w:sz w:val="28"/>
          <w:szCs w:val="28"/>
        </w:rPr>
      </w:pPr>
      <w:r w:rsidRPr="005E1103">
        <w:rPr>
          <w:rFonts w:cstheme="minorHAnsi"/>
          <w:sz w:val="28"/>
          <w:szCs w:val="28"/>
        </w:rPr>
        <w:t>ZORRILLA, Mario</w:t>
      </w:r>
    </w:p>
    <w:p w:rsidR="00DF59FF" w:rsidRPr="005E1103" w:rsidRDefault="00DF59FF" w:rsidP="00DF59FF">
      <w:pPr>
        <w:autoSpaceDE w:val="0"/>
        <w:autoSpaceDN w:val="0"/>
        <w:adjustRightInd w:val="0"/>
        <w:spacing w:after="0" w:line="240" w:lineRule="auto"/>
        <w:jc w:val="right"/>
        <w:rPr>
          <w:rFonts w:cstheme="minorHAnsi"/>
          <w:sz w:val="28"/>
          <w:szCs w:val="28"/>
        </w:rPr>
      </w:pPr>
      <w:r w:rsidRPr="005E1103">
        <w:rPr>
          <w:rFonts w:cstheme="minorHAnsi"/>
          <w:sz w:val="28"/>
          <w:szCs w:val="28"/>
        </w:rPr>
        <w:t>Auxiliar Docente;</w:t>
      </w:r>
    </w:p>
    <w:p w:rsidR="00DF59FF" w:rsidRPr="005E1103" w:rsidRDefault="00DF59FF" w:rsidP="00DF59FF">
      <w:pPr>
        <w:autoSpaceDE w:val="0"/>
        <w:autoSpaceDN w:val="0"/>
        <w:adjustRightInd w:val="0"/>
        <w:spacing w:after="0" w:line="240" w:lineRule="auto"/>
        <w:jc w:val="right"/>
        <w:rPr>
          <w:rFonts w:cstheme="minorHAnsi"/>
          <w:sz w:val="28"/>
          <w:szCs w:val="28"/>
        </w:rPr>
      </w:pPr>
      <w:r w:rsidRPr="005E1103">
        <w:rPr>
          <w:rFonts w:cstheme="minorHAnsi"/>
          <w:sz w:val="28"/>
          <w:szCs w:val="28"/>
        </w:rPr>
        <w:t xml:space="preserve">ZALAZAR, Juan Pablo </w:t>
      </w:r>
    </w:p>
    <w:p w:rsidR="00DF59FF" w:rsidRPr="005E1103" w:rsidRDefault="00DF59FF" w:rsidP="00DF59FF">
      <w:pPr>
        <w:autoSpaceDE w:val="0"/>
        <w:autoSpaceDN w:val="0"/>
        <w:adjustRightInd w:val="0"/>
        <w:spacing w:after="0" w:line="240" w:lineRule="auto"/>
        <w:jc w:val="right"/>
        <w:rPr>
          <w:rFonts w:cstheme="minorHAnsi"/>
          <w:sz w:val="28"/>
          <w:szCs w:val="28"/>
        </w:rPr>
      </w:pPr>
      <w:r w:rsidRPr="005E1103">
        <w:rPr>
          <w:rFonts w:cstheme="minorHAnsi"/>
          <w:sz w:val="28"/>
          <w:szCs w:val="28"/>
        </w:rPr>
        <w:t>Adscripto</w:t>
      </w:r>
    </w:p>
    <w:p w:rsidR="00DF59FF" w:rsidRPr="005E1103" w:rsidRDefault="00DF59FF" w:rsidP="00DF59FF">
      <w:pPr>
        <w:autoSpaceDE w:val="0"/>
        <w:autoSpaceDN w:val="0"/>
        <w:adjustRightInd w:val="0"/>
        <w:spacing w:after="0" w:line="240" w:lineRule="auto"/>
        <w:jc w:val="right"/>
        <w:rPr>
          <w:rFonts w:cstheme="minorHAnsi"/>
          <w:sz w:val="28"/>
          <w:szCs w:val="28"/>
        </w:rPr>
      </w:pPr>
    </w:p>
    <w:p w:rsidR="00DF59FF" w:rsidRPr="005E1103" w:rsidRDefault="00DF59FF" w:rsidP="00DF59FF">
      <w:pPr>
        <w:autoSpaceDE w:val="0"/>
        <w:autoSpaceDN w:val="0"/>
        <w:adjustRightInd w:val="0"/>
        <w:spacing w:after="0" w:line="240" w:lineRule="auto"/>
        <w:jc w:val="right"/>
        <w:rPr>
          <w:rFonts w:cstheme="minorHAnsi"/>
          <w:sz w:val="28"/>
          <w:szCs w:val="28"/>
        </w:rPr>
      </w:pPr>
      <w:r w:rsidRPr="005E1103">
        <w:rPr>
          <w:rFonts w:cstheme="minorHAnsi"/>
          <w:sz w:val="28"/>
          <w:szCs w:val="28"/>
        </w:rPr>
        <w:t>Cátedra Arquitectura II – UPC</w:t>
      </w:r>
    </w:p>
    <w:p w:rsidR="00DF59FF" w:rsidRPr="005E1103" w:rsidRDefault="00DF59FF" w:rsidP="00DF59FF">
      <w:pPr>
        <w:autoSpaceDE w:val="0"/>
        <w:autoSpaceDN w:val="0"/>
        <w:adjustRightInd w:val="0"/>
        <w:spacing w:after="0" w:line="240" w:lineRule="auto"/>
        <w:jc w:val="right"/>
        <w:rPr>
          <w:rFonts w:cstheme="minorHAnsi"/>
          <w:sz w:val="28"/>
          <w:szCs w:val="28"/>
        </w:rPr>
      </w:pPr>
      <w:r w:rsidRPr="005E1103">
        <w:rPr>
          <w:rFonts w:cstheme="minorHAnsi"/>
          <w:sz w:val="28"/>
          <w:szCs w:val="28"/>
        </w:rPr>
        <w:t>Facultad de Arquitectura y Urbanismo</w:t>
      </w:r>
    </w:p>
    <w:p w:rsidR="00DF59FF" w:rsidRPr="005E1103" w:rsidRDefault="00DF59FF" w:rsidP="00DF59FF">
      <w:pPr>
        <w:autoSpaceDE w:val="0"/>
        <w:autoSpaceDN w:val="0"/>
        <w:adjustRightInd w:val="0"/>
        <w:spacing w:after="0" w:line="240" w:lineRule="auto"/>
        <w:jc w:val="right"/>
        <w:rPr>
          <w:rFonts w:cstheme="minorHAnsi"/>
          <w:sz w:val="28"/>
          <w:szCs w:val="28"/>
        </w:rPr>
      </w:pPr>
      <w:r w:rsidRPr="005E1103">
        <w:rPr>
          <w:rFonts w:cstheme="minorHAnsi"/>
          <w:sz w:val="28"/>
          <w:szCs w:val="28"/>
        </w:rPr>
        <w:t>Universidad Nacional del Nordeste</w:t>
      </w:r>
    </w:p>
    <w:p w:rsidR="00DF59FF" w:rsidRPr="005E1103" w:rsidRDefault="00DF59FF" w:rsidP="00DF59FF">
      <w:pPr>
        <w:autoSpaceDE w:val="0"/>
        <w:autoSpaceDN w:val="0"/>
        <w:adjustRightInd w:val="0"/>
        <w:spacing w:after="0" w:line="240" w:lineRule="auto"/>
        <w:jc w:val="right"/>
        <w:rPr>
          <w:rFonts w:cstheme="minorHAnsi"/>
          <w:sz w:val="28"/>
          <w:szCs w:val="28"/>
        </w:rPr>
      </w:pPr>
    </w:p>
    <w:p w:rsidR="00DF59FF" w:rsidRPr="005E1103" w:rsidRDefault="00DF59FF" w:rsidP="00DF59FF">
      <w:pPr>
        <w:autoSpaceDE w:val="0"/>
        <w:autoSpaceDN w:val="0"/>
        <w:adjustRightInd w:val="0"/>
        <w:spacing w:after="0" w:line="240" w:lineRule="auto"/>
        <w:jc w:val="right"/>
        <w:rPr>
          <w:rFonts w:cstheme="minorHAnsi"/>
          <w:sz w:val="28"/>
          <w:szCs w:val="28"/>
        </w:rPr>
      </w:pPr>
    </w:p>
    <w:p w:rsidR="00DF59FF" w:rsidRPr="005E1103" w:rsidRDefault="00DF59FF" w:rsidP="00DF59FF">
      <w:pPr>
        <w:autoSpaceDE w:val="0"/>
        <w:autoSpaceDN w:val="0"/>
        <w:adjustRightInd w:val="0"/>
        <w:spacing w:after="0" w:line="240" w:lineRule="auto"/>
        <w:rPr>
          <w:rFonts w:cstheme="minorHAnsi"/>
          <w:sz w:val="28"/>
          <w:szCs w:val="28"/>
        </w:rPr>
      </w:pPr>
    </w:p>
    <w:p w:rsidR="00DF59FF" w:rsidRPr="005E1103" w:rsidRDefault="00DF59FF" w:rsidP="00DF59FF">
      <w:pPr>
        <w:autoSpaceDE w:val="0"/>
        <w:autoSpaceDN w:val="0"/>
        <w:adjustRightInd w:val="0"/>
        <w:spacing w:after="0" w:line="240" w:lineRule="auto"/>
        <w:rPr>
          <w:rFonts w:cstheme="minorHAnsi"/>
          <w:sz w:val="28"/>
          <w:szCs w:val="28"/>
        </w:rPr>
      </w:pPr>
    </w:p>
    <w:p w:rsidR="00DF59FF" w:rsidRPr="00995D7A" w:rsidRDefault="00DF59FF" w:rsidP="00DF59FF">
      <w:pPr>
        <w:pStyle w:val="Prrafodelista"/>
        <w:numPr>
          <w:ilvl w:val="0"/>
          <w:numId w:val="38"/>
        </w:numPr>
        <w:spacing w:before="0" w:line="360" w:lineRule="auto"/>
        <w:jc w:val="both"/>
        <w:rPr>
          <w:rFonts w:asciiTheme="minorHAnsi" w:hAnsiTheme="minorHAnsi" w:cstheme="minorHAnsi"/>
          <w:b/>
          <w:sz w:val="28"/>
          <w:szCs w:val="28"/>
        </w:rPr>
      </w:pPr>
      <w:r w:rsidRPr="00995D7A">
        <w:rPr>
          <w:rFonts w:asciiTheme="minorHAnsi" w:hAnsiTheme="minorHAnsi" w:cstheme="minorHAnsi"/>
          <w:b/>
          <w:sz w:val="28"/>
          <w:szCs w:val="28"/>
        </w:rPr>
        <w:t>RESUMEN</w:t>
      </w:r>
    </w:p>
    <w:p w:rsidR="00DF59FF" w:rsidRPr="005E1103" w:rsidRDefault="00DF59FF" w:rsidP="00DF59FF">
      <w:pPr>
        <w:spacing w:after="0" w:line="360" w:lineRule="auto"/>
        <w:jc w:val="both"/>
        <w:rPr>
          <w:rFonts w:cstheme="minorHAnsi"/>
          <w:sz w:val="28"/>
          <w:szCs w:val="28"/>
        </w:rPr>
      </w:pPr>
      <w:r w:rsidRPr="005E1103">
        <w:rPr>
          <w:rFonts w:cstheme="minorHAnsi"/>
          <w:sz w:val="28"/>
          <w:szCs w:val="28"/>
        </w:rPr>
        <w:t xml:space="preserve">El presente se propone reflejar el proceso y forma de trabajo de un grupo de docentes de distintas Unidades académicas y campos disciplinares de la Universidad Nacional del Nordeste (UNNE)  en torno a la temática de la Discapacidad y el Diseño Universal, a partir del cual se ha gestado la Cátedra Libre “Diseño Universal e Inclusión” (CLDUeI), espacio abierto e interdisciplinario orientado a propiciar el intercambio de miradas y experiencias, promoviendo un enfoque innovador e inclusivo y la construcción de un marco teórico y metodológico capaz de abordar el desafío que enfrenta la educación superior del presente y del futuro sobre una perspectiva de derechos. </w:t>
      </w:r>
    </w:p>
    <w:p w:rsidR="00DF59FF" w:rsidRPr="005E1103" w:rsidRDefault="00DF59FF" w:rsidP="00DF59FF">
      <w:pPr>
        <w:spacing w:after="0" w:line="360" w:lineRule="auto"/>
        <w:jc w:val="both"/>
        <w:rPr>
          <w:rFonts w:cstheme="minorHAnsi"/>
          <w:sz w:val="28"/>
          <w:szCs w:val="28"/>
        </w:rPr>
      </w:pPr>
      <w:r w:rsidRPr="005E1103">
        <w:rPr>
          <w:rFonts w:cstheme="minorHAnsi"/>
          <w:sz w:val="28"/>
          <w:szCs w:val="28"/>
        </w:rPr>
        <w:lastRenderedPageBreak/>
        <w:t xml:space="preserve">Si bien hay avances en materia normativa en la Argentina </w:t>
      </w:r>
      <w:r w:rsidR="00995D7A" w:rsidRPr="005E1103">
        <w:rPr>
          <w:rFonts w:cstheme="minorHAnsi"/>
          <w:sz w:val="28"/>
          <w:szCs w:val="28"/>
        </w:rPr>
        <w:t>que establecen</w:t>
      </w:r>
      <w:r w:rsidRPr="005E1103">
        <w:rPr>
          <w:rFonts w:cstheme="minorHAnsi"/>
          <w:sz w:val="28"/>
          <w:szCs w:val="28"/>
        </w:rPr>
        <w:t xml:space="preserve"> responsabilidades </w:t>
      </w:r>
      <w:r w:rsidR="00995D7A" w:rsidRPr="005E1103">
        <w:rPr>
          <w:rFonts w:cstheme="minorHAnsi"/>
          <w:sz w:val="28"/>
          <w:szCs w:val="28"/>
        </w:rPr>
        <w:t>y compromiso</w:t>
      </w:r>
      <w:r w:rsidRPr="005E1103">
        <w:rPr>
          <w:rFonts w:cstheme="minorHAnsi"/>
          <w:sz w:val="28"/>
          <w:szCs w:val="28"/>
        </w:rPr>
        <w:t xml:space="preserve"> del Estado sobre la inclusión de estudiantes con discapacidad en el sistema educativo y en la incorporación de la problemática de la discapacidad en el Currículum universitario, los progresos logrados en </w:t>
      </w:r>
      <w:r w:rsidR="00995D7A" w:rsidRPr="005E1103">
        <w:rPr>
          <w:rFonts w:cstheme="minorHAnsi"/>
          <w:sz w:val="28"/>
          <w:szCs w:val="28"/>
        </w:rPr>
        <w:t>el sistema</w:t>
      </w:r>
      <w:r w:rsidRPr="005E1103">
        <w:rPr>
          <w:rFonts w:cstheme="minorHAnsi"/>
          <w:sz w:val="28"/>
          <w:szCs w:val="28"/>
        </w:rPr>
        <w:t xml:space="preserve"> universitario no han sido significativos ni sostenidos. </w:t>
      </w:r>
    </w:p>
    <w:p w:rsidR="00DF59FF" w:rsidRPr="005E1103" w:rsidRDefault="00DF59FF" w:rsidP="00DF59FF">
      <w:pPr>
        <w:spacing w:after="0" w:line="360" w:lineRule="auto"/>
        <w:jc w:val="both"/>
        <w:rPr>
          <w:rFonts w:cstheme="minorHAnsi"/>
          <w:iCs/>
          <w:sz w:val="28"/>
          <w:szCs w:val="28"/>
        </w:rPr>
      </w:pPr>
      <w:r w:rsidRPr="005E1103">
        <w:rPr>
          <w:rFonts w:cstheme="minorHAnsi"/>
          <w:iCs/>
          <w:sz w:val="28"/>
          <w:szCs w:val="28"/>
        </w:rPr>
        <w:t xml:space="preserve">La accesibilidad y el diseño universal, que pretende concebir productos, equipamientos, sistemas edilicios, de transporte y tecnologías </w:t>
      </w:r>
      <w:r w:rsidR="00995D7A" w:rsidRPr="005E1103">
        <w:rPr>
          <w:rFonts w:cstheme="minorHAnsi"/>
          <w:iCs/>
          <w:sz w:val="28"/>
          <w:szCs w:val="28"/>
        </w:rPr>
        <w:t>accesibles utilizables</w:t>
      </w:r>
      <w:r w:rsidRPr="005E1103">
        <w:rPr>
          <w:rFonts w:cstheme="minorHAnsi"/>
          <w:iCs/>
          <w:sz w:val="28"/>
          <w:szCs w:val="28"/>
        </w:rPr>
        <w:t xml:space="preserve"> por todos independientemente de cuestiones de género, etnia o discapacidad, entre otros factores</w:t>
      </w:r>
      <w:r w:rsidRPr="005E1103">
        <w:rPr>
          <w:rFonts w:cstheme="minorHAnsi"/>
          <w:iCs/>
          <w:color w:val="FF0000"/>
          <w:sz w:val="28"/>
          <w:szCs w:val="28"/>
        </w:rPr>
        <w:t xml:space="preserve"> </w:t>
      </w:r>
      <w:r w:rsidRPr="005E1103">
        <w:rPr>
          <w:rFonts w:cstheme="minorHAnsi"/>
          <w:iCs/>
          <w:sz w:val="28"/>
          <w:szCs w:val="28"/>
        </w:rPr>
        <w:t>correlacionados (Preiser &amp;Ostroff. Universal Design Book. 2001), sirve de marco conceptual y procedimental para promover un enfoque inter y transdisciplinar que sustente una educación más comprometida e inclusiva e instituciones más abiertas y respetuosas de los derechos de las personas.</w:t>
      </w:r>
    </w:p>
    <w:p w:rsidR="00DF59FF" w:rsidRPr="005E1103" w:rsidRDefault="00DF59FF" w:rsidP="00DF59FF">
      <w:pPr>
        <w:spacing w:after="0" w:line="360" w:lineRule="auto"/>
        <w:jc w:val="both"/>
        <w:rPr>
          <w:rFonts w:cstheme="minorHAnsi"/>
          <w:iCs/>
          <w:sz w:val="28"/>
          <w:szCs w:val="28"/>
        </w:rPr>
      </w:pPr>
      <w:r w:rsidRPr="005E1103">
        <w:rPr>
          <w:rFonts w:cstheme="minorHAnsi"/>
          <w:iCs/>
          <w:sz w:val="28"/>
          <w:szCs w:val="28"/>
        </w:rPr>
        <w:t>La iniciativa promovida por un equipo de docentes de la Facultad de Arquitectura y Urbanismo logró interesar a equipos de otras facultades de la UNNE e instituciones externas, impulsando actividades de intercambio de experiencias, extensión, formación y planteo de nuevas líneas de investigación y vinculación tecnológica, proceso que como resultados más visibles fueron la creación de la Cátedra Libre y la creación del Programa Integral de Inclusión de Personas en Situación de Discapacidad de la UNNE</w:t>
      </w:r>
    </w:p>
    <w:p w:rsidR="00DF59FF" w:rsidRPr="005E1103" w:rsidRDefault="00DF59FF" w:rsidP="00DF59FF">
      <w:pPr>
        <w:spacing w:after="0" w:line="360" w:lineRule="auto"/>
        <w:jc w:val="both"/>
        <w:rPr>
          <w:rFonts w:cstheme="minorHAnsi"/>
          <w:iCs/>
          <w:sz w:val="28"/>
          <w:szCs w:val="28"/>
        </w:rPr>
      </w:pPr>
    </w:p>
    <w:p w:rsidR="00DF59FF" w:rsidRPr="00995D7A" w:rsidRDefault="00DF59FF" w:rsidP="00DF59FF">
      <w:pPr>
        <w:pStyle w:val="Prrafodelista"/>
        <w:numPr>
          <w:ilvl w:val="0"/>
          <w:numId w:val="38"/>
        </w:numPr>
        <w:spacing w:before="0" w:line="360" w:lineRule="auto"/>
        <w:jc w:val="both"/>
        <w:rPr>
          <w:rFonts w:asciiTheme="minorHAnsi" w:hAnsiTheme="minorHAnsi" w:cstheme="minorHAnsi"/>
          <w:b/>
          <w:iCs/>
          <w:sz w:val="28"/>
          <w:szCs w:val="28"/>
        </w:rPr>
      </w:pPr>
      <w:r w:rsidRPr="00995D7A">
        <w:rPr>
          <w:rFonts w:asciiTheme="minorHAnsi" w:hAnsiTheme="minorHAnsi" w:cstheme="minorHAnsi"/>
          <w:b/>
          <w:iCs/>
          <w:sz w:val="28"/>
          <w:szCs w:val="28"/>
        </w:rPr>
        <w:t>INTRODUCCIÓN</w:t>
      </w:r>
    </w:p>
    <w:p w:rsidR="00DF59FF" w:rsidRPr="005E1103" w:rsidRDefault="00DF59FF" w:rsidP="00DF59FF">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 xml:space="preserve">La sociedad en general tiene un </w:t>
      </w:r>
      <w:r w:rsidRPr="005E1103">
        <w:rPr>
          <w:rFonts w:eastAsia="Times New Roman" w:cstheme="minorHAnsi"/>
          <w:bCs/>
          <w:sz w:val="28"/>
          <w:szCs w:val="28"/>
          <w:lang w:eastAsia="es-ES"/>
        </w:rPr>
        <w:t>escaso conocimiento y preocupación</w:t>
      </w:r>
      <w:r w:rsidRPr="005E1103">
        <w:rPr>
          <w:rFonts w:eastAsia="Times New Roman" w:cstheme="minorHAnsi"/>
          <w:b/>
          <w:bCs/>
          <w:sz w:val="28"/>
          <w:szCs w:val="28"/>
          <w:lang w:eastAsia="es-ES"/>
        </w:rPr>
        <w:t xml:space="preserve"> </w:t>
      </w:r>
      <w:r w:rsidRPr="005E1103">
        <w:rPr>
          <w:rFonts w:eastAsia="Times New Roman" w:cstheme="minorHAnsi"/>
          <w:sz w:val="28"/>
          <w:szCs w:val="28"/>
          <w:lang w:eastAsia="es-ES"/>
        </w:rPr>
        <w:t>respecto de las problemáticas de la falta de accesibilidad entre otros al medio físico y social a</w:t>
      </w:r>
      <w:r w:rsidRPr="005E1103">
        <w:rPr>
          <w:rFonts w:eastAsia="Times New Roman" w:cstheme="minorHAnsi"/>
          <w:sz w:val="28"/>
          <w:szCs w:val="28"/>
          <w:lang w:val="es-ES_tradnl" w:eastAsia="es-ES"/>
        </w:rPr>
        <w:t xml:space="preserve"> partir de las limitaciones que generan los entornos físicos, sociales, culturales, normativos</w:t>
      </w:r>
      <w:r w:rsidRPr="005E1103">
        <w:rPr>
          <w:rFonts w:eastAsia="Times New Roman" w:cstheme="minorHAnsi"/>
          <w:sz w:val="28"/>
          <w:szCs w:val="28"/>
          <w:lang w:eastAsia="es-ES"/>
        </w:rPr>
        <w:t xml:space="preserve"> y su incidencia en el desarrollo personal y colectivo de las personas con discapacidad, movilidad y/ó comunicación reducidas. </w:t>
      </w:r>
    </w:p>
    <w:p w:rsidR="00DF59FF" w:rsidRPr="005E1103" w:rsidRDefault="00DF59FF" w:rsidP="00DF59FF">
      <w:pPr>
        <w:spacing w:after="0" w:line="360" w:lineRule="auto"/>
        <w:jc w:val="both"/>
        <w:rPr>
          <w:rFonts w:cstheme="minorHAnsi"/>
          <w:iCs/>
          <w:sz w:val="28"/>
          <w:szCs w:val="28"/>
        </w:rPr>
      </w:pPr>
      <w:r w:rsidRPr="005E1103">
        <w:rPr>
          <w:rFonts w:cstheme="minorHAnsi"/>
          <w:iCs/>
          <w:sz w:val="28"/>
          <w:szCs w:val="28"/>
        </w:rPr>
        <w:t xml:space="preserve">Así mismo y hacia el interior de la comunidad universitaria se denota una </w:t>
      </w:r>
      <w:r w:rsidRPr="005E1103">
        <w:rPr>
          <w:rFonts w:eastAsia="Times New Roman" w:cstheme="minorHAnsi"/>
          <w:bCs/>
          <w:sz w:val="28"/>
          <w:szCs w:val="28"/>
          <w:lang w:eastAsia="es-ES"/>
        </w:rPr>
        <w:t>débil aunque creciente conciencia en docentes y estudiantes universitarios</w:t>
      </w:r>
      <w:r w:rsidRPr="005E1103">
        <w:rPr>
          <w:rFonts w:eastAsia="Times New Roman" w:cstheme="minorHAnsi"/>
          <w:b/>
          <w:bCs/>
          <w:sz w:val="28"/>
          <w:szCs w:val="28"/>
          <w:lang w:eastAsia="es-ES"/>
        </w:rPr>
        <w:t xml:space="preserve"> </w:t>
      </w:r>
      <w:r w:rsidRPr="005E1103">
        <w:rPr>
          <w:rFonts w:eastAsia="Times New Roman" w:cstheme="minorHAnsi"/>
          <w:sz w:val="28"/>
          <w:szCs w:val="28"/>
          <w:lang w:eastAsia="es-ES"/>
        </w:rPr>
        <w:t xml:space="preserve">acerca del reconocimiento </w:t>
      </w:r>
      <w:r w:rsidRPr="005E1103">
        <w:rPr>
          <w:rFonts w:eastAsia="Times New Roman" w:cstheme="minorHAnsi"/>
          <w:sz w:val="28"/>
          <w:szCs w:val="28"/>
          <w:lang w:eastAsia="es-ES"/>
        </w:rPr>
        <w:lastRenderedPageBreak/>
        <w:t>de la diversidad social, en particular de las personas con movilidad y comunicación restringida y del rol que le compete a los profesionales universitarios a través del diseño, en la eliminación de barreras urbano-arquitectónicas, posibilitando la integración social y equiparación de oportunidades para todos los usuarios a partir de un entorno más amigable. Esto limita las competencias y habilidades de los futuros profesionales, haciendo recomendable que los mismos</w:t>
      </w:r>
      <w:r w:rsidRPr="005E1103">
        <w:rPr>
          <w:rFonts w:eastAsia="Times New Roman" w:cstheme="minorHAnsi"/>
          <w:color w:val="FF0000"/>
          <w:sz w:val="28"/>
          <w:szCs w:val="28"/>
          <w:lang w:eastAsia="es-ES"/>
        </w:rPr>
        <w:t xml:space="preserve"> </w:t>
      </w:r>
      <w:r w:rsidRPr="005E1103">
        <w:rPr>
          <w:rFonts w:eastAsia="Times New Roman" w:cstheme="minorHAnsi"/>
          <w:sz w:val="28"/>
          <w:szCs w:val="28"/>
          <w:lang w:eastAsia="es-ES"/>
        </w:rPr>
        <w:t>puedan internalizar una concepción integrada y actualizada de ese campo del conocimiento, y capacitarse para responder a las exigencias normativas específicas y a la vez promover su creatividad en las soluciones posibles.</w:t>
      </w:r>
    </w:p>
    <w:p w:rsidR="00DF59FF" w:rsidRPr="005E1103" w:rsidRDefault="00DF59FF" w:rsidP="00DF59FF">
      <w:pPr>
        <w:spacing w:after="0" w:line="360" w:lineRule="auto"/>
        <w:jc w:val="both"/>
        <w:rPr>
          <w:rFonts w:cstheme="minorHAnsi"/>
          <w:iCs/>
          <w:color w:val="FF0000"/>
          <w:sz w:val="28"/>
          <w:szCs w:val="28"/>
        </w:rPr>
      </w:pPr>
      <w:r w:rsidRPr="005E1103">
        <w:rPr>
          <w:rFonts w:cstheme="minorHAnsi"/>
          <w:iCs/>
          <w:sz w:val="28"/>
          <w:szCs w:val="28"/>
        </w:rPr>
        <w:t>En este contexto la cátedra se propone aportar desde el ámbito académico y científico a los esfuerzos que realiza la UNNE, en términos de procesos, proyectos y acciones para colaborar con el impulso de un vigoroso proceso de inclusión en la comunidad universitaria de la UNNE.</w:t>
      </w:r>
    </w:p>
    <w:p w:rsidR="00DF59FF" w:rsidRPr="005E1103" w:rsidRDefault="00DF59FF" w:rsidP="00DF59FF">
      <w:pPr>
        <w:spacing w:after="0" w:line="360" w:lineRule="auto"/>
        <w:jc w:val="both"/>
        <w:rPr>
          <w:rFonts w:cstheme="minorHAnsi"/>
          <w:iCs/>
          <w:sz w:val="28"/>
          <w:szCs w:val="28"/>
        </w:rPr>
      </w:pPr>
    </w:p>
    <w:p w:rsidR="00DF59FF" w:rsidRPr="00995D7A" w:rsidRDefault="00DF59FF" w:rsidP="00DF59FF">
      <w:pPr>
        <w:pStyle w:val="Prrafodelista"/>
        <w:numPr>
          <w:ilvl w:val="0"/>
          <w:numId w:val="38"/>
        </w:numPr>
        <w:spacing w:before="0" w:line="360" w:lineRule="auto"/>
        <w:jc w:val="both"/>
        <w:rPr>
          <w:rFonts w:asciiTheme="minorHAnsi" w:hAnsiTheme="minorHAnsi" w:cstheme="minorHAnsi"/>
          <w:b/>
          <w:iCs/>
          <w:sz w:val="28"/>
          <w:szCs w:val="28"/>
        </w:rPr>
      </w:pPr>
      <w:r w:rsidRPr="00995D7A">
        <w:rPr>
          <w:rFonts w:asciiTheme="minorHAnsi" w:hAnsiTheme="minorHAnsi" w:cstheme="minorHAnsi"/>
          <w:b/>
          <w:iCs/>
          <w:sz w:val="28"/>
          <w:szCs w:val="28"/>
        </w:rPr>
        <w:t xml:space="preserve">EL PROBLEMA DE ESTUDIO </w:t>
      </w:r>
    </w:p>
    <w:p w:rsidR="00DF59FF" w:rsidRPr="005E1103" w:rsidRDefault="00DF59FF" w:rsidP="00DF59FF">
      <w:pPr>
        <w:spacing w:after="0" w:line="360" w:lineRule="auto"/>
        <w:jc w:val="both"/>
        <w:rPr>
          <w:rFonts w:eastAsiaTheme="minorEastAsia" w:cstheme="minorHAnsi"/>
          <w:iCs/>
          <w:sz w:val="28"/>
          <w:szCs w:val="28"/>
          <w:lang w:eastAsia="es-AR"/>
        </w:rPr>
      </w:pPr>
      <w:r w:rsidRPr="005E1103">
        <w:rPr>
          <w:rFonts w:cstheme="minorHAnsi"/>
          <w:iCs/>
          <w:sz w:val="28"/>
          <w:szCs w:val="28"/>
        </w:rPr>
        <w:t xml:space="preserve">Existen en nuestro país, una serie de instrumentos normativos que establecen la exigencia </w:t>
      </w:r>
      <w:r w:rsidR="00995D7A" w:rsidRPr="005E1103">
        <w:rPr>
          <w:rFonts w:cstheme="minorHAnsi"/>
          <w:sz w:val="28"/>
          <w:szCs w:val="28"/>
        </w:rPr>
        <w:t>y compromiso</w:t>
      </w:r>
      <w:r w:rsidRPr="005E1103">
        <w:rPr>
          <w:rFonts w:cstheme="minorHAnsi"/>
          <w:sz w:val="28"/>
          <w:szCs w:val="28"/>
        </w:rPr>
        <w:t xml:space="preserve"> del Estado</w:t>
      </w:r>
      <w:r w:rsidRPr="005E1103">
        <w:rPr>
          <w:rFonts w:cstheme="minorHAnsi"/>
          <w:iCs/>
          <w:sz w:val="28"/>
          <w:szCs w:val="28"/>
        </w:rPr>
        <w:t xml:space="preserve"> de incorporar la temática de </w:t>
      </w:r>
      <w:r w:rsidR="00995D7A" w:rsidRPr="005E1103">
        <w:rPr>
          <w:rFonts w:cstheme="minorHAnsi"/>
          <w:iCs/>
          <w:sz w:val="28"/>
          <w:szCs w:val="28"/>
        </w:rPr>
        <w:t>la inclusión</w:t>
      </w:r>
      <w:r w:rsidRPr="005E1103">
        <w:rPr>
          <w:rFonts w:cstheme="minorHAnsi"/>
          <w:iCs/>
          <w:sz w:val="28"/>
          <w:szCs w:val="28"/>
        </w:rPr>
        <w:t xml:space="preserve"> a las currículas, como así también la incorporación de estudiantes con discapacidad al sistema educativo,  </w:t>
      </w:r>
      <w:r w:rsidRPr="005E1103">
        <w:rPr>
          <w:rFonts w:eastAsiaTheme="minorEastAsia" w:cstheme="minorHAnsi"/>
          <w:iCs/>
          <w:sz w:val="28"/>
          <w:szCs w:val="28"/>
          <w:lang w:eastAsia="es-AR"/>
        </w:rPr>
        <w:t>lo cual comprende al Sistema de educación superior.</w:t>
      </w:r>
    </w:p>
    <w:p w:rsidR="00DF59FF" w:rsidRPr="005E1103" w:rsidRDefault="00DF59FF" w:rsidP="00DF59FF">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 xml:space="preserve">La República Argentina adhirió tanto a la Convención Internacional de las Naciones Unidas sobre los Derechos de las Personas con Discapacidad (CDPD) como al Protocolo Facultativo en el año 2008 (por Ley N° 26.378). Dicha Convención expresa que tanto la Declaración Universal de Derechos Humanos como los Pactos de Derechos Humanos enuncian estos derechos para todas las personas; sin </w:t>
      </w:r>
      <w:r w:rsidR="00995D7A" w:rsidRPr="005E1103">
        <w:rPr>
          <w:rFonts w:eastAsia="Times New Roman" w:cstheme="minorHAnsi"/>
          <w:sz w:val="28"/>
          <w:szCs w:val="28"/>
          <w:lang w:eastAsia="es-ES"/>
        </w:rPr>
        <w:t>embargo,</w:t>
      </w:r>
      <w:r w:rsidRPr="005E1103">
        <w:rPr>
          <w:rFonts w:eastAsia="Times New Roman" w:cstheme="minorHAnsi"/>
          <w:sz w:val="28"/>
          <w:szCs w:val="28"/>
          <w:lang w:eastAsia="es-ES"/>
        </w:rPr>
        <w:t xml:space="preserve"> reafirma la necesidad de garantías para el efectivo ejercicio de los mismos. </w:t>
      </w:r>
    </w:p>
    <w:p w:rsidR="00DF59FF" w:rsidRPr="005E1103" w:rsidRDefault="00DF59FF" w:rsidP="00DF59FF">
      <w:pPr>
        <w:spacing w:after="0" w:line="360" w:lineRule="auto"/>
        <w:jc w:val="both"/>
        <w:rPr>
          <w:rFonts w:eastAsia="Times New Roman" w:cstheme="minorHAnsi"/>
          <w:i/>
          <w:sz w:val="28"/>
          <w:szCs w:val="28"/>
          <w:lang w:eastAsia="es-ES"/>
        </w:rPr>
      </w:pPr>
      <w:r w:rsidRPr="005E1103">
        <w:rPr>
          <w:rFonts w:eastAsia="Times New Roman" w:cstheme="minorHAnsi"/>
          <w:sz w:val="28"/>
          <w:szCs w:val="28"/>
          <w:lang w:eastAsia="es-ES"/>
        </w:rPr>
        <w:t xml:space="preserve">Reconoce además </w:t>
      </w:r>
      <w:r w:rsidRPr="005E1103">
        <w:rPr>
          <w:rFonts w:eastAsia="Times New Roman" w:cstheme="minorHAnsi"/>
          <w:i/>
          <w:sz w:val="28"/>
          <w:szCs w:val="28"/>
          <w:lang w:eastAsia="es-ES"/>
        </w:rPr>
        <w:t>“</w:t>
      </w:r>
      <w:r w:rsidRPr="005E1103">
        <w:rPr>
          <w:rFonts w:eastAsia="Times New Roman" w:cstheme="minorHAnsi"/>
          <w:sz w:val="28"/>
          <w:szCs w:val="28"/>
          <w:lang w:eastAsia="es-ES"/>
        </w:rPr>
        <w:t xml:space="preserve">la importancia de la accesibilidad al entorno físico, social, económico y cultural, a la salud y la educación y a la información y las comunicaciones, para que las </w:t>
      </w:r>
      <w:r w:rsidRPr="005E1103">
        <w:rPr>
          <w:rFonts w:eastAsia="Times New Roman" w:cstheme="minorHAnsi"/>
          <w:sz w:val="28"/>
          <w:szCs w:val="28"/>
          <w:lang w:eastAsia="es-ES"/>
        </w:rPr>
        <w:lastRenderedPageBreak/>
        <w:t>personas con discapacidad puedan gozar plenamente de todos los derechos humanos y las libertades fundamentales</w:t>
      </w:r>
      <w:r w:rsidRPr="005E1103">
        <w:rPr>
          <w:rFonts w:eastAsia="Times New Roman" w:cstheme="minorHAnsi"/>
          <w:i/>
          <w:sz w:val="28"/>
          <w:szCs w:val="28"/>
          <w:lang w:eastAsia="es-ES"/>
        </w:rPr>
        <w:t xml:space="preserve">” </w:t>
      </w:r>
      <w:r w:rsidRPr="005E1103">
        <w:rPr>
          <w:rFonts w:eastAsia="Times New Roman" w:cstheme="minorHAnsi"/>
          <w:sz w:val="28"/>
          <w:szCs w:val="28"/>
          <w:vertAlign w:val="superscript"/>
          <w:lang w:eastAsia="es-ES"/>
        </w:rPr>
        <w:footnoteReference w:id="21"/>
      </w:r>
    </w:p>
    <w:p w:rsidR="00DF59FF" w:rsidRPr="005E1103" w:rsidRDefault="00DF59FF" w:rsidP="00DF59FF">
      <w:pPr>
        <w:spacing w:after="0" w:line="360" w:lineRule="auto"/>
        <w:jc w:val="both"/>
        <w:rPr>
          <w:rFonts w:eastAsia="Times New Roman" w:cstheme="minorHAnsi"/>
          <w:bCs/>
          <w:sz w:val="28"/>
          <w:szCs w:val="28"/>
          <w:lang w:eastAsia="es-ES"/>
        </w:rPr>
      </w:pPr>
      <w:r w:rsidRPr="005E1103">
        <w:rPr>
          <w:rFonts w:eastAsia="Times New Roman" w:cstheme="minorHAnsi"/>
          <w:sz w:val="28"/>
          <w:szCs w:val="28"/>
          <w:lang w:eastAsia="es-ES"/>
        </w:rPr>
        <w:t>E</w:t>
      </w:r>
      <w:r w:rsidRPr="005E1103">
        <w:rPr>
          <w:rFonts w:eastAsia="Times New Roman" w:cstheme="minorHAnsi"/>
          <w:sz w:val="28"/>
          <w:szCs w:val="28"/>
          <w:lang w:val="es-ES_tradnl" w:eastAsia="es-ES"/>
        </w:rPr>
        <w:t>l documento de la Conferencia Regional de Educación Superior (CRES</w:t>
      </w:r>
      <w:r w:rsidR="00995D7A" w:rsidRPr="005E1103">
        <w:rPr>
          <w:rFonts w:eastAsia="Times New Roman" w:cstheme="minorHAnsi"/>
          <w:sz w:val="28"/>
          <w:szCs w:val="28"/>
          <w:lang w:val="es-ES_tradnl" w:eastAsia="es-ES"/>
        </w:rPr>
        <w:t>), expresa</w:t>
      </w:r>
      <w:r w:rsidRPr="005E1103">
        <w:rPr>
          <w:rFonts w:eastAsia="Times New Roman" w:cstheme="minorHAnsi"/>
          <w:sz w:val="28"/>
          <w:szCs w:val="28"/>
          <w:lang w:val="es-ES_tradnl" w:eastAsia="es-ES"/>
        </w:rPr>
        <w:t xml:space="preserve"> que </w:t>
      </w:r>
      <w:r w:rsidRPr="005E1103">
        <w:rPr>
          <w:rFonts w:eastAsia="Times New Roman" w:cstheme="minorHAnsi"/>
          <w:sz w:val="28"/>
          <w:szCs w:val="28"/>
          <w:lang w:eastAsia="es-ES"/>
        </w:rPr>
        <w:t xml:space="preserve">asegurar el acceso creciente al derecho a la educación vuelve la mirada hacia las propias instituciones educativas, las que tendrán que </w:t>
      </w:r>
      <w:r w:rsidRPr="005E1103">
        <w:rPr>
          <w:rFonts w:eastAsia="Times New Roman" w:cstheme="minorHAnsi"/>
          <w:i/>
          <w:sz w:val="28"/>
          <w:szCs w:val="28"/>
          <w:lang w:eastAsia="es-ES"/>
        </w:rPr>
        <w:t>“</w:t>
      </w:r>
      <w:r w:rsidRPr="005E1103">
        <w:rPr>
          <w:rFonts w:eastAsia="Times New Roman" w:cstheme="minorHAnsi"/>
          <w:sz w:val="28"/>
          <w:szCs w:val="28"/>
          <w:lang w:eastAsia="es-ES"/>
        </w:rPr>
        <w:t>generar las estructuras institucionales y las propuestas académicas que lo garanticen</w:t>
      </w:r>
      <w:r w:rsidRPr="005E1103">
        <w:rPr>
          <w:rFonts w:eastAsia="Times New Roman" w:cstheme="minorHAnsi"/>
          <w:i/>
          <w:sz w:val="28"/>
          <w:szCs w:val="28"/>
          <w:lang w:eastAsia="es-ES"/>
        </w:rPr>
        <w:t>”.</w:t>
      </w:r>
      <w:r w:rsidRPr="005E1103">
        <w:rPr>
          <w:rFonts w:eastAsia="Times New Roman" w:cstheme="minorHAnsi"/>
          <w:sz w:val="28"/>
          <w:szCs w:val="28"/>
          <w:lang w:eastAsia="es-ES"/>
        </w:rPr>
        <w:t xml:space="preserve"> </w:t>
      </w:r>
      <w:r w:rsidRPr="005E1103">
        <w:rPr>
          <w:rFonts w:eastAsia="Times New Roman" w:cstheme="minorHAnsi"/>
          <w:bCs/>
          <w:sz w:val="28"/>
          <w:szCs w:val="28"/>
          <w:lang w:eastAsia="es-ES"/>
        </w:rPr>
        <w:t xml:space="preserve">Declaración de la conferencia regional de educación superior en américa latina y el caribe. </w:t>
      </w:r>
      <w:r w:rsidRPr="005E1103">
        <w:rPr>
          <w:rFonts w:eastAsia="Times New Roman" w:cstheme="minorHAnsi"/>
          <w:sz w:val="28"/>
          <w:szCs w:val="28"/>
          <w:lang w:eastAsia="es-ES"/>
        </w:rPr>
        <w:t>CRES.  (2008) pag.3</w:t>
      </w:r>
      <w:r w:rsidRPr="005E1103">
        <w:rPr>
          <w:rFonts w:eastAsia="Times New Roman" w:cstheme="minorHAnsi"/>
          <w:sz w:val="28"/>
          <w:szCs w:val="28"/>
          <w:vertAlign w:val="superscript"/>
          <w:lang w:eastAsia="es-ES"/>
        </w:rPr>
        <w:t xml:space="preserve">  </w:t>
      </w:r>
    </w:p>
    <w:p w:rsidR="00DF59FF" w:rsidRPr="005E1103" w:rsidRDefault="00DF59FF" w:rsidP="00DF59FF">
      <w:pPr>
        <w:spacing w:after="0" w:line="360" w:lineRule="auto"/>
        <w:jc w:val="both"/>
        <w:rPr>
          <w:rFonts w:eastAsia="Times New Roman" w:cstheme="minorHAnsi"/>
          <w:i/>
          <w:sz w:val="28"/>
          <w:szCs w:val="28"/>
          <w:lang w:eastAsia="es-ES"/>
        </w:rPr>
      </w:pPr>
      <w:r w:rsidRPr="005E1103">
        <w:rPr>
          <w:rFonts w:eastAsia="Times New Roman" w:cstheme="minorHAnsi"/>
          <w:sz w:val="28"/>
          <w:szCs w:val="28"/>
          <w:lang w:eastAsia="es-ES"/>
        </w:rPr>
        <w:t>La Ley N° 26.206 de Educación Nacional y la Ley N° 24.521 de Educación Superior y su modificatoria, Ley N° 25.573 - referida específicamente a la educación superior de las personas con discapacidad - establecen las responsabilidades y el compromiso del Estado Argentino en la inclusión de estudiantes con discapacidad en el sistema educativo y en la institución universitaria particularmente, como así también respecto de la incorporación de la problemática de la discapacidad en la producción universitaria en sus tres pilares fundamentales: la docencia, la investigación y la extensión. Estatuto de la UNNE. Art 61. Pag.20</w:t>
      </w:r>
    </w:p>
    <w:p w:rsidR="00DF59FF" w:rsidRPr="005E1103" w:rsidRDefault="00DF59FF" w:rsidP="00DF59FF">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Estas ideas aparecen en el fuerte sentido social y espíritu humano que ha animado la creación de la UNNE en el año 1956: “La Universidad Nacional del Nordeste desarrolla su misión con absoluta prescindencia en materia ideológica, política, religiosa y sin discriminación de orden racial, religiosa, de nacionalidad, ideología, opinión política o gremial, sexo, posición económica, condición social o caracteres físicos” (Estatuto de la UNNE. Art. 2°)</w:t>
      </w:r>
      <w:r w:rsidRPr="005E1103">
        <w:rPr>
          <w:rFonts w:eastAsia="Times New Roman" w:cstheme="minorHAnsi"/>
          <w:sz w:val="28"/>
          <w:szCs w:val="28"/>
          <w:vertAlign w:val="superscript"/>
          <w:lang w:eastAsia="es-ES"/>
        </w:rPr>
        <w:footnoteReference w:id="22"/>
      </w:r>
    </w:p>
    <w:p w:rsidR="00DF59FF" w:rsidRPr="005E1103" w:rsidRDefault="00DF59FF" w:rsidP="00DF59FF">
      <w:pPr>
        <w:spacing w:after="0" w:line="360" w:lineRule="auto"/>
        <w:jc w:val="both"/>
        <w:rPr>
          <w:rFonts w:cstheme="minorHAnsi"/>
          <w:iCs/>
          <w:sz w:val="28"/>
          <w:szCs w:val="28"/>
        </w:rPr>
      </w:pPr>
      <w:r w:rsidRPr="005E1103">
        <w:rPr>
          <w:rFonts w:cstheme="minorHAnsi"/>
          <w:iCs/>
          <w:sz w:val="28"/>
          <w:szCs w:val="28"/>
        </w:rPr>
        <w:t xml:space="preserve">Sin </w:t>
      </w:r>
      <w:r w:rsidR="00995D7A" w:rsidRPr="005E1103">
        <w:rPr>
          <w:rFonts w:cstheme="minorHAnsi"/>
          <w:iCs/>
          <w:sz w:val="28"/>
          <w:szCs w:val="28"/>
        </w:rPr>
        <w:t>embargo,</w:t>
      </w:r>
      <w:r w:rsidRPr="005E1103">
        <w:rPr>
          <w:rFonts w:cstheme="minorHAnsi"/>
          <w:iCs/>
          <w:sz w:val="28"/>
          <w:szCs w:val="28"/>
        </w:rPr>
        <w:t xml:space="preserve"> a pesar de todas estas exigencias normativas, no existían dispositivos institucionales que abordaran la problemática de manera integral atento a su naturaleza compleja y transversal. Los avances en este campo en la UNNE son incipientes, con algunas acciones concretas a nivel de infraestructura y experiencias e iniciativas aisladas </w:t>
      </w:r>
      <w:r w:rsidRPr="005E1103">
        <w:rPr>
          <w:rFonts w:cstheme="minorHAnsi"/>
          <w:iCs/>
          <w:sz w:val="28"/>
          <w:szCs w:val="28"/>
        </w:rPr>
        <w:lastRenderedPageBreak/>
        <w:t>en áreas, cátedras y unidades académicas que no resultan eficientes para lograr un abordaje integral e integrado.</w:t>
      </w:r>
    </w:p>
    <w:p w:rsidR="00DF59FF" w:rsidRPr="005E1103" w:rsidRDefault="00DF59FF" w:rsidP="00DF59FF">
      <w:pPr>
        <w:spacing w:after="0" w:line="360" w:lineRule="auto"/>
        <w:jc w:val="both"/>
        <w:rPr>
          <w:rFonts w:cstheme="minorHAnsi"/>
          <w:iCs/>
          <w:sz w:val="28"/>
          <w:szCs w:val="28"/>
        </w:rPr>
      </w:pPr>
    </w:p>
    <w:p w:rsidR="00DF59FF" w:rsidRPr="00995D7A" w:rsidRDefault="00DF59FF" w:rsidP="00DF59FF">
      <w:pPr>
        <w:pStyle w:val="Prrafodelista"/>
        <w:numPr>
          <w:ilvl w:val="0"/>
          <w:numId w:val="38"/>
        </w:numPr>
        <w:spacing w:before="0" w:line="360" w:lineRule="auto"/>
        <w:jc w:val="both"/>
        <w:rPr>
          <w:rFonts w:asciiTheme="minorHAnsi" w:hAnsiTheme="minorHAnsi" w:cstheme="minorHAnsi"/>
          <w:b/>
          <w:iCs/>
          <w:sz w:val="28"/>
          <w:szCs w:val="28"/>
        </w:rPr>
      </w:pPr>
      <w:r w:rsidRPr="00995D7A">
        <w:rPr>
          <w:rFonts w:asciiTheme="minorHAnsi" w:hAnsiTheme="minorHAnsi" w:cstheme="minorHAnsi"/>
          <w:b/>
          <w:iCs/>
          <w:sz w:val="28"/>
          <w:szCs w:val="28"/>
        </w:rPr>
        <w:t xml:space="preserve">OBJETIVOS </w:t>
      </w:r>
    </w:p>
    <w:p w:rsidR="00DF59FF" w:rsidRPr="005E1103" w:rsidRDefault="00DF59FF" w:rsidP="00DF59FF">
      <w:pPr>
        <w:spacing w:after="0" w:line="360" w:lineRule="auto"/>
        <w:jc w:val="both"/>
        <w:rPr>
          <w:rFonts w:cstheme="minorHAnsi"/>
          <w:iCs/>
          <w:color w:val="FF0000"/>
          <w:sz w:val="28"/>
          <w:szCs w:val="28"/>
        </w:rPr>
      </w:pPr>
      <w:r w:rsidRPr="005E1103">
        <w:rPr>
          <w:rFonts w:cstheme="minorHAnsi"/>
          <w:iCs/>
          <w:sz w:val="28"/>
          <w:szCs w:val="28"/>
        </w:rPr>
        <w:t xml:space="preserve">El presente trabajo se propone dar a conocer algunos rasgos singulares del proceso de creación de la CLDUeI de la </w:t>
      </w:r>
      <w:r w:rsidR="00995D7A" w:rsidRPr="005E1103">
        <w:rPr>
          <w:rFonts w:cstheme="minorHAnsi"/>
          <w:iCs/>
          <w:sz w:val="28"/>
          <w:szCs w:val="28"/>
        </w:rPr>
        <w:t>UNNE, iniciativa</w:t>
      </w:r>
      <w:r w:rsidRPr="005E1103">
        <w:rPr>
          <w:rFonts w:cstheme="minorHAnsi"/>
          <w:iCs/>
          <w:sz w:val="28"/>
          <w:szCs w:val="28"/>
        </w:rPr>
        <w:t xml:space="preserve"> gestada a partir de la contribución de profesionales y cátedras de diferentes campos disciplinares de la Universidad Nacional del Nordeste (Argentina) a los que se sumaron luego actores externos vinculados en torno a la temática de la Discapacidad y el Diseño Universal.</w:t>
      </w:r>
    </w:p>
    <w:p w:rsidR="00DF59FF" w:rsidRPr="00995D7A" w:rsidRDefault="00DF59FF" w:rsidP="00DF59FF">
      <w:pPr>
        <w:pStyle w:val="Prrafodelista"/>
        <w:spacing w:line="360" w:lineRule="auto"/>
        <w:jc w:val="both"/>
        <w:rPr>
          <w:rFonts w:asciiTheme="minorHAnsi" w:hAnsiTheme="minorHAnsi" w:cstheme="minorHAnsi"/>
          <w:b/>
          <w:iCs/>
          <w:sz w:val="28"/>
          <w:szCs w:val="28"/>
        </w:rPr>
      </w:pPr>
    </w:p>
    <w:p w:rsidR="00DF59FF" w:rsidRPr="00995D7A" w:rsidRDefault="00DF59FF" w:rsidP="00DF59FF">
      <w:pPr>
        <w:pStyle w:val="Prrafodelista"/>
        <w:numPr>
          <w:ilvl w:val="0"/>
          <w:numId w:val="38"/>
        </w:numPr>
        <w:spacing w:before="0" w:line="360" w:lineRule="auto"/>
        <w:jc w:val="both"/>
        <w:rPr>
          <w:rFonts w:asciiTheme="minorHAnsi" w:hAnsiTheme="minorHAnsi" w:cstheme="minorHAnsi"/>
          <w:b/>
          <w:iCs/>
          <w:sz w:val="28"/>
          <w:szCs w:val="28"/>
        </w:rPr>
      </w:pPr>
      <w:r w:rsidRPr="00995D7A">
        <w:rPr>
          <w:rFonts w:asciiTheme="minorHAnsi" w:hAnsiTheme="minorHAnsi" w:cstheme="minorHAnsi"/>
          <w:b/>
          <w:iCs/>
          <w:sz w:val="28"/>
          <w:szCs w:val="28"/>
        </w:rPr>
        <w:t xml:space="preserve">FUNDAMENTACION </w:t>
      </w:r>
    </w:p>
    <w:p w:rsidR="00DF59FF" w:rsidRPr="005E1103" w:rsidRDefault="00DF59FF" w:rsidP="00DF59FF">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La preocupación por la temática de la discapacidad</w:t>
      </w:r>
      <w:r w:rsidRPr="005E1103">
        <w:rPr>
          <w:rFonts w:eastAsia="Times New Roman" w:cstheme="minorHAnsi"/>
          <w:sz w:val="28"/>
          <w:szCs w:val="28"/>
          <w:vertAlign w:val="superscript"/>
          <w:lang w:eastAsia="es-ES"/>
        </w:rPr>
        <w:t xml:space="preserve"> </w:t>
      </w:r>
      <w:r w:rsidRPr="005E1103">
        <w:rPr>
          <w:rFonts w:eastAsia="Times New Roman" w:cstheme="minorHAnsi"/>
          <w:sz w:val="28"/>
          <w:szCs w:val="28"/>
          <w:lang w:eastAsia="es-ES"/>
        </w:rPr>
        <w:t>y el nuevo concepto del diseño universal</w:t>
      </w:r>
      <w:r w:rsidRPr="005E1103">
        <w:rPr>
          <w:rFonts w:eastAsia="Times New Roman" w:cstheme="minorHAnsi"/>
          <w:sz w:val="28"/>
          <w:szCs w:val="28"/>
          <w:vertAlign w:val="superscript"/>
          <w:lang w:eastAsia="es-ES"/>
        </w:rPr>
        <w:t xml:space="preserve"> </w:t>
      </w:r>
      <w:r w:rsidRPr="005E1103">
        <w:rPr>
          <w:rFonts w:eastAsia="Times New Roman" w:cstheme="minorHAnsi"/>
          <w:sz w:val="28"/>
          <w:szCs w:val="28"/>
          <w:lang w:eastAsia="es-ES"/>
        </w:rPr>
        <w:t>como mirada inclusiva, integradora, interdisciplinaria que posibilita el acceso para todos al medio construido se viene gestando como inquietud desde hace varios años en la Cátedra de Arquitectura II de la Unidad Pedagógica “C” de la FAU</w:t>
      </w:r>
      <w:r w:rsidRPr="005E1103">
        <w:rPr>
          <w:rFonts w:cstheme="minorHAnsi"/>
          <w:sz w:val="28"/>
          <w:szCs w:val="28"/>
          <w:vertAlign w:val="superscript"/>
          <w:lang w:eastAsia="es-ES"/>
        </w:rPr>
        <w:footnoteReference w:id="23"/>
      </w:r>
      <w:r w:rsidRPr="005E1103">
        <w:rPr>
          <w:rFonts w:eastAsia="Times New Roman" w:cstheme="minorHAnsi"/>
          <w:sz w:val="28"/>
          <w:szCs w:val="28"/>
          <w:lang w:eastAsia="es-ES"/>
        </w:rPr>
        <w:t xml:space="preserve"> . Este antecedente sirvió para que u</w:t>
      </w:r>
      <w:r w:rsidRPr="005E1103">
        <w:rPr>
          <w:rFonts w:eastAsia="Times New Roman" w:cstheme="minorHAnsi"/>
          <w:sz w:val="28"/>
          <w:szCs w:val="28"/>
          <w:lang w:val="es-ES_tradnl" w:eastAsia="es-ES"/>
        </w:rPr>
        <w:t>n equipo de docentes e investigadores de la UNNE y de otras instituciones y organizaciones de la sociedad civil hayan coincidido en abordar esta temática a partir de inquietudes y compromisos personales, quienes animaron a pensar en la inexistencia de dispositivos institucionales que posibiliten dicho abordaje.</w:t>
      </w:r>
    </w:p>
    <w:p w:rsidR="00DF59FF" w:rsidRPr="005E1103" w:rsidRDefault="00DF59FF" w:rsidP="00DF59FF">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Es así como se constituyó la Cátedra libre Diseño Universal e Inclusión, concebido como un espacio académico interdisciplinario, transversal y participativo, con el propósito de aportar a la formación integral de grado y posgrado; al desarrollo de las actividades de investigación, extensión y transferencia, en términos de reflexión, intercambio y difusión de temáticas relativas al Diseño Universal, la Accesibilidad y la Inclusión, como concepto superador e innovador en el abordaje de la discapacidad y accesibilidad en la UNNE</w:t>
      </w:r>
    </w:p>
    <w:p w:rsidR="00DF59FF" w:rsidRPr="005E1103" w:rsidRDefault="00DF59FF" w:rsidP="00DF59FF">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lastRenderedPageBreak/>
        <w:t>Esta Cátedra Libre</w:t>
      </w:r>
      <w:r w:rsidRPr="005E1103">
        <w:rPr>
          <w:rFonts w:eastAsia="Times New Roman" w:cstheme="minorHAnsi"/>
          <w:sz w:val="28"/>
          <w:szCs w:val="28"/>
          <w:lang w:eastAsia="es-ES"/>
        </w:rPr>
        <w:footnoteReference w:id="24"/>
      </w:r>
      <w:r w:rsidRPr="005E1103">
        <w:rPr>
          <w:rFonts w:eastAsia="Times New Roman" w:cstheme="minorHAnsi"/>
          <w:sz w:val="28"/>
          <w:szCs w:val="28"/>
          <w:lang w:eastAsia="es-ES"/>
        </w:rPr>
        <w:t>, se enmarca conceptualmente en la visión estratégica de la Rectora de la UNNE quien propuso trabajar por una universidad inclusiva socialmente que garantice acceso, permanencia y graduación, expresión de política institucional que sintetiza los esfuerzos que realiza la Universidad Nacional del Nordeste en sus distintos Campus universitarios de Chaco y Corrientes a través del Programa de Accesibilidad, de Formación Docente y No Docente, de Pueblos Indígenas, de Bibliotecas, de Higiene y Seguridad entre otros y constituye un desafío para distintas unidades académicas de la UNNE.</w:t>
      </w:r>
    </w:p>
    <w:p w:rsidR="00DF59FF" w:rsidRPr="005E1103" w:rsidRDefault="00DF59FF" w:rsidP="00DF59FF">
      <w:pPr>
        <w:spacing w:after="0" w:line="360" w:lineRule="auto"/>
        <w:jc w:val="both"/>
        <w:rPr>
          <w:rFonts w:cstheme="minorHAnsi"/>
          <w:iCs/>
          <w:sz w:val="28"/>
          <w:szCs w:val="28"/>
        </w:rPr>
      </w:pPr>
    </w:p>
    <w:p w:rsidR="00DF59FF" w:rsidRPr="00995D7A" w:rsidRDefault="00DF59FF" w:rsidP="00DF59FF">
      <w:pPr>
        <w:pStyle w:val="Prrafodelista"/>
        <w:numPr>
          <w:ilvl w:val="0"/>
          <w:numId w:val="38"/>
        </w:numPr>
        <w:spacing w:before="0" w:line="360" w:lineRule="auto"/>
        <w:jc w:val="both"/>
        <w:rPr>
          <w:rFonts w:asciiTheme="minorHAnsi" w:hAnsiTheme="minorHAnsi" w:cstheme="minorHAnsi"/>
          <w:b/>
          <w:iCs/>
          <w:sz w:val="28"/>
          <w:szCs w:val="28"/>
        </w:rPr>
      </w:pPr>
      <w:r w:rsidRPr="00995D7A">
        <w:rPr>
          <w:rFonts w:asciiTheme="minorHAnsi" w:hAnsiTheme="minorHAnsi" w:cstheme="minorHAnsi"/>
          <w:b/>
          <w:iCs/>
          <w:sz w:val="28"/>
          <w:szCs w:val="28"/>
        </w:rPr>
        <w:t>ANTECEDENTES</w:t>
      </w:r>
    </w:p>
    <w:p w:rsidR="00DF59FF" w:rsidRPr="005E1103" w:rsidRDefault="00DF59FF" w:rsidP="00DF59FF">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En el contexto nacional, la Secretaría de Políticas Universitarias dependiente del Ministerio de Educación, junto</w:t>
      </w:r>
      <w:r w:rsidRPr="005E1103">
        <w:rPr>
          <w:rFonts w:eastAsia="Times New Roman" w:cstheme="minorHAnsi"/>
          <w:bCs/>
          <w:sz w:val="28"/>
          <w:szCs w:val="28"/>
          <w:lang w:eastAsia="es-ES"/>
        </w:rPr>
        <w:t xml:space="preserve"> a la Comisión Interuniversitaria, Discapacidad y Derechos Humanos han trabajado en la definición de un Protocolo único de relevamiento para todas las Universidades Nacionales, el cual fue implementado d</w:t>
      </w:r>
      <w:r w:rsidRPr="005E1103">
        <w:rPr>
          <w:rFonts w:eastAsia="Times New Roman" w:cstheme="minorHAnsi"/>
          <w:sz w:val="28"/>
          <w:szCs w:val="28"/>
          <w:lang w:eastAsia="es-ES"/>
        </w:rPr>
        <w:t>urante 2009, lo que permitió  la realización de un Diagnóstico del estado en que se encuentran los edificios universitarios respecto de la accesibilidad al medio físico, dando paso posteriormente a la determinación de las acciones requeridas para definir en cada edificio un Circuito Mínimo Accesible (CIMA).</w:t>
      </w:r>
    </w:p>
    <w:p w:rsidR="00DF59FF" w:rsidRPr="005E1103" w:rsidRDefault="00DF59FF" w:rsidP="00DF59FF">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 xml:space="preserve">En el plano local y coincidentemente con estas concepciones, la propuesta a la Comunidad Universitaria para la gestión 2014 – 2018 de la Sra. Rectora Prof. María Delfina Veiravé, expuso la visión de </w:t>
      </w:r>
      <w:r w:rsidRPr="005E1103">
        <w:rPr>
          <w:rFonts w:eastAsia="Times New Roman" w:cstheme="minorHAnsi"/>
          <w:i/>
          <w:sz w:val="28"/>
          <w:szCs w:val="28"/>
          <w:lang w:eastAsia="es-ES"/>
        </w:rPr>
        <w:t>“</w:t>
      </w:r>
      <w:r w:rsidRPr="005E1103">
        <w:rPr>
          <w:rFonts w:eastAsia="Times New Roman" w:cstheme="minorHAnsi"/>
          <w:sz w:val="28"/>
          <w:szCs w:val="28"/>
          <w:lang w:eastAsia="es-ES"/>
        </w:rPr>
        <w:t xml:space="preserve">una universidad inclusiva socialmente, garantizando acceso y permanencia; innovadora y de excelencia en la enseñanza y aprendizaje de </w:t>
      </w:r>
      <w:r w:rsidRPr="005E1103">
        <w:rPr>
          <w:rFonts w:eastAsia="Times New Roman" w:cstheme="minorHAnsi"/>
          <w:sz w:val="28"/>
          <w:szCs w:val="28"/>
          <w:lang w:eastAsia="es-ES"/>
        </w:rPr>
        <w:lastRenderedPageBreak/>
        <w:t>grado, posgrado y la educación permanente; activa en la presencia en los escenarios de decisión y debate de políticas educativas científicas y sociales”</w:t>
      </w:r>
      <w:r w:rsidRPr="005E1103">
        <w:rPr>
          <w:rFonts w:eastAsia="Times New Roman" w:cstheme="minorHAnsi"/>
          <w:sz w:val="28"/>
          <w:szCs w:val="28"/>
          <w:vertAlign w:val="superscript"/>
          <w:lang w:eastAsia="es-ES"/>
        </w:rPr>
        <w:footnoteReference w:id="25"/>
      </w:r>
      <w:r w:rsidRPr="005E1103">
        <w:rPr>
          <w:rFonts w:eastAsia="Times New Roman" w:cstheme="minorHAnsi"/>
          <w:sz w:val="28"/>
          <w:szCs w:val="28"/>
          <w:lang w:eastAsia="es-ES"/>
        </w:rPr>
        <w:t xml:space="preserve">. </w:t>
      </w:r>
    </w:p>
    <w:p w:rsidR="00DF59FF" w:rsidRPr="005E1103" w:rsidRDefault="00DF59FF" w:rsidP="00DF59FF">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Entre otros antecedentes relevantes pueden citarse:</w:t>
      </w:r>
    </w:p>
    <w:p w:rsidR="00DF59FF" w:rsidRPr="005E1103" w:rsidRDefault="00DF59FF" w:rsidP="00DF59FF">
      <w:pPr>
        <w:pStyle w:val="Prrafodelista"/>
        <w:numPr>
          <w:ilvl w:val="0"/>
          <w:numId w:val="36"/>
        </w:numPr>
        <w:spacing w:before="0" w:line="360" w:lineRule="auto"/>
        <w:jc w:val="both"/>
        <w:rPr>
          <w:rFonts w:asciiTheme="minorHAnsi" w:eastAsia="Times New Roman" w:hAnsiTheme="minorHAnsi" w:cstheme="minorHAnsi"/>
          <w:sz w:val="28"/>
          <w:szCs w:val="28"/>
          <w:lang w:eastAsia="es-ES"/>
        </w:rPr>
      </w:pPr>
      <w:r w:rsidRPr="005E1103">
        <w:rPr>
          <w:rFonts w:asciiTheme="minorHAnsi" w:eastAsia="Times New Roman" w:hAnsiTheme="minorHAnsi" w:cstheme="minorHAnsi"/>
          <w:sz w:val="28"/>
          <w:szCs w:val="28"/>
          <w:lang w:eastAsia="es-ES"/>
        </w:rPr>
        <w:t>Acciones de cooperación entre la UNNE y el Consejo Provincial del Discapacitado de la Provincia de Corrientes –COPRODIS desde año 2006 al 2008.</w:t>
      </w:r>
    </w:p>
    <w:p w:rsidR="00DF59FF" w:rsidRPr="005E1103" w:rsidRDefault="00DF59FF" w:rsidP="00DF59FF">
      <w:pPr>
        <w:pStyle w:val="Prrafodelista"/>
        <w:numPr>
          <w:ilvl w:val="0"/>
          <w:numId w:val="36"/>
        </w:numPr>
        <w:spacing w:before="0" w:line="360" w:lineRule="auto"/>
        <w:jc w:val="both"/>
        <w:rPr>
          <w:rFonts w:asciiTheme="minorHAnsi" w:eastAsia="Times New Roman" w:hAnsiTheme="minorHAnsi" w:cstheme="minorHAnsi"/>
          <w:sz w:val="28"/>
          <w:szCs w:val="28"/>
          <w:lang w:eastAsia="es-ES"/>
        </w:rPr>
      </w:pPr>
      <w:r w:rsidRPr="005E1103">
        <w:rPr>
          <w:rFonts w:asciiTheme="minorHAnsi" w:eastAsia="Times New Roman" w:hAnsiTheme="minorHAnsi" w:cstheme="minorHAnsi"/>
          <w:sz w:val="28"/>
          <w:szCs w:val="28"/>
          <w:lang w:eastAsia="es-ES"/>
        </w:rPr>
        <w:t xml:space="preserve">Programa de Accesibilidad que implementa la UNNE mediante el cual se han realizado adecuaciones y mejoramientos en distintas Unidades Académicas de la UNNE. </w:t>
      </w:r>
    </w:p>
    <w:p w:rsidR="00DF59FF" w:rsidRPr="005E1103" w:rsidRDefault="00DF59FF" w:rsidP="00DF59FF">
      <w:pPr>
        <w:pStyle w:val="Prrafodelista"/>
        <w:numPr>
          <w:ilvl w:val="0"/>
          <w:numId w:val="36"/>
        </w:numPr>
        <w:spacing w:before="0" w:line="360" w:lineRule="auto"/>
        <w:jc w:val="both"/>
        <w:rPr>
          <w:rFonts w:asciiTheme="minorHAnsi" w:eastAsia="Times New Roman" w:hAnsiTheme="minorHAnsi" w:cstheme="minorHAnsi"/>
          <w:sz w:val="28"/>
          <w:szCs w:val="28"/>
          <w:lang w:eastAsia="es-ES"/>
        </w:rPr>
      </w:pPr>
      <w:r w:rsidRPr="005E1103">
        <w:rPr>
          <w:rFonts w:asciiTheme="minorHAnsi" w:eastAsia="Times New Roman" w:hAnsiTheme="minorHAnsi" w:cstheme="minorHAnsi"/>
          <w:sz w:val="28"/>
          <w:szCs w:val="28"/>
          <w:lang w:eastAsia="es-ES"/>
        </w:rPr>
        <w:t>El Programa UNNE – SALUD, que viene realizando valiosas actividades de extensión en coordinación con los Ministerios de Salud del Chaco y Corrientes.</w:t>
      </w:r>
    </w:p>
    <w:p w:rsidR="00DF59FF" w:rsidRPr="005E1103" w:rsidRDefault="00DF59FF" w:rsidP="00DF59FF">
      <w:pPr>
        <w:numPr>
          <w:ilvl w:val="0"/>
          <w:numId w:val="36"/>
        </w:num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Conferencias, Talleres y Seminarios dictados por la Comisión Nacional Asesora para la integración de las Personas con Discapacidad (CONADIS) y la Asociación Lograr en la Facultad de Arquitectura y Urbanismo de la UNNE 2013 y 2014.</w:t>
      </w:r>
    </w:p>
    <w:p w:rsidR="00DF59FF" w:rsidRPr="005E1103" w:rsidRDefault="00DF59FF" w:rsidP="00DF59FF">
      <w:pPr>
        <w:pStyle w:val="Prrafodelista"/>
        <w:numPr>
          <w:ilvl w:val="0"/>
          <w:numId w:val="36"/>
        </w:numPr>
        <w:spacing w:before="0" w:line="360" w:lineRule="auto"/>
        <w:jc w:val="both"/>
        <w:rPr>
          <w:rFonts w:asciiTheme="minorHAnsi" w:eastAsia="Times New Roman" w:hAnsiTheme="minorHAnsi" w:cstheme="minorHAnsi"/>
          <w:sz w:val="28"/>
          <w:szCs w:val="28"/>
          <w:lang w:eastAsia="es-ES"/>
        </w:rPr>
      </w:pPr>
      <w:r w:rsidRPr="005E1103">
        <w:rPr>
          <w:rFonts w:asciiTheme="minorHAnsi" w:eastAsia="Times New Roman" w:hAnsiTheme="minorHAnsi" w:cstheme="minorHAnsi"/>
          <w:sz w:val="28"/>
          <w:szCs w:val="28"/>
          <w:lang w:eastAsia="es-ES"/>
        </w:rPr>
        <w:t>Participación en la Red de Cátedras de Accesibilidad – REDCACCE – creada en el año 2012 - en la que participan cátedras, institutos y equipos de Universidades públicas argentinas y de países del Mercosur.</w:t>
      </w:r>
    </w:p>
    <w:p w:rsidR="00DF59FF" w:rsidRPr="005E1103" w:rsidRDefault="00DF59FF" w:rsidP="00DF59FF">
      <w:pPr>
        <w:pStyle w:val="Prrafodelista"/>
        <w:numPr>
          <w:ilvl w:val="0"/>
          <w:numId w:val="36"/>
        </w:numPr>
        <w:spacing w:before="0" w:line="360" w:lineRule="auto"/>
        <w:jc w:val="both"/>
        <w:rPr>
          <w:rFonts w:asciiTheme="minorHAnsi" w:eastAsia="Times New Roman" w:hAnsiTheme="minorHAnsi" w:cstheme="minorHAnsi"/>
          <w:sz w:val="28"/>
          <w:szCs w:val="28"/>
          <w:lang w:eastAsia="es-ES"/>
        </w:rPr>
      </w:pPr>
      <w:r w:rsidRPr="005E1103">
        <w:rPr>
          <w:rFonts w:asciiTheme="minorHAnsi" w:eastAsia="Times New Roman" w:hAnsiTheme="minorHAnsi" w:cstheme="minorHAnsi"/>
          <w:sz w:val="28"/>
          <w:szCs w:val="28"/>
          <w:lang w:eastAsia="es-ES"/>
        </w:rPr>
        <w:t xml:space="preserve">Avances y progresos logrados por el Proyecto </w:t>
      </w:r>
      <w:r w:rsidRPr="005E1103">
        <w:rPr>
          <w:rFonts w:asciiTheme="minorHAnsi" w:eastAsia="Times New Roman" w:hAnsiTheme="minorHAnsi" w:cstheme="minorHAnsi"/>
          <w:i/>
          <w:iCs/>
          <w:sz w:val="28"/>
          <w:szCs w:val="28"/>
          <w:lang w:eastAsia="es-ES"/>
        </w:rPr>
        <w:t>“</w:t>
      </w:r>
      <w:r w:rsidRPr="005E1103">
        <w:rPr>
          <w:rFonts w:asciiTheme="minorHAnsi" w:eastAsia="Times New Roman" w:hAnsiTheme="minorHAnsi" w:cstheme="minorHAnsi"/>
          <w:iCs/>
          <w:sz w:val="28"/>
          <w:szCs w:val="28"/>
          <w:lang w:eastAsia="es-ES"/>
        </w:rPr>
        <w:t>Estrategias innovadoras de inclusión para el Diseño Universal en Chaco y Corrientes: la responsabilidad social universitaria de la UNNE” Fase I (2014) y Fase II (2015)</w:t>
      </w:r>
    </w:p>
    <w:p w:rsidR="00DF59FF" w:rsidRPr="005E1103" w:rsidRDefault="00DF59FF" w:rsidP="00DF59FF">
      <w:pPr>
        <w:spacing w:after="0" w:line="360" w:lineRule="auto"/>
        <w:jc w:val="both"/>
        <w:rPr>
          <w:rFonts w:cstheme="minorHAnsi"/>
          <w:iCs/>
          <w:sz w:val="28"/>
          <w:szCs w:val="28"/>
        </w:rPr>
      </w:pPr>
    </w:p>
    <w:p w:rsidR="00995D7A" w:rsidRDefault="00995D7A">
      <w:pPr>
        <w:rPr>
          <w:rFonts w:cstheme="minorHAnsi"/>
          <w:iCs/>
          <w:sz w:val="28"/>
          <w:szCs w:val="28"/>
        </w:rPr>
      </w:pPr>
      <w:r>
        <w:rPr>
          <w:rFonts w:cstheme="minorHAnsi"/>
          <w:iCs/>
          <w:sz w:val="28"/>
          <w:szCs w:val="28"/>
        </w:rPr>
        <w:br w:type="page"/>
      </w:r>
    </w:p>
    <w:p w:rsidR="00DF59FF" w:rsidRPr="00995D7A" w:rsidRDefault="00DF59FF" w:rsidP="00DF59FF">
      <w:pPr>
        <w:pStyle w:val="Prrafodelista"/>
        <w:numPr>
          <w:ilvl w:val="0"/>
          <w:numId w:val="38"/>
        </w:numPr>
        <w:spacing w:before="0" w:line="360" w:lineRule="auto"/>
        <w:jc w:val="both"/>
        <w:rPr>
          <w:rFonts w:asciiTheme="minorHAnsi" w:hAnsiTheme="minorHAnsi" w:cstheme="minorHAnsi"/>
          <w:b/>
          <w:iCs/>
          <w:sz w:val="28"/>
          <w:szCs w:val="28"/>
        </w:rPr>
      </w:pPr>
      <w:r w:rsidRPr="00995D7A">
        <w:rPr>
          <w:rFonts w:asciiTheme="minorHAnsi" w:hAnsiTheme="minorHAnsi" w:cstheme="minorHAnsi"/>
          <w:b/>
          <w:iCs/>
          <w:sz w:val="28"/>
          <w:szCs w:val="28"/>
        </w:rPr>
        <w:lastRenderedPageBreak/>
        <w:t xml:space="preserve">MARCO CONCEPTUAL </w:t>
      </w:r>
    </w:p>
    <w:p w:rsidR="00DF59FF" w:rsidRPr="005E1103" w:rsidRDefault="00DF59FF" w:rsidP="00DF59FF">
      <w:pPr>
        <w:pStyle w:val="Prrafodelista"/>
        <w:spacing w:line="360" w:lineRule="auto"/>
        <w:jc w:val="both"/>
        <w:rPr>
          <w:rFonts w:asciiTheme="minorHAnsi" w:hAnsiTheme="minorHAnsi" w:cstheme="minorHAnsi"/>
          <w:iCs/>
          <w:sz w:val="28"/>
          <w:szCs w:val="28"/>
        </w:rPr>
      </w:pPr>
      <w:r w:rsidRPr="005E1103">
        <w:rPr>
          <w:rFonts w:asciiTheme="minorHAnsi" w:hAnsiTheme="minorHAnsi" w:cstheme="minorHAnsi"/>
          <w:iCs/>
          <w:sz w:val="28"/>
          <w:szCs w:val="28"/>
        </w:rPr>
        <w:t>7.1 Diseño Universal</w:t>
      </w:r>
    </w:p>
    <w:p w:rsidR="00DF59FF" w:rsidRPr="005E1103" w:rsidRDefault="00DF59FF" w:rsidP="00DF59FF">
      <w:pPr>
        <w:spacing w:after="0" w:line="360" w:lineRule="auto"/>
        <w:jc w:val="both"/>
        <w:rPr>
          <w:rFonts w:eastAsia="Times New Roman" w:cstheme="minorHAnsi"/>
          <w:sz w:val="28"/>
          <w:szCs w:val="28"/>
          <w:lang w:val="es-ES_tradnl" w:eastAsia="es-ES"/>
        </w:rPr>
      </w:pPr>
      <w:r w:rsidRPr="005E1103">
        <w:rPr>
          <w:rFonts w:eastAsia="Times New Roman" w:cstheme="minorHAnsi"/>
          <w:sz w:val="28"/>
          <w:szCs w:val="28"/>
          <w:lang w:val="es-ES_tradnl" w:eastAsia="es-ES"/>
        </w:rPr>
        <w:t xml:space="preserve">La problemática del diseño universal e Inclusión pretende constituirse en un nuevo paradigma sobre el cual reflexionar y concebir tanto a la discapacidad como a las situaciones </w:t>
      </w:r>
      <w:r w:rsidR="00995D7A" w:rsidRPr="005E1103">
        <w:rPr>
          <w:rFonts w:eastAsia="Times New Roman" w:cstheme="minorHAnsi"/>
          <w:sz w:val="28"/>
          <w:szCs w:val="28"/>
          <w:lang w:val="es-ES_tradnl" w:eastAsia="es-ES"/>
        </w:rPr>
        <w:t>y entornos</w:t>
      </w:r>
      <w:r w:rsidRPr="005E1103">
        <w:rPr>
          <w:rFonts w:eastAsia="Times New Roman" w:cstheme="minorHAnsi"/>
          <w:sz w:val="28"/>
          <w:szCs w:val="28"/>
          <w:lang w:val="es-ES_tradnl" w:eastAsia="es-ES"/>
        </w:rPr>
        <w:t xml:space="preserve"> donde se desarrollan todo tipo de personas. </w:t>
      </w:r>
    </w:p>
    <w:p w:rsidR="00DF59FF" w:rsidRPr="005E1103" w:rsidRDefault="00DF59FF" w:rsidP="00DF59FF">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Las respuestas a la discapacidad se han modificado desde la década del ’70, motivadas principalmente por la propia organización de las personas con discapacidad y la creciente tendencia a considerar la discapacidad como una cuestión de derechos humanos.</w:t>
      </w:r>
    </w:p>
    <w:p w:rsidR="00DF59FF" w:rsidRPr="005E1103" w:rsidRDefault="00DF59FF" w:rsidP="00DF59FF">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Históricamente se había tratado a las personas con discapacidad con soluciones que las segregaban, como instituciones residenciales y escuelas especiales</w:t>
      </w:r>
      <w:r w:rsidRPr="005E1103">
        <w:rPr>
          <w:rFonts w:eastAsia="Times New Roman" w:cstheme="minorHAnsi"/>
          <w:color w:val="FF0000"/>
          <w:sz w:val="28"/>
          <w:szCs w:val="28"/>
          <w:lang w:eastAsia="es-ES"/>
        </w:rPr>
        <w:t xml:space="preserve"> </w:t>
      </w:r>
      <w:r w:rsidRPr="005E1103">
        <w:rPr>
          <w:rFonts w:eastAsia="Times New Roman" w:cstheme="minorHAnsi"/>
          <w:sz w:val="28"/>
          <w:szCs w:val="28"/>
          <w:lang w:eastAsia="es-ES"/>
        </w:rPr>
        <w:t>que respondían a un modelo médico - terapéutico. En la actualidad se ha optado por la inclusión en la comunidad y en la educación, y las soluciones orientadas al componente médico han dado lugar a enfoques más interactivos que reconocen que la discapacidad en las personas se origina tanto en los factores ambientales, como en el cuerpo.</w:t>
      </w:r>
    </w:p>
    <w:p w:rsidR="00DF59FF" w:rsidRPr="005E1103" w:rsidRDefault="00DF59FF" w:rsidP="00DF59FF">
      <w:pPr>
        <w:spacing w:after="0" w:line="360" w:lineRule="auto"/>
        <w:ind w:right="49"/>
        <w:jc w:val="both"/>
        <w:rPr>
          <w:rFonts w:eastAsia="Times New Roman" w:cstheme="minorHAnsi"/>
          <w:sz w:val="28"/>
          <w:szCs w:val="28"/>
          <w:lang w:val="es-ES_tradnl" w:eastAsia="es-ES"/>
        </w:rPr>
      </w:pPr>
      <w:r w:rsidRPr="005E1103">
        <w:rPr>
          <w:rFonts w:eastAsia="Times New Roman" w:cstheme="minorHAnsi"/>
          <w:iCs/>
          <w:sz w:val="28"/>
          <w:szCs w:val="28"/>
          <w:lang w:val="es-ES_tradnl" w:eastAsia="es-ES"/>
        </w:rPr>
        <w:t xml:space="preserve">Hoy en día hay suficiente consenso en el ámbito académico en que la discapacidad no es un atributo de la persona, sino un complicado conjunto de condiciones, muchas de las cuales son creadas por el ambiente social. Por lo tanto, el manejo del problema requiere acción social y es responsabilidad colectiva de la sociedad hacer modificaciones ambientales necesarias para la participación plena de las personas con discapacidad de todas las áreas de la vida social. </w:t>
      </w:r>
    </w:p>
    <w:p w:rsidR="00DF59FF" w:rsidRPr="005E1103" w:rsidRDefault="00DF59FF" w:rsidP="00DF59FF">
      <w:pPr>
        <w:spacing w:after="0" w:line="360" w:lineRule="auto"/>
        <w:jc w:val="both"/>
        <w:rPr>
          <w:rFonts w:eastAsia="Times New Roman" w:cstheme="minorHAnsi"/>
          <w:iCs/>
          <w:sz w:val="28"/>
          <w:szCs w:val="28"/>
          <w:lang w:val="es-ES_tradnl" w:eastAsia="es-ES"/>
        </w:rPr>
      </w:pPr>
      <w:r w:rsidRPr="005E1103">
        <w:rPr>
          <w:rFonts w:eastAsia="Times New Roman" w:cstheme="minorHAnsi"/>
          <w:iCs/>
          <w:sz w:val="28"/>
          <w:szCs w:val="28"/>
          <w:lang w:val="es-ES_tradnl" w:eastAsia="es-ES"/>
        </w:rPr>
        <w:t>Por “Diseño Universal” se entenderá el diseño de productos, entornos, programas y servicios que puedan utilizar todas las personas, en la mayor medida posible, sin necesidad de adaptación ni diseño especializado. El “diseño universal” no excluirá las ayudas técnicas para grupos particulares de personas con discapacidad, cuando se necesiten</w:t>
      </w:r>
      <w:r w:rsidRPr="005E1103">
        <w:rPr>
          <w:rFonts w:eastAsia="Times New Roman" w:cstheme="minorHAnsi"/>
          <w:iCs/>
          <w:sz w:val="28"/>
          <w:szCs w:val="28"/>
          <w:vertAlign w:val="superscript"/>
          <w:lang w:val="es-ES_tradnl" w:eastAsia="es-ES"/>
        </w:rPr>
        <w:footnoteReference w:id="26"/>
      </w:r>
      <w:r w:rsidRPr="005E1103">
        <w:rPr>
          <w:rFonts w:eastAsia="Times New Roman" w:cstheme="minorHAnsi"/>
          <w:iCs/>
          <w:sz w:val="28"/>
          <w:szCs w:val="28"/>
          <w:lang w:val="es-ES_tradnl" w:eastAsia="es-ES"/>
        </w:rPr>
        <w:t>.</w:t>
      </w:r>
    </w:p>
    <w:p w:rsidR="00DF59FF" w:rsidRPr="005E1103" w:rsidRDefault="00DF59FF" w:rsidP="00DF59FF">
      <w:pPr>
        <w:spacing w:after="0" w:line="360" w:lineRule="auto"/>
        <w:jc w:val="both"/>
        <w:rPr>
          <w:rFonts w:eastAsia="Times New Roman" w:cstheme="minorHAnsi"/>
          <w:iCs/>
          <w:sz w:val="28"/>
          <w:szCs w:val="28"/>
          <w:lang w:eastAsia="es-ES"/>
        </w:rPr>
      </w:pPr>
      <w:r w:rsidRPr="005E1103">
        <w:rPr>
          <w:rFonts w:eastAsia="Times New Roman" w:cstheme="minorHAnsi"/>
          <w:iCs/>
          <w:sz w:val="28"/>
          <w:szCs w:val="28"/>
          <w:lang w:eastAsia="es-ES"/>
        </w:rPr>
        <w:lastRenderedPageBreak/>
        <w:t>Esta concepción, originalmente acotada al campo de las disciplinas del diseño, entendemos que bien puede ser útil a otros campos del conocimiento, trascendiendo su naturaleza disciplinar y recreando sus principios de uso igualitario, flexibilidad, uso simple e intuitivo, información perceptible, tolerancia al error, mínimo esfuerzo físico, dimensionamiento de espacio para acceso y uso para todos los usuarios</w:t>
      </w:r>
      <w:r w:rsidRPr="005E1103">
        <w:rPr>
          <w:rStyle w:val="Refdenotaalpie"/>
          <w:rFonts w:eastAsia="Times New Roman" w:cstheme="minorHAnsi"/>
          <w:iCs/>
          <w:sz w:val="28"/>
          <w:szCs w:val="28"/>
          <w:lang w:eastAsia="es-ES"/>
        </w:rPr>
        <w:footnoteReference w:id="27"/>
      </w:r>
      <w:r w:rsidRPr="005E1103">
        <w:rPr>
          <w:rFonts w:eastAsia="Times New Roman" w:cstheme="minorHAnsi"/>
          <w:iCs/>
          <w:sz w:val="28"/>
          <w:szCs w:val="28"/>
          <w:lang w:eastAsia="es-ES"/>
        </w:rPr>
        <w:t xml:space="preserve"> sentando las bases conceptuales y procedimentales de un nuevo paradigma interdisciplinar y complejo que responda al modelo social y una perspectiva de derechos.</w:t>
      </w:r>
    </w:p>
    <w:p w:rsidR="00DF59FF" w:rsidRPr="005E1103" w:rsidRDefault="00DF59FF" w:rsidP="00DF59FF">
      <w:pPr>
        <w:pStyle w:val="Prrafodelista"/>
        <w:spacing w:line="360" w:lineRule="auto"/>
        <w:jc w:val="both"/>
        <w:rPr>
          <w:rFonts w:asciiTheme="minorHAnsi" w:eastAsia="Times New Roman" w:hAnsiTheme="minorHAnsi" w:cstheme="minorHAnsi"/>
          <w:iCs/>
          <w:sz w:val="28"/>
          <w:szCs w:val="28"/>
          <w:lang w:eastAsia="es-ES"/>
        </w:rPr>
      </w:pPr>
    </w:p>
    <w:p w:rsidR="00DF59FF" w:rsidRPr="005E1103" w:rsidRDefault="00DF59FF" w:rsidP="00DF59FF">
      <w:pPr>
        <w:pStyle w:val="Prrafodelista"/>
        <w:numPr>
          <w:ilvl w:val="1"/>
          <w:numId w:val="38"/>
        </w:numPr>
        <w:spacing w:before="0" w:line="360" w:lineRule="auto"/>
        <w:jc w:val="both"/>
        <w:rPr>
          <w:rFonts w:asciiTheme="minorHAnsi" w:hAnsiTheme="minorHAnsi" w:cstheme="minorHAnsi"/>
          <w:iCs/>
          <w:sz w:val="28"/>
          <w:szCs w:val="28"/>
        </w:rPr>
      </w:pPr>
      <w:r w:rsidRPr="005E1103">
        <w:rPr>
          <w:rFonts w:asciiTheme="minorHAnsi" w:hAnsiTheme="minorHAnsi" w:cstheme="minorHAnsi"/>
          <w:iCs/>
          <w:sz w:val="28"/>
          <w:szCs w:val="28"/>
        </w:rPr>
        <w:t xml:space="preserve">Interdisciplina </w:t>
      </w:r>
    </w:p>
    <w:p w:rsidR="00DF59FF" w:rsidRPr="005E1103" w:rsidRDefault="00DF59FF" w:rsidP="00DF59FF">
      <w:pPr>
        <w:spacing w:after="0" w:line="360" w:lineRule="auto"/>
        <w:jc w:val="both"/>
        <w:rPr>
          <w:rFonts w:cstheme="minorHAnsi"/>
          <w:sz w:val="28"/>
          <w:szCs w:val="28"/>
        </w:rPr>
      </w:pPr>
      <w:r w:rsidRPr="005E1103">
        <w:rPr>
          <w:rFonts w:cstheme="minorHAnsi"/>
          <w:sz w:val="28"/>
          <w:szCs w:val="28"/>
        </w:rPr>
        <w:t>Para hablar de cambios e innovaciones en el abordaje de la inclusión y el diseño universal es necesario partir de la aceptación de las limitaciones que desde cada disciplina se tienen en torno a la temática en cuestión. Para ello hemos coincidido en  indagar sobre la interdisciplinariedad como un posible camino para su abordaje, entendido este no sólo desde el campo de lo cognoscitivo o del saber, lo cual supone una necesidad de integración de saberes distintos que debieran integrarse en un saber unívoco</w:t>
      </w:r>
      <w:r w:rsidRPr="005E1103">
        <w:rPr>
          <w:rFonts w:cstheme="minorHAnsi"/>
          <w:sz w:val="28"/>
          <w:szCs w:val="28"/>
          <w:vertAlign w:val="superscript"/>
        </w:rPr>
        <w:footnoteReference w:id="28"/>
      </w:r>
      <w:r w:rsidRPr="005E1103">
        <w:rPr>
          <w:rFonts w:cstheme="minorHAnsi"/>
          <w:sz w:val="28"/>
          <w:szCs w:val="28"/>
        </w:rPr>
        <w:t>, sino también orientado hacia la comprensión y la gestión de la inclusión y el diseño universal como un tema complejo.</w:t>
      </w:r>
    </w:p>
    <w:p w:rsidR="00DF59FF" w:rsidRPr="005E1103" w:rsidRDefault="00DF59FF" w:rsidP="00DF59FF">
      <w:pPr>
        <w:spacing w:after="0" w:line="360" w:lineRule="auto"/>
        <w:jc w:val="both"/>
        <w:rPr>
          <w:rFonts w:cstheme="minorHAnsi"/>
          <w:sz w:val="28"/>
          <w:szCs w:val="28"/>
        </w:rPr>
      </w:pPr>
      <w:r w:rsidRPr="005E1103">
        <w:rPr>
          <w:rFonts w:cstheme="minorHAnsi"/>
          <w:sz w:val="28"/>
          <w:szCs w:val="28"/>
        </w:rPr>
        <w:t xml:space="preserve">Es por ello que no sólo se parte desde la necesidad del saber cómo horizonte disciplinar, donde se busque la integración de saberes, partiendo del supuesto </w:t>
      </w:r>
      <w:r w:rsidR="00995D7A" w:rsidRPr="005E1103">
        <w:rPr>
          <w:rFonts w:cstheme="minorHAnsi"/>
          <w:sz w:val="28"/>
          <w:szCs w:val="28"/>
        </w:rPr>
        <w:t>de la</w:t>
      </w:r>
      <w:r w:rsidRPr="005E1103">
        <w:rPr>
          <w:rFonts w:cstheme="minorHAnsi"/>
          <w:sz w:val="28"/>
          <w:szCs w:val="28"/>
        </w:rPr>
        <w:t xml:space="preserve"> fragmentación de los mismos, sino de la interdisciplina, multidisciplina y transdiciplina.</w:t>
      </w:r>
    </w:p>
    <w:p w:rsidR="00DF59FF" w:rsidRPr="005E1103" w:rsidRDefault="00DF59FF" w:rsidP="00DF59FF">
      <w:pPr>
        <w:spacing w:after="0" w:line="360" w:lineRule="auto"/>
        <w:jc w:val="both"/>
        <w:rPr>
          <w:rFonts w:cstheme="minorHAnsi"/>
          <w:sz w:val="28"/>
          <w:szCs w:val="28"/>
        </w:rPr>
      </w:pPr>
      <w:r w:rsidRPr="005E1103">
        <w:rPr>
          <w:rFonts w:cstheme="minorHAnsi"/>
          <w:sz w:val="28"/>
          <w:szCs w:val="28"/>
        </w:rPr>
        <w:t xml:space="preserve">Así mismo la interdisciplinariedad representa varios desafíos, por un lado cada disciplina </w:t>
      </w:r>
      <w:r w:rsidR="00995D7A" w:rsidRPr="005E1103">
        <w:rPr>
          <w:rFonts w:cstheme="minorHAnsi"/>
          <w:sz w:val="28"/>
          <w:szCs w:val="28"/>
        </w:rPr>
        <w:t>aporta visiones</w:t>
      </w:r>
      <w:r w:rsidRPr="005E1103">
        <w:rPr>
          <w:rFonts w:cstheme="minorHAnsi"/>
          <w:sz w:val="28"/>
          <w:szCs w:val="28"/>
        </w:rPr>
        <w:t xml:space="preserve"> y posturas con sus propios paradigmas, conceptos y procedimientos que se deben presentar y acordar con algún ordenamiento que permita yuxtaponerlas y a la </w:t>
      </w:r>
      <w:r w:rsidRPr="005E1103">
        <w:rPr>
          <w:rFonts w:cstheme="minorHAnsi"/>
          <w:sz w:val="28"/>
          <w:szCs w:val="28"/>
        </w:rPr>
        <w:lastRenderedPageBreak/>
        <w:t xml:space="preserve">vez establecer grados de relaciones, para así poder ir construyendo un nuevo paradigma tanto en lo metodológico como en lo epistemológico. </w:t>
      </w:r>
      <w:r w:rsidRPr="005E1103">
        <w:rPr>
          <w:rFonts w:cstheme="minorHAnsi"/>
          <w:sz w:val="28"/>
          <w:szCs w:val="28"/>
          <w:vertAlign w:val="superscript"/>
        </w:rPr>
        <w:footnoteReference w:id="29"/>
      </w:r>
    </w:p>
    <w:p w:rsidR="00DF59FF" w:rsidRPr="005E1103" w:rsidRDefault="00DF59FF" w:rsidP="00DF59FF">
      <w:pPr>
        <w:spacing w:after="0" w:line="360" w:lineRule="auto"/>
        <w:jc w:val="both"/>
        <w:rPr>
          <w:rFonts w:cstheme="minorHAnsi"/>
          <w:sz w:val="28"/>
          <w:szCs w:val="28"/>
        </w:rPr>
      </w:pPr>
      <w:r w:rsidRPr="005E1103">
        <w:rPr>
          <w:rFonts w:cstheme="minorHAnsi"/>
          <w:sz w:val="28"/>
          <w:szCs w:val="28"/>
        </w:rPr>
        <w:t xml:space="preserve">Entonces el nuevo espacio creado debe propiciar un “diálogo de saberes”, un nuevo lenguaje capaz de “traducir” los conocimientos específicos en pos de una perspectiva integradora y superadora donde puedan tomarse </w:t>
      </w:r>
      <w:r w:rsidR="00995D7A" w:rsidRPr="005E1103">
        <w:rPr>
          <w:rFonts w:cstheme="minorHAnsi"/>
          <w:sz w:val="28"/>
          <w:szCs w:val="28"/>
        </w:rPr>
        <w:t>prestadas conceptualizaciones propias</w:t>
      </w:r>
      <w:r w:rsidRPr="005E1103">
        <w:rPr>
          <w:rFonts w:cstheme="minorHAnsi"/>
          <w:sz w:val="28"/>
          <w:szCs w:val="28"/>
        </w:rPr>
        <w:t xml:space="preserve"> para interactuar…</w:t>
      </w:r>
    </w:p>
    <w:p w:rsidR="00DF59FF" w:rsidRPr="005E1103" w:rsidRDefault="00DF59FF" w:rsidP="00DF59FF">
      <w:pPr>
        <w:spacing w:after="0" w:line="360" w:lineRule="auto"/>
        <w:jc w:val="both"/>
        <w:rPr>
          <w:rFonts w:cstheme="minorHAnsi"/>
          <w:sz w:val="28"/>
          <w:szCs w:val="28"/>
        </w:rPr>
      </w:pPr>
      <w:r w:rsidRPr="005E1103">
        <w:rPr>
          <w:rFonts w:cstheme="minorHAnsi"/>
          <w:sz w:val="28"/>
          <w:szCs w:val="28"/>
        </w:rPr>
        <w:t>Por otro entender que el trabajo interdisciplinario es operado por profesionales y con esto no sólo se aportan saberes cognitivos aportados desde lo disciplinar sino también la experticia propia del ejercicio profesional. Esta dualidad inherente a los procesos de formación y del ejercicio profesional  se manifiesta con diferentes grados de subjetividad en el enfoque de los problemas.</w:t>
      </w:r>
      <w:r w:rsidRPr="005E1103">
        <w:rPr>
          <w:rFonts w:cstheme="minorHAnsi"/>
          <w:sz w:val="28"/>
          <w:szCs w:val="28"/>
          <w:vertAlign w:val="superscript"/>
        </w:rPr>
        <w:footnoteReference w:id="30"/>
      </w:r>
    </w:p>
    <w:p w:rsidR="00DF59FF" w:rsidRPr="005E1103" w:rsidRDefault="00DF59FF" w:rsidP="00DF59FF">
      <w:pPr>
        <w:spacing w:after="0" w:line="360" w:lineRule="auto"/>
        <w:jc w:val="both"/>
        <w:rPr>
          <w:rFonts w:cstheme="minorHAnsi"/>
          <w:sz w:val="28"/>
          <w:szCs w:val="28"/>
        </w:rPr>
      </w:pPr>
      <w:r w:rsidRPr="005E1103">
        <w:rPr>
          <w:rFonts w:cstheme="minorHAnsi"/>
          <w:sz w:val="28"/>
          <w:szCs w:val="28"/>
        </w:rPr>
        <w:t>En este sentido la naturaleza abierta del dispositivo (cátedra libre) facilita la participación y aporte de profesionales y organizaciones externas, que en general al menos en esta universidad, no acceden tan fluidamente a los ambientes académicos convencionales y bajo sistemas administrativo – burocráticos más rígidos.</w:t>
      </w:r>
    </w:p>
    <w:p w:rsidR="00DF59FF" w:rsidRPr="005E1103" w:rsidRDefault="00DF59FF" w:rsidP="00DF59FF">
      <w:pPr>
        <w:spacing w:after="0" w:line="360" w:lineRule="auto"/>
        <w:jc w:val="both"/>
        <w:rPr>
          <w:rFonts w:cstheme="minorHAnsi"/>
          <w:iCs/>
          <w:sz w:val="28"/>
          <w:szCs w:val="28"/>
        </w:rPr>
      </w:pPr>
    </w:p>
    <w:p w:rsidR="00DF59FF" w:rsidRPr="005E1103" w:rsidRDefault="00DF59FF" w:rsidP="00DF59FF">
      <w:pPr>
        <w:spacing w:after="0" w:line="360" w:lineRule="auto"/>
        <w:jc w:val="both"/>
        <w:rPr>
          <w:rFonts w:cstheme="minorHAnsi"/>
          <w:iCs/>
          <w:sz w:val="28"/>
          <w:szCs w:val="28"/>
        </w:rPr>
      </w:pPr>
    </w:p>
    <w:p w:rsidR="00DF59FF" w:rsidRPr="00995D7A" w:rsidRDefault="00DF59FF" w:rsidP="00DF59FF">
      <w:pPr>
        <w:pStyle w:val="Prrafodelista"/>
        <w:numPr>
          <w:ilvl w:val="0"/>
          <w:numId w:val="38"/>
        </w:numPr>
        <w:spacing w:before="0" w:line="360" w:lineRule="auto"/>
        <w:jc w:val="both"/>
        <w:rPr>
          <w:rFonts w:asciiTheme="minorHAnsi" w:hAnsiTheme="minorHAnsi" w:cstheme="minorHAnsi"/>
          <w:b/>
          <w:iCs/>
          <w:sz w:val="28"/>
          <w:szCs w:val="28"/>
        </w:rPr>
      </w:pPr>
      <w:r w:rsidRPr="00995D7A">
        <w:rPr>
          <w:rFonts w:asciiTheme="minorHAnsi" w:hAnsiTheme="minorHAnsi" w:cstheme="minorHAnsi"/>
          <w:b/>
          <w:iCs/>
          <w:sz w:val="28"/>
          <w:szCs w:val="28"/>
        </w:rPr>
        <w:t>MARCO METODOLOGICO - OPERACIONAL</w:t>
      </w:r>
    </w:p>
    <w:p w:rsidR="00DF59FF" w:rsidRPr="005E1103" w:rsidRDefault="00DF59FF" w:rsidP="00DF59FF">
      <w:pPr>
        <w:pStyle w:val="Prrafodelista"/>
        <w:spacing w:line="360" w:lineRule="auto"/>
        <w:jc w:val="both"/>
        <w:rPr>
          <w:rFonts w:asciiTheme="minorHAnsi" w:hAnsiTheme="minorHAnsi" w:cstheme="minorHAnsi"/>
          <w:iCs/>
          <w:sz w:val="28"/>
          <w:szCs w:val="28"/>
        </w:rPr>
      </w:pPr>
      <w:r w:rsidRPr="005E1103">
        <w:rPr>
          <w:rFonts w:asciiTheme="minorHAnsi" w:hAnsiTheme="minorHAnsi" w:cstheme="minorHAnsi"/>
          <w:iCs/>
          <w:sz w:val="28"/>
          <w:szCs w:val="28"/>
        </w:rPr>
        <w:t>8.1 PROCESO DE CREACION</w:t>
      </w:r>
    </w:p>
    <w:p w:rsidR="00DF59FF" w:rsidRPr="005E1103" w:rsidRDefault="00DF59FF" w:rsidP="00DF59FF">
      <w:pPr>
        <w:spacing w:after="0" w:line="360" w:lineRule="auto"/>
        <w:jc w:val="both"/>
        <w:rPr>
          <w:rFonts w:cstheme="minorHAnsi"/>
          <w:iCs/>
          <w:sz w:val="28"/>
          <w:szCs w:val="28"/>
        </w:rPr>
      </w:pPr>
      <w:r w:rsidRPr="005E1103">
        <w:rPr>
          <w:rFonts w:cstheme="minorHAnsi"/>
          <w:iCs/>
          <w:sz w:val="28"/>
          <w:szCs w:val="28"/>
        </w:rPr>
        <w:t>La creación de la CLDUeI implicó un proceso que se fue gestando desde iniciativas personales propiciadas por un contexto nacional y local favorable desde el año 2014.</w:t>
      </w:r>
    </w:p>
    <w:p w:rsidR="00DF59FF" w:rsidRPr="005E1103" w:rsidRDefault="00DF59FF" w:rsidP="00DF59FF">
      <w:pPr>
        <w:spacing w:after="0" w:line="360" w:lineRule="auto"/>
        <w:jc w:val="both"/>
        <w:rPr>
          <w:rFonts w:cstheme="minorHAnsi"/>
          <w:iCs/>
          <w:sz w:val="28"/>
          <w:szCs w:val="28"/>
        </w:rPr>
      </w:pPr>
      <w:r w:rsidRPr="005E1103">
        <w:rPr>
          <w:rFonts w:cstheme="minorHAnsi"/>
          <w:iCs/>
          <w:sz w:val="28"/>
          <w:szCs w:val="28"/>
        </w:rPr>
        <w:t>Se origina desde la coincidencia de un equipo de profesionales docentes de la Facultad de Arquitectura de la UNNE en torno a temáticas afines al diseño universal, inclusión, discapacidad, accesibilidad entre otras, las cuales llevaron adelante las siguientes acciones:</w:t>
      </w:r>
    </w:p>
    <w:p w:rsidR="00DF59FF" w:rsidRPr="005E1103" w:rsidRDefault="00DF59FF" w:rsidP="00DF59FF">
      <w:pPr>
        <w:pStyle w:val="Prrafodelista"/>
        <w:numPr>
          <w:ilvl w:val="0"/>
          <w:numId w:val="41"/>
        </w:numPr>
        <w:spacing w:before="0" w:line="360" w:lineRule="auto"/>
        <w:jc w:val="both"/>
        <w:rPr>
          <w:rFonts w:asciiTheme="minorHAnsi" w:eastAsiaTheme="minorEastAsia" w:hAnsiTheme="minorHAnsi" w:cstheme="minorHAnsi"/>
          <w:iCs/>
          <w:sz w:val="28"/>
          <w:szCs w:val="28"/>
          <w:lang w:eastAsia="es-AR"/>
        </w:rPr>
      </w:pPr>
      <w:r w:rsidRPr="005E1103">
        <w:rPr>
          <w:rFonts w:asciiTheme="minorHAnsi" w:hAnsiTheme="minorHAnsi" w:cstheme="minorHAnsi"/>
          <w:iCs/>
          <w:sz w:val="28"/>
          <w:szCs w:val="28"/>
        </w:rPr>
        <w:lastRenderedPageBreak/>
        <w:t>Formación del equipo de trabajo, sumando profesionales de otros campos disciplinares dentro de la Universidad.</w:t>
      </w:r>
      <w:r w:rsidRPr="005E1103">
        <w:rPr>
          <w:rFonts w:asciiTheme="minorHAnsi" w:eastAsiaTheme="minorEastAsia" w:hAnsiTheme="minorHAnsi" w:cstheme="minorHAnsi"/>
          <w:iCs/>
          <w:sz w:val="28"/>
          <w:szCs w:val="28"/>
          <w:lang w:eastAsia="es-AR"/>
        </w:rPr>
        <w:t xml:space="preserve"> (Medicina, Ciencias Exactas, Artes, Diseño y Ciencias de la Cultura, Humanidades, Derecho, Ingeniería)</w:t>
      </w:r>
    </w:p>
    <w:p w:rsidR="00DF59FF" w:rsidRPr="005E1103" w:rsidRDefault="00DF59FF" w:rsidP="00DF59FF">
      <w:pPr>
        <w:pStyle w:val="Prrafodelista"/>
        <w:numPr>
          <w:ilvl w:val="0"/>
          <w:numId w:val="39"/>
        </w:numPr>
        <w:spacing w:before="0" w:line="360" w:lineRule="auto"/>
        <w:jc w:val="both"/>
        <w:rPr>
          <w:rFonts w:asciiTheme="minorHAnsi" w:hAnsiTheme="minorHAnsi" w:cstheme="minorHAnsi"/>
          <w:iCs/>
          <w:sz w:val="28"/>
          <w:szCs w:val="28"/>
        </w:rPr>
      </w:pPr>
      <w:r w:rsidRPr="005E1103">
        <w:rPr>
          <w:rFonts w:asciiTheme="minorHAnsi" w:hAnsiTheme="minorHAnsi" w:cstheme="minorHAnsi"/>
          <w:iCs/>
          <w:sz w:val="28"/>
          <w:szCs w:val="28"/>
        </w:rPr>
        <w:t xml:space="preserve">Contacto con instituciones y organizaciones del medio afines a la temática de la </w:t>
      </w:r>
      <w:r w:rsidR="00995D7A" w:rsidRPr="005E1103">
        <w:rPr>
          <w:rFonts w:asciiTheme="minorHAnsi" w:hAnsiTheme="minorHAnsi" w:cstheme="minorHAnsi"/>
          <w:iCs/>
          <w:sz w:val="28"/>
          <w:szCs w:val="28"/>
        </w:rPr>
        <w:t>discapacidad, relevamiento</w:t>
      </w:r>
      <w:r w:rsidRPr="005E1103">
        <w:rPr>
          <w:rFonts w:asciiTheme="minorHAnsi" w:hAnsiTheme="minorHAnsi" w:cstheme="minorHAnsi"/>
          <w:iCs/>
          <w:sz w:val="28"/>
          <w:szCs w:val="28"/>
        </w:rPr>
        <w:t xml:space="preserve"> del contexto.</w:t>
      </w:r>
    </w:p>
    <w:p w:rsidR="00DF59FF" w:rsidRPr="005E1103" w:rsidRDefault="00DF59FF" w:rsidP="00DF59FF">
      <w:pPr>
        <w:pStyle w:val="Prrafodelista"/>
        <w:numPr>
          <w:ilvl w:val="0"/>
          <w:numId w:val="39"/>
        </w:numPr>
        <w:spacing w:before="0" w:line="360" w:lineRule="auto"/>
        <w:jc w:val="both"/>
        <w:rPr>
          <w:rFonts w:asciiTheme="minorHAnsi" w:hAnsiTheme="minorHAnsi" w:cstheme="minorHAnsi"/>
          <w:iCs/>
          <w:sz w:val="28"/>
          <w:szCs w:val="28"/>
        </w:rPr>
      </w:pPr>
      <w:r w:rsidRPr="005E1103">
        <w:rPr>
          <w:rFonts w:asciiTheme="minorHAnsi" w:hAnsiTheme="minorHAnsi" w:cstheme="minorHAnsi"/>
          <w:iCs/>
          <w:sz w:val="28"/>
          <w:szCs w:val="28"/>
        </w:rPr>
        <w:t>Elaboración del proyecto de red de cátedras de accesibilidad realizada en el marco del taller de extensión de la Asociación de Universidades del Grupo Montevideo AUGM.</w:t>
      </w:r>
    </w:p>
    <w:p w:rsidR="00DF59FF" w:rsidRPr="005E1103" w:rsidRDefault="00DF59FF" w:rsidP="00DF59FF">
      <w:pPr>
        <w:pStyle w:val="Prrafodelista"/>
        <w:numPr>
          <w:ilvl w:val="0"/>
          <w:numId w:val="39"/>
        </w:numPr>
        <w:spacing w:before="0" w:line="360" w:lineRule="auto"/>
        <w:jc w:val="both"/>
        <w:rPr>
          <w:rFonts w:asciiTheme="minorHAnsi" w:hAnsiTheme="minorHAnsi" w:cstheme="minorHAnsi"/>
          <w:iCs/>
          <w:sz w:val="28"/>
          <w:szCs w:val="28"/>
        </w:rPr>
      </w:pPr>
      <w:r w:rsidRPr="005E1103">
        <w:rPr>
          <w:rFonts w:asciiTheme="minorHAnsi" w:hAnsiTheme="minorHAnsi" w:cstheme="minorHAnsi"/>
          <w:iCs/>
          <w:sz w:val="28"/>
          <w:szCs w:val="28"/>
        </w:rPr>
        <w:t>Identificación de experiencias similares en otras universidades.</w:t>
      </w:r>
    </w:p>
    <w:p w:rsidR="00DF59FF" w:rsidRPr="005E1103" w:rsidRDefault="00DF59FF" w:rsidP="00DF59FF">
      <w:pPr>
        <w:pStyle w:val="Prrafodelista"/>
        <w:numPr>
          <w:ilvl w:val="0"/>
          <w:numId w:val="39"/>
        </w:numPr>
        <w:spacing w:before="0" w:line="360" w:lineRule="auto"/>
        <w:jc w:val="both"/>
        <w:rPr>
          <w:rFonts w:asciiTheme="minorHAnsi" w:hAnsiTheme="minorHAnsi" w:cstheme="minorHAnsi"/>
          <w:iCs/>
          <w:sz w:val="28"/>
          <w:szCs w:val="28"/>
        </w:rPr>
      </w:pPr>
      <w:r w:rsidRPr="005E1103">
        <w:rPr>
          <w:rFonts w:asciiTheme="minorHAnsi" w:hAnsiTheme="minorHAnsi" w:cstheme="minorHAnsi"/>
          <w:iCs/>
          <w:sz w:val="28"/>
          <w:szCs w:val="28"/>
        </w:rPr>
        <w:t>Estudio y análisis del Marco legal y normativo de la cátedra libre de la UNNE.</w:t>
      </w:r>
    </w:p>
    <w:p w:rsidR="00DF59FF" w:rsidRPr="005E1103" w:rsidRDefault="00DF59FF" w:rsidP="00DF59FF">
      <w:pPr>
        <w:pStyle w:val="Prrafodelista"/>
        <w:numPr>
          <w:ilvl w:val="0"/>
          <w:numId w:val="39"/>
        </w:numPr>
        <w:spacing w:before="0" w:line="360" w:lineRule="auto"/>
        <w:jc w:val="both"/>
        <w:rPr>
          <w:rFonts w:asciiTheme="minorHAnsi" w:hAnsiTheme="minorHAnsi" w:cstheme="minorHAnsi"/>
          <w:iCs/>
          <w:sz w:val="28"/>
          <w:szCs w:val="28"/>
        </w:rPr>
      </w:pPr>
      <w:r w:rsidRPr="005E1103">
        <w:rPr>
          <w:rFonts w:asciiTheme="minorHAnsi" w:hAnsiTheme="minorHAnsi" w:cstheme="minorHAnsi"/>
          <w:iCs/>
          <w:sz w:val="28"/>
          <w:szCs w:val="28"/>
        </w:rPr>
        <w:t>Gestiones de avales, adhesiones y apoyos.</w:t>
      </w:r>
    </w:p>
    <w:p w:rsidR="00DF59FF" w:rsidRPr="005E1103" w:rsidRDefault="00DF59FF" w:rsidP="00DF59FF">
      <w:pPr>
        <w:pStyle w:val="Prrafodelista"/>
        <w:numPr>
          <w:ilvl w:val="0"/>
          <w:numId w:val="39"/>
        </w:numPr>
        <w:spacing w:before="0" w:line="360" w:lineRule="auto"/>
        <w:jc w:val="both"/>
        <w:rPr>
          <w:rFonts w:asciiTheme="minorHAnsi" w:hAnsiTheme="minorHAnsi" w:cstheme="minorHAnsi"/>
          <w:iCs/>
          <w:sz w:val="28"/>
          <w:szCs w:val="28"/>
        </w:rPr>
      </w:pPr>
      <w:r w:rsidRPr="005E1103">
        <w:rPr>
          <w:rFonts w:asciiTheme="minorHAnsi" w:hAnsiTheme="minorHAnsi" w:cstheme="minorHAnsi"/>
          <w:iCs/>
          <w:sz w:val="28"/>
          <w:szCs w:val="28"/>
        </w:rPr>
        <w:t>Elaboración de la propuesta de catedra libre.</w:t>
      </w:r>
    </w:p>
    <w:p w:rsidR="00DF59FF" w:rsidRPr="005E1103" w:rsidRDefault="00DF59FF" w:rsidP="00DF59FF">
      <w:pPr>
        <w:pStyle w:val="Prrafodelista"/>
        <w:numPr>
          <w:ilvl w:val="0"/>
          <w:numId w:val="39"/>
        </w:numPr>
        <w:spacing w:before="0" w:line="360" w:lineRule="auto"/>
        <w:jc w:val="both"/>
        <w:rPr>
          <w:rFonts w:asciiTheme="minorHAnsi" w:hAnsiTheme="minorHAnsi" w:cstheme="minorHAnsi"/>
          <w:iCs/>
          <w:sz w:val="28"/>
          <w:szCs w:val="28"/>
        </w:rPr>
      </w:pPr>
      <w:r w:rsidRPr="005E1103">
        <w:rPr>
          <w:rFonts w:asciiTheme="minorHAnsi" w:hAnsiTheme="minorHAnsi" w:cstheme="minorHAnsi"/>
          <w:iCs/>
          <w:sz w:val="28"/>
          <w:szCs w:val="28"/>
        </w:rPr>
        <w:t>Gestiones administrativas para su aprobación.</w:t>
      </w:r>
    </w:p>
    <w:p w:rsidR="00DF59FF" w:rsidRPr="005E1103" w:rsidRDefault="00DF59FF" w:rsidP="00DF59FF">
      <w:pPr>
        <w:spacing w:after="0" w:line="360" w:lineRule="auto"/>
        <w:jc w:val="both"/>
        <w:rPr>
          <w:rFonts w:cstheme="minorHAnsi"/>
          <w:iCs/>
          <w:sz w:val="28"/>
          <w:szCs w:val="28"/>
        </w:rPr>
      </w:pPr>
    </w:p>
    <w:p w:rsidR="00DF59FF" w:rsidRPr="005E1103" w:rsidRDefault="00DF59FF" w:rsidP="00DF59FF">
      <w:pPr>
        <w:spacing w:after="0" w:line="360" w:lineRule="auto"/>
        <w:ind w:left="284" w:firstLine="425"/>
        <w:jc w:val="both"/>
        <w:rPr>
          <w:rFonts w:cstheme="minorHAnsi"/>
          <w:iCs/>
          <w:sz w:val="28"/>
          <w:szCs w:val="28"/>
        </w:rPr>
      </w:pPr>
      <w:r w:rsidRPr="005E1103">
        <w:rPr>
          <w:rFonts w:cstheme="minorHAnsi"/>
          <w:iCs/>
          <w:sz w:val="28"/>
          <w:szCs w:val="28"/>
        </w:rPr>
        <w:t>8.2 PRIMERAS ACTIVIDADES</w:t>
      </w:r>
    </w:p>
    <w:p w:rsidR="00DF59FF" w:rsidRPr="005E1103" w:rsidRDefault="00DF59FF" w:rsidP="00DF59FF">
      <w:pPr>
        <w:spacing w:after="0" w:line="360" w:lineRule="auto"/>
        <w:jc w:val="both"/>
        <w:rPr>
          <w:rFonts w:cstheme="minorHAnsi"/>
          <w:iCs/>
          <w:sz w:val="28"/>
          <w:szCs w:val="28"/>
        </w:rPr>
      </w:pPr>
      <w:r w:rsidRPr="005E1103">
        <w:rPr>
          <w:rFonts w:cstheme="minorHAnsi"/>
          <w:iCs/>
          <w:sz w:val="28"/>
          <w:szCs w:val="28"/>
        </w:rPr>
        <w:t>Paralelamente a la elaboración y gestión para aprobar el proyecto de Catedra libre en el máximo órgano de gobierno de la Universidad (Consejo Superior) se llevaron adelante actividades y encuentros haca el interior de la universidad como modo de reconocer el potencial propio tanto a nivel de sus recursos humanos como así también identificar experiencias y avances relacionadas a la temática. Se organizaron y desarrollaron las siguientes acciones:</w:t>
      </w:r>
    </w:p>
    <w:p w:rsidR="00DF59FF" w:rsidRPr="005E1103" w:rsidRDefault="00DF59FF" w:rsidP="00DF59FF">
      <w:pPr>
        <w:pStyle w:val="Prrafodelista"/>
        <w:numPr>
          <w:ilvl w:val="0"/>
          <w:numId w:val="37"/>
        </w:numPr>
        <w:spacing w:before="0" w:line="360" w:lineRule="auto"/>
        <w:ind w:left="714" w:hanging="357"/>
        <w:jc w:val="both"/>
        <w:rPr>
          <w:rFonts w:asciiTheme="minorHAnsi" w:hAnsiTheme="minorHAnsi" w:cstheme="minorHAnsi"/>
          <w:iCs/>
          <w:sz w:val="28"/>
          <w:szCs w:val="28"/>
        </w:rPr>
      </w:pPr>
      <w:r w:rsidRPr="005E1103">
        <w:rPr>
          <w:rFonts w:asciiTheme="minorHAnsi" w:hAnsiTheme="minorHAnsi" w:cstheme="minorHAnsi"/>
          <w:iCs/>
          <w:sz w:val="28"/>
          <w:szCs w:val="28"/>
        </w:rPr>
        <w:t>Primeras Jornadas de identificación de experiencias para el abordaje de la discapacidad e inclusión en la UNNE. Septiembre 2015.</w:t>
      </w:r>
    </w:p>
    <w:p w:rsidR="00DF59FF" w:rsidRPr="005E1103" w:rsidRDefault="00DF59FF" w:rsidP="00DF59FF">
      <w:pPr>
        <w:pStyle w:val="Prrafodelista"/>
        <w:numPr>
          <w:ilvl w:val="0"/>
          <w:numId w:val="37"/>
        </w:numPr>
        <w:spacing w:before="0" w:line="360" w:lineRule="auto"/>
        <w:ind w:left="714" w:hanging="357"/>
        <w:jc w:val="both"/>
        <w:rPr>
          <w:rFonts w:asciiTheme="minorHAnsi" w:hAnsiTheme="minorHAnsi" w:cstheme="minorHAnsi"/>
          <w:iCs/>
          <w:sz w:val="28"/>
          <w:szCs w:val="28"/>
        </w:rPr>
      </w:pPr>
      <w:r w:rsidRPr="005E1103">
        <w:rPr>
          <w:rFonts w:asciiTheme="minorHAnsi" w:hAnsiTheme="minorHAnsi" w:cstheme="minorHAnsi"/>
          <w:iCs/>
          <w:sz w:val="28"/>
          <w:szCs w:val="28"/>
        </w:rPr>
        <w:t>Jornadas de Reflexión sobre los aportes disciplinares en casos seleccionados.  Junio 2016</w:t>
      </w:r>
    </w:p>
    <w:p w:rsidR="00DF59FF" w:rsidRPr="005E1103" w:rsidRDefault="00DF59FF" w:rsidP="00DF59FF">
      <w:pPr>
        <w:pStyle w:val="Prrafodelista"/>
        <w:numPr>
          <w:ilvl w:val="0"/>
          <w:numId w:val="37"/>
        </w:numPr>
        <w:spacing w:before="0" w:line="360" w:lineRule="auto"/>
        <w:ind w:left="714" w:hanging="357"/>
        <w:rPr>
          <w:rFonts w:asciiTheme="minorHAnsi" w:hAnsiTheme="minorHAnsi" w:cstheme="minorHAnsi"/>
          <w:iCs/>
          <w:sz w:val="28"/>
          <w:szCs w:val="28"/>
        </w:rPr>
      </w:pPr>
      <w:r w:rsidRPr="005E1103">
        <w:rPr>
          <w:rFonts w:asciiTheme="minorHAnsi" w:hAnsiTheme="minorHAnsi" w:cstheme="minorHAnsi"/>
          <w:iCs/>
          <w:sz w:val="28"/>
          <w:szCs w:val="28"/>
        </w:rPr>
        <w:lastRenderedPageBreak/>
        <w:t xml:space="preserve">Organización del Congreso “Educar para incluir” / IX Jornadas Nacionales Universidad y discapacidad UNNE” de la Comisión Interuniversitaria Discapacidad y Derechos Humanos del CIN que se realizará en </w:t>
      </w:r>
      <w:r w:rsidR="00995D7A" w:rsidRPr="005E1103">
        <w:rPr>
          <w:rFonts w:asciiTheme="minorHAnsi" w:hAnsiTheme="minorHAnsi" w:cstheme="minorHAnsi"/>
          <w:iCs/>
          <w:sz w:val="28"/>
          <w:szCs w:val="28"/>
        </w:rPr>
        <w:t>octubre</w:t>
      </w:r>
      <w:r w:rsidRPr="005E1103">
        <w:rPr>
          <w:rFonts w:asciiTheme="minorHAnsi" w:hAnsiTheme="minorHAnsi" w:cstheme="minorHAnsi"/>
          <w:iCs/>
          <w:sz w:val="28"/>
          <w:szCs w:val="28"/>
        </w:rPr>
        <w:t xml:space="preserve"> de 2016.</w:t>
      </w:r>
    </w:p>
    <w:p w:rsidR="00DF59FF" w:rsidRPr="005E1103" w:rsidRDefault="00DF59FF" w:rsidP="00DF59FF">
      <w:pPr>
        <w:pStyle w:val="Prrafodelista"/>
        <w:numPr>
          <w:ilvl w:val="0"/>
          <w:numId w:val="37"/>
        </w:numPr>
        <w:spacing w:before="0" w:line="360" w:lineRule="auto"/>
        <w:ind w:left="714" w:hanging="357"/>
        <w:jc w:val="both"/>
        <w:rPr>
          <w:rFonts w:asciiTheme="minorHAnsi" w:hAnsiTheme="minorHAnsi" w:cstheme="minorHAnsi"/>
          <w:iCs/>
          <w:sz w:val="28"/>
          <w:szCs w:val="28"/>
        </w:rPr>
      </w:pPr>
      <w:r w:rsidRPr="005E1103">
        <w:rPr>
          <w:rFonts w:asciiTheme="minorHAnsi" w:eastAsia="Times New Roman" w:hAnsiTheme="minorHAnsi" w:cstheme="minorHAnsi"/>
          <w:sz w:val="28"/>
          <w:szCs w:val="28"/>
          <w:lang w:eastAsia="es-ES"/>
        </w:rPr>
        <w:t>Creación de una marca y sistema de identidad para abordar la problemática de la discapacidad e inclusión con fuerte identificación de la UNNE.</w:t>
      </w:r>
    </w:p>
    <w:p w:rsidR="00DF59FF" w:rsidRPr="005E1103" w:rsidRDefault="00995D7A" w:rsidP="00DF59FF">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Además,</w:t>
      </w:r>
      <w:r w:rsidR="00DF59FF" w:rsidRPr="005E1103">
        <w:rPr>
          <w:rFonts w:eastAsia="Times New Roman" w:cstheme="minorHAnsi"/>
          <w:sz w:val="28"/>
          <w:szCs w:val="28"/>
          <w:lang w:eastAsia="es-ES"/>
        </w:rPr>
        <w:t xml:space="preserve"> se ha presentado la experiencia en diferentes ámbitos – académicos y científicos – así como otros de perfil social.</w:t>
      </w:r>
    </w:p>
    <w:p w:rsidR="00DF59FF" w:rsidRPr="005E1103" w:rsidRDefault="00DF59FF" w:rsidP="00DF59FF">
      <w:pPr>
        <w:spacing w:after="0" w:line="360" w:lineRule="auto"/>
        <w:jc w:val="both"/>
        <w:rPr>
          <w:rFonts w:cstheme="minorHAnsi"/>
          <w:iCs/>
          <w:sz w:val="28"/>
          <w:szCs w:val="28"/>
        </w:rPr>
      </w:pPr>
    </w:p>
    <w:p w:rsidR="00DF59FF" w:rsidRPr="005E1103" w:rsidRDefault="00DF59FF" w:rsidP="00DF59FF">
      <w:pPr>
        <w:spacing w:after="0" w:line="360" w:lineRule="auto"/>
        <w:ind w:firstLine="709"/>
        <w:jc w:val="both"/>
        <w:rPr>
          <w:rFonts w:cstheme="minorHAnsi"/>
          <w:iCs/>
          <w:sz w:val="28"/>
          <w:szCs w:val="28"/>
        </w:rPr>
      </w:pPr>
      <w:r w:rsidRPr="005E1103">
        <w:rPr>
          <w:rFonts w:cstheme="minorHAnsi"/>
          <w:iCs/>
          <w:sz w:val="28"/>
          <w:szCs w:val="28"/>
        </w:rPr>
        <w:t>8.3 ESTRATEGIAS DE TRABAJO</w:t>
      </w:r>
    </w:p>
    <w:p w:rsidR="00DF59FF" w:rsidRPr="005E1103" w:rsidRDefault="00DF59FF" w:rsidP="00DF59FF">
      <w:pPr>
        <w:spacing w:after="0" w:line="360" w:lineRule="auto"/>
        <w:jc w:val="both"/>
        <w:rPr>
          <w:rFonts w:cstheme="minorHAnsi"/>
          <w:iCs/>
          <w:sz w:val="28"/>
          <w:szCs w:val="28"/>
        </w:rPr>
      </w:pPr>
      <w:r w:rsidRPr="005E1103">
        <w:rPr>
          <w:rFonts w:cstheme="minorHAnsi"/>
          <w:iCs/>
          <w:sz w:val="28"/>
          <w:szCs w:val="28"/>
        </w:rPr>
        <w:t>En este primer año transcurrido desde la creación de la Catedra Libre se han impulsado diferentes espacios y estrategias para propiciar la participación y el involucramiento de docentes, no docentes, alumnos, gestores y autoridades hacia el interior de la universidad, como así también se ha posibilitado la interacción con distintos sectores de la sociedad civil y del estado que se hallan actualmente vinculados a la temática.</w:t>
      </w:r>
    </w:p>
    <w:p w:rsidR="00DF59FF" w:rsidRPr="005E1103" w:rsidRDefault="00DF59FF" w:rsidP="00DF59FF">
      <w:pPr>
        <w:spacing w:after="0" w:line="360" w:lineRule="auto"/>
        <w:jc w:val="both"/>
        <w:rPr>
          <w:rFonts w:cstheme="minorHAnsi"/>
          <w:iCs/>
          <w:sz w:val="28"/>
          <w:szCs w:val="28"/>
        </w:rPr>
      </w:pPr>
      <w:r w:rsidRPr="005E1103">
        <w:rPr>
          <w:rFonts w:cstheme="minorHAnsi"/>
          <w:iCs/>
          <w:sz w:val="28"/>
          <w:szCs w:val="28"/>
        </w:rPr>
        <w:t>En el seno de la universidad se han desarrollado reuniones de trabajo y encuentros de cátedras y de aéreas, con exposiciones y muestra de casos.</w:t>
      </w:r>
    </w:p>
    <w:p w:rsidR="00DF59FF" w:rsidRPr="005E1103" w:rsidRDefault="00DF59FF" w:rsidP="00DF59FF">
      <w:pPr>
        <w:spacing w:after="0" w:line="360" w:lineRule="auto"/>
        <w:jc w:val="both"/>
        <w:rPr>
          <w:rFonts w:cstheme="minorHAnsi"/>
          <w:iCs/>
          <w:sz w:val="28"/>
          <w:szCs w:val="28"/>
        </w:rPr>
      </w:pPr>
      <w:r w:rsidRPr="005E1103">
        <w:rPr>
          <w:rFonts w:cstheme="minorHAnsi"/>
          <w:iCs/>
          <w:sz w:val="28"/>
          <w:szCs w:val="28"/>
        </w:rPr>
        <w:t>Se han realizado jornadas de sensibilización dirigidas a colectivos de estudiantes y personal no docente, mediante presentaciones conceptuales y exposición de casos y talleres de debate</w:t>
      </w:r>
    </w:p>
    <w:p w:rsidR="00DF59FF" w:rsidRPr="005E1103" w:rsidRDefault="00DF59FF" w:rsidP="00DF59FF">
      <w:pPr>
        <w:spacing w:after="0" w:line="360" w:lineRule="auto"/>
        <w:jc w:val="both"/>
        <w:rPr>
          <w:rFonts w:cstheme="minorHAnsi"/>
          <w:iCs/>
          <w:sz w:val="28"/>
          <w:szCs w:val="28"/>
        </w:rPr>
      </w:pPr>
      <w:r w:rsidRPr="005E1103">
        <w:rPr>
          <w:rFonts w:cstheme="minorHAnsi"/>
          <w:iCs/>
          <w:sz w:val="28"/>
          <w:szCs w:val="28"/>
        </w:rPr>
        <w:t>Paralelamente se han utilizado las redes sociales como instrumentos de promoción y difusión de las acciones de la Cátedra y de otras actividades relacionadas.</w:t>
      </w:r>
    </w:p>
    <w:p w:rsidR="00DF59FF" w:rsidRPr="005E1103" w:rsidRDefault="00DF59FF" w:rsidP="00DF59FF">
      <w:pPr>
        <w:spacing w:after="0" w:line="360" w:lineRule="auto"/>
        <w:jc w:val="both"/>
        <w:rPr>
          <w:rFonts w:cstheme="minorHAnsi"/>
          <w:iCs/>
          <w:sz w:val="28"/>
          <w:szCs w:val="28"/>
        </w:rPr>
      </w:pPr>
      <w:r w:rsidRPr="005E1103">
        <w:rPr>
          <w:rFonts w:cstheme="minorHAnsi"/>
          <w:iCs/>
          <w:sz w:val="28"/>
          <w:szCs w:val="28"/>
        </w:rPr>
        <w:t>El equipo docente además se ha abocado a tener presencia en actividades de otras instituciones como conferencias, talleres, reuniones, entre otras actividades vinculadas a la temática y a la elaboración de artículos y presentaciones en Congresos. Mención especial merecen el asesoramiento brindado a otras instituciones tanto públicas como privadas para la adecuación de edificios orientadas a la eliminación de barreras arquitectónicas y a la producción de entornos accesibles.</w:t>
      </w:r>
    </w:p>
    <w:p w:rsidR="00DF59FF" w:rsidRPr="005E1103" w:rsidRDefault="00DF59FF" w:rsidP="00DF59FF">
      <w:pPr>
        <w:spacing w:after="0" w:line="360" w:lineRule="auto"/>
        <w:jc w:val="both"/>
        <w:rPr>
          <w:rFonts w:cstheme="minorHAnsi"/>
          <w:iCs/>
          <w:sz w:val="28"/>
          <w:szCs w:val="28"/>
        </w:rPr>
      </w:pPr>
    </w:p>
    <w:p w:rsidR="00DF59FF" w:rsidRPr="00995D7A" w:rsidRDefault="00DF59FF" w:rsidP="00DF59FF">
      <w:pPr>
        <w:pStyle w:val="Prrafodelista"/>
        <w:numPr>
          <w:ilvl w:val="0"/>
          <w:numId w:val="38"/>
        </w:numPr>
        <w:spacing w:before="0" w:line="360" w:lineRule="auto"/>
        <w:jc w:val="both"/>
        <w:rPr>
          <w:rFonts w:asciiTheme="minorHAnsi" w:hAnsiTheme="minorHAnsi" w:cstheme="minorHAnsi"/>
          <w:b/>
          <w:iCs/>
          <w:sz w:val="28"/>
          <w:szCs w:val="28"/>
        </w:rPr>
      </w:pPr>
      <w:r w:rsidRPr="00995D7A">
        <w:rPr>
          <w:rFonts w:asciiTheme="minorHAnsi" w:hAnsiTheme="minorHAnsi" w:cstheme="minorHAnsi"/>
          <w:b/>
          <w:iCs/>
          <w:sz w:val="28"/>
          <w:szCs w:val="28"/>
        </w:rPr>
        <w:t>CONCLUSIONES/REFLEXIONES</w:t>
      </w:r>
    </w:p>
    <w:p w:rsidR="00DF59FF" w:rsidRPr="005E1103" w:rsidRDefault="00DF59FF" w:rsidP="00DF59FF">
      <w:pPr>
        <w:spacing w:after="0" w:line="360" w:lineRule="auto"/>
        <w:jc w:val="both"/>
        <w:rPr>
          <w:rFonts w:cstheme="minorHAnsi"/>
          <w:iCs/>
          <w:sz w:val="28"/>
          <w:szCs w:val="28"/>
        </w:rPr>
      </w:pPr>
      <w:r w:rsidRPr="005E1103">
        <w:rPr>
          <w:rFonts w:cstheme="minorHAnsi"/>
          <w:iCs/>
          <w:sz w:val="28"/>
          <w:szCs w:val="28"/>
        </w:rPr>
        <w:t xml:space="preserve">El proceso de creación de la Catedra libre como espacio de encuentro de diferentes campos disciplinares orientadas al cambio de paradigma en materia de la accesibilidad hacia el concepto de diseño universal ha representado una oportunidad movilizadora y un gran logro al poder institucionalizar y formalizar acciones aisladas que con  gran compromiso y voluntad viene desarrollando el equipo de catedra de Arquitectura II de la FAU-UNNE como así también la posibilidad de identificar experiencias virtuosas realizadas en otras áreas de la universidad.  Este logro significa </w:t>
      </w:r>
      <w:r w:rsidR="005C2465" w:rsidRPr="005E1103">
        <w:rPr>
          <w:rFonts w:cstheme="minorHAnsi"/>
          <w:iCs/>
          <w:sz w:val="28"/>
          <w:szCs w:val="28"/>
        </w:rPr>
        <w:t>además un</w:t>
      </w:r>
      <w:r w:rsidRPr="005E1103">
        <w:rPr>
          <w:rFonts w:cstheme="minorHAnsi"/>
          <w:iCs/>
          <w:sz w:val="28"/>
          <w:szCs w:val="28"/>
        </w:rPr>
        <w:t xml:space="preserve"> punto de partida para nuevas acciones, “sueños” y desafíos que se basan en el trabajo en equipo, participativo e interdisciplinario como forma de abordaje de temas complejos que permitirán posicionar a la UNNE en un nuevo lugar más comprometido con el rol social que le compete.</w:t>
      </w:r>
    </w:p>
    <w:p w:rsidR="00DF59FF" w:rsidRPr="005E1103" w:rsidRDefault="00DF59FF" w:rsidP="00DF59FF">
      <w:pPr>
        <w:spacing w:after="0" w:line="360" w:lineRule="auto"/>
        <w:jc w:val="both"/>
        <w:rPr>
          <w:rFonts w:cstheme="minorHAnsi"/>
          <w:iCs/>
          <w:sz w:val="28"/>
          <w:szCs w:val="28"/>
        </w:rPr>
      </w:pPr>
      <w:r w:rsidRPr="005E1103">
        <w:rPr>
          <w:rFonts w:cstheme="minorHAnsi"/>
          <w:iCs/>
          <w:sz w:val="28"/>
          <w:szCs w:val="28"/>
        </w:rPr>
        <w:t>En el proceso de formación de la Cátedra representan un desafío importante la constitución y sostenimiento de equipos docentes, al carecer de financiamiento y estructura de funcionamiento, donde se destacan el fuerte compromiso y voluntad personal de quienes se suman a participar.</w:t>
      </w:r>
    </w:p>
    <w:p w:rsidR="00DF59FF" w:rsidRPr="005E1103" w:rsidRDefault="00DF59FF" w:rsidP="00DF59FF">
      <w:pPr>
        <w:spacing w:after="0" w:line="360" w:lineRule="auto"/>
        <w:jc w:val="both"/>
        <w:rPr>
          <w:rFonts w:cstheme="minorHAnsi"/>
          <w:iCs/>
          <w:sz w:val="28"/>
          <w:szCs w:val="28"/>
        </w:rPr>
      </w:pPr>
      <w:r w:rsidRPr="005E1103">
        <w:rPr>
          <w:rFonts w:cstheme="minorHAnsi"/>
          <w:iCs/>
          <w:sz w:val="28"/>
          <w:szCs w:val="28"/>
        </w:rPr>
        <w:t>En este primer año de funcionamiento se destacan las tareas de sensibilización hacia los claustros de estudiantes, las que requieren ser sostenidas sobre todo en el primer año de ingreso a la Universidad como forma de instalar la temática de forma paralela a los contenidos disciplinares y así considerarla como eje transversal que contribuya al cambio de paradigma desde el proceso de formación de los estudiantes como de toda la comunidad universitaria.</w:t>
      </w:r>
    </w:p>
    <w:p w:rsidR="00DF59FF" w:rsidRPr="005E1103" w:rsidRDefault="00DF59FF" w:rsidP="00DF59FF">
      <w:pPr>
        <w:spacing w:after="0" w:line="360" w:lineRule="auto"/>
        <w:jc w:val="both"/>
        <w:rPr>
          <w:rFonts w:cstheme="minorHAnsi"/>
          <w:iCs/>
          <w:sz w:val="28"/>
          <w:szCs w:val="28"/>
        </w:rPr>
      </w:pPr>
      <w:r w:rsidRPr="005E1103">
        <w:rPr>
          <w:rFonts w:cstheme="minorHAnsi"/>
          <w:iCs/>
          <w:sz w:val="28"/>
          <w:szCs w:val="28"/>
        </w:rPr>
        <w:t xml:space="preserve">La articulación con organismos del estado y de la sociedad civil – que ya empiezan a </w:t>
      </w:r>
      <w:r w:rsidR="005C2465" w:rsidRPr="005E1103">
        <w:rPr>
          <w:rFonts w:cstheme="minorHAnsi"/>
          <w:iCs/>
          <w:sz w:val="28"/>
          <w:szCs w:val="28"/>
        </w:rPr>
        <w:t>ser conocidas</w:t>
      </w:r>
      <w:r w:rsidRPr="005E1103">
        <w:rPr>
          <w:rFonts w:cstheme="minorHAnsi"/>
          <w:iCs/>
          <w:sz w:val="28"/>
          <w:szCs w:val="28"/>
        </w:rPr>
        <w:t xml:space="preserve"> y re-conocidas por la comunidad remarcan el compromiso y responsabilidad social de la Universidad, atenta a las demandas sentidas de la comunidad y en el camino </w:t>
      </w:r>
      <w:r w:rsidRPr="005E1103">
        <w:rPr>
          <w:rFonts w:cstheme="minorHAnsi"/>
          <w:iCs/>
          <w:sz w:val="28"/>
          <w:szCs w:val="28"/>
        </w:rPr>
        <w:lastRenderedPageBreak/>
        <w:t>a posicionarla en un rol protagónico en el proceso de cambio de paradigma hacia el diseño universal y la inclusión.</w:t>
      </w:r>
    </w:p>
    <w:p w:rsidR="00DF59FF" w:rsidRPr="005E1103" w:rsidRDefault="00DF59FF" w:rsidP="00DF59FF">
      <w:pPr>
        <w:spacing w:after="0" w:line="360" w:lineRule="auto"/>
        <w:jc w:val="both"/>
        <w:rPr>
          <w:rFonts w:eastAsiaTheme="minorEastAsia" w:cstheme="minorHAnsi"/>
          <w:iCs/>
          <w:sz w:val="28"/>
          <w:szCs w:val="28"/>
          <w:lang w:eastAsia="es-AR"/>
        </w:rPr>
      </w:pPr>
      <w:r w:rsidRPr="005E1103">
        <w:rPr>
          <w:rFonts w:eastAsiaTheme="minorEastAsia" w:cstheme="minorHAnsi"/>
          <w:iCs/>
          <w:sz w:val="28"/>
          <w:szCs w:val="28"/>
          <w:lang w:eastAsia="es-AR"/>
        </w:rPr>
        <w:t>El pensamiento de Boaventura De Souza Santos (2002) guía nuestras preocupaciones y acciones:</w:t>
      </w:r>
      <w:r w:rsidRPr="005E1103">
        <w:rPr>
          <w:rFonts w:eastAsiaTheme="minorEastAsia" w:cstheme="minorHAnsi"/>
          <w:i/>
          <w:iCs/>
          <w:sz w:val="28"/>
          <w:szCs w:val="28"/>
          <w:lang w:eastAsia="es-AR"/>
        </w:rPr>
        <w:t xml:space="preserve"> “</w:t>
      </w:r>
      <w:r w:rsidRPr="005E1103">
        <w:rPr>
          <w:rFonts w:eastAsiaTheme="minorEastAsia" w:cstheme="minorHAnsi"/>
          <w:iCs/>
          <w:sz w:val="28"/>
          <w:szCs w:val="28"/>
          <w:lang w:eastAsia="es-AR"/>
        </w:rPr>
        <w:t>Las personas tienen el derecho a ser iguales cuando la diferencia las haga inferiores, pero también tienen el derecho a ser diferentes cuando la igualdad ponga en peligro su identidad</w:t>
      </w:r>
      <w:r w:rsidRPr="005E1103">
        <w:rPr>
          <w:rFonts w:eastAsiaTheme="minorEastAsia" w:cstheme="minorHAnsi"/>
          <w:i/>
          <w:iCs/>
          <w:sz w:val="28"/>
          <w:szCs w:val="28"/>
          <w:lang w:eastAsia="es-AR"/>
        </w:rPr>
        <w:t>”.</w:t>
      </w:r>
    </w:p>
    <w:p w:rsidR="00DF59FF" w:rsidRPr="005E1103" w:rsidRDefault="00DF59FF" w:rsidP="00DF59FF">
      <w:pPr>
        <w:spacing w:after="0" w:line="360" w:lineRule="auto"/>
        <w:jc w:val="both"/>
        <w:rPr>
          <w:rFonts w:cstheme="minorHAnsi"/>
          <w:iCs/>
          <w:sz w:val="28"/>
          <w:szCs w:val="28"/>
        </w:rPr>
      </w:pPr>
      <w:r w:rsidRPr="005E1103">
        <w:rPr>
          <w:rFonts w:cstheme="minorHAnsi"/>
          <w:iCs/>
          <w:sz w:val="28"/>
          <w:szCs w:val="28"/>
        </w:rPr>
        <w:t xml:space="preserve">Hoy, la CLDUeI ha transitado apenas sus primeros </w:t>
      </w:r>
      <w:r w:rsidR="005C2465" w:rsidRPr="005E1103">
        <w:rPr>
          <w:rFonts w:cstheme="minorHAnsi"/>
          <w:iCs/>
          <w:sz w:val="28"/>
          <w:szCs w:val="28"/>
        </w:rPr>
        <w:t>pasos,</w:t>
      </w:r>
      <w:r w:rsidRPr="005E1103">
        <w:rPr>
          <w:rFonts w:cstheme="minorHAnsi"/>
          <w:iCs/>
          <w:sz w:val="28"/>
          <w:szCs w:val="28"/>
        </w:rPr>
        <w:t xml:space="preserve"> pero con un gran compromiso y convicción, queda aun un venturoso camino por recorrer... </w:t>
      </w:r>
    </w:p>
    <w:p w:rsidR="00DF59FF" w:rsidRPr="005E1103" w:rsidRDefault="00DF59FF" w:rsidP="00DF59FF">
      <w:pPr>
        <w:pStyle w:val="Prrafodelista"/>
        <w:spacing w:line="360" w:lineRule="auto"/>
        <w:jc w:val="both"/>
        <w:rPr>
          <w:rFonts w:asciiTheme="minorHAnsi" w:hAnsiTheme="minorHAnsi" w:cstheme="minorHAnsi"/>
          <w:iCs/>
          <w:sz w:val="28"/>
          <w:szCs w:val="28"/>
        </w:rPr>
      </w:pPr>
    </w:p>
    <w:p w:rsidR="00DF59FF" w:rsidRPr="005C2465" w:rsidRDefault="00DF59FF" w:rsidP="00DF59FF">
      <w:pPr>
        <w:pStyle w:val="Prrafodelista"/>
        <w:numPr>
          <w:ilvl w:val="0"/>
          <w:numId w:val="38"/>
        </w:numPr>
        <w:spacing w:before="0" w:line="360" w:lineRule="auto"/>
        <w:jc w:val="both"/>
        <w:rPr>
          <w:rFonts w:asciiTheme="minorHAnsi" w:hAnsiTheme="minorHAnsi" w:cstheme="minorHAnsi"/>
          <w:b/>
          <w:iCs/>
          <w:sz w:val="28"/>
          <w:szCs w:val="28"/>
        </w:rPr>
      </w:pPr>
      <w:r w:rsidRPr="005C2465">
        <w:rPr>
          <w:rFonts w:asciiTheme="minorHAnsi" w:hAnsiTheme="minorHAnsi" w:cstheme="minorHAnsi"/>
          <w:b/>
          <w:iCs/>
          <w:sz w:val="28"/>
          <w:szCs w:val="28"/>
        </w:rPr>
        <w:t>BIBLIOGRAFIA</w:t>
      </w:r>
    </w:p>
    <w:p w:rsidR="00DF59FF" w:rsidRPr="005E1103" w:rsidRDefault="00DF59FF" w:rsidP="00DF59FF">
      <w:pPr>
        <w:pStyle w:val="Prrafodelista"/>
        <w:numPr>
          <w:ilvl w:val="0"/>
          <w:numId w:val="40"/>
        </w:numPr>
        <w:spacing w:before="0" w:line="360" w:lineRule="auto"/>
        <w:ind w:left="426" w:hanging="426"/>
        <w:rPr>
          <w:rFonts w:asciiTheme="minorHAnsi" w:hAnsiTheme="minorHAnsi" w:cstheme="minorHAnsi"/>
          <w:sz w:val="28"/>
          <w:szCs w:val="28"/>
        </w:rPr>
      </w:pPr>
      <w:r w:rsidRPr="005E1103">
        <w:rPr>
          <w:rFonts w:asciiTheme="minorHAnsi" w:hAnsiTheme="minorHAnsi" w:cstheme="minorHAnsi"/>
          <w:sz w:val="28"/>
          <w:szCs w:val="28"/>
        </w:rPr>
        <w:t xml:space="preserve">Almeida Prado, </w:t>
      </w:r>
      <w:r w:rsidR="005C2465" w:rsidRPr="005E1103">
        <w:rPr>
          <w:rFonts w:asciiTheme="minorHAnsi" w:hAnsiTheme="minorHAnsi" w:cstheme="minorHAnsi"/>
          <w:sz w:val="28"/>
          <w:szCs w:val="28"/>
        </w:rPr>
        <w:t>A.;</w:t>
      </w:r>
      <w:r w:rsidRPr="005E1103">
        <w:rPr>
          <w:rFonts w:asciiTheme="minorHAnsi" w:hAnsiTheme="minorHAnsi" w:cstheme="minorHAnsi"/>
          <w:sz w:val="28"/>
          <w:szCs w:val="28"/>
        </w:rPr>
        <w:t xml:space="preserve"> Lopes, M. y otros. (2010).  Desenho Universal. Caminhos da acessibilidade no Brasil. São Paulo, Brasil: Edit. Anna Blume.</w:t>
      </w:r>
    </w:p>
    <w:p w:rsidR="00DF59FF" w:rsidRPr="005E1103" w:rsidRDefault="00DF59FF" w:rsidP="00DF59FF">
      <w:pPr>
        <w:pStyle w:val="Prrafodelista"/>
        <w:numPr>
          <w:ilvl w:val="0"/>
          <w:numId w:val="40"/>
        </w:numPr>
        <w:spacing w:before="0" w:line="360" w:lineRule="auto"/>
        <w:ind w:left="426" w:hanging="426"/>
        <w:rPr>
          <w:rFonts w:asciiTheme="minorHAnsi" w:hAnsiTheme="minorHAnsi" w:cstheme="minorHAnsi"/>
          <w:sz w:val="28"/>
          <w:szCs w:val="28"/>
        </w:rPr>
      </w:pPr>
      <w:r w:rsidRPr="005E1103">
        <w:rPr>
          <w:rFonts w:asciiTheme="minorHAnsi" w:hAnsiTheme="minorHAnsi" w:cstheme="minorHAnsi"/>
          <w:sz w:val="28"/>
          <w:szCs w:val="28"/>
        </w:rPr>
        <w:t>Cambiaghi, S. (2012). Desenho Universal. Métodos e Técnicas para Arquitetos e Urbanistas. Sao Paulo, Brasil: Editora Senac.</w:t>
      </w:r>
    </w:p>
    <w:p w:rsidR="00DF59FF" w:rsidRPr="005E1103" w:rsidRDefault="00DF59FF" w:rsidP="00DF59FF">
      <w:pPr>
        <w:pStyle w:val="Prrafodelista"/>
        <w:numPr>
          <w:ilvl w:val="0"/>
          <w:numId w:val="40"/>
        </w:numPr>
        <w:spacing w:before="0" w:line="360" w:lineRule="auto"/>
        <w:ind w:left="426" w:hanging="426"/>
        <w:rPr>
          <w:rFonts w:asciiTheme="minorHAnsi" w:hAnsiTheme="minorHAnsi" w:cstheme="minorHAnsi"/>
          <w:sz w:val="28"/>
          <w:szCs w:val="28"/>
        </w:rPr>
      </w:pPr>
      <w:r w:rsidRPr="005E1103">
        <w:rPr>
          <w:rFonts w:asciiTheme="minorHAnsi" w:eastAsia="Times New Roman" w:hAnsiTheme="minorHAnsi" w:cstheme="minorHAnsi"/>
          <w:sz w:val="28"/>
          <w:szCs w:val="28"/>
          <w:lang w:eastAsia="es-ES"/>
        </w:rPr>
        <w:t>Convención sobre los Derechos de las Personas con Discapacidad (CDPD). Organización de las Naciones Unidas (ONU). 2006. Disponible en:</w:t>
      </w:r>
      <w:r w:rsidRPr="005E1103">
        <w:rPr>
          <w:rFonts w:asciiTheme="minorHAnsi" w:hAnsiTheme="minorHAnsi" w:cstheme="minorHAnsi"/>
          <w:sz w:val="28"/>
          <w:szCs w:val="28"/>
        </w:rPr>
        <w:t xml:space="preserve"> </w:t>
      </w:r>
      <w:hyperlink r:id="rId67" w:history="1">
        <w:r w:rsidRPr="005E1103">
          <w:rPr>
            <w:rStyle w:val="Hipervnculo"/>
            <w:rFonts w:asciiTheme="minorHAnsi" w:eastAsia="Times New Roman" w:hAnsiTheme="minorHAnsi" w:cstheme="minorHAnsi"/>
            <w:sz w:val="28"/>
            <w:szCs w:val="28"/>
            <w:lang w:eastAsia="es-ES"/>
          </w:rPr>
          <w:t>http://www.un.org/spanish/disabilities/default.asp?id=497</w:t>
        </w:r>
      </w:hyperlink>
      <w:r w:rsidRPr="005E1103">
        <w:rPr>
          <w:rFonts w:asciiTheme="minorHAnsi" w:eastAsia="Times New Roman" w:hAnsiTheme="minorHAnsi" w:cstheme="minorHAnsi"/>
          <w:sz w:val="28"/>
          <w:szCs w:val="28"/>
          <w:lang w:eastAsia="es-ES"/>
        </w:rPr>
        <w:t xml:space="preserve"> </w:t>
      </w:r>
    </w:p>
    <w:p w:rsidR="00DF59FF" w:rsidRPr="005E1103" w:rsidRDefault="00DF59FF" w:rsidP="00DF59FF">
      <w:pPr>
        <w:pStyle w:val="Prrafodelista"/>
        <w:numPr>
          <w:ilvl w:val="0"/>
          <w:numId w:val="40"/>
        </w:numPr>
        <w:spacing w:before="0" w:line="360" w:lineRule="auto"/>
        <w:ind w:left="426" w:hanging="426"/>
        <w:rPr>
          <w:rStyle w:val="Hipervnculo"/>
          <w:rFonts w:asciiTheme="minorHAnsi" w:hAnsiTheme="minorHAnsi" w:cstheme="minorHAnsi"/>
          <w:sz w:val="28"/>
          <w:szCs w:val="28"/>
        </w:rPr>
      </w:pPr>
      <w:r w:rsidRPr="005E1103">
        <w:rPr>
          <w:rFonts w:asciiTheme="minorHAnsi" w:hAnsiTheme="minorHAnsi" w:cstheme="minorHAnsi"/>
          <w:bCs/>
          <w:iCs/>
          <w:sz w:val="28"/>
          <w:szCs w:val="28"/>
        </w:rPr>
        <w:t xml:space="preserve">Declaración de la conferencia regional de educación superior en américa latina y el caribe. (2008). Disponible en: </w:t>
      </w:r>
      <w:hyperlink r:id="rId68" w:history="1">
        <w:r w:rsidRPr="005E1103">
          <w:rPr>
            <w:rStyle w:val="Hipervnculo"/>
            <w:rFonts w:asciiTheme="minorHAnsi" w:hAnsiTheme="minorHAnsi" w:cstheme="minorHAnsi"/>
            <w:sz w:val="28"/>
            <w:szCs w:val="28"/>
          </w:rPr>
          <w:t>http://www.oei.es/historico/salactsi/cres.htm</w:t>
        </w:r>
      </w:hyperlink>
    </w:p>
    <w:p w:rsidR="00DF59FF" w:rsidRPr="005E1103" w:rsidRDefault="00DF59FF" w:rsidP="00DF59FF">
      <w:pPr>
        <w:pStyle w:val="Prrafodelista"/>
        <w:numPr>
          <w:ilvl w:val="0"/>
          <w:numId w:val="40"/>
        </w:numPr>
        <w:spacing w:before="0" w:line="360" w:lineRule="auto"/>
        <w:ind w:left="426" w:hanging="426"/>
        <w:rPr>
          <w:rStyle w:val="Hipervnculo"/>
          <w:rFonts w:asciiTheme="minorHAnsi" w:hAnsiTheme="minorHAnsi" w:cstheme="minorHAnsi"/>
          <w:sz w:val="28"/>
          <w:szCs w:val="28"/>
        </w:rPr>
      </w:pPr>
      <w:r w:rsidRPr="005E1103">
        <w:rPr>
          <w:rFonts w:asciiTheme="minorHAnsi" w:hAnsiTheme="minorHAnsi" w:cstheme="minorHAnsi"/>
          <w:sz w:val="28"/>
          <w:szCs w:val="28"/>
        </w:rPr>
        <w:t xml:space="preserve">Estatuto de la Universidad Nacional del Nordeste. Rectorado UNNE. (1956). Disponible en: </w:t>
      </w:r>
      <w:hyperlink r:id="rId69" w:history="1">
        <w:r w:rsidRPr="005E1103">
          <w:rPr>
            <w:rStyle w:val="Hipervnculo"/>
            <w:rFonts w:asciiTheme="minorHAnsi" w:hAnsiTheme="minorHAnsi" w:cstheme="minorHAnsi"/>
            <w:sz w:val="28"/>
            <w:szCs w:val="28"/>
          </w:rPr>
          <w:t>http://www.unne.edu.ar/conociendo/doc_normativas/estatuto.pdf</w:t>
        </w:r>
      </w:hyperlink>
    </w:p>
    <w:p w:rsidR="00DF59FF" w:rsidRPr="005E1103" w:rsidRDefault="00DF59FF" w:rsidP="00DF59FF">
      <w:pPr>
        <w:pStyle w:val="Prrafodelista"/>
        <w:numPr>
          <w:ilvl w:val="0"/>
          <w:numId w:val="40"/>
        </w:numPr>
        <w:spacing w:before="0" w:line="360" w:lineRule="auto"/>
        <w:ind w:left="426" w:hanging="426"/>
        <w:rPr>
          <w:rFonts w:asciiTheme="minorHAnsi" w:hAnsiTheme="minorHAnsi" w:cstheme="minorHAnsi"/>
          <w:sz w:val="28"/>
          <w:szCs w:val="28"/>
        </w:rPr>
      </w:pPr>
      <w:r w:rsidRPr="005E1103">
        <w:rPr>
          <w:rFonts w:asciiTheme="minorHAnsi" w:hAnsiTheme="minorHAnsi" w:cstheme="minorHAnsi"/>
          <w:sz w:val="28"/>
          <w:szCs w:val="28"/>
        </w:rPr>
        <w:t xml:space="preserve">Informe Mundial sobre la Discapacidad. Organización Mundial de la Salud /Banco Mundial. 2011. Disponible en:  </w:t>
      </w:r>
      <w:hyperlink r:id="rId70" w:history="1">
        <w:r w:rsidRPr="005E1103">
          <w:rPr>
            <w:rStyle w:val="Hipervnculo"/>
            <w:rFonts w:asciiTheme="minorHAnsi" w:hAnsiTheme="minorHAnsi" w:cstheme="minorHAnsi"/>
            <w:sz w:val="28"/>
            <w:szCs w:val="28"/>
          </w:rPr>
          <w:t>http://www.who.int/disabilities/world_report/2011/es/</w:t>
        </w:r>
      </w:hyperlink>
    </w:p>
    <w:p w:rsidR="00DF59FF" w:rsidRPr="005E1103" w:rsidRDefault="00DF59FF" w:rsidP="00DF59FF">
      <w:pPr>
        <w:pStyle w:val="Prrafodelista"/>
        <w:numPr>
          <w:ilvl w:val="0"/>
          <w:numId w:val="40"/>
        </w:numPr>
        <w:spacing w:before="0" w:line="360" w:lineRule="auto"/>
        <w:ind w:left="426" w:hanging="426"/>
        <w:rPr>
          <w:rStyle w:val="Hipervnculo"/>
          <w:rFonts w:asciiTheme="minorHAnsi" w:hAnsiTheme="minorHAnsi" w:cstheme="minorHAnsi"/>
          <w:sz w:val="28"/>
          <w:szCs w:val="28"/>
        </w:rPr>
      </w:pPr>
      <w:r w:rsidRPr="005E1103">
        <w:rPr>
          <w:rFonts w:asciiTheme="minorHAnsi" w:hAnsiTheme="minorHAnsi" w:cstheme="minorHAnsi"/>
          <w:sz w:val="28"/>
          <w:szCs w:val="28"/>
        </w:rPr>
        <w:t xml:space="preserve">Mareño Sempertegui, M. </w:t>
      </w:r>
      <w:r w:rsidR="005C2465" w:rsidRPr="005E1103">
        <w:rPr>
          <w:rFonts w:asciiTheme="minorHAnsi" w:hAnsiTheme="minorHAnsi" w:cstheme="minorHAnsi"/>
          <w:sz w:val="28"/>
          <w:szCs w:val="28"/>
        </w:rPr>
        <w:t>y Katz</w:t>
      </w:r>
      <w:r w:rsidRPr="005E1103">
        <w:rPr>
          <w:rFonts w:asciiTheme="minorHAnsi" w:hAnsiTheme="minorHAnsi" w:cstheme="minorHAnsi"/>
          <w:sz w:val="28"/>
          <w:szCs w:val="28"/>
        </w:rPr>
        <w:t xml:space="preserve">, S. (2011). Comisión Interuniversitaria: Discapacidad y Derechos Humanos. Estado actual de las políticas de Educación Superior en las Universidades Nacionales. Córdoba, Argentina: Universidad Nacional de Córdoba. </w:t>
      </w:r>
      <w:r w:rsidRPr="005E1103">
        <w:rPr>
          <w:rFonts w:asciiTheme="minorHAnsi" w:hAnsiTheme="minorHAnsi" w:cstheme="minorHAnsi"/>
          <w:sz w:val="28"/>
          <w:szCs w:val="28"/>
        </w:rPr>
        <w:lastRenderedPageBreak/>
        <w:t>Disponible en:</w:t>
      </w:r>
      <w:r w:rsidRPr="005E1103">
        <w:rPr>
          <w:rStyle w:val="Hipervnculo"/>
          <w:rFonts w:asciiTheme="minorHAnsi" w:hAnsiTheme="minorHAnsi" w:cstheme="minorHAnsi"/>
          <w:sz w:val="28"/>
          <w:szCs w:val="28"/>
        </w:rPr>
        <w:t>http://www.unc.edu.ar/vidaestudiantil/inclusion/discapacidad/sae-comision-interu-discapacidad-ddhh.pdf</w:t>
      </w:r>
    </w:p>
    <w:p w:rsidR="00DF59FF" w:rsidRPr="005E1103" w:rsidRDefault="00DF59FF" w:rsidP="00DF59FF">
      <w:pPr>
        <w:pStyle w:val="Prrafodelista"/>
        <w:numPr>
          <w:ilvl w:val="0"/>
          <w:numId w:val="40"/>
        </w:numPr>
        <w:spacing w:before="0" w:line="360" w:lineRule="auto"/>
        <w:ind w:left="426" w:hanging="426"/>
        <w:rPr>
          <w:rStyle w:val="Hipervnculo"/>
          <w:rFonts w:asciiTheme="minorHAnsi" w:hAnsiTheme="minorHAnsi" w:cstheme="minorHAnsi"/>
          <w:sz w:val="28"/>
          <w:szCs w:val="28"/>
        </w:rPr>
      </w:pPr>
      <w:r w:rsidRPr="005E1103">
        <w:rPr>
          <w:rFonts w:asciiTheme="minorHAnsi" w:hAnsiTheme="minorHAnsi" w:cstheme="minorHAnsi"/>
          <w:sz w:val="28"/>
          <w:szCs w:val="28"/>
        </w:rPr>
        <w:t xml:space="preserve">Programa de la Asignatura Arquitectura II Unidad Pedagógica”C” (2014). Disponible en: </w:t>
      </w:r>
      <w:hyperlink r:id="rId71" w:history="1">
        <w:r w:rsidRPr="005E1103">
          <w:rPr>
            <w:rStyle w:val="Hipervnculo"/>
            <w:rFonts w:asciiTheme="minorHAnsi" w:hAnsiTheme="minorHAnsi" w:cstheme="minorHAnsi"/>
            <w:sz w:val="28"/>
            <w:szCs w:val="28"/>
          </w:rPr>
          <w:t>http://arq.unne.edu.ar/carreras/arq_programas/ano_2/planificacion-2014.pdf</w:t>
        </w:r>
      </w:hyperlink>
    </w:p>
    <w:p w:rsidR="00DF59FF" w:rsidRPr="005E1103" w:rsidRDefault="00DF59FF" w:rsidP="00DF59FF">
      <w:pPr>
        <w:pStyle w:val="Prrafodelista"/>
        <w:numPr>
          <w:ilvl w:val="0"/>
          <w:numId w:val="40"/>
        </w:numPr>
        <w:spacing w:before="0" w:line="360" w:lineRule="auto"/>
        <w:ind w:left="426" w:hanging="426"/>
        <w:rPr>
          <w:rFonts w:asciiTheme="minorHAnsi" w:hAnsiTheme="minorHAnsi" w:cstheme="minorHAnsi"/>
          <w:sz w:val="28"/>
          <w:szCs w:val="28"/>
          <w:lang w:val="en-US"/>
        </w:rPr>
      </w:pPr>
      <w:r w:rsidRPr="005E1103">
        <w:rPr>
          <w:rFonts w:asciiTheme="minorHAnsi" w:hAnsiTheme="minorHAnsi" w:cstheme="minorHAnsi"/>
          <w:sz w:val="28"/>
          <w:szCs w:val="28"/>
          <w:lang w:val="en-US"/>
        </w:rPr>
        <w:t xml:space="preserve">Preiser, W. </w:t>
      </w:r>
      <w:r w:rsidR="005C2465" w:rsidRPr="005E1103">
        <w:rPr>
          <w:rFonts w:asciiTheme="minorHAnsi" w:hAnsiTheme="minorHAnsi" w:cstheme="minorHAnsi"/>
          <w:sz w:val="28"/>
          <w:szCs w:val="28"/>
          <w:lang w:val="en-US"/>
        </w:rPr>
        <w:t>and Ostroff</w:t>
      </w:r>
      <w:r w:rsidRPr="005E1103">
        <w:rPr>
          <w:rFonts w:asciiTheme="minorHAnsi" w:hAnsiTheme="minorHAnsi" w:cstheme="minorHAnsi"/>
          <w:sz w:val="28"/>
          <w:szCs w:val="28"/>
          <w:lang w:val="en-US"/>
        </w:rPr>
        <w:t>, E. (2001). Universal Design Handbook.  New York: McGraw-Hill.</w:t>
      </w:r>
    </w:p>
    <w:p w:rsidR="00DF59FF" w:rsidRPr="005E1103" w:rsidRDefault="00DF59FF" w:rsidP="00DF59FF">
      <w:pPr>
        <w:pStyle w:val="Prrafodelista"/>
        <w:numPr>
          <w:ilvl w:val="0"/>
          <w:numId w:val="40"/>
        </w:numPr>
        <w:spacing w:before="0" w:line="360" w:lineRule="auto"/>
        <w:ind w:left="426" w:hanging="426"/>
        <w:rPr>
          <w:rStyle w:val="Hipervnculo"/>
          <w:rFonts w:asciiTheme="minorHAnsi" w:hAnsiTheme="minorHAnsi" w:cstheme="minorHAnsi"/>
          <w:sz w:val="28"/>
          <w:szCs w:val="28"/>
        </w:rPr>
      </w:pPr>
      <w:r w:rsidRPr="005E1103">
        <w:rPr>
          <w:rFonts w:asciiTheme="minorHAnsi" w:hAnsiTheme="minorHAnsi" w:cstheme="minorHAnsi"/>
          <w:sz w:val="28"/>
          <w:szCs w:val="28"/>
        </w:rPr>
        <w:t xml:space="preserve">Resolución Consejo Superior Nº 178/11. Universidad Nacional del Nordeste. Disponible en: </w:t>
      </w:r>
      <w:hyperlink r:id="rId72" w:history="1">
        <w:r w:rsidRPr="005E1103">
          <w:rPr>
            <w:rStyle w:val="Hipervnculo"/>
            <w:rFonts w:asciiTheme="minorHAnsi" w:hAnsiTheme="minorHAnsi" w:cstheme="minorHAnsi"/>
            <w:sz w:val="28"/>
            <w:szCs w:val="28"/>
          </w:rPr>
          <w:t>http://www.unne.edu.ar/conociendo/doc_normativas/Res178-11.pdf</w:t>
        </w:r>
      </w:hyperlink>
    </w:p>
    <w:p w:rsidR="00DF59FF" w:rsidRPr="005E1103" w:rsidRDefault="00DF59FF" w:rsidP="00DF59FF">
      <w:pPr>
        <w:pStyle w:val="Prrafodelista"/>
        <w:numPr>
          <w:ilvl w:val="0"/>
          <w:numId w:val="40"/>
        </w:numPr>
        <w:spacing w:before="0" w:line="360" w:lineRule="auto"/>
        <w:ind w:left="426" w:hanging="426"/>
        <w:rPr>
          <w:rStyle w:val="Hipervnculo"/>
          <w:rFonts w:asciiTheme="minorHAnsi" w:hAnsiTheme="minorHAnsi" w:cstheme="minorHAnsi"/>
          <w:sz w:val="28"/>
          <w:szCs w:val="28"/>
        </w:rPr>
      </w:pPr>
      <w:r w:rsidRPr="005E1103">
        <w:rPr>
          <w:rFonts w:asciiTheme="minorHAnsi" w:hAnsiTheme="minorHAnsi" w:cstheme="minorHAnsi"/>
          <w:sz w:val="28"/>
          <w:szCs w:val="28"/>
        </w:rPr>
        <w:t xml:space="preserve">Rubio, J.M. (s/f). Interdisciplina e integración del saber. Disponible en: </w:t>
      </w:r>
      <w:hyperlink r:id="rId73" w:history="1">
        <w:r w:rsidRPr="005E1103">
          <w:rPr>
            <w:rStyle w:val="Hipervnculo"/>
            <w:rFonts w:asciiTheme="minorHAnsi" w:hAnsiTheme="minorHAnsi" w:cstheme="minorHAnsi"/>
            <w:sz w:val="28"/>
            <w:szCs w:val="28"/>
          </w:rPr>
          <w:t>http://www.uca.edu.ar/uca/common/grupo32/files/2013-Consonancias-Interdisciplina-integraci-n-del-saber.pdf</w:t>
        </w:r>
      </w:hyperlink>
      <w:r w:rsidRPr="005E1103">
        <w:rPr>
          <w:rStyle w:val="Hipervnculo"/>
          <w:rFonts w:asciiTheme="minorHAnsi" w:hAnsiTheme="minorHAnsi" w:cstheme="minorHAnsi"/>
          <w:sz w:val="28"/>
          <w:szCs w:val="28"/>
        </w:rPr>
        <w:t xml:space="preserve">   </w:t>
      </w:r>
    </w:p>
    <w:p w:rsidR="00DF59FF" w:rsidRPr="005E1103" w:rsidRDefault="00DF59FF" w:rsidP="00DF59FF">
      <w:pPr>
        <w:pStyle w:val="Prrafodelista"/>
        <w:numPr>
          <w:ilvl w:val="0"/>
          <w:numId w:val="40"/>
        </w:numPr>
        <w:spacing w:before="0" w:line="360" w:lineRule="auto"/>
        <w:ind w:left="426" w:hanging="426"/>
        <w:rPr>
          <w:rFonts w:asciiTheme="minorHAnsi" w:hAnsiTheme="minorHAnsi" w:cstheme="minorHAnsi"/>
          <w:sz w:val="28"/>
          <w:szCs w:val="28"/>
        </w:rPr>
      </w:pPr>
      <w:r w:rsidRPr="005E1103">
        <w:rPr>
          <w:rFonts w:asciiTheme="minorHAnsi" w:hAnsiTheme="minorHAnsi" w:cstheme="minorHAnsi"/>
          <w:sz w:val="28"/>
          <w:szCs w:val="28"/>
        </w:rPr>
        <w:t>Somenson, M.; Murriello, S.; Freisztav, A. (1993). La Educación Ambiental en la Universidad: Propuesta Metodológica.  UNESCO, DPMA, Universidad Nacional de La Plata.</w:t>
      </w:r>
    </w:p>
    <w:p w:rsidR="00DF59FF" w:rsidRPr="005E1103" w:rsidRDefault="00DF59FF" w:rsidP="00DF59FF">
      <w:pPr>
        <w:pStyle w:val="Prrafodelista"/>
        <w:numPr>
          <w:ilvl w:val="0"/>
          <w:numId w:val="40"/>
        </w:numPr>
        <w:spacing w:before="0" w:line="360" w:lineRule="auto"/>
        <w:ind w:left="426" w:hanging="426"/>
        <w:rPr>
          <w:rStyle w:val="Hipervnculo"/>
          <w:rFonts w:asciiTheme="minorHAnsi" w:hAnsiTheme="minorHAnsi" w:cstheme="minorHAnsi"/>
          <w:sz w:val="28"/>
          <w:szCs w:val="28"/>
        </w:rPr>
      </w:pPr>
      <w:r w:rsidRPr="005E1103">
        <w:rPr>
          <w:rFonts w:asciiTheme="minorHAnsi" w:hAnsiTheme="minorHAnsi" w:cstheme="minorHAnsi"/>
          <w:sz w:val="28"/>
          <w:szCs w:val="28"/>
        </w:rPr>
        <w:t xml:space="preserve">Stolkiner, A. (1999). La Interdisciplina: entre la epistemología y las prácticas. Revista Campo Psi. Año 3, Nº 10. Rosario, Argentina: EL CAMPO Psi.  Disponible en: </w:t>
      </w:r>
      <w:hyperlink r:id="rId74" w:history="1">
        <w:r w:rsidRPr="005E1103">
          <w:rPr>
            <w:rStyle w:val="Hipervnculo"/>
            <w:rFonts w:asciiTheme="minorHAnsi" w:hAnsiTheme="minorHAnsi" w:cstheme="minorHAnsi"/>
            <w:sz w:val="28"/>
            <w:szCs w:val="28"/>
          </w:rPr>
          <w:t>http://www.campopsi.com.ar/lecturas/stolkiner.htm</w:t>
        </w:r>
      </w:hyperlink>
    </w:p>
    <w:p w:rsidR="00DF59FF" w:rsidRPr="005E1103" w:rsidRDefault="00DF59FF" w:rsidP="00DF59FF">
      <w:pPr>
        <w:pStyle w:val="Prrafodelista"/>
        <w:numPr>
          <w:ilvl w:val="0"/>
          <w:numId w:val="40"/>
        </w:numPr>
        <w:spacing w:before="0" w:line="360" w:lineRule="auto"/>
        <w:ind w:left="426" w:hanging="426"/>
        <w:rPr>
          <w:rFonts w:asciiTheme="minorHAnsi" w:hAnsiTheme="minorHAnsi" w:cstheme="minorHAnsi"/>
          <w:sz w:val="28"/>
          <w:szCs w:val="28"/>
        </w:rPr>
      </w:pPr>
      <w:r w:rsidRPr="005E1103">
        <w:rPr>
          <w:rFonts w:asciiTheme="minorHAnsi" w:hAnsiTheme="minorHAnsi" w:cstheme="minorHAnsi"/>
          <w:sz w:val="28"/>
          <w:szCs w:val="28"/>
        </w:rPr>
        <w:t>Versión previa de la CIF. O.M.S.1998. Pág. 3 y 4.</w:t>
      </w:r>
    </w:p>
    <w:p w:rsidR="00DF59FF" w:rsidRPr="005E1103" w:rsidRDefault="00DF59FF" w:rsidP="00DF59FF">
      <w:pPr>
        <w:spacing w:line="360" w:lineRule="auto"/>
        <w:jc w:val="center"/>
        <w:rPr>
          <w:rFonts w:cstheme="minorHAnsi"/>
          <w:sz w:val="28"/>
          <w:szCs w:val="28"/>
        </w:rPr>
      </w:pPr>
      <w:r w:rsidRPr="005E1103">
        <w:rPr>
          <w:rFonts w:cstheme="minorHAnsi"/>
          <w:sz w:val="28"/>
          <w:szCs w:val="28"/>
        </w:rPr>
        <w:t>Veiravé, D.  (2014). “TODOS SOMOS UNNE: Construyendo Democracia, Excelencia Académica y Responsabilidad Social” – Bases para la Gestión 2014 – 2018. Corrientes, Argentina: Universidad Nacional del Nordeste.</w:t>
      </w:r>
    </w:p>
    <w:p w:rsidR="00DF59FF" w:rsidRPr="005E1103" w:rsidRDefault="00DF59FF">
      <w:pPr>
        <w:rPr>
          <w:rFonts w:cstheme="minorHAnsi"/>
          <w:sz w:val="28"/>
          <w:szCs w:val="28"/>
        </w:rPr>
      </w:pPr>
      <w:r w:rsidRPr="005E1103">
        <w:rPr>
          <w:rFonts w:cstheme="minorHAnsi"/>
          <w:sz w:val="28"/>
          <w:szCs w:val="28"/>
        </w:rPr>
        <w:br w:type="page"/>
      </w:r>
    </w:p>
    <w:p w:rsidR="00DF59FF" w:rsidRPr="005E1103" w:rsidRDefault="00DF59FF" w:rsidP="00DF59FF">
      <w:pPr>
        <w:spacing w:line="360" w:lineRule="auto"/>
        <w:jc w:val="center"/>
        <w:rPr>
          <w:rFonts w:cstheme="minorHAnsi"/>
          <w:b/>
          <w:sz w:val="28"/>
          <w:szCs w:val="28"/>
        </w:rPr>
      </w:pPr>
      <w:r w:rsidRPr="005E1103">
        <w:rPr>
          <w:rFonts w:cstheme="minorHAnsi"/>
          <w:b/>
          <w:sz w:val="28"/>
          <w:szCs w:val="28"/>
        </w:rPr>
        <w:lastRenderedPageBreak/>
        <w:t>COMUNICACIÓN 4</w:t>
      </w:r>
    </w:p>
    <w:p w:rsidR="00DF59FF" w:rsidRPr="005E1103" w:rsidRDefault="00DF59FF" w:rsidP="005C2465">
      <w:pPr>
        <w:pBdr>
          <w:top w:val="single" w:sz="4" w:space="1" w:color="auto"/>
          <w:left w:val="single" w:sz="4" w:space="4" w:color="auto"/>
          <w:bottom w:val="single" w:sz="4" w:space="1" w:color="auto"/>
          <w:right w:val="single" w:sz="4" w:space="4" w:color="auto"/>
        </w:pBdr>
        <w:spacing w:before="120" w:line="240" w:lineRule="auto"/>
        <w:jc w:val="center"/>
        <w:rPr>
          <w:rFonts w:cstheme="minorHAnsi"/>
          <w:b/>
          <w:sz w:val="28"/>
          <w:szCs w:val="28"/>
        </w:rPr>
      </w:pPr>
      <w:r w:rsidRPr="005E1103">
        <w:rPr>
          <w:rFonts w:cstheme="minorHAnsi"/>
          <w:b/>
          <w:sz w:val="28"/>
          <w:szCs w:val="28"/>
        </w:rPr>
        <w:t xml:space="preserve">Hacia una Universidad inclusiva en los grados científicos: el ejemplo de la asignatura “Geología” en la Universidad del País </w:t>
      </w:r>
      <w:r w:rsidR="005C2465" w:rsidRPr="005E1103">
        <w:rPr>
          <w:rFonts w:cstheme="minorHAnsi"/>
          <w:b/>
          <w:sz w:val="28"/>
          <w:szCs w:val="28"/>
        </w:rPr>
        <w:t>Vasco UPV</w:t>
      </w:r>
      <w:r w:rsidRPr="005E1103">
        <w:rPr>
          <w:rFonts w:cstheme="minorHAnsi"/>
          <w:b/>
          <w:sz w:val="28"/>
          <w:szCs w:val="28"/>
        </w:rPr>
        <w:t>/EHU</w:t>
      </w:r>
    </w:p>
    <w:p w:rsidR="00DF59FF" w:rsidRPr="005E1103" w:rsidRDefault="00DF59FF" w:rsidP="00DF59FF">
      <w:pPr>
        <w:spacing w:before="120" w:line="360" w:lineRule="auto"/>
        <w:jc w:val="center"/>
        <w:rPr>
          <w:rFonts w:cstheme="minorHAnsi"/>
          <w:b/>
          <w:sz w:val="28"/>
          <w:szCs w:val="28"/>
        </w:rPr>
      </w:pPr>
    </w:p>
    <w:p w:rsidR="00DF59FF" w:rsidRPr="005E1103" w:rsidRDefault="00DF59FF" w:rsidP="00DF59FF">
      <w:pPr>
        <w:tabs>
          <w:tab w:val="left" w:pos="540"/>
        </w:tabs>
        <w:spacing w:before="120" w:line="360" w:lineRule="auto"/>
        <w:ind w:firstLine="709"/>
        <w:jc w:val="right"/>
        <w:rPr>
          <w:rFonts w:cstheme="minorHAnsi"/>
          <w:sz w:val="28"/>
          <w:szCs w:val="28"/>
        </w:rPr>
      </w:pPr>
      <w:r w:rsidRPr="005E1103">
        <w:rPr>
          <w:rFonts w:cstheme="minorHAnsi"/>
          <w:sz w:val="28"/>
          <w:szCs w:val="28"/>
        </w:rPr>
        <w:t>Ana Pascual</w:t>
      </w:r>
    </w:p>
    <w:p w:rsidR="00DF59FF" w:rsidRPr="005E1103" w:rsidRDefault="00DF59FF" w:rsidP="00DF59FF">
      <w:pPr>
        <w:tabs>
          <w:tab w:val="left" w:pos="540"/>
        </w:tabs>
        <w:spacing w:before="120" w:line="360" w:lineRule="auto"/>
        <w:ind w:firstLine="709"/>
        <w:jc w:val="right"/>
        <w:rPr>
          <w:rFonts w:cstheme="minorHAnsi"/>
          <w:sz w:val="28"/>
          <w:szCs w:val="28"/>
        </w:rPr>
      </w:pPr>
      <w:r w:rsidRPr="005E1103">
        <w:rPr>
          <w:rFonts w:cstheme="minorHAnsi"/>
          <w:sz w:val="28"/>
          <w:szCs w:val="28"/>
        </w:rPr>
        <w:t>Profesora Titular de Paleontología</w:t>
      </w:r>
    </w:p>
    <w:p w:rsidR="00DF59FF" w:rsidRPr="005E1103" w:rsidRDefault="00DF59FF" w:rsidP="00DF59FF">
      <w:pPr>
        <w:tabs>
          <w:tab w:val="left" w:pos="540"/>
        </w:tabs>
        <w:spacing w:before="120" w:line="360" w:lineRule="auto"/>
        <w:ind w:firstLine="709"/>
        <w:jc w:val="right"/>
        <w:rPr>
          <w:rFonts w:cstheme="minorHAnsi"/>
          <w:sz w:val="28"/>
          <w:szCs w:val="28"/>
        </w:rPr>
      </w:pPr>
    </w:p>
    <w:p w:rsidR="00DF59FF" w:rsidRPr="005E1103" w:rsidRDefault="00DF59FF" w:rsidP="00DF59FF">
      <w:pPr>
        <w:tabs>
          <w:tab w:val="left" w:pos="540"/>
        </w:tabs>
        <w:spacing w:before="120" w:line="360" w:lineRule="auto"/>
        <w:ind w:firstLine="709"/>
        <w:jc w:val="right"/>
        <w:rPr>
          <w:rFonts w:cstheme="minorHAnsi"/>
          <w:sz w:val="28"/>
          <w:szCs w:val="28"/>
        </w:rPr>
      </w:pPr>
      <w:r w:rsidRPr="005E1103">
        <w:rPr>
          <w:rFonts w:cstheme="minorHAnsi"/>
          <w:sz w:val="28"/>
          <w:szCs w:val="28"/>
        </w:rPr>
        <w:t>Ana Berreteaga</w:t>
      </w:r>
    </w:p>
    <w:p w:rsidR="00DF59FF" w:rsidRPr="005E1103" w:rsidRDefault="00DF59FF" w:rsidP="00DF59FF">
      <w:pPr>
        <w:tabs>
          <w:tab w:val="left" w:pos="540"/>
        </w:tabs>
        <w:spacing w:before="120" w:line="360" w:lineRule="auto"/>
        <w:ind w:firstLine="709"/>
        <w:jc w:val="right"/>
        <w:rPr>
          <w:rFonts w:cstheme="minorHAnsi"/>
          <w:sz w:val="28"/>
          <w:szCs w:val="28"/>
        </w:rPr>
      </w:pPr>
      <w:r w:rsidRPr="005E1103">
        <w:rPr>
          <w:rFonts w:cstheme="minorHAnsi"/>
          <w:sz w:val="28"/>
          <w:szCs w:val="28"/>
        </w:rPr>
        <w:t>Investigadora Posdoctoral</w:t>
      </w:r>
    </w:p>
    <w:p w:rsidR="00DF59FF" w:rsidRPr="005E1103" w:rsidRDefault="00DF59FF" w:rsidP="00DF59FF">
      <w:pPr>
        <w:tabs>
          <w:tab w:val="left" w:pos="540"/>
        </w:tabs>
        <w:spacing w:before="120" w:line="360" w:lineRule="auto"/>
        <w:ind w:firstLine="709"/>
        <w:jc w:val="right"/>
        <w:rPr>
          <w:rFonts w:cstheme="minorHAnsi"/>
          <w:sz w:val="28"/>
          <w:szCs w:val="28"/>
        </w:rPr>
      </w:pPr>
    </w:p>
    <w:p w:rsidR="00DF59FF" w:rsidRPr="005E1103" w:rsidRDefault="00DF59FF" w:rsidP="00DF59FF">
      <w:pPr>
        <w:tabs>
          <w:tab w:val="left" w:pos="540"/>
        </w:tabs>
        <w:spacing w:before="120" w:line="360" w:lineRule="auto"/>
        <w:ind w:firstLine="709"/>
        <w:jc w:val="right"/>
        <w:rPr>
          <w:rFonts w:cstheme="minorHAnsi"/>
          <w:sz w:val="28"/>
          <w:szCs w:val="28"/>
        </w:rPr>
      </w:pPr>
      <w:r w:rsidRPr="005E1103">
        <w:rPr>
          <w:rFonts w:cstheme="minorHAnsi"/>
          <w:sz w:val="28"/>
          <w:szCs w:val="28"/>
        </w:rPr>
        <w:t xml:space="preserve"> Juan Ignacio Baceta</w:t>
      </w:r>
    </w:p>
    <w:p w:rsidR="00DF59FF" w:rsidRPr="005E1103" w:rsidRDefault="00DF59FF" w:rsidP="00DF59FF">
      <w:pPr>
        <w:tabs>
          <w:tab w:val="left" w:pos="540"/>
        </w:tabs>
        <w:spacing w:before="120" w:line="360" w:lineRule="auto"/>
        <w:ind w:firstLine="709"/>
        <w:jc w:val="right"/>
        <w:rPr>
          <w:rFonts w:cstheme="minorHAnsi"/>
          <w:sz w:val="28"/>
          <w:szCs w:val="28"/>
        </w:rPr>
      </w:pPr>
      <w:r w:rsidRPr="005E1103">
        <w:rPr>
          <w:rFonts w:cstheme="minorHAnsi"/>
          <w:sz w:val="28"/>
          <w:szCs w:val="28"/>
        </w:rPr>
        <w:t>Profesor Titular de Sedimentología</w:t>
      </w:r>
    </w:p>
    <w:p w:rsidR="00DF59FF" w:rsidRPr="005E1103" w:rsidRDefault="00DF59FF" w:rsidP="00DF59FF">
      <w:pPr>
        <w:tabs>
          <w:tab w:val="left" w:pos="540"/>
        </w:tabs>
        <w:spacing w:before="120" w:line="360" w:lineRule="auto"/>
        <w:ind w:firstLine="709"/>
        <w:jc w:val="right"/>
        <w:rPr>
          <w:rFonts w:cstheme="minorHAnsi"/>
          <w:sz w:val="28"/>
          <w:szCs w:val="28"/>
        </w:rPr>
      </w:pPr>
    </w:p>
    <w:p w:rsidR="00DF59FF" w:rsidRPr="005E1103" w:rsidRDefault="00DF59FF" w:rsidP="00DF59FF">
      <w:pPr>
        <w:tabs>
          <w:tab w:val="left" w:pos="540"/>
        </w:tabs>
        <w:spacing w:before="120" w:line="360" w:lineRule="auto"/>
        <w:ind w:firstLine="709"/>
        <w:jc w:val="right"/>
        <w:rPr>
          <w:rFonts w:cstheme="minorHAnsi"/>
          <w:sz w:val="28"/>
          <w:szCs w:val="28"/>
        </w:rPr>
      </w:pPr>
      <w:r w:rsidRPr="005E1103">
        <w:rPr>
          <w:rFonts w:cstheme="minorHAnsi"/>
          <w:sz w:val="28"/>
          <w:szCs w:val="28"/>
        </w:rPr>
        <w:t>Fac. de Ciencia y Tecnología</w:t>
      </w:r>
    </w:p>
    <w:p w:rsidR="00DF59FF" w:rsidRPr="005E1103" w:rsidRDefault="00DF59FF" w:rsidP="00DF59FF">
      <w:pPr>
        <w:tabs>
          <w:tab w:val="left" w:pos="540"/>
        </w:tabs>
        <w:spacing w:before="120" w:line="360" w:lineRule="auto"/>
        <w:ind w:firstLine="709"/>
        <w:jc w:val="right"/>
        <w:rPr>
          <w:rFonts w:cstheme="minorHAnsi"/>
          <w:sz w:val="28"/>
          <w:szCs w:val="28"/>
        </w:rPr>
      </w:pPr>
      <w:r w:rsidRPr="005E1103">
        <w:rPr>
          <w:rFonts w:cstheme="minorHAnsi"/>
          <w:sz w:val="28"/>
          <w:szCs w:val="28"/>
        </w:rPr>
        <w:t>Dpto. Estratigrafía y Paleontología</w:t>
      </w:r>
    </w:p>
    <w:p w:rsidR="00DF59FF" w:rsidRPr="005E1103" w:rsidRDefault="00DF59FF" w:rsidP="00DF59FF">
      <w:pPr>
        <w:tabs>
          <w:tab w:val="left" w:pos="540"/>
        </w:tabs>
        <w:spacing w:before="120" w:line="360" w:lineRule="auto"/>
        <w:ind w:firstLine="709"/>
        <w:jc w:val="right"/>
        <w:rPr>
          <w:rFonts w:cstheme="minorHAnsi"/>
          <w:sz w:val="28"/>
          <w:szCs w:val="28"/>
        </w:rPr>
      </w:pPr>
      <w:r w:rsidRPr="005E1103">
        <w:rPr>
          <w:rFonts w:cstheme="minorHAnsi"/>
          <w:sz w:val="28"/>
          <w:szCs w:val="28"/>
        </w:rPr>
        <w:t>Universidad del País Vasco UPV/EHU</w:t>
      </w:r>
    </w:p>
    <w:p w:rsidR="00DF59FF" w:rsidRPr="005E1103" w:rsidRDefault="00DF59FF" w:rsidP="00DF59FF">
      <w:pPr>
        <w:tabs>
          <w:tab w:val="left" w:pos="540"/>
        </w:tabs>
        <w:spacing w:before="120" w:line="360" w:lineRule="auto"/>
        <w:ind w:firstLine="709"/>
        <w:jc w:val="both"/>
        <w:rPr>
          <w:rFonts w:cstheme="minorHAnsi"/>
          <w:sz w:val="28"/>
          <w:szCs w:val="28"/>
        </w:rPr>
      </w:pPr>
    </w:p>
    <w:p w:rsidR="00DF59FF" w:rsidRPr="005E1103" w:rsidRDefault="00DF59FF" w:rsidP="00DF59FF">
      <w:pPr>
        <w:spacing w:before="120" w:line="360" w:lineRule="auto"/>
        <w:jc w:val="both"/>
        <w:rPr>
          <w:rFonts w:cstheme="minorHAnsi"/>
          <w:b/>
          <w:sz w:val="28"/>
          <w:szCs w:val="28"/>
        </w:rPr>
      </w:pPr>
      <w:r w:rsidRPr="005E1103">
        <w:rPr>
          <w:rFonts w:cstheme="minorHAnsi"/>
          <w:b/>
          <w:sz w:val="28"/>
          <w:szCs w:val="28"/>
        </w:rPr>
        <w:t>1.</w:t>
      </w:r>
      <w:r w:rsidRPr="005E1103">
        <w:rPr>
          <w:rFonts w:cstheme="minorHAnsi"/>
          <w:sz w:val="28"/>
          <w:szCs w:val="28"/>
        </w:rPr>
        <w:t xml:space="preserve"> </w:t>
      </w:r>
      <w:r w:rsidRPr="005E1103">
        <w:rPr>
          <w:rFonts w:cstheme="minorHAnsi"/>
          <w:b/>
          <w:sz w:val="28"/>
          <w:szCs w:val="28"/>
        </w:rPr>
        <w:t>Introducción</w:t>
      </w:r>
    </w:p>
    <w:p w:rsidR="00DF59FF" w:rsidRPr="005E1103" w:rsidRDefault="00DF59FF" w:rsidP="00DF59FF">
      <w:pPr>
        <w:spacing w:before="120" w:line="360" w:lineRule="auto"/>
        <w:jc w:val="both"/>
        <w:rPr>
          <w:rFonts w:cstheme="minorHAnsi"/>
          <w:sz w:val="28"/>
          <w:szCs w:val="28"/>
        </w:rPr>
      </w:pPr>
      <w:r w:rsidRPr="005E1103">
        <w:rPr>
          <w:rFonts w:cstheme="minorHAnsi"/>
          <w:sz w:val="28"/>
          <w:szCs w:val="28"/>
          <w:lang w:eastAsia="es-ES"/>
        </w:rPr>
        <w:t xml:space="preserve">En el curso 2015-2016 había en la </w:t>
      </w:r>
      <w:r w:rsidRPr="005E1103">
        <w:rPr>
          <w:rFonts w:cstheme="minorHAnsi"/>
          <w:sz w:val="28"/>
          <w:szCs w:val="28"/>
        </w:rPr>
        <w:t>Universidad del País Vasco/EHU</w:t>
      </w:r>
      <w:r w:rsidRPr="005E1103">
        <w:rPr>
          <w:rFonts w:cstheme="minorHAnsi"/>
          <w:sz w:val="28"/>
          <w:szCs w:val="28"/>
          <w:lang w:eastAsia="es-ES"/>
        </w:rPr>
        <w:t xml:space="preserve">, 282 </w:t>
      </w:r>
      <w:r w:rsidR="005C2465" w:rsidRPr="005E1103">
        <w:rPr>
          <w:rFonts w:cstheme="minorHAnsi"/>
          <w:sz w:val="28"/>
          <w:szCs w:val="28"/>
          <w:lang w:eastAsia="es-ES"/>
        </w:rPr>
        <w:t>alumnos registrados</w:t>
      </w:r>
      <w:r w:rsidRPr="005E1103">
        <w:rPr>
          <w:rFonts w:cstheme="minorHAnsi"/>
          <w:sz w:val="28"/>
          <w:szCs w:val="28"/>
          <w:lang w:eastAsia="es-ES"/>
        </w:rPr>
        <w:t xml:space="preserve"> en el censo del alumnado con discapacidades (Tabla I), de ellos 22 cursaban sus estudios en la Facultad de Ciencia y Tecnología.  En el curso anterior se titularon 33 discapacitados (Tabla II) en distintas áreas de conocimiento: </w:t>
      </w:r>
      <w:r w:rsidRPr="005E1103">
        <w:rPr>
          <w:rFonts w:cstheme="minorHAnsi"/>
          <w:sz w:val="28"/>
          <w:szCs w:val="28"/>
        </w:rPr>
        <w:t xml:space="preserve">13 en Ciencias Sociales y </w:t>
      </w:r>
      <w:r w:rsidRPr="005E1103">
        <w:rPr>
          <w:rFonts w:cstheme="minorHAnsi"/>
          <w:sz w:val="28"/>
          <w:szCs w:val="28"/>
        </w:rPr>
        <w:lastRenderedPageBreak/>
        <w:t>Jurídicas, 10 en Ciencias de la Salud, 5 en Ingeniería y Arquitectura, 5 en Arte y Humanidades y ninguno en Ciencias.</w:t>
      </w:r>
    </w:p>
    <w:p w:rsidR="00DF59FF" w:rsidRPr="005E1103" w:rsidRDefault="00DF59FF" w:rsidP="00DF59FF">
      <w:pPr>
        <w:pStyle w:val="Ttulo1"/>
        <w:spacing w:before="120" w:line="360" w:lineRule="auto"/>
        <w:jc w:val="both"/>
        <w:rPr>
          <w:rFonts w:asciiTheme="minorHAnsi" w:hAnsiTheme="minorHAnsi" w:cstheme="minorHAnsi"/>
          <w:b w:val="0"/>
          <w:bCs w:val="0"/>
        </w:rPr>
      </w:pPr>
      <w:r w:rsidRPr="005E1103">
        <w:rPr>
          <w:rFonts w:asciiTheme="minorHAnsi" w:hAnsiTheme="minorHAnsi" w:cstheme="minorHAnsi"/>
          <w:b w:val="0"/>
          <w:bCs w:val="0"/>
        </w:rPr>
        <w:t>En la Facultad de Ciencia y Tecnología se imparten los grados de: Biología, Bioquímica y Biología Molecular, Biotecnología, Física, Geología, Ingeniería electrónica, Ingeniería química, Matemáticas y Química, existiendo cierta transversalidad entre los mismos. Es por ello que comparten asignaturas como “Geología”, en el primer curso, los grados de Geología y de Biología. Esta materia tiene una carga lectiva de 9 créditos ECTS: 5.5 de teoría, 2 de prácticas de laboratorio y 1.5 de prácticas de campo. En cualquiera de los grados se encuentran matriculados alumnos con discapacidades diversas. Sin embargo, el alumnado con discapacidad motriz, no elige el de Geología, al tratarse de una carrera con prácticas de campo.</w:t>
      </w:r>
    </w:p>
    <w:p w:rsidR="00DF59FF" w:rsidRPr="005E1103" w:rsidRDefault="00DF59FF" w:rsidP="00DF59FF">
      <w:pPr>
        <w:pStyle w:val="Ttulo1"/>
        <w:spacing w:before="120" w:line="360" w:lineRule="auto"/>
        <w:jc w:val="both"/>
        <w:rPr>
          <w:rFonts w:asciiTheme="minorHAnsi" w:hAnsiTheme="minorHAnsi" w:cstheme="minorHAnsi"/>
          <w:b w:val="0"/>
          <w:bCs w:val="0"/>
        </w:rPr>
      </w:pPr>
    </w:p>
    <w:tbl>
      <w:tblPr>
        <w:tblW w:w="8690" w:type="dxa"/>
        <w:jc w:val="center"/>
        <w:tblCellMar>
          <w:left w:w="70" w:type="dxa"/>
          <w:right w:w="70" w:type="dxa"/>
        </w:tblCellMar>
        <w:tblLook w:val="0000" w:firstRow="0" w:lastRow="0" w:firstColumn="0" w:lastColumn="0" w:noHBand="0" w:noVBand="0"/>
      </w:tblPr>
      <w:tblGrid>
        <w:gridCol w:w="1301"/>
        <w:gridCol w:w="1218"/>
        <w:gridCol w:w="1227"/>
        <w:gridCol w:w="1236"/>
        <w:gridCol w:w="1209"/>
        <w:gridCol w:w="1212"/>
        <w:gridCol w:w="1287"/>
      </w:tblGrid>
      <w:tr w:rsidR="00DF59FF" w:rsidRPr="005E1103" w:rsidTr="00DF59FF">
        <w:trPr>
          <w:trHeight w:val="499"/>
          <w:jc w:val="center"/>
        </w:trPr>
        <w:tc>
          <w:tcPr>
            <w:tcW w:w="8690" w:type="dxa"/>
            <w:gridSpan w:val="7"/>
            <w:tcBorders>
              <w:top w:val="single" w:sz="4" w:space="0" w:color="auto"/>
              <w:left w:val="single" w:sz="4" w:space="0" w:color="auto"/>
              <w:bottom w:val="single" w:sz="4" w:space="0" w:color="auto"/>
              <w:right w:val="single" w:sz="4" w:space="0" w:color="000000"/>
            </w:tcBorders>
            <w:shd w:val="clear" w:color="auto" w:fill="auto"/>
            <w:vAlign w:val="center"/>
          </w:tcPr>
          <w:p w:rsidR="00DF59FF" w:rsidRPr="005E1103" w:rsidRDefault="00DF59FF" w:rsidP="00DF59FF">
            <w:pPr>
              <w:jc w:val="center"/>
              <w:rPr>
                <w:rFonts w:cstheme="minorHAnsi"/>
                <w:b/>
                <w:bCs/>
                <w:sz w:val="28"/>
                <w:szCs w:val="28"/>
              </w:rPr>
            </w:pPr>
            <w:r w:rsidRPr="005E1103">
              <w:rPr>
                <w:rFonts w:cstheme="minorHAnsi"/>
                <w:b/>
                <w:bCs/>
                <w:sz w:val="28"/>
                <w:szCs w:val="28"/>
              </w:rPr>
              <w:t>Alumnado con discapacidad matriculado en la Universidad del País Vasco UPV/EHU</w:t>
            </w:r>
          </w:p>
        </w:tc>
      </w:tr>
      <w:tr w:rsidR="00DF59FF" w:rsidRPr="005E1103" w:rsidTr="00DF59FF">
        <w:trPr>
          <w:trHeight w:val="567"/>
          <w:jc w:val="center"/>
        </w:trPr>
        <w:tc>
          <w:tcPr>
            <w:tcW w:w="0" w:type="auto"/>
            <w:tcBorders>
              <w:top w:val="single" w:sz="4" w:space="0" w:color="auto"/>
              <w:left w:val="single" w:sz="4" w:space="0" w:color="auto"/>
              <w:bottom w:val="nil"/>
              <w:right w:val="single" w:sz="4" w:space="0" w:color="auto"/>
            </w:tcBorders>
            <w:shd w:val="clear" w:color="auto" w:fill="auto"/>
          </w:tcPr>
          <w:p w:rsidR="00DF59FF" w:rsidRPr="005E1103" w:rsidRDefault="00DF59FF" w:rsidP="00DF59FF">
            <w:pPr>
              <w:rPr>
                <w:rFonts w:cstheme="minorHAnsi"/>
                <w:sz w:val="28"/>
                <w:szCs w:val="28"/>
              </w:rPr>
            </w:pPr>
            <w:r w:rsidRPr="005E1103">
              <w:rPr>
                <w:rFonts w:cstheme="minorHAnsi"/>
                <w:sz w:val="28"/>
                <w:szCs w:val="28"/>
              </w:rPr>
              <w:t> </w:t>
            </w:r>
          </w:p>
        </w:tc>
        <w:tc>
          <w:tcPr>
            <w:tcW w:w="1209" w:type="dxa"/>
            <w:tcBorders>
              <w:top w:val="nil"/>
              <w:left w:val="nil"/>
              <w:bottom w:val="nil"/>
              <w:right w:val="single" w:sz="4" w:space="0" w:color="auto"/>
            </w:tcBorders>
            <w:shd w:val="clear" w:color="auto" w:fill="auto"/>
            <w:vAlign w:val="center"/>
          </w:tcPr>
          <w:p w:rsidR="00DF59FF" w:rsidRPr="005E1103" w:rsidRDefault="00DF59FF" w:rsidP="00DF59FF">
            <w:pPr>
              <w:jc w:val="center"/>
              <w:rPr>
                <w:rFonts w:cstheme="minorHAnsi"/>
                <w:b/>
                <w:color w:val="000000"/>
                <w:sz w:val="28"/>
                <w:szCs w:val="28"/>
              </w:rPr>
            </w:pPr>
            <w:r w:rsidRPr="005E1103">
              <w:rPr>
                <w:rFonts w:cstheme="minorHAnsi"/>
                <w:b/>
                <w:bCs/>
                <w:sz w:val="28"/>
                <w:szCs w:val="28"/>
              </w:rPr>
              <w:t>2010-2011</w:t>
            </w:r>
          </w:p>
        </w:tc>
        <w:tc>
          <w:tcPr>
            <w:tcW w:w="1218" w:type="dxa"/>
            <w:tcBorders>
              <w:top w:val="nil"/>
              <w:left w:val="nil"/>
              <w:bottom w:val="nil"/>
              <w:right w:val="single" w:sz="4" w:space="0" w:color="auto"/>
            </w:tcBorders>
            <w:shd w:val="clear" w:color="auto" w:fill="auto"/>
            <w:vAlign w:val="center"/>
          </w:tcPr>
          <w:p w:rsidR="00DF59FF" w:rsidRPr="005E1103" w:rsidRDefault="00DF59FF" w:rsidP="00DF59FF">
            <w:pPr>
              <w:jc w:val="center"/>
              <w:rPr>
                <w:rFonts w:cstheme="minorHAnsi"/>
                <w:b/>
                <w:color w:val="000000"/>
                <w:sz w:val="28"/>
                <w:szCs w:val="28"/>
              </w:rPr>
            </w:pPr>
            <w:r w:rsidRPr="005E1103">
              <w:rPr>
                <w:rFonts w:cstheme="minorHAnsi"/>
                <w:b/>
                <w:bCs/>
                <w:sz w:val="28"/>
                <w:szCs w:val="28"/>
              </w:rPr>
              <w:t>2011-2012</w:t>
            </w:r>
          </w:p>
        </w:tc>
        <w:tc>
          <w:tcPr>
            <w:tcW w:w="1227" w:type="dxa"/>
            <w:tcBorders>
              <w:top w:val="nil"/>
              <w:left w:val="nil"/>
              <w:bottom w:val="nil"/>
              <w:right w:val="single" w:sz="4" w:space="0" w:color="auto"/>
            </w:tcBorders>
            <w:shd w:val="clear" w:color="auto" w:fill="auto"/>
            <w:vAlign w:val="center"/>
          </w:tcPr>
          <w:p w:rsidR="00DF59FF" w:rsidRPr="005E1103" w:rsidRDefault="00DF59FF" w:rsidP="00DF59FF">
            <w:pPr>
              <w:jc w:val="center"/>
              <w:rPr>
                <w:rFonts w:cstheme="minorHAnsi"/>
                <w:b/>
                <w:color w:val="000000"/>
                <w:sz w:val="28"/>
                <w:szCs w:val="28"/>
              </w:rPr>
            </w:pPr>
            <w:r w:rsidRPr="005E1103">
              <w:rPr>
                <w:rFonts w:cstheme="minorHAnsi"/>
                <w:b/>
                <w:bCs/>
                <w:sz w:val="28"/>
                <w:szCs w:val="28"/>
              </w:rPr>
              <w:t>2012-2013</w:t>
            </w:r>
          </w:p>
        </w:tc>
        <w:tc>
          <w:tcPr>
            <w:tcW w:w="1201" w:type="dxa"/>
            <w:tcBorders>
              <w:top w:val="nil"/>
              <w:left w:val="nil"/>
              <w:bottom w:val="nil"/>
              <w:right w:val="single" w:sz="4" w:space="0" w:color="auto"/>
            </w:tcBorders>
            <w:shd w:val="clear" w:color="auto" w:fill="auto"/>
            <w:vAlign w:val="center"/>
          </w:tcPr>
          <w:p w:rsidR="00DF59FF" w:rsidRPr="005E1103" w:rsidRDefault="00DF59FF" w:rsidP="00DF59FF">
            <w:pPr>
              <w:jc w:val="center"/>
              <w:rPr>
                <w:rFonts w:cstheme="minorHAnsi"/>
                <w:b/>
                <w:color w:val="000000"/>
                <w:sz w:val="28"/>
                <w:szCs w:val="28"/>
              </w:rPr>
            </w:pPr>
            <w:r w:rsidRPr="005E1103">
              <w:rPr>
                <w:rFonts w:cstheme="minorHAnsi"/>
                <w:b/>
                <w:bCs/>
                <w:sz w:val="28"/>
                <w:szCs w:val="28"/>
              </w:rPr>
              <w:t>2013-2014</w:t>
            </w:r>
          </w:p>
        </w:tc>
        <w:tc>
          <w:tcPr>
            <w:tcW w:w="1203" w:type="dxa"/>
            <w:tcBorders>
              <w:top w:val="nil"/>
              <w:left w:val="nil"/>
              <w:bottom w:val="nil"/>
              <w:right w:val="single" w:sz="4" w:space="0" w:color="auto"/>
            </w:tcBorders>
            <w:shd w:val="clear" w:color="auto" w:fill="auto"/>
            <w:vAlign w:val="center"/>
          </w:tcPr>
          <w:p w:rsidR="00DF59FF" w:rsidRPr="005E1103" w:rsidRDefault="00DF59FF" w:rsidP="00DF59FF">
            <w:pPr>
              <w:jc w:val="center"/>
              <w:rPr>
                <w:rFonts w:cstheme="minorHAnsi"/>
                <w:b/>
                <w:color w:val="000000"/>
                <w:sz w:val="28"/>
                <w:szCs w:val="28"/>
              </w:rPr>
            </w:pPr>
            <w:r w:rsidRPr="005E1103">
              <w:rPr>
                <w:rFonts w:cstheme="minorHAnsi"/>
                <w:b/>
                <w:color w:val="000000"/>
                <w:sz w:val="28"/>
                <w:szCs w:val="28"/>
              </w:rPr>
              <w:t>2014-2015</w:t>
            </w:r>
          </w:p>
        </w:tc>
        <w:tc>
          <w:tcPr>
            <w:tcW w:w="1278" w:type="dxa"/>
            <w:tcBorders>
              <w:top w:val="nil"/>
              <w:left w:val="nil"/>
              <w:bottom w:val="nil"/>
              <w:right w:val="single" w:sz="4" w:space="0" w:color="auto"/>
            </w:tcBorders>
            <w:shd w:val="clear" w:color="auto" w:fill="auto"/>
            <w:vAlign w:val="center"/>
          </w:tcPr>
          <w:p w:rsidR="00DF59FF" w:rsidRPr="005E1103" w:rsidRDefault="00DF59FF" w:rsidP="00DF59FF">
            <w:pPr>
              <w:jc w:val="center"/>
              <w:rPr>
                <w:rFonts w:cstheme="minorHAnsi"/>
                <w:b/>
                <w:color w:val="000000"/>
                <w:sz w:val="28"/>
                <w:szCs w:val="28"/>
              </w:rPr>
            </w:pPr>
            <w:r w:rsidRPr="005E1103">
              <w:rPr>
                <w:rFonts w:cstheme="minorHAnsi"/>
                <w:b/>
                <w:color w:val="000000"/>
                <w:sz w:val="28"/>
                <w:szCs w:val="28"/>
              </w:rPr>
              <w:t>2015-2016</w:t>
            </w:r>
          </w:p>
        </w:tc>
      </w:tr>
      <w:tr w:rsidR="00DF59FF" w:rsidRPr="005E1103" w:rsidTr="00DF59FF">
        <w:trPr>
          <w:trHeight w:val="300"/>
          <w:jc w:val="center"/>
        </w:trPr>
        <w:tc>
          <w:tcPr>
            <w:tcW w:w="0" w:type="auto"/>
            <w:tcBorders>
              <w:top w:val="nil"/>
              <w:left w:val="single" w:sz="4" w:space="0" w:color="auto"/>
              <w:bottom w:val="nil"/>
              <w:right w:val="single" w:sz="4" w:space="0" w:color="auto"/>
            </w:tcBorders>
            <w:shd w:val="clear" w:color="auto" w:fill="auto"/>
          </w:tcPr>
          <w:p w:rsidR="00DF59FF" w:rsidRPr="005E1103" w:rsidRDefault="00DF59FF" w:rsidP="00DF59FF">
            <w:pPr>
              <w:spacing w:line="360" w:lineRule="auto"/>
              <w:rPr>
                <w:rFonts w:cstheme="minorHAnsi"/>
                <w:b/>
                <w:bCs/>
                <w:color w:val="000000"/>
                <w:sz w:val="28"/>
                <w:szCs w:val="28"/>
              </w:rPr>
            </w:pPr>
            <w:r w:rsidRPr="005E1103">
              <w:rPr>
                <w:rFonts w:cstheme="minorHAnsi"/>
                <w:b/>
                <w:bCs/>
                <w:color w:val="000000"/>
                <w:sz w:val="28"/>
                <w:szCs w:val="28"/>
              </w:rPr>
              <w:t xml:space="preserve">VISUAL </w:t>
            </w:r>
          </w:p>
        </w:tc>
        <w:tc>
          <w:tcPr>
            <w:tcW w:w="1209" w:type="dxa"/>
            <w:tcBorders>
              <w:top w:val="nil"/>
              <w:left w:val="nil"/>
              <w:bottom w:val="nil"/>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33</w:t>
            </w:r>
          </w:p>
        </w:tc>
        <w:tc>
          <w:tcPr>
            <w:tcW w:w="1218" w:type="dxa"/>
            <w:tcBorders>
              <w:top w:val="nil"/>
              <w:left w:val="nil"/>
              <w:bottom w:val="nil"/>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25</w:t>
            </w:r>
          </w:p>
        </w:tc>
        <w:tc>
          <w:tcPr>
            <w:tcW w:w="1227" w:type="dxa"/>
            <w:tcBorders>
              <w:top w:val="nil"/>
              <w:left w:val="nil"/>
              <w:bottom w:val="nil"/>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25</w:t>
            </w:r>
          </w:p>
        </w:tc>
        <w:tc>
          <w:tcPr>
            <w:tcW w:w="1201" w:type="dxa"/>
            <w:tcBorders>
              <w:top w:val="nil"/>
              <w:left w:val="nil"/>
              <w:bottom w:val="nil"/>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28</w:t>
            </w:r>
          </w:p>
        </w:tc>
        <w:tc>
          <w:tcPr>
            <w:tcW w:w="1203" w:type="dxa"/>
            <w:tcBorders>
              <w:top w:val="nil"/>
              <w:left w:val="nil"/>
              <w:bottom w:val="nil"/>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25</w:t>
            </w:r>
          </w:p>
        </w:tc>
        <w:tc>
          <w:tcPr>
            <w:tcW w:w="1278" w:type="dxa"/>
            <w:tcBorders>
              <w:top w:val="nil"/>
              <w:left w:val="nil"/>
              <w:bottom w:val="nil"/>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22</w:t>
            </w:r>
          </w:p>
        </w:tc>
      </w:tr>
      <w:tr w:rsidR="00DF59FF" w:rsidRPr="005E1103" w:rsidTr="00DF59FF">
        <w:trPr>
          <w:trHeight w:val="300"/>
          <w:jc w:val="center"/>
        </w:trPr>
        <w:tc>
          <w:tcPr>
            <w:tcW w:w="0" w:type="auto"/>
            <w:tcBorders>
              <w:top w:val="nil"/>
              <w:left w:val="single" w:sz="4" w:space="0" w:color="auto"/>
              <w:bottom w:val="nil"/>
              <w:right w:val="single" w:sz="4" w:space="0" w:color="auto"/>
            </w:tcBorders>
            <w:shd w:val="clear" w:color="auto" w:fill="auto"/>
          </w:tcPr>
          <w:p w:rsidR="00DF59FF" w:rsidRPr="005E1103" w:rsidRDefault="00DF59FF" w:rsidP="00DF59FF">
            <w:pPr>
              <w:spacing w:line="360" w:lineRule="auto"/>
              <w:rPr>
                <w:rFonts w:cstheme="minorHAnsi"/>
                <w:b/>
                <w:bCs/>
                <w:color w:val="000000"/>
                <w:sz w:val="28"/>
                <w:szCs w:val="28"/>
              </w:rPr>
            </w:pPr>
            <w:r w:rsidRPr="005E1103">
              <w:rPr>
                <w:rFonts w:cstheme="minorHAnsi"/>
                <w:b/>
                <w:bCs/>
                <w:color w:val="000000"/>
                <w:sz w:val="28"/>
                <w:szCs w:val="28"/>
              </w:rPr>
              <w:t>AUDITIVA</w:t>
            </w:r>
          </w:p>
        </w:tc>
        <w:tc>
          <w:tcPr>
            <w:tcW w:w="1209" w:type="dxa"/>
            <w:tcBorders>
              <w:top w:val="nil"/>
              <w:left w:val="nil"/>
              <w:bottom w:val="nil"/>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30</w:t>
            </w:r>
          </w:p>
        </w:tc>
        <w:tc>
          <w:tcPr>
            <w:tcW w:w="1218" w:type="dxa"/>
            <w:tcBorders>
              <w:top w:val="nil"/>
              <w:left w:val="nil"/>
              <w:bottom w:val="nil"/>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22</w:t>
            </w:r>
          </w:p>
        </w:tc>
        <w:tc>
          <w:tcPr>
            <w:tcW w:w="1227" w:type="dxa"/>
            <w:tcBorders>
              <w:top w:val="nil"/>
              <w:left w:val="nil"/>
              <w:bottom w:val="nil"/>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23</w:t>
            </w:r>
          </w:p>
        </w:tc>
        <w:tc>
          <w:tcPr>
            <w:tcW w:w="1201" w:type="dxa"/>
            <w:tcBorders>
              <w:top w:val="nil"/>
              <w:left w:val="nil"/>
              <w:bottom w:val="nil"/>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22</w:t>
            </w:r>
          </w:p>
        </w:tc>
        <w:tc>
          <w:tcPr>
            <w:tcW w:w="1203" w:type="dxa"/>
            <w:tcBorders>
              <w:top w:val="nil"/>
              <w:left w:val="nil"/>
              <w:bottom w:val="nil"/>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24</w:t>
            </w:r>
          </w:p>
        </w:tc>
        <w:tc>
          <w:tcPr>
            <w:tcW w:w="1278" w:type="dxa"/>
            <w:tcBorders>
              <w:top w:val="nil"/>
              <w:left w:val="nil"/>
              <w:bottom w:val="nil"/>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29</w:t>
            </w:r>
          </w:p>
        </w:tc>
      </w:tr>
      <w:tr w:rsidR="00DF59FF" w:rsidRPr="005E1103" w:rsidTr="00DF59FF">
        <w:trPr>
          <w:trHeight w:val="300"/>
          <w:jc w:val="center"/>
        </w:trPr>
        <w:tc>
          <w:tcPr>
            <w:tcW w:w="0" w:type="auto"/>
            <w:tcBorders>
              <w:top w:val="nil"/>
              <w:left w:val="single" w:sz="4" w:space="0" w:color="auto"/>
              <w:right w:val="single" w:sz="4" w:space="0" w:color="auto"/>
            </w:tcBorders>
            <w:shd w:val="clear" w:color="auto" w:fill="auto"/>
          </w:tcPr>
          <w:p w:rsidR="00DF59FF" w:rsidRPr="005E1103" w:rsidRDefault="00DF59FF" w:rsidP="00DF59FF">
            <w:pPr>
              <w:spacing w:line="360" w:lineRule="auto"/>
              <w:rPr>
                <w:rFonts w:cstheme="minorHAnsi"/>
                <w:b/>
                <w:bCs/>
                <w:color w:val="000000"/>
                <w:sz w:val="28"/>
                <w:szCs w:val="28"/>
              </w:rPr>
            </w:pPr>
            <w:r w:rsidRPr="005E1103">
              <w:rPr>
                <w:rFonts w:cstheme="minorHAnsi"/>
                <w:b/>
                <w:bCs/>
                <w:color w:val="000000"/>
                <w:sz w:val="28"/>
                <w:szCs w:val="28"/>
              </w:rPr>
              <w:t xml:space="preserve">MOTRIZ </w:t>
            </w:r>
          </w:p>
        </w:tc>
        <w:tc>
          <w:tcPr>
            <w:tcW w:w="1209" w:type="dxa"/>
            <w:tcBorders>
              <w:top w:val="nil"/>
              <w:left w:val="nil"/>
              <w:bottom w:val="nil"/>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107</w:t>
            </w:r>
          </w:p>
        </w:tc>
        <w:tc>
          <w:tcPr>
            <w:tcW w:w="1218" w:type="dxa"/>
            <w:tcBorders>
              <w:top w:val="nil"/>
              <w:left w:val="nil"/>
              <w:bottom w:val="nil"/>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82</w:t>
            </w:r>
          </w:p>
        </w:tc>
        <w:tc>
          <w:tcPr>
            <w:tcW w:w="1227" w:type="dxa"/>
            <w:tcBorders>
              <w:top w:val="nil"/>
              <w:left w:val="nil"/>
              <w:bottom w:val="nil"/>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79</w:t>
            </w:r>
          </w:p>
        </w:tc>
        <w:tc>
          <w:tcPr>
            <w:tcW w:w="1201" w:type="dxa"/>
            <w:tcBorders>
              <w:top w:val="nil"/>
              <w:left w:val="nil"/>
              <w:bottom w:val="nil"/>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71</w:t>
            </w:r>
          </w:p>
        </w:tc>
        <w:tc>
          <w:tcPr>
            <w:tcW w:w="1203" w:type="dxa"/>
            <w:tcBorders>
              <w:top w:val="nil"/>
              <w:left w:val="nil"/>
              <w:bottom w:val="nil"/>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61</w:t>
            </w:r>
          </w:p>
        </w:tc>
        <w:tc>
          <w:tcPr>
            <w:tcW w:w="1278" w:type="dxa"/>
            <w:tcBorders>
              <w:top w:val="nil"/>
              <w:left w:val="nil"/>
              <w:bottom w:val="nil"/>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66</w:t>
            </w:r>
          </w:p>
        </w:tc>
      </w:tr>
      <w:tr w:rsidR="00DF59FF" w:rsidRPr="005E1103" w:rsidTr="00DF59FF">
        <w:trPr>
          <w:trHeight w:val="300"/>
          <w:jc w:val="center"/>
        </w:trPr>
        <w:tc>
          <w:tcPr>
            <w:tcW w:w="0" w:type="auto"/>
            <w:tcBorders>
              <w:left w:val="single" w:sz="4" w:space="0" w:color="auto"/>
              <w:bottom w:val="nil"/>
              <w:right w:val="single" w:sz="4" w:space="0" w:color="auto"/>
            </w:tcBorders>
            <w:shd w:val="clear" w:color="auto" w:fill="auto"/>
          </w:tcPr>
          <w:p w:rsidR="00DF59FF" w:rsidRPr="005E1103" w:rsidRDefault="00DF59FF" w:rsidP="00DF59FF">
            <w:pPr>
              <w:spacing w:line="360" w:lineRule="auto"/>
              <w:rPr>
                <w:rFonts w:cstheme="minorHAnsi"/>
                <w:b/>
                <w:bCs/>
                <w:color w:val="000000"/>
                <w:sz w:val="28"/>
                <w:szCs w:val="28"/>
              </w:rPr>
            </w:pPr>
            <w:r w:rsidRPr="005E1103">
              <w:rPr>
                <w:rFonts w:cstheme="minorHAnsi"/>
                <w:b/>
                <w:bCs/>
                <w:color w:val="000000"/>
                <w:sz w:val="28"/>
                <w:szCs w:val="28"/>
              </w:rPr>
              <w:t>OTRAS*</w:t>
            </w:r>
          </w:p>
        </w:tc>
        <w:tc>
          <w:tcPr>
            <w:tcW w:w="1209" w:type="dxa"/>
            <w:tcBorders>
              <w:top w:val="nil"/>
              <w:left w:val="single" w:sz="4" w:space="0" w:color="auto"/>
              <w:bottom w:val="nil"/>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162</w:t>
            </w:r>
          </w:p>
        </w:tc>
        <w:tc>
          <w:tcPr>
            <w:tcW w:w="1218" w:type="dxa"/>
            <w:tcBorders>
              <w:top w:val="nil"/>
              <w:left w:val="nil"/>
              <w:bottom w:val="nil"/>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143</w:t>
            </w:r>
          </w:p>
        </w:tc>
        <w:tc>
          <w:tcPr>
            <w:tcW w:w="1227" w:type="dxa"/>
            <w:tcBorders>
              <w:top w:val="nil"/>
              <w:left w:val="nil"/>
              <w:bottom w:val="nil"/>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151</w:t>
            </w:r>
          </w:p>
        </w:tc>
        <w:tc>
          <w:tcPr>
            <w:tcW w:w="1201" w:type="dxa"/>
            <w:tcBorders>
              <w:top w:val="nil"/>
              <w:left w:val="nil"/>
              <w:bottom w:val="nil"/>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146</w:t>
            </w:r>
          </w:p>
        </w:tc>
        <w:tc>
          <w:tcPr>
            <w:tcW w:w="1203" w:type="dxa"/>
            <w:tcBorders>
              <w:top w:val="nil"/>
              <w:left w:val="nil"/>
              <w:bottom w:val="nil"/>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151</w:t>
            </w:r>
          </w:p>
        </w:tc>
        <w:tc>
          <w:tcPr>
            <w:tcW w:w="1278" w:type="dxa"/>
            <w:tcBorders>
              <w:top w:val="nil"/>
              <w:left w:val="nil"/>
              <w:bottom w:val="nil"/>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165</w:t>
            </w:r>
          </w:p>
        </w:tc>
      </w:tr>
      <w:tr w:rsidR="00DF59FF" w:rsidRPr="005E1103" w:rsidTr="00DF59FF">
        <w:trPr>
          <w:trHeight w:val="300"/>
          <w:jc w:val="center"/>
        </w:trPr>
        <w:tc>
          <w:tcPr>
            <w:tcW w:w="0" w:type="auto"/>
            <w:tcBorders>
              <w:top w:val="nil"/>
              <w:left w:val="single" w:sz="4" w:space="0" w:color="auto"/>
              <w:bottom w:val="nil"/>
              <w:right w:val="single" w:sz="4" w:space="0" w:color="auto"/>
            </w:tcBorders>
            <w:shd w:val="clear" w:color="auto" w:fill="auto"/>
          </w:tcPr>
          <w:p w:rsidR="00DF59FF" w:rsidRPr="005E1103" w:rsidRDefault="00DF59FF" w:rsidP="00DF59FF">
            <w:pPr>
              <w:spacing w:line="360" w:lineRule="auto"/>
              <w:rPr>
                <w:rFonts w:cstheme="minorHAnsi"/>
                <w:b/>
                <w:sz w:val="28"/>
                <w:szCs w:val="28"/>
              </w:rPr>
            </w:pPr>
            <w:r w:rsidRPr="005E1103">
              <w:rPr>
                <w:rFonts w:cstheme="minorHAnsi"/>
                <w:b/>
                <w:sz w:val="28"/>
                <w:szCs w:val="28"/>
              </w:rPr>
              <w:t>TOTAL</w:t>
            </w:r>
          </w:p>
        </w:tc>
        <w:tc>
          <w:tcPr>
            <w:tcW w:w="1209" w:type="dxa"/>
            <w:tcBorders>
              <w:top w:val="nil"/>
              <w:left w:val="nil"/>
              <w:bottom w:val="nil"/>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332</w:t>
            </w:r>
          </w:p>
        </w:tc>
        <w:tc>
          <w:tcPr>
            <w:tcW w:w="1218" w:type="dxa"/>
            <w:tcBorders>
              <w:top w:val="nil"/>
              <w:left w:val="nil"/>
              <w:bottom w:val="nil"/>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272</w:t>
            </w:r>
          </w:p>
        </w:tc>
        <w:tc>
          <w:tcPr>
            <w:tcW w:w="1227" w:type="dxa"/>
            <w:tcBorders>
              <w:top w:val="nil"/>
              <w:left w:val="nil"/>
              <w:bottom w:val="nil"/>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278</w:t>
            </w:r>
          </w:p>
        </w:tc>
        <w:tc>
          <w:tcPr>
            <w:tcW w:w="1201" w:type="dxa"/>
            <w:tcBorders>
              <w:top w:val="nil"/>
              <w:left w:val="nil"/>
              <w:bottom w:val="nil"/>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267</w:t>
            </w:r>
          </w:p>
        </w:tc>
        <w:tc>
          <w:tcPr>
            <w:tcW w:w="1203" w:type="dxa"/>
            <w:tcBorders>
              <w:top w:val="nil"/>
              <w:left w:val="nil"/>
              <w:bottom w:val="nil"/>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261</w:t>
            </w:r>
          </w:p>
        </w:tc>
        <w:tc>
          <w:tcPr>
            <w:tcW w:w="1278" w:type="dxa"/>
            <w:tcBorders>
              <w:top w:val="nil"/>
              <w:left w:val="nil"/>
              <w:bottom w:val="nil"/>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282</w:t>
            </w:r>
          </w:p>
        </w:tc>
      </w:tr>
      <w:tr w:rsidR="00DF59FF" w:rsidRPr="005E1103" w:rsidTr="00DF59FF">
        <w:trPr>
          <w:trHeight w:val="300"/>
          <w:jc w:val="center"/>
        </w:trPr>
        <w:tc>
          <w:tcPr>
            <w:tcW w:w="8690" w:type="dxa"/>
            <w:gridSpan w:val="7"/>
            <w:tcBorders>
              <w:top w:val="nil"/>
              <w:left w:val="single" w:sz="4" w:space="0" w:color="auto"/>
              <w:bottom w:val="single" w:sz="4" w:space="0" w:color="auto"/>
              <w:right w:val="single" w:sz="4" w:space="0" w:color="auto"/>
            </w:tcBorders>
            <w:shd w:val="clear" w:color="auto" w:fill="auto"/>
          </w:tcPr>
          <w:p w:rsidR="00DF59FF" w:rsidRPr="005E1103" w:rsidRDefault="00DF59FF" w:rsidP="00DF59FF">
            <w:pPr>
              <w:jc w:val="center"/>
              <w:rPr>
                <w:rFonts w:cstheme="minorHAnsi"/>
                <w:bCs/>
                <w:color w:val="000000"/>
                <w:sz w:val="28"/>
                <w:szCs w:val="28"/>
              </w:rPr>
            </w:pPr>
            <w:r w:rsidRPr="005E1103">
              <w:rPr>
                <w:rFonts w:cstheme="minorHAnsi"/>
                <w:bCs/>
                <w:color w:val="000000"/>
                <w:sz w:val="28"/>
                <w:szCs w:val="28"/>
              </w:rPr>
              <w:t>*Esta categoría agrupa patologías derivadas de enfermedades de larga duración y/o especial tratamiento, así como trastornos psíquicos</w:t>
            </w:r>
          </w:p>
        </w:tc>
      </w:tr>
    </w:tbl>
    <w:p w:rsidR="00DF59FF" w:rsidRPr="005E1103" w:rsidRDefault="00DF59FF" w:rsidP="00DF59FF">
      <w:pPr>
        <w:spacing w:before="200" w:line="360" w:lineRule="auto"/>
        <w:jc w:val="both"/>
        <w:rPr>
          <w:rFonts w:cstheme="minorHAnsi"/>
          <w:sz w:val="28"/>
          <w:szCs w:val="28"/>
        </w:rPr>
      </w:pPr>
      <w:r w:rsidRPr="005E1103">
        <w:rPr>
          <w:rFonts w:cstheme="minorHAnsi"/>
          <w:sz w:val="28"/>
          <w:szCs w:val="28"/>
        </w:rPr>
        <w:t>Tabla I.  Evolución del censo del alumnado con discapacidades en la Universidad del País Vasco UPV/EHU.</w:t>
      </w:r>
    </w:p>
    <w:p w:rsidR="00DF59FF" w:rsidRPr="005E1103" w:rsidRDefault="00DF59FF" w:rsidP="00DF59FF">
      <w:pPr>
        <w:spacing w:before="120" w:after="120" w:line="360" w:lineRule="auto"/>
        <w:rPr>
          <w:rFonts w:cstheme="minorHAnsi"/>
          <w:i/>
          <w:sz w:val="28"/>
          <w:szCs w:val="28"/>
        </w:rPr>
      </w:pPr>
    </w:p>
    <w:p w:rsidR="00DF59FF" w:rsidRPr="005E1103" w:rsidRDefault="00DF59FF" w:rsidP="00DF59FF">
      <w:pPr>
        <w:spacing w:before="120" w:after="120"/>
        <w:jc w:val="both"/>
        <w:rPr>
          <w:rFonts w:cstheme="minorHAnsi"/>
          <w:b/>
          <w:bCs/>
          <w:sz w:val="28"/>
          <w:szCs w:val="28"/>
          <w:bdr w:val="single" w:sz="4" w:space="0" w:color="auto"/>
        </w:rPr>
      </w:pPr>
    </w:p>
    <w:tbl>
      <w:tblPr>
        <w:tblW w:w="8645" w:type="dxa"/>
        <w:jc w:val="center"/>
        <w:tblCellMar>
          <w:left w:w="70" w:type="dxa"/>
          <w:right w:w="70" w:type="dxa"/>
        </w:tblCellMar>
        <w:tblLook w:val="0000" w:firstRow="0" w:lastRow="0" w:firstColumn="0" w:lastColumn="0" w:noHBand="0" w:noVBand="0"/>
      </w:tblPr>
      <w:tblGrid>
        <w:gridCol w:w="3190"/>
        <w:gridCol w:w="850"/>
        <w:gridCol w:w="851"/>
        <w:gridCol w:w="867"/>
        <w:gridCol w:w="849"/>
        <w:gridCol w:w="1013"/>
        <w:gridCol w:w="1025"/>
      </w:tblGrid>
      <w:tr w:rsidR="00DF59FF" w:rsidRPr="005E1103" w:rsidTr="00DF59FF">
        <w:trPr>
          <w:trHeight w:val="499"/>
          <w:jc w:val="center"/>
        </w:trPr>
        <w:tc>
          <w:tcPr>
            <w:tcW w:w="8645" w:type="dxa"/>
            <w:gridSpan w:val="7"/>
            <w:tcBorders>
              <w:top w:val="single" w:sz="4" w:space="0" w:color="auto"/>
              <w:left w:val="single" w:sz="4" w:space="0" w:color="auto"/>
              <w:bottom w:val="single" w:sz="4" w:space="0" w:color="auto"/>
              <w:right w:val="single" w:sz="4" w:space="0" w:color="000000"/>
            </w:tcBorders>
            <w:shd w:val="clear" w:color="auto" w:fill="auto"/>
            <w:vAlign w:val="center"/>
          </w:tcPr>
          <w:p w:rsidR="00DF59FF" w:rsidRPr="005E1103" w:rsidRDefault="00DF59FF" w:rsidP="00DF59FF">
            <w:pPr>
              <w:spacing w:line="360" w:lineRule="auto"/>
              <w:jc w:val="center"/>
              <w:rPr>
                <w:rFonts w:cstheme="minorHAnsi"/>
                <w:b/>
                <w:bCs/>
                <w:sz w:val="28"/>
                <w:szCs w:val="28"/>
              </w:rPr>
            </w:pPr>
            <w:r w:rsidRPr="005E1103">
              <w:rPr>
                <w:rFonts w:cstheme="minorHAnsi"/>
                <w:b/>
                <w:bCs/>
                <w:sz w:val="28"/>
                <w:szCs w:val="28"/>
              </w:rPr>
              <w:t>Evolución del alumnado con discapacidad titulado en la Universidad del País Vasco UPV/EHU por áreas de conocimiento</w:t>
            </w:r>
          </w:p>
        </w:tc>
      </w:tr>
      <w:tr w:rsidR="00DF59FF" w:rsidRPr="005E1103" w:rsidTr="00DF59FF">
        <w:trPr>
          <w:trHeight w:val="567"/>
          <w:jc w:val="center"/>
        </w:trPr>
        <w:tc>
          <w:tcPr>
            <w:tcW w:w="3190" w:type="dxa"/>
            <w:tcBorders>
              <w:top w:val="single" w:sz="4" w:space="0" w:color="auto"/>
              <w:left w:val="single" w:sz="4" w:space="0" w:color="auto"/>
              <w:bottom w:val="nil"/>
              <w:right w:val="single" w:sz="4" w:space="0" w:color="auto"/>
            </w:tcBorders>
            <w:shd w:val="clear" w:color="auto" w:fill="auto"/>
          </w:tcPr>
          <w:p w:rsidR="00DF59FF" w:rsidRPr="005E1103" w:rsidRDefault="00DF59FF" w:rsidP="00DF59FF">
            <w:pPr>
              <w:spacing w:line="360" w:lineRule="auto"/>
              <w:rPr>
                <w:rFonts w:cstheme="minorHAnsi"/>
                <w:sz w:val="28"/>
                <w:szCs w:val="28"/>
              </w:rPr>
            </w:pPr>
            <w:r w:rsidRPr="005E1103">
              <w:rPr>
                <w:rFonts w:cstheme="minorHAnsi"/>
                <w:sz w:val="28"/>
                <w:szCs w:val="28"/>
              </w:rPr>
              <w:t> </w:t>
            </w:r>
          </w:p>
        </w:tc>
        <w:tc>
          <w:tcPr>
            <w:tcW w:w="850" w:type="dxa"/>
            <w:tcBorders>
              <w:top w:val="single" w:sz="4" w:space="0" w:color="auto"/>
              <w:left w:val="single" w:sz="4" w:space="0" w:color="auto"/>
              <w:bottom w:val="nil"/>
              <w:right w:val="single" w:sz="4" w:space="0" w:color="auto"/>
            </w:tcBorders>
            <w:shd w:val="clear" w:color="auto" w:fill="auto"/>
            <w:vAlign w:val="center"/>
          </w:tcPr>
          <w:p w:rsidR="00DF59FF" w:rsidRPr="005E1103" w:rsidRDefault="00DF59FF" w:rsidP="00DF59FF">
            <w:pPr>
              <w:spacing w:line="360" w:lineRule="auto"/>
              <w:jc w:val="center"/>
              <w:rPr>
                <w:rFonts w:cstheme="minorHAnsi"/>
                <w:b/>
                <w:color w:val="000000"/>
                <w:sz w:val="28"/>
                <w:szCs w:val="28"/>
              </w:rPr>
            </w:pPr>
            <w:r w:rsidRPr="005E1103">
              <w:rPr>
                <w:rFonts w:cstheme="minorHAnsi"/>
                <w:b/>
                <w:bCs/>
                <w:sz w:val="28"/>
                <w:szCs w:val="28"/>
              </w:rPr>
              <w:t>2010</w:t>
            </w:r>
          </w:p>
        </w:tc>
        <w:tc>
          <w:tcPr>
            <w:tcW w:w="851" w:type="dxa"/>
            <w:tcBorders>
              <w:left w:val="single" w:sz="4" w:space="0" w:color="auto"/>
              <w:right w:val="single" w:sz="4" w:space="0" w:color="auto"/>
            </w:tcBorders>
            <w:shd w:val="clear" w:color="auto" w:fill="auto"/>
            <w:vAlign w:val="center"/>
          </w:tcPr>
          <w:p w:rsidR="00DF59FF" w:rsidRPr="005E1103" w:rsidRDefault="00DF59FF" w:rsidP="00DF59FF">
            <w:pPr>
              <w:spacing w:line="360" w:lineRule="auto"/>
              <w:jc w:val="center"/>
              <w:rPr>
                <w:rFonts w:cstheme="minorHAnsi"/>
                <w:b/>
                <w:color w:val="000000"/>
                <w:sz w:val="28"/>
                <w:szCs w:val="28"/>
              </w:rPr>
            </w:pPr>
            <w:r w:rsidRPr="005E1103">
              <w:rPr>
                <w:rFonts w:cstheme="minorHAnsi"/>
                <w:b/>
                <w:bCs/>
                <w:sz w:val="28"/>
                <w:szCs w:val="28"/>
              </w:rPr>
              <w:t>2011</w:t>
            </w:r>
          </w:p>
        </w:tc>
        <w:tc>
          <w:tcPr>
            <w:tcW w:w="867" w:type="dxa"/>
            <w:tcBorders>
              <w:left w:val="single" w:sz="4" w:space="0" w:color="auto"/>
              <w:right w:val="single" w:sz="4" w:space="0" w:color="auto"/>
            </w:tcBorders>
            <w:shd w:val="clear" w:color="auto" w:fill="auto"/>
            <w:vAlign w:val="center"/>
          </w:tcPr>
          <w:p w:rsidR="00DF59FF" w:rsidRPr="005E1103" w:rsidRDefault="00DF59FF" w:rsidP="00DF59FF">
            <w:pPr>
              <w:spacing w:line="360" w:lineRule="auto"/>
              <w:jc w:val="center"/>
              <w:rPr>
                <w:rFonts w:cstheme="minorHAnsi"/>
                <w:b/>
                <w:color w:val="000000"/>
                <w:sz w:val="28"/>
                <w:szCs w:val="28"/>
              </w:rPr>
            </w:pPr>
            <w:r w:rsidRPr="005E1103">
              <w:rPr>
                <w:rFonts w:cstheme="minorHAnsi"/>
                <w:b/>
                <w:bCs/>
                <w:sz w:val="28"/>
                <w:szCs w:val="28"/>
              </w:rPr>
              <w:t>2012</w:t>
            </w:r>
          </w:p>
        </w:tc>
        <w:tc>
          <w:tcPr>
            <w:tcW w:w="849" w:type="dxa"/>
            <w:tcBorders>
              <w:left w:val="single" w:sz="4" w:space="0" w:color="auto"/>
              <w:right w:val="single" w:sz="4" w:space="0" w:color="auto"/>
            </w:tcBorders>
            <w:shd w:val="clear" w:color="auto" w:fill="auto"/>
            <w:vAlign w:val="center"/>
          </w:tcPr>
          <w:p w:rsidR="00DF59FF" w:rsidRPr="005E1103" w:rsidRDefault="00DF59FF" w:rsidP="00DF59FF">
            <w:pPr>
              <w:spacing w:line="360" w:lineRule="auto"/>
              <w:jc w:val="center"/>
              <w:rPr>
                <w:rFonts w:cstheme="minorHAnsi"/>
                <w:b/>
                <w:color w:val="000000"/>
                <w:sz w:val="28"/>
                <w:szCs w:val="28"/>
              </w:rPr>
            </w:pPr>
            <w:r w:rsidRPr="005E1103">
              <w:rPr>
                <w:rFonts w:cstheme="minorHAnsi"/>
                <w:b/>
                <w:bCs/>
                <w:sz w:val="28"/>
                <w:szCs w:val="28"/>
              </w:rPr>
              <w:t>2013</w:t>
            </w:r>
          </w:p>
        </w:tc>
        <w:tc>
          <w:tcPr>
            <w:tcW w:w="1013" w:type="dxa"/>
            <w:tcBorders>
              <w:left w:val="single" w:sz="4" w:space="0" w:color="auto"/>
              <w:right w:val="single" w:sz="4" w:space="0" w:color="auto"/>
            </w:tcBorders>
            <w:shd w:val="clear" w:color="auto" w:fill="auto"/>
            <w:vAlign w:val="center"/>
          </w:tcPr>
          <w:p w:rsidR="00DF59FF" w:rsidRPr="005E1103" w:rsidRDefault="00DF59FF" w:rsidP="00DF59FF">
            <w:pPr>
              <w:spacing w:line="360" w:lineRule="auto"/>
              <w:jc w:val="center"/>
              <w:rPr>
                <w:rFonts w:cstheme="minorHAnsi"/>
                <w:b/>
                <w:color w:val="000000"/>
                <w:sz w:val="28"/>
                <w:szCs w:val="28"/>
              </w:rPr>
            </w:pPr>
            <w:r w:rsidRPr="005E1103">
              <w:rPr>
                <w:rFonts w:cstheme="minorHAnsi"/>
                <w:b/>
                <w:bCs/>
                <w:sz w:val="28"/>
                <w:szCs w:val="28"/>
              </w:rPr>
              <w:t>2014</w:t>
            </w:r>
          </w:p>
        </w:tc>
        <w:tc>
          <w:tcPr>
            <w:tcW w:w="1025" w:type="dxa"/>
            <w:tcBorders>
              <w:left w:val="single" w:sz="4" w:space="0" w:color="auto"/>
              <w:right w:val="single" w:sz="4" w:space="0" w:color="auto"/>
            </w:tcBorders>
            <w:shd w:val="clear" w:color="auto" w:fill="auto"/>
            <w:vAlign w:val="center"/>
          </w:tcPr>
          <w:p w:rsidR="00DF59FF" w:rsidRPr="005E1103" w:rsidRDefault="00DF59FF" w:rsidP="00DF59FF">
            <w:pPr>
              <w:spacing w:line="360" w:lineRule="auto"/>
              <w:jc w:val="center"/>
              <w:rPr>
                <w:rFonts w:cstheme="minorHAnsi"/>
                <w:b/>
                <w:color w:val="000000"/>
                <w:sz w:val="28"/>
                <w:szCs w:val="28"/>
              </w:rPr>
            </w:pPr>
            <w:r w:rsidRPr="005E1103">
              <w:rPr>
                <w:rFonts w:cstheme="minorHAnsi"/>
                <w:b/>
                <w:color w:val="000000"/>
                <w:sz w:val="28"/>
                <w:szCs w:val="28"/>
              </w:rPr>
              <w:t>2015</w:t>
            </w:r>
          </w:p>
        </w:tc>
      </w:tr>
      <w:tr w:rsidR="00DF59FF" w:rsidRPr="005E1103" w:rsidTr="00DF59FF">
        <w:trPr>
          <w:trHeight w:val="300"/>
          <w:jc w:val="center"/>
        </w:trPr>
        <w:tc>
          <w:tcPr>
            <w:tcW w:w="3190" w:type="dxa"/>
            <w:tcBorders>
              <w:top w:val="nil"/>
              <w:left w:val="single" w:sz="4" w:space="0" w:color="auto"/>
              <w:bottom w:val="nil"/>
              <w:right w:val="single" w:sz="4" w:space="0" w:color="auto"/>
            </w:tcBorders>
            <w:shd w:val="clear" w:color="auto" w:fill="auto"/>
          </w:tcPr>
          <w:p w:rsidR="00DF59FF" w:rsidRPr="005E1103" w:rsidRDefault="00DF59FF" w:rsidP="00DF59FF">
            <w:pPr>
              <w:spacing w:line="360" w:lineRule="auto"/>
              <w:rPr>
                <w:rFonts w:cstheme="minorHAnsi"/>
                <w:b/>
                <w:bCs/>
                <w:color w:val="000000"/>
                <w:sz w:val="28"/>
                <w:szCs w:val="28"/>
              </w:rPr>
            </w:pPr>
            <w:r w:rsidRPr="005E1103">
              <w:rPr>
                <w:rFonts w:cstheme="minorHAnsi"/>
                <w:b/>
                <w:bCs/>
                <w:color w:val="000000"/>
                <w:sz w:val="28"/>
                <w:szCs w:val="28"/>
              </w:rPr>
              <w:t xml:space="preserve">Ciencias Sociales y Jurídicas </w:t>
            </w:r>
          </w:p>
        </w:tc>
        <w:tc>
          <w:tcPr>
            <w:tcW w:w="850" w:type="dxa"/>
            <w:tcBorders>
              <w:top w:val="nil"/>
              <w:left w:val="single" w:sz="4" w:space="0" w:color="auto"/>
              <w:bottom w:val="nil"/>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19</w:t>
            </w:r>
          </w:p>
        </w:tc>
        <w:tc>
          <w:tcPr>
            <w:tcW w:w="851" w:type="dxa"/>
            <w:tcBorders>
              <w:left w:val="single" w:sz="4" w:space="0" w:color="auto"/>
              <w:bottom w:val="nil"/>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26</w:t>
            </w:r>
          </w:p>
        </w:tc>
        <w:tc>
          <w:tcPr>
            <w:tcW w:w="867" w:type="dxa"/>
            <w:tcBorders>
              <w:left w:val="nil"/>
              <w:bottom w:val="nil"/>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26</w:t>
            </w:r>
          </w:p>
        </w:tc>
        <w:tc>
          <w:tcPr>
            <w:tcW w:w="849" w:type="dxa"/>
            <w:tcBorders>
              <w:left w:val="nil"/>
              <w:bottom w:val="nil"/>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23</w:t>
            </w:r>
          </w:p>
        </w:tc>
        <w:tc>
          <w:tcPr>
            <w:tcW w:w="1013" w:type="dxa"/>
            <w:tcBorders>
              <w:left w:val="nil"/>
              <w:bottom w:val="nil"/>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24</w:t>
            </w:r>
          </w:p>
        </w:tc>
        <w:tc>
          <w:tcPr>
            <w:tcW w:w="1025" w:type="dxa"/>
            <w:tcBorders>
              <w:left w:val="nil"/>
              <w:bottom w:val="nil"/>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13</w:t>
            </w:r>
          </w:p>
        </w:tc>
      </w:tr>
      <w:tr w:rsidR="00DF59FF" w:rsidRPr="005E1103" w:rsidTr="00DF59FF">
        <w:trPr>
          <w:trHeight w:val="300"/>
          <w:jc w:val="center"/>
        </w:trPr>
        <w:tc>
          <w:tcPr>
            <w:tcW w:w="3190" w:type="dxa"/>
            <w:tcBorders>
              <w:top w:val="nil"/>
              <w:left w:val="single" w:sz="4" w:space="0" w:color="auto"/>
              <w:bottom w:val="nil"/>
              <w:right w:val="single" w:sz="4" w:space="0" w:color="auto"/>
            </w:tcBorders>
            <w:shd w:val="clear" w:color="auto" w:fill="auto"/>
          </w:tcPr>
          <w:p w:rsidR="00DF59FF" w:rsidRPr="005E1103" w:rsidRDefault="00DF59FF" w:rsidP="00DF59FF">
            <w:pPr>
              <w:spacing w:line="360" w:lineRule="auto"/>
              <w:rPr>
                <w:rFonts w:cstheme="minorHAnsi"/>
                <w:b/>
                <w:bCs/>
                <w:color w:val="000000"/>
                <w:sz w:val="28"/>
                <w:szCs w:val="28"/>
              </w:rPr>
            </w:pPr>
            <w:r w:rsidRPr="005E1103">
              <w:rPr>
                <w:rFonts w:cstheme="minorHAnsi"/>
                <w:b/>
                <w:bCs/>
                <w:color w:val="000000"/>
                <w:sz w:val="28"/>
                <w:szCs w:val="28"/>
              </w:rPr>
              <w:t>Ciencias de la Salud</w:t>
            </w:r>
          </w:p>
        </w:tc>
        <w:tc>
          <w:tcPr>
            <w:tcW w:w="850" w:type="dxa"/>
            <w:tcBorders>
              <w:top w:val="nil"/>
              <w:left w:val="single" w:sz="4" w:space="0" w:color="auto"/>
              <w:bottom w:val="nil"/>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9</w:t>
            </w:r>
          </w:p>
        </w:tc>
        <w:tc>
          <w:tcPr>
            <w:tcW w:w="851" w:type="dxa"/>
            <w:tcBorders>
              <w:top w:val="nil"/>
              <w:left w:val="single" w:sz="4" w:space="0" w:color="auto"/>
              <w:bottom w:val="nil"/>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9</w:t>
            </w:r>
          </w:p>
        </w:tc>
        <w:tc>
          <w:tcPr>
            <w:tcW w:w="867" w:type="dxa"/>
            <w:tcBorders>
              <w:top w:val="nil"/>
              <w:left w:val="nil"/>
              <w:bottom w:val="nil"/>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9</w:t>
            </w:r>
          </w:p>
        </w:tc>
        <w:tc>
          <w:tcPr>
            <w:tcW w:w="849" w:type="dxa"/>
            <w:tcBorders>
              <w:top w:val="nil"/>
              <w:left w:val="nil"/>
              <w:bottom w:val="nil"/>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6</w:t>
            </w:r>
          </w:p>
        </w:tc>
        <w:tc>
          <w:tcPr>
            <w:tcW w:w="1013" w:type="dxa"/>
            <w:tcBorders>
              <w:top w:val="nil"/>
              <w:left w:val="nil"/>
              <w:bottom w:val="nil"/>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10</w:t>
            </w:r>
          </w:p>
        </w:tc>
        <w:tc>
          <w:tcPr>
            <w:tcW w:w="1025" w:type="dxa"/>
            <w:tcBorders>
              <w:top w:val="nil"/>
              <w:left w:val="nil"/>
              <w:bottom w:val="nil"/>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10</w:t>
            </w:r>
          </w:p>
        </w:tc>
      </w:tr>
      <w:tr w:rsidR="00DF59FF" w:rsidRPr="005E1103" w:rsidTr="00DF59FF">
        <w:trPr>
          <w:trHeight w:val="300"/>
          <w:jc w:val="center"/>
        </w:trPr>
        <w:tc>
          <w:tcPr>
            <w:tcW w:w="3190" w:type="dxa"/>
            <w:tcBorders>
              <w:top w:val="nil"/>
              <w:left w:val="single" w:sz="4" w:space="0" w:color="auto"/>
              <w:bottom w:val="nil"/>
              <w:right w:val="single" w:sz="4" w:space="0" w:color="auto"/>
            </w:tcBorders>
            <w:shd w:val="clear" w:color="auto" w:fill="auto"/>
          </w:tcPr>
          <w:p w:rsidR="00DF59FF" w:rsidRPr="005E1103" w:rsidRDefault="00DF59FF" w:rsidP="00DF59FF">
            <w:pPr>
              <w:spacing w:line="360" w:lineRule="auto"/>
              <w:rPr>
                <w:rFonts w:cstheme="minorHAnsi"/>
                <w:b/>
                <w:bCs/>
                <w:color w:val="000000"/>
                <w:sz w:val="28"/>
                <w:szCs w:val="28"/>
              </w:rPr>
            </w:pPr>
            <w:r w:rsidRPr="005E1103">
              <w:rPr>
                <w:rFonts w:cstheme="minorHAnsi"/>
                <w:b/>
                <w:bCs/>
                <w:color w:val="000000"/>
                <w:sz w:val="28"/>
                <w:szCs w:val="28"/>
              </w:rPr>
              <w:t xml:space="preserve">Ingeniería y Arquitectura </w:t>
            </w:r>
          </w:p>
        </w:tc>
        <w:tc>
          <w:tcPr>
            <w:tcW w:w="850" w:type="dxa"/>
            <w:tcBorders>
              <w:top w:val="nil"/>
              <w:left w:val="single" w:sz="4" w:space="0" w:color="auto"/>
              <w:bottom w:val="nil"/>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3</w:t>
            </w:r>
          </w:p>
        </w:tc>
        <w:tc>
          <w:tcPr>
            <w:tcW w:w="851" w:type="dxa"/>
            <w:tcBorders>
              <w:top w:val="nil"/>
              <w:left w:val="single" w:sz="4" w:space="0" w:color="auto"/>
              <w:bottom w:val="nil"/>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6</w:t>
            </w:r>
          </w:p>
        </w:tc>
        <w:tc>
          <w:tcPr>
            <w:tcW w:w="867" w:type="dxa"/>
            <w:tcBorders>
              <w:top w:val="nil"/>
              <w:left w:val="nil"/>
              <w:bottom w:val="nil"/>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2</w:t>
            </w:r>
          </w:p>
        </w:tc>
        <w:tc>
          <w:tcPr>
            <w:tcW w:w="849" w:type="dxa"/>
            <w:tcBorders>
              <w:top w:val="nil"/>
              <w:left w:val="nil"/>
              <w:bottom w:val="nil"/>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7</w:t>
            </w:r>
          </w:p>
        </w:tc>
        <w:tc>
          <w:tcPr>
            <w:tcW w:w="1013" w:type="dxa"/>
            <w:tcBorders>
              <w:top w:val="nil"/>
              <w:left w:val="nil"/>
              <w:bottom w:val="nil"/>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8</w:t>
            </w:r>
          </w:p>
        </w:tc>
        <w:tc>
          <w:tcPr>
            <w:tcW w:w="1025" w:type="dxa"/>
            <w:tcBorders>
              <w:top w:val="nil"/>
              <w:left w:val="nil"/>
              <w:bottom w:val="nil"/>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5</w:t>
            </w:r>
          </w:p>
        </w:tc>
      </w:tr>
      <w:tr w:rsidR="00DF59FF" w:rsidRPr="005E1103" w:rsidTr="00DF59FF">
        <w:trPr>
          <w:trHeight w:val="300"/>
          <w:jc w:val="center"/>
        </w:trPr>
        <w:tc>
          <w:tcPr>
            <w:tcW w:w="3190" w:type="dxa"/>
            <w:tcBorders>
              <w:top w:val="nil"/>
              <w:left w:val="single" w:sz="4" w:space="0" w:color="auto"/>
              <w:bottom w:val="nil"/>
              <w:right w:val="single" w:sz="4" w:space="0" w:color="auto"/>
            </w:tcBorders>
            <w:shd w:val="clear" w:color="auto" w:fill="auto"/>
          </w:tcPr>
          <w:p w:rsidR="00DF59FF" w:rsidRPr="005E1103" w:rsidRDefault="00DF59FF" w:rsidP="00DF59FF">
            <w:pPr>
              <w:spacing w:line="360" w:lineRule="auto"/>
              <w:rPr>
                <w:rFonts w:cstheme="minorHAnsi"/>
                <w:b/>
                <w:bCs/>
                <w:color w:val="000000"/>
                <w:sz w:val="28"/>
                <w:szCs w:val="28"/>
              </w:rPr>
            </w:pPr>
            <w:r w:rsidRPr="005E1103">
              <w:rPr>
                <w:rFonts w:cstheme="minorHAnsi"/>
                <w:b/>
                <w:bCs/>
                <w:color w:val="000000"/>
                <w:sz w:val="28"/>
                <w:szCs w:val="28"/>
              </w:rPr>
              <w:t>Artes y Humanidades</w:t>
            </w:r>
          </w:p>
        </w:tc>
        <w:tc>
          <w:tcPr>
            <w:tcW w:w="850" w:type="dxa"/>
            <w:tcBorders>
              <w:top w:val="nil"/>
              <w:left w:val="single" w:sz="4" w:space="0" w:color="auto"/>
              <w:bottom w:val="nil"/>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2</w:t>
            </w:r>
          </w:p>
        </w:tc>
        <w:tc>
          <w:tcPr>
            <w:tcW w:w="851" w:type="dxa"/>
            <w:tcBorders>
              <w:top w:val="nil"/>
              <w:left w:val="single" w:sz="4" w:space="0" w:color="auto"/>
              <w:bottom w:val="nil"/>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20</w:t>
            </w:r>
          </w:p>
        </w:tc>
        <w:tc>
          <w:tcPr>
            <w:tcW w:w="867" w:type="dxa"/>
            <w:tcBorders>
              <w:top w:val="nil"/>
              <w:left w:val="nil"/>
              <w:bottom w:val="nil"/>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3</w:t>
            </w:r>
          </w:p>
        </w:tc>
        <w:tc>
          <w:tcPr>
            <w:tcW w:w="849" w:type="dxa"/>
            <w:tcBorders>
              <w:top w:val="nil"/>
              <w:left w:val="nil"/>
              <w:bottom w:val="nil"/>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13</w:t>
            </w:r>
          </w:p>
        </w:tc>
        <w:tc>
          <w:tcPr>
            <w:tcW w:w="1013" w:type="dxa"/>
            <w:tcBorders>
              <w:top w:val="nil"/>
              <w:left w:val="nil"/>
              <w:bottom w:val="nil"/>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8</w:t>
            </w:r>
          </w:p>
        </w:tc>
        <w:tc>
          <w:tcPr>
            <w:tcW w:w="1025" w:type="dxa"/>
            <w:tcBorders>
              <w:top w:val="nil"/>
              <w:left w:val="nil"/>
              <w:bottom w:val="nil"/>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5</w:t>
            </w:r>
          </w:p>
        </w:tc>
      </w:tr>
      <w:tr w:rsidR="00DF59FF" w:rsidRPr="005E1103" w:rsidTr="00DF59FF">
        <w:trPr>
          <w:trHeight w:val="300"/>
          <w:jc w:val="center"/>
        </w:trPr>
        <w:tc>
          <w:tcPr>
            <w:tcW w:w="3190" w:type="dxa"/>
            <w:tcBorders>
              <w:top w:val="nil"/>
              <w:left w:val="single" w:sz="4" w:space="0" w:color="auto"/>
              <w:bottom w:val="single" w:sz="4" w:space="0" w:color="auto"/>
              <w:right w:val="single" w:sz="4" w:space="0" w:color="auto"/>
            </w:tcBorders>
            <w:shd w:val="clear" w:color="auto" w:fill="auto"/>
          </w:tcPr>
          <w:p w:rsidR="00DF59FF" w:rsidRPr="005E1103" w:rsidRDefault="00DF59FF" w:rsidP="00DF59FF">
            <w:pPr>
              <w:spacing w:line="360" w:lineRule="auto"/>
              <w:rPr>
                <w:rFonts w:cstheme="minorHAnsi"/>
                <w:b/>
                <w:sz w:val="28"/>
                <w:szCs w:val="28"/>
              </w:rPr>
            </w:pPr>
            <w:r w:rsidRPr="005E1103">
              <w:rPr>
                <w:rFonts w:cstheme="minorHAnsi"/>
                <w:b/>
                <w:sz w:val="28"/>
                <w:szCs w:val="28"/>
              </w:rPr>
              <w:t>Ciencias</w:t>
            </w:r>
          </w:p>
        </w:tc>
        <w:tc>
          <w:tcPr>
            <w:tcW w:w="850" w:type="dxa"/>
            <w:tcBorders>
              <w:top w:val="nil"/>
              <w:left w:val="single" w:sz="4" w:space="0" w:color="auto"/>
              <w:bottom w:val="single" w:sz="4" w:space="0" w:color="auto"/>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2</w:t>
            </w:r>
          </w:p>
        </w:tc>
        <w:tc>
          <w:tcPr>
            <w:tcW w:w="851" w:type="dxa"/>
            <w:tcBorders>
              <w:top w:val="nil"/>
              <w:left w:val="single" w:sz="4" w:space="0" w:color="auto"/>
              <w:bottom w:val="single" w:sz="4" w:space="0" w:color="auto"/>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5</w:t>
            </w:r>
          </w:p>
        </w:tc>
        <w:tc>
          <w:tcPr>
            <w:tcW w:w="867" w:type="dxa"/>
            <w:tcBorders>
              <w:top w:val="nil"/>
              <w:left w:val="nil"/>
              <w:bottom w:val="single" w:sz="4" w:space="0" w:color="auto"/>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2</w:t>
            </w:r>
          </w:p>
        </w:tc>
        <w:tc>
          <w:tcPr>
            <w:tcW w:w="849" w:type="dxa"/>
            <w:tcBorders>
              <w:top w:val="nil"/>
              <w:left w:val="nil"/>
              <w:bottom w:val="single" w:sz="4" w:space="0" w:color="auto"/>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3</w:t>
            </w:r>
          </w:p>
        </w:tc>
        <w:tc>
          <w:tcPr>
            <w:tcW w:w="1013" w:type="dxa"/>
            <w:tcBorders>
              <w:top w:val="nil"/>
              <w:left w:val="nil"/>
              <w:bottom w:val="single" w:sz="4" w:space="0" w:color="auto"/>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1</w:t>
            </w:r>
          </w:p>
        </w:tc>
        <w:tc>
          <w:tcPr>
            <w:tcW w:w="1025" w:type="dxa"/>
            <w:tcBorders>
              <w:top w:val="nil"/>
              <w:left w:val="nil"/>
              <w:bottom w:val="single" w:sz="4" w:space="0" w:color="auto"/>
              <w:right w:val="single" w:sz="4" w:space="0" w:color="auto"/>
            </w:tcBorders>
            <w:shd w:val="clear" w:color="auto" w:fill="auto"/>
          </w:tcPr>
          <w:p w:rsidR="00DF59FF" w:rsidRPr="005E1103" w:rsidRDefault="00DF59FF" w:rsidP="00DF59FF">
            <w:pPr>
              <w:spacing w:line="360" w:lineRule="auto"/>
              <w:jc w:val="center"/>
              <w:rPr>
                <w:rFonts w:cstheme="minorHAnsi"/>
                <w:bCs/>
                <w:color w:val="000000"/>
                <w:sz w:val="28"/>
                <w:szCs w:val="28"/>
              </w:rPr>
            </w:pPr>
            <w:r w:rsidRPr="005E1103">
              <w:rPr>
                <w:rFonts w:cstheme="minorHAnsi"/>
                <w:bCs/>
                <w:color w:val="000000"/>
                <w:sz w:val="28"/>
                <w:szCs w:val="28"/>
              </w:rPr>
              <w:t>0</w:t>
            </w:r>
          </w:p>
        </w:tc>
      </w:tr>
    </w:tbl>
    <w:p w:rsidR="00DF59FF" w:rsidRPr="005E1103" w:rsidRDefault="00DF59FF" w:rsidP="00DF59FF">
      <w:pPr>
        <w:spacing w:before="200" w:line="360" w:lineRule="auto"/>
        <w:jc w:val="both"/>
        <w:rPr>
          <w:rFonts w:cstheme="minorHAnsi"/>
          <w:sz w:val="28"/>
          <w:szCs w:val="28"/>
        </w:rPr>
      </w:pPr>
      <w:r w:rsidRPr="005E1103">
        <w:rPr>
          <w:rFonts w:cstheme="minorHAnsi"/>
          <w:sz w:val="28"/>
          <w:szCs w:val="28"/>
        </w:rPr>
        <w:t>Tabla II. Evolución del alumnado con discapacidades titulado por áreas de conocimiento en la Universidad del País Vasco UPV/EHU.</w:t>
      </w:r>
    </w:p>
    <w:p w:rsidR="00DF59FF" w:rsidRPr="005E1103" w:rsidRDefault="00DF59FF" w:rsidP="00DF59FF">
      <w:pPr>
        <w:spacing w:before="120" w:after="120" w:line="360" w:lineRule="auto"/>
        <w:jc w:val="both"/>
        <w:rPr>
          <w:rFonts w:cstheme="minorHAnsi"/>
          <w:sz w:val="28"/>
          <w:szCs w:val="28"/>
        </w:rPr>
      </w:pPr>
    </w:p>
    <w:p w:rsidR="00DF59FF" w:rsidRPr="005E1103" w:rsidRDefault="00DF59FF" w:rsidP="00DF59FF">
      <w:pPr>
        <w:spacing w:before="120" w:line="360" w:lineRule="auto"/>
        <w:jc w:val="both"/>
        <w:rPr>
          <w:rFonts w:cstheme="minorHAnsi"/>
          <w:sz w:val="28"/>
          <w:szCs w:val="28"/>
        </w:rPr>
      </w:pPr>
      <w:r w:rsidRPr="005E1103">
        <w:rPr>
          <w:rFonts w:cstheme="minorHAnsi"/>
          <w:sz w:val="28"/>
          <w:szCs w:val="28"/>
        </w:rPr>
        <w:t>Cuando se consultan las cifras referentes a la evolución del censo del alumnado con discapacidades, se aprecian datos tan significativos como los que aporta el curso 2014-2015, cuando de 261 estudiantes censados, se titularon 33 y abandonaron sus estudios 33 (UPV/EHU, 2016). Contribuir a evitar el abandono de la Universidad de estos alumnos, es el fin de este trabajo, que se encuadra dentro de la Estrategia Española sobre Discapacidad 2012-2020. Dicha estrategia tiene entre sus objetivos, relacionados con la Educación y la Formación, el aumentar el número de personas con discapacidad que finalicen la educación superior. Así en su medida estratégica nº 6 plantea “Avanzar en la inclusión de asignaturas que ayuden a garantizar los derechos de las personas con discapacidad</w:t>
      </w:r>
      <w:r w:rsidRPr="005E1103">
        <w:rPr>
          <w:rFonts w:cstheme="minorHAnsi"/>
          <w:i/>
          <w:sz w:val="28"/>
          <w:szCs w:val="28"/>
        </w:rPr>
        <w:t>”</w:t>
      </w:r>
      <w:r w:rsidRPr="005E1103">
        <w:rPr>
          <w:rFonts w:cstheme="minorHAnsi"/>
          <w:sz w:val="28"/>
          <w:szCs w:val="28"/>
        </w:rPr>
        <w:t xml:space="preserve"> (Ministerio de Sanidad, Política Social e Igualdad, 2011: 61).</w:t>
      </w:r>
    </w:p>
    <w:p w:rsidR="00DF59FF" w:rsidRPr="005E1103" w:rsidRDefault="00DF59FF" w:rsidP="00DF59FF">
      <w:pPr>
        <w:spacing w:before="120" w:line="360" w:lineRule="auto"/>
        <w:jc w:val="both"/>
        <w:rPr>
          <w:rFonts w:cstheme="minorHAnsi"/>
          <w:sz w:val="28"/>
          <w:szCs w:val="28"/>
        </w:rPr>
      </w:pPr>
    </w:p>
    <w:p w:rsidR="00DF59FF" w:rsidRPr="005E1103" w:rsidRDefault="00DF59FF" w:rsidP="00DF59FF">
      <w:pPr>
        <w:spacing w:before="120" w:line="360" w:lineRule="auto"/>
        <w:jc w:val="both"/>
        <w:rPr>
          <w:rFonts w:cstheme="minorHAnsi"/>
          <w:b/>
          <w:sz w:val="28"/>
          <w:szCs w:val="28"/>
        </w:rPr>
      </w:pPr>
      <w:r w:rsidRPr="005E1103">
        <w:rPr>
          <w:rFonts w:cstheme="minorHAnsi"/>
          <w:b/>
          <w:sz w:val="28"/>
          <w:szCs w:val="28"/>
        </w:rPr>
        <w:t xml:space="preserve">2. Planes de integración e inclusión en la Universidad del País Vasco (UPV/EHU) </w:t>
      </w:r>
    </w:p>
    <w:p w:rsidR="00DF59FF" w:rsidRPr="005E1103" w:rsidRDefault="00DF59FF" w:rsidP="00DF59FF">
      <w:pPr>
        <w:autoSpaceDE w:val="0"/>
        <w:autoSpaceDN w:val="0"/>
        <w:adjustRightInd w:val="0"/>
        <w:spacing w:before="120" w:line="360" w:lineRule="auto"/>
        <w:jc w:val="both"/>
        <w:rPr>
          <w:rFonts w:cstheme="minorHAnsi"/>
          <w:sz w:val="28"/>
          <w:szCs w:val="28"/>
        </w:rPr>
      </w:pPr>
      <w:r w:rsidRPr="005E1103">
        <w:rPr>
          <w:rFonts w:cstheme="minorHAnsi"/>
          <w:sz w:val="28"/>
          <w:szCs w:val="28"/>
        </w:rPr>
        <w:t>El Servicio de Atención a Personas con Discapacidades de la Universidad del País Vasco, se creó a partir del “Plan de Integración en la UPV/EHU de la Comunidad Universitaria con Discapacidades” aprobado el 18 de septiembre de 2001. Este servicio nació con el fin de garantizar el principio de igualdad de oportunidades, facilitando el acceso del alumnado a los estudios, servicios y su plena participación en la Universidad. En la actualidad está en marcha el II Plan de Inclusión de la UPV/EHU, aprobado el 22 de junio de 2012, cuyo periodo de vigencia es de cuatro años (2012-2017).</w:t>
      </w:r>
    </w:p>
    <w:p w:rsidR="00DF59FF" w:rsidRPr="005E1103" w:rsidRDefault="00DF59FF" w:rsidP="00DF59FF">
      <w:pPr>
        <w:spacing w:before="120" w:line="360" w:lineRule="auto"/>
        <w:jc w:val="both"/>
        <w:rPr>
          <w:rFonts w:cstheme="minorHAnsi"/>
          <w:sz w:val="28"/>
          <w:szCs w:val="28"/>
        </w:rPr>
      </w:pPr>
      <w:r w:rsidRPr="005E1103">
        <w:rPr>
          <w:rFonts w:cstheme="minorHAnsi"/>
          <w:sz w:val="28"/>
          <w:szCs w:val="28"/>
        </w:rPr>
        <w:t>El Plan de Inclusión aparece reflejado en los estatutos de la UPV/EHU, aprobados en el Decreto 17/2011 de 15 de febrero (Boletín Oficial de País Vasco nº 35, del 24 de febrero de 2011). Así, en el Título I de la naturaleza y fines de la Universidad del País Vasco /EHU, apartado 2 b, se cita lo siguiente</w:t>
      </w:r>
      <w:r w:rsidR="00B63F56" w:rsidRPr="005E1103">
        <w:rPr>
          <w:rFonts w:cstheme="minorHAnsi"/>
          <w:sz w:val="28"/>
          <w:szCs w:val="28"/>
        </w:rPr>
        <w:t>:” La</w:t>
      </w:r>
      <w:r w:rsidRPr="005E1103">
        <w:rPr>
          <w:rFonts w:cstheme="minorHAnsi"/>
          <w:sz w:val="28"/>
          <w:szCs w:val="28"/>
        </w:rPr>
        <w:t xml:space="preserve"> UPV/EHU promoverá la integración en la Comunidad Universitaria de las personas con necesidades especiales”.</w:t>
      </w:r>
    </w:p>
    <w:p w:rsidR="00DF59FF" w:rsidRPr="005E1103" w:rsidRDefault="00DF59FF" w:rsidP="00DF59FF">
      <w:pPr>
        <w:spacing w:before="120" w:line="360" w:lineRule="auto"/>
        <w:jc w:val="both"/>
        <w:rPr>
          <w:rFonts w:cstheme="minorHAnsi"/>
          <w:sz w:val="28"/>
          <w:szCs w:val="28"/>
        </w:rPr>
      </w:pPr>
      <w:r w:rsidRPr="005E1103">
        <w:rPr>
          <w:rFonts w:cstheme="minorHAnsi"/>
          <w:sz w:val="28"/>
          <w:szCs w:val="28"/>
        </w:rPr>
        <w:t xml:space="preserve">Por su parte, el Título II de la comunidad universitaria, dedica el Capítulo V a las personas con necesidades especiales. </w:t>
      </w:r>
      <w:r w:rsidR="00B63F56" w:rsidRPr="005E1103">
        <w:rPr>
          <w:rFonts w:cstheme="minorHAnsi"/>
          <w:sz w:val="28"/>
          <w:szCs w:val="28"/>
        </w:rPr>
        <w:t>Así,</w:t>
      </w:r>
      <w:r w:rsidRPr="005E1103">
        <w:rPr>
          <w:rFonts w:cstheme="minorHAnsi"/>
          <w:sz w:val="28"/>
          <w:szCs w:val="28"/>
        </w:rPr>
        <w:t xml:space="preserve"> por ejemplo, en su Artículo 68 apartado 3 se señala que: “Cuando las circunstancias del alumnado con discapacidad así lo requieran, los Departamentos y Centros Universitarios procederán a realizar las adaptaciones curriculares no significativas y establecerán tutorías específicas en función de las necesidades de estos alumnos y alumnas”.</w:t>
      </w:r>
    </w:p>
    <w:p w:rsidR="00DF59FF" w:rsidRPr="005E1103" w:rsidRDefault="00DF59FF" w:rsidP="00DF59FF">
      <w:pPr>
        <w:pStyle w:val="Textosinformato"/>
        <w:spacing w:before="120" w:line="360" w:lineRule="auto"/>
        <w:jc w:val="both"/>
        <w:rPr>
          <w:rFonts w:asciiTheme="minorHAnsi" w:hAnsiTheme="minorHAnsi" w:cstheme="minorHAnsi"/>
          <w:szCs w:val="28"/>
        </w:rPr>
      </w:pPr>
      <w:r w:rsidRPr="005E1103">
        <w:rPr>
          <w:rFonts w:asciiTheme="minorHAnsi" w:hAnsiTheme="minorHAnsi" w:cstheme="minorHAnsi"/>
          <w:szCs w:val="28"/>
        </w:rPr>
        <w:t>Siguiendo esta normativa, a comienzos del curso, el Servicio de Atención a Personas con Discapacidades se pone en contacto con el profesor para informarle de las necesidades de adaptaciones, para la docencia y exámenes, que requiere el alumnado con discapacidades, que se encuentre matriculado en la asignatura que dicho profesor imparta.</w:t>
      </w:r>
    </w:p>
    <w:p w:rsidR="00DF59FF" w:rsidRPr="005E1103" w:rsidRDefault="00DF59FF" w:rsidP="00DF59FF">
      <w:pPr>
        <w:pStyle w:val="Textosinformato"/>
        <w:spacing w:before="120" w:line="360" w:lineRule="auto"/>
        <w:jc w:val="both"/>
        <w:rPr>
          <w:rFonts w:asciiTheme="minorHAnsi" w:hAnsiTheme="minorHAnsi" w:cstheme="minorHAnsi"/>
          <w:szCs w:val="28"/>
        </w:rPr>
      </w:pPr>
    </w:p>
    <w:p w:rsidR="00DF59FF" w:rsidRPr="005E1103" w:rsidRDefault="00DF59FF" w:rsidP="00DF59FF">
      <w:pPr>
        <w:spacing w:before="120" w:line="360" w:lineRule="auto"/>
        <w:jc w:val="both"/>
        <w:rPr>
          <w:rFonts w:cstheme="minorHAnsi"/>
          <w:sz w:val="28"/>
          <w:szCs w:val="28"/>
        </w:rPr>
      </w:pPr>
      <w:r w:rsidRPr="005E1103">
        <w:rPr>
          <w:rFonts w:cstheme="minorHAnsi"/>
          <w:b/>
          <w:sz w:val="28"/>
          <w:szCs w:val="28"/>
        </w:rPr>
        <w:t>3. Adaptaciones no significativas en Geología</w:t>
      </w:r>
    </w:p>
    <w:p w:rsidR="00DF59FF" w:rsidRPr="005E1103" w:rsidRDefault="00DF59FF" w:rsidP="00DF59FF">
      <w:pPr>
        <w:spacing w:before="120" w:line="360" w:lineRule="auto"/>
        <w:jc w:val="both"/>
        <w:rPr>
          <w:rFonts w:cstheme="minorHAnsi"/>
          <w:sz w:val="28"/>
          <w:szCs w:val="28"/>
        </w:rPr>
      </w:pPr>
      <w:r w:rsidRPr="005E1103">
        <w:rPr>
          <w:rFonts w:cstheme="minorHAnsi"/>
          <w:sz w:val="28"/>
          <w:szCs w:val="28"/>
        </w:rPr>
        <w:t>Desde el curso 2010-2011 al presente (2016-2017) se han matriculado en esta asignatura 8 alumnos con diferentes discapacidades: motriz, visual y encubierta. Para cada uno de ellos se ha realizado una Adaptación Curricular Individual (ACI) no significativa, sin afectar a los elementos del currículo, puesto que no es posible realizar ACI significativas, como en la enseñanza obligatoria, al tener que garantizar la Universidad la preparación de los futuros profesionales (Arnaiz Sánchez, 2000: 165).</w:t>
      </w:r>
    </w:p>
    <w:p w:rsidR="00DF59FF" w:rsidRPr="005E1103" w:rsidRDefault="00DF59FF" w:rsidP="00DF59FF">
      <w:pPr>
        <w:spacing w:before="120" w:line="360" w:lineRule="auto"/>
        <w:jc w:val="both"/>
        <w:rPr>
          <w:rFonts w:cstheme="minorHAnsi"/>
          <w:sz w:val="28"/>
          <w:szCs w:val="28"/>
        </w:rPr>
      </w:pPr>
      <w:r w:rsidRPr="005E1103">
        <w:rPr>
          <w:rFonts w:cstheme="minorHAnsi"/>
          <w:sz w:val="28"/>
          <w:szCs w:val="28"/>
        </w:rPr>
        <w:t xml:space="preserve">A los alumnos con discapacidad encubierta se les amplia el tiempo para la realización de trabajos y exámenes y se les facilita el cambio de grupo de prácticas. </w:t>
      </w:r>
      <w:r w:rsidR="00B63F56" w:rsidRPr="005E1103">
        <w:rPr>
          <w:rFonts w:cstheme="minorHAnsi"/>
          <w:sz w:val="28"/>
          <w:szCs w:val="28"/>
        </w:rPr>
        <w:t>Además,</w:t>
      </w:r>
      <w:r w:rsidRPr="005E1103">
        <w:rPr>
          <w:rFonts w:cstheme="minorHAnsi"/>
          <w:sz w:val="28"/>
          <w:szCs w:val="28"/>
        </w:rPr>
        <w:t xml:space="preserve"> disponen de un horario de tutoría abierto.</w:t>
      </w:r>
    </w:p>
    <w:p w:rsidR="00DF59FF" w:rsidRPr="005E1103" w:rsidRDefault="00DF59FF" w:rsidP="00DF59FF">
      <w:pPr>
        <w:spacing w:before="120" w:line="360" w:lineRule="auto"/>
        <w:jc w:val="both"/>
        <w:rPr>
          <w:rFonts w:cstheme="minorHAnsi"/>
          <w:sz w:val="28"/>
          <w:szCs w:val="28"/>
        </w:rPr>
      </w:pPr>
      <w:r w:rsidRPr="005E1103">
        <w:rPr>
          <w:rFonts w:cstheme="minorHAnsi"/>
          <w:sz w:val="28"/>
          <w:szCs w:val="28"/>
        </w:rPr>
        <w:t xml:space="preserve">Al alumno con discapacidad visual, además de las medidas anteriores, se le ofrecieron los textos accesibles: tipo y tamaño de letra, espacios </w:t>
      </w:r>
      <w:r w:rsidR="00B63F56" w:rsidRPr="005E1103">
        <w:rPr>
          <w:rFonts w:cstheme="minorHAnsi"/>
          <w:sz w:val="28"/>
          <w:szCs w:val="28"/>
        </w:rPr>
        <w:t>y gráficos</w:t>
      </w:r>
      <w:r w:rsidRPr="005E1103">
        <w:rPr>
          <w:rFonts w:cstheme="minorHAnsi"/>
          <w:sz w:val="28"/>
          <w:szCs w:val="28"/>
        </w:rPr>
        <w:t>.  Estos fueron volcados en la plataforma digital con suficiente antelación, para que el alumno los tuviera accesible antes del comienzo de las mismas.  En las prácticas de cartografía, el material de trabajo tradicional fue sustituido por el uso de las TIC, en concreto el programa “Cartografía geológica práctica” de la UNED (2008), que permite comprender fundamentos básicos de la materia y realizar cortes geológicos, con sólo apretar el cursor del ordenador. Este programa también fue adaptado para el alumno con discapacidad motora.</w:t>
      </w:r>
    </w:p>
    <w:p w:rsidR="00DF59FF" w:rsidRPr="005E1103" w:rsidRDefault="00DF59FF" w:rsidP="00DF59FF">
      <w:pPr>
        <w:spacing w:before="120" w:line="360" w:lineRule="auto"/>
        <w:jc w:val="both"/>
        <w:rPr>
          <w:rFonts w:cstheme="minorHAnsi"/>
          <w:sz w:val="28"/>
          <w:szCs w:val="28"/>
        </w:rPr>
      </w:pPr>
      <w:r w:rsidRPr="005E1103">
        <w:rPr>
          <w:rFonts w:cstheme="minorHAnsi"/>
          <w:sz w:val="28"/>
          <w:szCs w:val="28"/>
        </w:rPr>
        <w:t xml:space="preserve">Para facilitar el trabajo de evaluación se adaptan los exámenes de acuerdo a la necesidad de los alumnos, eliminando preguntas de desarrollo y aumentando los ejercicios tipo test </w:t>
      </w:r>
      <w:r w:rsidR="00B63F56" w:rsidRPr="005E1103">
        <w:rPr>
          <w:rFonts w:cstheme="minorHAnsi"/>
          <w:sz w:val="28"/>
          <w:szCs w:val="28"/>
        </w:rPr>
        <w:t>y verdadero</w:t>
      </w:r>
      <w:r w:rsidRPr="005E1103">
        <w:rPr>
          <w:rFonts w:cstheme="minorHAnsi"/>
          <w:sz w:val="28"/>
          <w:szCs w:val="28"/>
        </w:rPr>
        <w:t>/falso, así como cuestiones relativas a esquemas y figuras.</w:t>
      </w:r>
    </w:p>
    <w:p w:rsidR="00DF59FF" w:rsidRPr="005E1103" w:rsidRDefault="00DF59FF" w:rsidP="00DF59FF">
      <w:pPr>
        <w:spacing w:before="120" w:line="360" w:lineRule="auto"/>
        <w:jc w:val="both"/>
        <w:rPr>
          <w:rFonts w:cstheme="minorHAnsi"/>
          <w:sz w:val="28"/>
          <w:szCs w:val="28"/>
        </w:rPr>
      </w:pPr>
    </w:p>
    <w:p w:rsidR="00B63F56" w:rsidRDefault="00B63F56">
      <w:pPr>
        <w:rPr>
          <w:rFonts w:cstheme="minorHAnsi"/>
          <w:b/>
          <w:sz w:val="28"/>
          <w:szCs w:val="28"/>
        </w:rPr>
      </w:pPr>
      <w:r>
        <w:rPr>
          <w:rFonts w:cstheme="minorHAnsi"/>
          <w:b/>
          <w:sz w:val="28"/>
          <w:szCs w:val="28"/>
        </w:rPr>
        <w:br w:type="page"/>
      </w:r>
    </w:p>
    <w:p w:rsidR="00DF59FF" w:rsidRPr="005E1103" w:rsidRDefault="00DF59FF" w:rsidP="00DF59FF">
      <w:pPr>
        <w:spacing w:before="120" w:line="360" w:lineRule="auto"/>
        <w:jc w:val="both"/>
        <w:rPr>
          <w:rFonts w:cstheme="minorHAnsi"/>
          <w:b/>
          <w:sz w:val="28"/>
          <w:szCs w:val="28"/>
        </w:rPr>
      </w:pPr>
      <w:r w:rsidRPr="005E1103">
        <w:rPr>
          <w:rFonts w:cstheme="minorHAnsi"/>
          <w:b/>
          <w:sz w:val="28"/>
          <w:szCs w:val="28"/>
        </w:rPr>
        <w:lastRenderedPageBreak/>
        <w:t>4. Adaptaciones de las salidas al campo</w:t>
      </w:r>
    </w:p>
    <w:p w:rsidR="00DF59FF" w:rsidRPr="005E1103" w:rsidRDefault="00DF59FF" w:rsidP="00DF59FF">
      <w:pPr>
        <w:pStyle w:val="Default"/>
        <w:spacing w:before="120" w:line="360" w:lineRule="auto"/>
        <w:jc w:val="both"/>
        <w:rPr>
          <w:rFonts w:asciiTheme="minorHAnsi" w:hAnsiTheme="minorHAnsi" w:cstheme="minorHAnsi"/>
          <w:color w:val="auto"/>
          <w:sz w:val="28"/>
          <w:szCs w:val="28"/>
        </w:rPr>
      </w:pPr>
      <w:r w:rsidRPr="005E1103">
        <w:rPr>
          <w:rFonts w:asciiTheme="minorHAnsi" w:hAnsiTheme="minorHAnsi" w:cstheme="minorHAnsi"/>
          <w:color w:val="auto"/>
          <w:sz w:val="28"/>
          <w:szCs w:val="28"/>
        </w:rPr>
        <w:t>Las prácticas de campo son imprescindibles en la enseñanza de la Geología, para la adquisición de diversas competencias, ya que por medio de ellas, el alumnado reconoce sobre el terreno lo aprendido en el aula: formas del relieve, estructuras tectónicas, rocas, etc., adquiriendo una visión espacial y temporal de los procesos geológicos y sus efectos tanto en el planeta como en su entorno más próximo (Brusi, 1992). Además, las salidas al campo favorecen las relaciones personales.</w:t>
      </w:r>
    </w:p>
    <w:p w:rsidR="00DF59FF" w:rsidRPr="005E1103" w:rsidRDefault="00DF59FF" w:rsidP="00DF59FF">
      <w:pPr>
        <w:spacing w:before="120" w:line="360" w:lineRule="auto"/>
        <w:jc w:val="both"/>
        <w:rPr>
          <w:rFonts w:cstheme="minorHAnsi"/>
          <w:sz w:val="28"/>
          <w:szCs w:val="28"/>
        </w:rPr>
      </w:pPr>
      <w:r w:rsidRPr="005E1103">
        <w:rPr>
          <w:rFonts w:cstheme="minorHAnsi"/>
          <w:sz w:val="28"/>
          <w:szCs w:val="28"/>
        </w:rPr>
        <w:t>Antes de efectuar las adaptaciones de las salidas al campo es necesario consultar al alumno su disposición a realizarlas (Blanco Guijarro, 1992: 144; Arnaiz Sánchez, 2000: 159). Si no desea llevarlas a cabo, se suministra al alumno diversas imágenes y videos de la zona. siguiendo “los estándares e indicadores de buenas prácticas para la atención a estudiantes universitarios con discapacidad” (Díez et al., 2011</w:t>
      </w:r>
      <w:r w:rsidR="00171440" w:rsidRPr="005E1103">
        <w:rPr>
          <w:rFonts w:cstheme="minorHAnsi"/>
          <w:sz w:val="28"/>
          <w:szCs w:val="28"/>
        </w:rPr>
        <w:t>), Por</w:t>
      </w:r>
      <w:r w:rsidRPr="005E1103">
        <w:rPr>
          <w:rFonts w:cstheme="minorHAnsi"/>
          <w:sz w:val="28"/>
          <w:szCs w:val="28"/>
        </w:rPr>
        <w:t xml:space="preserve"> el contrario, si el alumno desea realizar las salidas al campo, es necesario adaptar los recorridos para que pueda participar en las mismas junto con el resto de la clase, siempre que sea posible.</w:t>
      </w:r>
    </w:p>
    <w:p w:rsidR="00DF59FF" w:rsidRPr="005E1103" w:rsidRDefault="00DF59FF" w:rsidP="00DF59FF">
      <w:pPr>
        <w:pStyle w:val="Default"/>
        <w:spacing w:before="120" w:line="360" w:lineRule="auto"/>
        <w:jc w:val="both"/>
        <w:rPr>
          <w:rFonts w:asciiTheme="minorHAnsi" w:hAnsiTheme="minorHAnsi" w:cstheme="minorHAnsi"/>
          <w:b/>
          <w:color w:val="auto"/>
          <w:sz w:val="28"/>
          <w:szCs w:val="28"/>
        </w:rPr>
      </w:pPr>
      <w:r w:rsidRPr="005E1103">
        <w:rPr>
          <w:rFonts w:asciiTheme="minorHAnsi" w:hAnsiTheme="minorHAnsi" w:cstheme="minorHAnsi"/>
          <w:b/>
          <w:color w:val="auto"/>
          <w:sz w:val="28"/>
          <w:szCs w:val="28"/>
        </w:rPr>
        <w:t>Curso 2010-2011</w:t>
      </w:r>
    </w:p>
    <w:p w:rsidR="00DF59FF" w:rsidRPr="005E1103" w:rsidRDefault="00DF59FF" w:rsidP="00DF59FF">
      <w:pPr>
        <w:pStyle w:val="Default"/>
        <w:spacing w:before="120" w:line="360" w:lineRule="auto"/>
        <w:jc w:val="both"/>
        <w:rPr>
          <w:rFonts w:asciiTheme="minorHAnsi" w:hAnsiTheme="minorHAnsi" w:cstheme="minorHAnsi"/>
          <w:color w:val="auto"/>
          <w:sz w:val="28"/>
          <w:szCs w:val="28"/>
        </w:rPr>
      </w:pPr>
      <w:r w:rsidRPr="005E1103">
        <w:rPr>
          <w:rFonts w:asciiTheme="minorHAnsi" w:hAnsiTheme="minorHAnsi" w:cstheme="minorHAnsi"/>
          <w:color w:val="auto"/>
          <w:sz w:val="28"/>
          <w:szCs w:val="28"/>
        </w:rPr>
        <w:t>Por vez primera, un alumno con discapacidad motriz estuvo matriculado en la asignatura de Geología, en el Grado de Biología. En ese curso se le adaptaron las prácticas de laboratorio, y se le eliminaron las salidas al campo. Para evaluar las competencias en la materia, el alumno realizó un trabajo de “campo virtual”, visionando imágenes de las zonas a visitar (Pascual y Murelaga, 2012).</w:t>
      </w:r>
    </w:p>
    <w:p w:rsidR="00DF59FF" w:rsidRPr="005E1103" w:rsidRDefault="00DF59FF" w:rsidP="00DF59FF">
      <w:pPr>
        <w:pStyle w:val="Default"/>
        <w:spacing w:before="120" w:line="360" w:lineRule="auto"/>
        <w:jc w:val="both"/>
        <w:rPr>
          <w:rFonts w:asciiTheme="minorHAnsi" w:hAnsiTheme="minorHAnsi" w:cstheme="minorHAnsi"/>
          <w:b/>
          <w:color w:val="auto"/>
          <w:sz w:val="28"/>
          <w:szCs w:val="28"/>
        </w:rPr>
      </w:pPr>
      <w:r w:rsidRPr="005E1103">
        <w:rPr>
          <w:rFonts w:asciiTheme="minorHAnsi" w:hAnsiTheme="minorHAnsi" w:cstheme="minorHAnsi"/>
          <w:b/>
          <w:color w:val="auto"/>
          <w:sz w:val="28"/>
          <w:szCs w:val="28"/>
        </w:rPr>
        <w:t>Curso 2011-2012</w:t>
      </w:r>
    </w:p>
    <w:p w:rsidR="00DF59FF" w:rsidRPr="005E1103" w:rsidRDefault="00DF59FF" w:rsidP="00DF59FF">
      <w:pPr>
        <w:spacing w:before="120" w:line="360" w:lineRule="auto"/>
        <w:jc w:val="both"/>
        <w:rPr>
          <w:rFonts w:cstheme="minorHAnsi"/>
          <w:sz w:val="28"/>
          <w:szCs w:val="28"/>
        </w:rPr>
      </w:pPr>
      <w:r w:rsidRPr="005E1103">
        <w:rPr>
          <w:rFonts w:cstheme="minorHAnsi"/>
          <w:sz w:val="28"/>
          <w:szCs w:val="28"/>
        </w:rPr>
        <w:t>En este curso se adaptó una de las dos salidas que se realizan en la asignatura de “Geología”, la de la Reserva de la Biosfera de Urdaibai (Bizkaia</w:t>
      </w:r>
      <w:r w:rsidR="00171440" w:rsidRPr="005E1103">
        <w:rPr>
          <w:rFonts w:cstheme="minorHAnsi"/>
          <w:sz w:val="28"/>
          <w:szCs w:val="28"/>
        </w:rPr>
        <w:t>), para</w:t>
      </w:r>
      <w:r w:rsidRPr="005E1103">
        <w:rPr>
          <w:rFonts w:cstheme="minorHAnsi"/>
          <w:sz w:val="28"/>
          <w:szCs w:val="28"/>
        </w:rPr>
        <w:t xml:space="preserve"> que cualquier alumno con discapacidad pudiera realizarla, junto con el resto de la clase (Pascual et al., 2014: 242). Sin </w:t>
      </w:r>
      <w:r w:rsidR="00171440" w:rsidRPr="005E1103">
        <w:rPr>
          <w:rFonts w:cstheme="minorHAnsi"/>
          <w:sz w:val="28"/>
          <w:szCs w:val="28"/>
        </w:rPr>
        <w:t>embargo,</w:t>
      </w:r>
      <w:r w:rsidRPr="005E1103">
        <w:rPr>
          <w:rFonts w:cstheme="minorHAnsi"/>
          <w:sz w:val="28"/>
          <w:szCs w:val="28"/>
        </w:rPr>
        <w:t xml:space="preserve"> la segunda salida, a la playa y acantilados de Zumaia (Gipuzkoa), </w:t>
      </w:r>
      <w:r w:rsidRPr="005E1103">
        <w:rPr>
          <w:rFonts w:cstheme="minorHAnsi"/>
          <w:sz w:val="28"/>
          <w:szCs w:val="28"/>
        </w:rPr>
        <w:lastRenderedPageBreak/>
        <w:t xml:space="preserve">debido a su difícil acceso, fue sustituida por otra “Límite Cretácico/Terciario de Urrutxua” (Bizkaia). Por lo </w:t>
      </w:r>
      <w:r w:rsidR="00171440" w:rsidRPr="005E1103">
        <w:rPr>
          <w:rFonts w:cstheme="minorHAnsi"/>
          <w:sz w:val="28"/>
          <w:szCs w:val="28"/>
        </w:rPr>
        <w:t>tanto,</w:t>
      </w:r>
      <w:r w:rsidRPr="005E1103">
        <w:rPr>
          <w:rFonts w:cstheme="minorHAnsi"/>
          <w:sz w:val="28"/>
          <w:szCs w:val="28"/>
        </w:rPr>
        <w:t xml:space="preserve"> con esta adaptación el alumno con discapacidad quedaba alejado nuevamente del grupo de clase. </w:t>
      </w:r>
    </w:p>
    <w:p w:rsidR="00DF59FF" w:rsidRPr="005E1103" w:rsidRDefault="00171440" w:rsidP="00DF59FF">
      <w:pPr>
        <w:spacing w:before="120" w:line="360" w:lineRule="auto"/>
        <w:jc w:val="both"/>
        <w:rPr>
          <w:rFonts w:cstheme="minorHAnsi"/>
          <w:sz w:val="28"/>
          <w:szCs w:val="28"/>
        </w:rPr>
      </w:pPr>
      <w:r w:rsidRPr="005E1103">
        <w:rPr>
          <w:rFonts w:cstheme="minorHAnsi"/>
          <w:sz w:val="28"/>
          <w:szCs w:val="28"/>
        </w:rPr>
        <w:t>Además,</w:t>
      </w:r>
      <w:r w:rsidR="00DF59FF" w:rsidRPr="005E1103">
        <w:rPr>
          <w:rFonts w:cstheme="minorHAnsi"/>
          <w:sz w:val="28"/>
          <w:szCs w:val="28"/>
        </w:rPr>
        <w:t xml:space="preserve"> se propusieron dos paseos geológicos, como actividades complementarias de aprendizaje. Estos paseos a través del propio campus y por Bilbao, permiten observar una gran variedad de rocas y repasar lo visto en las salidas al campo (Pascual et al., 2014: 244). </w:t>
      </w:r>
      <w:r w:rsidRPr="005E1103">
        <w:rPr>
          <w:rFonts w:cstheme="minorHAnsi"/>
          <w:sz w:val="28"/>
          <w:szCs w:val="28"/>
        </w:rPr>
        <w:t>Además,</w:t>
      </w:r>
      <w:r w:rsidR="00DF59FF" w:rsidRPr="005E1103">
        <w:rPr>
          <w:rFonts w:cstheme="minorHAnsi"/>
          <w:sz w:val="28"/>
          <w:szCs w:val="28"/>
        </w:rPr>
        <w:t xml:space="preserve"> al ser accesibles, permiten al alumno con discapacidad la incorporación al grupo de clase y al trabajo en equipo. </w:t>
      </w:r>
    </w:p>
    <w:p w:rsidR="00DF59FF" w:rsidRPr="005E1103" w:rsidRDefault="00DF59FF" w:rsidP="00DF59FF">
      <w:pPr>
        <w:spacing w:before="120" w:line="360" w:lineRule="auto"/>
        <w:jc w:val="both"/>
        <w:rPr>
          <w:rFonts w:cstheme="minorHAnsi"/>
          <w:b/>
          <w:sz w:val="28"/>
          <w:szCs w:val="28"/>
        </w:rPr>
      </w:pPr>
      <w:r w:rsidRPr="005E1103">
        <w:rPr>
          <w:rFonts w:cstheme="minorHAnsi"/>
          <w:b/>
          <w:sz w:val="28"/>
          <w:szCs w:val="28"/>
        </w:rPr>
        <w:t>Cursos 2012-</w:t>
      </w:r>
      <w:r w:rsidR="00171440" w:rsidRPr="005E1103">
        <w:rPr>
          <w:rFonts w:cstheme="minorHAnsi"/>
          <w:b/>
          <w:sz w:val="28"/>
          <w:szCs w:val="28"/>
        </w:rPr>
        <w:t>2013, 2013</w:t>
      </w:r>
      <w:r w:rsidRPr="005E1103">
        <w:rPr>
          <w:rFonts w:cstheme="minorHAnsi"/>
          <w:b/>
          <w:sz w:val="28"/>
          <w:szCs w:val="28"/>
        </w:rPr>
        <w:t>-2014 y 2014-2015</w:t>
      </w:r>
    </w:p>
    <w:p w:rsidR="00DF59FF" w:rsidRPr="005E1103" w:rsidRDefault="00DF59FF" w:rsidP="00DF59FF">
      <w:pPr>
        <w:pStyle w:val="Textoindependiente"/>
        <w:spacing w:before="120" w:line="360" w:lineRule="auto"/>
        <w:jc w:val="both"/>
        <w:rPr>
          <w:rFonts w:asciiTheme="minorHAnsi" w:hAnsiTheme="minorHAnsi" w:cstheme="minorHAnsi"/>
          <w:sz w:val="28"/>
          <w:szCs w:val="28"/>
        </w:rPr>
      </w:pPr>
      <w:r w:rsidRPr="005E1103">
        <w:rPr>
          <w:rFonts w:asciiTheme="minorHAnsi" w:hAnsiTheme="minorHAnsi" w:cstheme="minorHAnsi"/>
          <w:sz w:val="28"/>
          <w:szCs w:val="28"/>
        </w:rPr>
        <w:t xml:space="preserve"> A lo largo de estos años, se han ido estableciendo recorridos alternativos para las dos salidas al campo, visitando Lugares de Interés Geológico (LIG), siempre buscando la integración total de los alumnos con discapacidad motriz en la asignatura. En la descripción de un LIG, además de la </w:t>
      </w:r>
      <w:r w:rsidR="00171440" w:rsidRPr="005E1103">
        <w:rPr>
          <w:rFonts w:asciiTheme="minorHAnsi" w:hAnsiTheme="minorHAnsi" w:cstheme="minorHAnsi"/>
          <w:sz w:val="28"/>
          <w:szCs w:val="28"/>
        </w:rPr>
        <w:t>información geológica</w:t>
      </w:r>
      <w:r w:rsidRPr="005E1103">
        <w:rPr>
          <w:rFonts w:asciiTheme="minorHAnsi" w:hAnsiTheme="minorHAnsi" w:cstheme="minorHAnsi"/>
          <w:sz w:val="28"/>
          <w:szCs w:val="28"/>
        </w:rPr>
        <w:t xml:space="preserve"> y geográfica, se detalla el grado de accesibilidad según tres niveles (Mendia et al., 2010:16):</w:t>
      </w:r>
    </w:p>
    <w:p w:rsidR="00DF59FF" w:rsidRPr="005E1103" w:rsidRDefault="00DF59FF" w:rsidP="00DF59FF">
      <w:pPr>
        <w:numPr>
          <w:ilvl w:val="0"/>
          <w:numId w:val="42"/>
        </w:numPr>
        <w:spacing w:before="120" w:after="0" w:line="360" w:lineRule="auto"/>
        <w:jc w:val="both"/>
        <w:rPr>
          <w:rFonts w:cstheme="minorHAnsi"/>
          <w:sz w:val="28"/>
          <w:szCs w:val="28"/>
          <w:lang w:val="es-ES_tradnl"/>
        </w:rPr>
      </w:pPr>
      <w:r w:rsidRPr="005E1103">
        <w:rPr>
          <w:rFonts w:cstheme="minorHAnsi"/>
          <w:sz w:val="28"/>
          <w:szCs w:val="28"/>
          <w:lang w:val="es-ES_tradnl"/>
        </w:rPr>
        <w:t>Sólo se puede acceder a pie.</w:t>
      </w:r>
    </w:p>
    <w:p w:rsidR="00DF59FF" w:rsidRPr="005E1103" w:rsidRDefault="00DF59FF" w:rsidP="00DF59FF">
      <w:pPr>
        <w:numPr>
          <w:ilvl w:val="0"/>
          <w:numId w:val="42"/>
        </w:numPr>
        <w:spacing w:before="120" w:after="0" w:line="360" w:lineRule="auto"/>
        <w:jc w:val="both"/>
        <w:rPr>
          <w:rFonts w:cstheme="minorHAnsi"/>
          <w:sz w:val="28"/>
          <w:szCs w:val="28"/>
          <w:lang w:val="es-ES_tradnl"/>
        </w:rPr>
      </w:pPr>
      <w:r w:rsidRPr="005E1103">
        <w:rPr>
          <w:rFonts w:cstheme="minorHAnsi"/>
          <w:sz w:val="28"/>
          <w:szCs w:val="28"/>
          <w:lang w:val="es-ES_tradnl"/>
        </w:rPr>
        <w:t>Pista o carretera asfaltada estrecha.</w:t>
      </w:r>
    </w:p>
    <w:p w:rsidR="00DF59FF" w:rsidRPr="005E1103" w:rsidRDefault="00DF59FF" w:rsidP="00DF59FF">
      <w:pPr>
        <w:numPr>
          <w:ilvl w:val="0"/>
          <w:numId w:val="42"/>
        </w:numPr>
        <w:spacing w:before="120" w:after="0" w:line="360" w:lineRule="auto"/>
        <w:jc w:val="both"/>
        <w:rPr>
          <w:rFonts w:cstheme="minorHAnsi"/>
          <w:sz w:val="28"/>
          <w:szCs w:val="28"/>
        </w:rPr>
      </w:pPr>
      <w:r w:rsidRPr="005E1103">
        <w:rPr>
          <w:rFonts w:cstheme="minorHAnsi"/>
          <w:sz w:val="28"/>
          <w:szCs w:val="28"/>
          <w:lang w:val="es-ES_tradnl"/>
        </w:rPr>
        <w:t xml:space="preserve">Se puede ir en vehículo, incluso en autobús. </w:t>
      </w:r>
      <w:r w:rsidR="00171440" w:rsidRPr="005E1103">
        <w:rPr>
          <w:rFonts w:cstheme="minorHAnsi"/>
          <w:sz w:val="28"/>
          <w:szCs w:val="28"/>
          <w:lang w:val="es-ES_tradnl"/>
        </w:rPr>
        <w:t>Acceso discapacitado</w:t>
      </w:r>
      <w:r w:rsidRPr="005E1103">
        <w:rPr>
          <w:rFonts w:cstheme="minorHAnsi"/>
          <w:sz w:val="28"/>
          <w:szCs w:val="28"/>
        </w:rPr>
        <w:t>.</w:t>
      </w:r>
    </w:p>
    <w:p w:rsidR="00DF59FF" w:rsidRPr="005E1103" w:rsidRDefault="00DF59FF" w:rsidP="00DF59FF">
      <w:pPr>
        <w:pStyle w:val="Cuerpo"/>
        <w:spacing w:before="120" w:after="0" w:line="360" w:lineRule="auto"/>
        <w:jc w:val="both"/>
        <w:rPr>
          <w:rFonts w:asciiTheme="minorHAnsi" w:hAnsiTheme="minorHAnsi" w:cstheme="minorHAnsi"/>
          <w:color w:val="auto"/>
          <w:sz w:val="28"/>
          <w:szCs w:val="28"/>
        </w:rPr>
      </w:pPr>
      <w:r w:rsidRPr="005E1103">
        <w:rPr>
          <w:rFonts w:asciiTheme="minorHAnsi" w:hAnsiTheme="minorHAnsi" w:cstheme="minorHAnsi"/>
          <w:color w:val="auto"/>
          <w:sz w:val="28"/>
          <w:szCs w:val="28"/>
        </w:rPr>
        <w:t xml:space="preserve">Sin </w:t>
      </w:r>
      <w:r w:rsidR="00171440" w:rsidRPr="005E1103">
        <w:rPr>
          <w:rFonts w:asciiTheme="minorHAnsi" w:hAnsiTheme="minorHAnsi" w:cstheme="minorHAnsi"/>
          <w:color w:val="auto"/>
          <w:sz w:val="28"/>
          <w:szCs w:val="28"/>
        </w:rPr>
        <w:t>embargo,</w:t>
      </w:r>
      <w:r w:rsidRPr="005E1103">
        <w:rPr>
          <w:rFonts w:asciiTheme="minorHAnsi" w:hAnsiTheme="minorHAnsi" w:cstheme="minorHAnsi"/>
          <w:color w:val="auto"/>
          <w:sz w:val="28"/>
          <w:szCs w:val="28"/>
        </w:rPr>
        <w:t xml:space="preserve"> al constatar, en algunos casos, el mal estado de los accesos, incluso en los LIG descritos con accesibilidad de nivel 3, los hemos visitado, analizado, revisado y por último actualizado, desde el punto de vista de la accesibilidad universal (Pascual y Oñate, 2014: 1113). Para ello se ha seguido el modelo de trabajo del “Catálogo de buenas prácticas en materia de accesibilidad en espacios naturales protegidos” en el apartado de senderos (Muñoz Santos, et al., 2007: 39-41).</w:t>
      </w:r>
    </w:p>
    <w:p w:rsidR="00DF59FF" w:rsidRPr="005E1103" w:rsidRDefault="00DF59FF" w:rsidP="00DF59FF">
      <w:pPr>
        <w:pStyle w:val="Cuerpo"/>
        <w:spacing w:before="120" w:after="0" w:line="360" w:lineRule="auto"/>
        <w:jc w:val="both"/>
        <w:rPr>
          <w:rFonts w:asciiTheme="minorHAnsi" w:hAnsiTheme="minorHAnsi" w:cstheme="minorHAnsi"/>
          <w:color w:val="auto"/>
          <w:sz w:val="28"/>
          <w:szCs w:val="28"/>
        </w:rPr>
      </w:pPr>
    </w:p>
    <w:p w:rsidR="00171440" w:rsidRDefault="00171440">
      <w:pPr>
        <w:rPr>
          <w:rFonts w:eastAsia="ヒラギノ角ゴ Pro W3" w:cstheme="minorHAnsi"/>
          <w:b/>
          <w:sz w:val="28"/>
          <w:szCs w:val="28"/>
          <w:lang w:eastAsia="es-ES"/>
        </w:rPr>
      </w:pPr>
      <w:r>
        <w:rPr>
          <w:rFonts w:cstheme="minorHAnsi"/>
          <w:b/>
          <w:sz w:val="28"/>
          <w:szCs w:val="28"/>
        </w:rPr>
        <w:br w:type="page"/>
      </w:r>
    </w:p>
    <w:p w:rsidR="00DF59FF" w:rsidRPr="005E1103" w:rsidRDefault="00DF59FF" w:rsidP="00DF59FF">
      <w:pPr>
        <w:pStyle w:val="Cuerpo"/>
        <w:spacing w:before="120" w:after="0" w:line="360" w:lineRule="auto"/>
        <w:jc w:val="both"/>
        <w:rPr>
          <w:rFonts w:asciiTheme="minorHAnsi" w:hAnsiTheme="minorHAnsi" w:cstheme="minorHAnsi"/>
          <w:b/>
          <w:color w:val="auto"/>
          <w:sz w:val="28"/>
          <w:szCs w:val="28"/>
        </w:rPr>
      </w:pPr>
      <w:r w:rsidRPr="005E1103">
        <w:rPr>
          <w:rFonts w:asciiTheme="minorHAnsi" w:hAnsiTheme="minorHAnsi" w:cstheme="minorHAnsi"/>
          <w:b/>
          <w:color w:val="auto"/>
          <w:sz w:val="28"/>
          <w:szCs w:val="28"/>
        </w:rPr>
        <w:lastRenderedPageBreak/>
        <w:t>Curso 2015-2016</w:t>
      </w:r>
    </w:p>
    <w:p w:rsidR="00DF59FF" w:rsidRPr="005E1103" w:rsidRDefault="00DF59FF" w:rsidP="00DF59FF">
      <w:pPr>
        <w:pStyle w:val="Cuerpo"/>
        <w:spacing w:before="120" w:after="0" w:line="360" w:lineRule="auto"/>
        <w:jc w:val="both"/>
        <w:rPr>
          <w:rFonts w:asciiTheme="minorHAnsi" w:hAnsiTheme="minorHAnsi" w:cstheme="minorHAnsi"/>
          <w:color w:val="auto"/>
          <w:sz w:val="28"/>
          <w:szCs w:val="28"/>
        </w:rPr>
      </w:pPr>
      <w:r w:rsidRPr="005E1103">
        <w:rPr>
          <w:rFonts w:asciiTheme="minorHAnsi" w:hAnsiTheme="minorHAnsi" w:cstheme="minorHAnsi"/>
          <w:color w:val="auto"/>
          <w:sz w:val="28"/>
          <w:szCs w:val="28"/>
        </w:rPr>
        <w:t xml:space="preserve">En este curso se ha conseguido la integración total del alumnado discapacitado con el resto del grupo. Para ello, se han centrado las salidas en los LIG de la Reserva de Urdaibai (Mendia et al., 2011) y </w:t>
      </w:r>
      <w:r w:rsidR="00171440" w:rsidRPr="005E1103">
        <w:rPr>
          <w:rFonts w:asciiTheme="minorHAnsi" w:hAnsiTheme="minorHAnsi" w:cstheme="minorHAnsi"/>
          <w:color w:val="auto"/>
          <w:sz w:val="28"/>
          <w:szCs w:val="28"/>
        </w:rPr>
        <w:t>Zumaia (</w:t>
      </w:r>
      <w:r w:rsidRPr="005E1103">
        <w:rPr>
          <w:rFonts w:asciiTheme="minorHAnsi" w:hAnsiTheme="minorHAnsi" w:cstheme="minorHAnsi"/>
          <w:color w:val="auto"/>
          <w:sz w:val="28"/>
          <w:szCs w:val="28"/>
        </w:rPr>
        <w:t xml:space="preserve">Eusko Jaurlaritza 2016). </w:t>
      </w:r>
    </w:p>
    <w:p w:rsidR="00DF59FF" w:rsidRPr="005E1103" w:rsidRDefault="00DF59FF" w:rsidP="00DF59FF">
      <w:pPr>
        <w:spacing w:before="120" w:line="360" w:lineRule="auto"/>
        <w:jc w:val="both"/>
        <w:rPr>
          <w:rFonts w:cstheme="minorHAnsi"/>
          <w:sz w:val="28"/>
          <w:szCs w:val="28"/>
        </w:rPr>
      </w:pPr>
    </w:p>
    <w:p w:rsidR="00DF59FF" w:rsidRPr="005E1103" w:rsidRDefault="00DF59FF" w:rsidP="00DF59FF">
      <w:pPr>
        <w:spacing w:before="120" w:line="360" w:lineRule="auto"/>
        <w:jc w:val="both"/>
        <w:rPr>
          <w:rFonts w:cstheme="minorHAnsi"/>
          <w:sz w:val="28"/>
          <w:szCs w:val="28"/>
        </w:rPr>
      </w:pPr>
      <w:r w:rsidRPr="005E1103">
        <w:rPr>
          <w:rFonts w:cstheme="minorHAnsi"/>
          <w:sz w:val="28"/>
          <w:szCs w:val="28"/>
        </w:rPr>
        <w:t xml:space="preserve">Así, en la </w:t>
      </w:r>
      <w:r w:rsidRPr="005E1103">
        <w:rPr>
          <w:rFonts w:cstheme="minorHAnsi"/>
          <w:b/>
          <w:sz w:val="28"/>
          <w:szCs w:val="28"/>
        </w:rPr>
        <w:t>Reserva de la Biosfera de Urdaibai (Bizkaia)</w:t>
      </w:r>
      <w:r w:rsidRPr="005E1103">
        <w:rPr>
          <w:rFonts w:cstheme="minorHAnsi"/>
          <w:sz w:val="28"/>
          <w:szCs w:val="28"/>
        </w:rPr>
        <w:t>, se visitan los siguientes LIG, con la revisión de la accesibilidad ya publicada (Pascual y Oñate, 2014: 1114-1116)</w:t>
      </w:r>
    </w:p>
    <w:p w:rsidR="00DF59FF" w:rsidRPr="005E1103" w:rsidRDefault="00DF59FF" w:rsidP="00DF59FF">
      <w:pPr>
        <w:pStyle w:val="Prrafodelista"/>
        <w:numPr>
          <w:ilvl w:val="0"/>
          <w:numId w:val="43"/>
        </w:numPr>
        <w:spacing w:line="360" w:lineRule="auto"/>
        <w:jc w:val="both"/>
        <w:rPr>
          <w:rFonts w:asciiTheme="minorHAnsi" w:hAnsiTheme="minorHAnsi" w:cstheme="minorHAnsi"/>
          <w:sz w:val="28"/>
          <w:szCs w:val="28"/>
        </w:rPr>
      </w:pPr>
      <w:r w:rsidRPr="005E1103">
        <w:rPr>
          <w:rFonts w:asciiTheme="minorHAnsi" w:hAnsiTheme="minorHAnsi" w:cstheme="minorHAnsi"/>
          <w:sz w:val="28"/>
          <w:szCs w:val="28"/>
        </w:rPr>
        <w:t>LIG nº 35. Calizas rojas de Ereño (Cantera Gorria).</w:t>
      </w:r>
    </w:p>
    <w:p w:rsidR="00DF59FF" w:rsidRPr="005E1103" w:rsidRDefault="00DF59FF" w:rsidP="00DF59FF">
      <w:pPr>
        <w:pStyle w:val="Prrafodelista"/>
        <w:numPr>
          <w:ilvl w:val="0"/>
          <w:numId w:val="43"/>
        </w:numPr>
        <w:spacing w:line="360" w:lineRule="auto"/>
        <w:jc w:val="both"/>
        <w:rPr>
          <w:rFonts w:asciiTheme="minorHAnsi" w:hAnsiTheme="minorHAnsi" w:cstheme="minorHAnsi"/>
          <w:sz w:val="28"/>
          <w:szCs w:val="28"/>
        </w:rPr>
      </w:pPr>
      <w:r w:rsidRPr="005E1103">
        <w:rPr>
          <w:rFonts w:asciiTheme="minorHAnsi" w:hAnsiTheme="minorHAnsi" w:cstheme="minorHAnsi"/>
          <w:sz w:val="28"/>
          <w:szCs w:val="28"/>
        </w:rPr>
        <w:t>LIG nº 46. Playa de Laga.</w:t>
      </w:r>
    </w:p>
    <w:p w:rsidR="00DF59FF" w:rsidRPr="005E1103" w:rsidRDefault="00DF59FF" w:rsidP="00DF59FF">
      <w:pPr>
        <w:pStyle w:val="Prrafodelista"/>
        <w:numPr>
          <w:ilvl w:val="0"/>
          <w:numId w:val="43"/>
        </w:numPr>
        <w:spacing w:line="360" w:lineRule="auto"/>
        <w:jc w:val="both"/>
        <w:rPr>
          <w:rFonts w:asciiTheme="minorHAnsi" w:hAnsiTheme="minorHAnsi" w:cstheme="minorHAnsi"/>
          <w:sz w:val="28"/>
          <w:szCs w:val="28"/>
        </w:rPr>
      </w:pPr>
      <w:r w:rsidRPr="005E1103">
        <w:rPr>
          <w:rFonts w:asciiTheme="minorHAnsi" w:hAnsiTheme="minorHAnsi" w:cstheme="minorHAnsi"/>
          <w:sz w:val="28"/>
          <w:szCs w:val="28"/>
        </w:rPr>
        <w:t>LIG nº 47. Ofitas del diapiro de Laga</w:t>
      </w:r>
    </w:p>
    <w:p w:rsidR="00DF59FF" w:rsidRPr="005E1103" w:rsidRDefault="00DF59FF" w:rsidP="00DF59FF">
      <w:pPr>
        <w:pStyle w:val="Prrafodelista"/>
        <w:numPr>
          <w:ilvl w:val="0"/>
          <w:numId w:val="43"/>
        </w:numPr>
        <w:spacing w:line="360" w:lineRule="auto"/>
        <w:jc w:val="both"/>
        <w:rPr>
          <w:rFonts w:asciiTheme="minorHAnsi" w:hAnsiTheme="minorHAnsi" w:cstheme="minorHAnsi"/>
          <w:sz w:val="28"/>
          <w:szCs w:val="28"/>
        </w:rPr>
      </w:pPr>
      <w:r w:rsidRPr="005E1103">
        <w:rPr>
          <w:rFonts w:asciiTheme="minorHAnsi" w:hAnsiTheme="minorHAnsi" w:cstheme="minorHAnsi"/>
          <w:sz w:val="28"/>
          <w:szCs w:val="28"/>
        </w:rPr>
        <w:t>LIG nº 48. Conjunto de Facies de plataforma-talud y paleokarst de Asnarre (con accesibilidad limitada para las sillas de ruedas).</w:t>
      </w:r>
    </w:p>
    <w:p w:rsidR="00DF59FF" w:rsidRPr="005E1103" w:rsidRDefault="00DF59FF" w:rsidP="00DF59FF">
      <w:pPr>
        <w:pStyle w:val="Prrafodelista"/>
        <w:numPr>
          <w:ilvl w:val="0"/>
          <w:numId w:val="43"/>
        </w:numPr>
        <w:spacing w:line="360" w:lineRule="auto"/>
        <w:jc w:val="both"/>
        <w:rPr>
          <w:rFonts w:asciiTheme="minorHAnsi" w:hAnsiTheme="minorHAnsi" w:cstheme="minorHAnsi"/>
          <w:sz w:val="28"/>
          <w:szCs w:val="28"/>
        </w:rPr>
      </w:pPr>
      <w:r w:rsidRPr="005E1103">
        <w:rPr>
          <w:rFonts w:asciiTheme="minorHAnsi" w:hAnsiTheme="minorHAnsi" w:cstheme="minorHAnsi"/>
          <w:sz w:val="28"/>
          <w:szCs w:val="28"/>
        </w:rPr>
        <w:t>LIG nº 49. Cabo y karst de Ogoño</w:t>
      </w:r>
    </w:p>
    <w:p w:rsidR="00DF59FF" w:rsidRPr="005E1103" w:rsidRDefault="00DF59FF" w:rsidP="00DF59FF">
      <w:pPr>
        <w:spacing w:before="120" w:line="360" w:lineRule="auto"/>
        <w:jc w:val="both"/>
        <w:rPr>
          <w:rFonts w:cstheme="minorHAnsi"/>
          <w:sz w:val="28"/>
          <w:szCs w:val="28"/>
        </w:rPr>
      </w:pPr>
    </w:p>
    <w:p w:rsidR="00DF59FF" w:rsidRPr="005E1103" w:rsidRDefault="00DF59FF" w:rsidP="00DF59FF">
      <w:pPr>
        <w:spacing w:before="120" w:line="360" w:lineRule="auto"/>
        <w:jc w:val="both"/>
        <w:rPr>
          <w:rFonts w:cstheme="minorHAnsi"/>
          <w:sz w:val="28"/>
          <w:szCs w:val="28"/>
        </w:rPr>
      </w:pPr>
      <w:r w:rsidRPr="005E1103">
        <w:rPr>
          <w:rFonts w:eastAsia="ヒラギノ角ゴ Pro W3" w:cstheme="minorHAnsi"/>
          <w:b/>
          <w:sz w:val="28"/>
          <w:szCs w:val="28"/>
          <w:lang w:eastAsia="es-ES"/>
        </w:rPr>
        <w:t xml:space="preserve">En la </w:t>
      </w:r>
      <w:r w:rsidRPr="005E1103">
        <w:rPr>
          <w:rFonts w:cstheme="minorHAnsi"/>
          <w:b/>
          <w:sz w:val="28"/>
          <w:szCs w:val="28"/>
        </w:rPr>
        <w:t xml:space="preserve">Playa y acantilados de </w:t>
      </w:r>
      <w:r w:rsidR="00171440" w:rsidRPr="005E1103">
        <w:rPr>
          <w:rFonts w:cstheme="minorHAnsi"/>
          <w:b/>
          <w:sz w:val="28"/>
          <w:szCs w:val="28"/>
        </w:rPr>
        <w:t>Zumaia</w:t>
      </w:r>
      <w:r w:rsidR="00171440" w:rsidRPr="005E1103">
        <w:rPr>
          <w:rFonts w:cstheme="minorHAnsi"/>
          <w:sz w:val="28"/>
          <w:szCs w:val="28"/>
        </w:rPr>
        <w:t xml:space="preserve"> los</w:t>
      </w:r>
      <w:r w:rsidRPr="005E1103">
        <w:rPr>
          <w:rFonts w:cstheme="minorHAnsi"/>
          <w:sz w:val="28"/>
          <w:szCs w:val="28"/>
        </w:rPr>
        <w:t xml:space="preserve"> LIG  a visitar en grupo </w:t>
      </w:r>
      <w:r w:rsidRPr="005E1103">
        <w:rPr>
          <w:rFonts w:eastAsia="ヒラギノ角ゴ Pro W3" w:cstheme="minorHAnsi"/>
          <w:sz w:val="28"/>
          <w:szCs w:val="28"/>
          <w:lang w:eastAsia="es-ES"/>
        </w:rPr>
        <w:t>(</w:t>
      </w:r>
      <w:r w:rsidRPr="005E1103">
        <w:rPr>
          <w:rFonts w:cstheme="minorHAnsi"/>
          <w:sz w:val="28"/>
          <w:szCs w:val="28"/>
        </w:rPr>
        <w:t>Eusko Jaurlaritza 2016) no tienen catalogado su grado de accesibilidad, por lo que se describen en el presente trabajo por vez primera. Todos ellos están situados en la playa de Itzurun, playa orientada hacia el noroeste, a la que se accede desde el pueblo de Zumaia sin ninguna dificultad. El acceso a las inmediaciones de dicha playa está restringido a vehículos autorizados. La playa cuenta con servicios especiales para personas con discapacidad, servicio de baño asistido y los accesos al arenal disponen de escaleras y una rampa con una inclinación del 8%.</w:t>
      </w:r>
      <w:r w:rsidRPr="005E1103">
        <w:rPr>
          <w:rFonts w:cstheme="minorHAnsi"/>
          <w:sz w:val="28"/>
          <w:szCs w:val="28"/>
        </w:rPr>
        <w:tab/>
      </w:r>
    </w:p>
    <w:p w:rsidR="00DF59FF" w:rsidRPr="005E1103" w:rsidRDefault="00DF59FF" w:rsidP="00DF59FF">
      <w:pPr>
        <w:spacing w:before="120" w:line="360" w:lineRule="auto"/>
        <w:jc w:val="both"/>
        <w:rPr>
          <w:rFonts w:cstheme="minorHAnsi"/>
          <w:sz w:val="28"/>
          <w:szCs w:val="28"/>
        </w:rPr>
      </w:pPr>
    </w:p>
    <w:p w:rsidR="00171440" w:rsidRPr="00BF6455" w:rsidRDefault="00171440">
      <w:pPr>
        <w:rPr>
          <w:rFonts w:cstheme="minorHAnsi"/>
          <w:sz w:val="28"/>
          <w:szCs w:val="28"/>
        </w:rPr>
      </w:pPr>
      <w:r w:rsidRPr="00BF6455">
        <w:rPr>
          <w:rFonts w:cstheme="minorHAnsi"/>
          <w:sz w:val="28"/>
          <w:szCs w:val="28"/>
        </w:rPr>
        <w:br w:type="page"/>
      </w:r>
    </w:p>
    <w:p w:rsidR="00DF59FF" w:rsidRPr="005E1103" w:rsidRDefault="00DF59FF" w:rsidP="00DF59FF">
      <w:pPr>
        <w:spacing w:before="120" w:line="360" w:lineRule="auto"/>
        <w:jc w:val="both"/>
        <w:rPr>
          <w:rFonts w:cstheme="minorHAnsi"/>
          <w:sz w:val="28"/>
          <w:szCs w:val="28"/>
          <w:lang w:val="en-US"/>
        </w:rPr>
      </w:pPr>
      <w:r w:rsidRPr="005E1103">
        <w:rPr>
          <w:rFonts w:cstheme="minorHAnsi"/>
          <w:sz w:val="28"/>
          <w:szCs w:val="28"/>
          <w:lang w:val="en-US"/>
        </w:rPr>
        <w:lastRenderedPageBreak/>
        <w:t xml:space="preserve">LIG nº 45.  </w:t>
      </w:r>
      <w:r w:rsidRPr="005E1103">
        <w:rPr>
          <w:rFonts w:eastAsia="ヒラギノ角ゴ Pro W3" w:cstheme="minorHAnsi"/>
          <w:sz w:val="28"/>
          <w:szCs w:val="28"/>
          <w:lang w:val="en-US" w:eastAsia="es-ES"/>
        </w:rPr>
        <w:t>Paleoceno y GSSPs (Global Boundary Stratotype Section and Point)</w:t>
      </w:r>
    </w:p>
    <w:p w:rsidR="00DF59FF" w:rsidRPr="005E1103" w:rsidRDefault="00DF59FF" w:rsidP="00DF59FF">
      <w:pPr>
        <w:pStyle w:val="Cuerpo"/>
        <w:numPr>
          <w:ilvl w:val="0"/>
          <w:numId w:val="44"/>
        </w:numPr>
        <w:spacing w:before="120" w:after="0" w:line="360" w:lineRule="auto"/>
        <w:jc w:val="both"/>
        <w:rPr>
          <w:rFonts w:asciiTheme="minorHAnsi" w:hAnsiTheme="minorHAnsi" w:cstheme="minorHAnsi"/>
          <w:color w:val="auto"/>
          <w:sz w:val="28"/>
          <w:szCs w:val="28"/>
        </w:rPr>
      </w:pPr>
      <w:r w:rsidRPr="005E1103">
        <w:rPr>
          <w:rFonts w:asciiTheme="minorHAnsi" w:hAnsiTheme="minorHAnsi" w:cstheme="minorHAnsi"/>
          <w:color w:val="auto"/>
          <w:sz w:val="28"/>
          <w:szCs w:val="28"/>
        </w:rPr>
        <w:t>Interés geológico: muy alto valor estratigráfico, además de paleontológico, y tectónico/estructural.</w:t>
      </w:r>
    </w:p>
    <w:p w:rsidR="00DF59FF" w:rsidRPr="005E1103" w:rsidRDefault="00DF59FF" w:rsidP="00DF59FF">
      <w:pPr>
        <w:pStyle w:val="Prrafodelista"/>
        <w:numPr>
          <w:ilvl w:val="0"/>
          <w:numId w:val="44"/>
        </w:numPr>
        <w:spacing w:line="360" w:lineRule="auto"/>
        <w:jc w:val="both"/>
        <w:rPr>
          <w:rFonts w:asciiTheme="minorHAnsi" w:hAnsiTheme="minorHAnsi" w:cstheme="minorHAnsi"/>
          <w:sz w:val="28"/>
          <w:szCs w:val="28"/>
          <w:lang w:val="es-ES_tradnl" w:eastAsia="es-ES"/>
        </w:rPr>
      </w:pPr>
      <w:r w:rsidRPr="005E1103">
        <w:rPr>
          <w:rFonts w:asciiTheme="minorHAnsi" w:hAnsiTheme="minorHAnsi" w:cstheme="minorHAnsi"/>
          <w:sz w:val="28"/>
          <w:szCs w:val="28"/>
        </w:rPr>
        <w:t xml:space="preserve">Localización: </w:t>
      </w:r>
      <w:r w:rsidRPr="005E1103">
        <w:rPr>
          <w:rFonts w:asciiTheme="minorHAnsi" w:hAnsiTheme="minorHAnsi" w:cstheme="minorHAnsi"/>
          <w:sz w:val="28"/>
          <w:szCs w:val="28"/>
          <w:lang w:val="es-ES_tradnl" w:eastAsia="es-ES"/>
        </w:rPr>
        <w:t>43º 17’ 57,65 ‘’ N - 2º 15’ 39,44’ O</w:t>
      </w:r>
    </w:p>
    <w:p w:rsidR="00DF59FF" w:rsidRPr="005E1103" w:rsidRDefault="00DF59FF" w:rsidP="00DF59FF">
      <w:pPr>
        <w:pStyle w:val="Cuerpo"/>
        <w:numPr>
          <w:ilvl w:val="0"/>
          <w:numId w:val="44"/>
        </w:numPr>
        <w:spacing w:before="120" w:after="0" w:line="360" w:lineRule="auto"/>
        <w:jc w:val="both"/>
        <w:rPr>
          <w:rFonts w:asciiTheme="minorHAnsi" w:hAnsiTheme="minorHAnsi" w:cstheme="minorHAnsi"/>
          <w:color w:val="auto"/>
          <w:sz w:val="28"/>
          <w:szCs w:val="28"/>
          <w:lang w:val="es-ES_tradnl"/>
        </w:rPr>
      </w:pPr>
      <w:r w:rsidRPr="005E1103">
        <w:rPr>
          <w:rFonts w:asciiTheme="minorHAnsi" w:hAnsiTheme="minorHAnsi" w:cstheme="minorHAnsi"/>
          <w:color w:val="auto"/>
          <w:sz w:val="28"/>
          <w:szCs w:val="28"/>
        </w:rPr>
        <w:t xml:space="preserve">Accesibilidad. </w:t>
      </w:r>
      <w:r w:rsidRPr="005E1103">
        <w:rPr>
          <w:rFonts w:asciiTheme="minorHAnsi" w:hAnsiTheme="minorHAnsi" w:cstheme="minorHAnsi"/>
          <w:color w:val="auto"/>
          <w:sz w:val="28"/>
          <w:szCs w:val="28"/>
          <w:lang w:val="es-ES_tradnl"/>
        </w:rPr>
        <w:t>A través de la playa, se recorre el acantilado y en especial desde el pequeño saliente que separa la playa de Itzurun de la de San Telmo Azpia.  Al tratarse de una zona de playa se recomienda la visita con una silla adaptada. También es posible la observación de parte del afloramiento, desde arriba, desde la ermita de San Telmo, con una buena accesibilidad.</w:t>
      </w:r>
    </w:p>
    <w:p w:rsidR="00DF59FF" w:rsidRPr="005E1103" w:rsidRDefault="00DF59FF" w:rsidP="00DF59FF">
      <w:pPr>
        <w:pStyle w:val="Cuerpo"/>
        <w:spacing w:before="120" w:after="0" w:line="360" w:lineRule="auto"/>
        <w:jc w:val="both"/>
        <w:rPr>
          <w:rFonts w:asciiTheme="minorHAnsi" w:hAnsiTheme="minorHAnsi" w:cstheme="minorHAnsi"/>
          <w:color w:val="auto"/>
          <w:sz w:val="28"/>
          <w:szCs w:val="28"/>
        </w:rPr>
      </w:pPr>
    </w:p>
    <w:p w:rsidR="00DF59FF" w:rsidRPr="005E1103" w:rsidRDefault="00DF59FF" w:rsidP="00DF59FF">
      <w:pPr>
        <w:pStyle w:val="Cuerpo"/>
        <w:spacing w:before="120" w:after="0" w:line="360" w:lineRule="auto"/>
        <w:jc w:val="both"/>
        <w:rPr>
          <w:rFonts w:asciiTheme="minorHAnsi" w:hAnsiTheme="minorHAnsi" w:cstheme="minorHAnsi"/>
          <w:color w:val="auto"/>
          <w:sz w:val="28"/>
          <w:szCs w:val="28"/>
        </w:rPr>
      </w:pPr>
      <w:r w:rsidRPr="005E1103">
        <w:rPr>
          <w:rFonts w:asciiTheme="minorHAnsi" w:hAnsiTheme="minorHAnsi" w:cstheme="minorHAnsi"/>
          <w:color w:val="auto"/>
          <w:sz w:val="28"/>
          <w:szCs w:val="28"/>
        </w:rPr>
        <w:t>LIG nº 48. Límite P/E (Paleoceno/Eoceno) en Zumaia</w:t>
      </w:r>
    </w:p>
    <w:p w:rsidR="00DF59FF" w:rsidRPr="005E1103" w:rsidRDefault="00DF59FF" w:rsidP="00DF59FF">
      <w:pPr>
        <w:pStyle w:val="Cuerpo"/>
        <w:numPr>
          <w:ilvl w:val="0"/>
          <w:numId w:val="45"/>
        </w:numPr>
        <w:tabs>
          <w:tab w:val="left" w:pos="426"/>
        </w:tabs>
        <w:spacing w:before="120" w:after="0" w:line="360" w:lineRule="auto"/>
        <w:jc w:val="both"/>
        <w:rPr>
          <w:rFonts w:asciiTheme="minorHAnsi" w:hAnsiTheme="minorHAnsi" w:cstheme="minorHAnsi"/>
          <w:color w:val="auto"/>
          <w:sz w:val="28"/>
          <w:szCs w:val="28"/>
        </w:rPr>
      </w:pPr>
      <w:r w:rsidRPr="005E1103">
        <w:rPr>
          <w:rFonts w:asciiTheme="minorHAnsi" w:hAnsiTheme="minorHAnsi" w:cstheme="minorHAnsi"/>
          <w:color w:val="auto"/>
          <w:sz w:val="28"/>
          <w:szCs w:val="28"/>
        </w:rPr>
        <w:t>Interés geológico: muy alto valor estratigráfico, además de paleontológico.</w:t>
      </w:r>
    </w:p>
    <w:p w:rsidR="00DF59FF" w:rsidRPr="005E1103" w:rsidRDefault="00DF59FF" w:rsidP="00DF59FF">
      <w:pPr>
        <w:pStyle w:val="Cuerpo"/>
        <w:numPr>
          <w:ilvl w:val="0"/>
          <w:numId w:val="45"/>
        </w:numPr>
        <w:tabs>
          <w:tab w:val="left" w:pos="426"/>
        </w:tabs>
        <w:spacing w:before="120" w:after="0" w:line="360" w:lineRule="auto"/>
        <w:jc w:val="both"/>
        <w:rPr>
          <w:rFonts w:asciiTheme="minorHAnsi" w:hAnsiTheme="minorHAnsi" w:cstheme="minorHAnsi"/>
          <w:color w:val="auto"/>
          <w:sz w:val="28"/>
          <w:szCs w:val="28"/>
        </w:rPr>
      </w:pPr>
      <w:r w:rsidRPr="005E1103">
        <w:rPr>
          <w:rFonts w:asciiTheme="minorHAnsi" w:hAnsiTheme="minorHAnsi" w:cstheme="minorHAnsi"/>
          <w:color w:val="auto"/>
          <w:sz w:val="28"/>
          <w:szCs w:val="28"/>
        </w:rPr>
        <w:t xml:space="preserve">Localización: </w:t>
      </w:r>
      <w:r w:rsidRPr="005E1103">
        <w:rPr>
          <w:rFonts w:asciiTheme="minorHAnsi" w:hAnsiTheme="minorHAnsi" w:cstheme="minorHAnsi"/>
          <w:color w:val="auto"/>
          <w:sz w:val="28"/>
          <w:szCs w:val="28"/>
          <w:lang w:val="es-ES_tradnl"/>
        </w:rPr>
        <w:t>43º 18’ 0,63 ‘’ N - 2º 15’ 35,59’’ O</w:t>
      </w:r>
    </w:p>
    <w:p w:rsidR="00DF59FF" w:rsidRPr="005E1103" w:rsidRDefault="00DF59FF" w:rsidP="00DF59FF">
      <w:pPr>
        <w:pStyle w:val="Cuerpo"/>
        <w:numPr>
          <w:ilvl w:val="0"/>
          <w:numId w:val="45"/>
        </w:numPr>
        <w:tabs>
          <w:tab w:val="left" w:pos="426"/>
        </w:tabs>
        <w:spacing w:before="120" w:after="0" w:line="360" w:lineRule="auto"/>
        <w:jc w:val="both"/>
        <w:rPr>
          <w:rFonts w:asciiTheme="minorHAnsi" w:hAnsiTheme="minorHAnsi" w:cstheme="minorHAnsi"/>
          <w:color w:val="auto"/>
          <w:sz w:val="28"/>
          <w:szCs w:val="28"/>
        </w:rPr>
      </w:pPr>
      <w:r w:rsidRPr="005E1103">
        <w:rPr>
          <w:rFonts w:asciiTheme="minorHAnsi" w:hAnsiTheme="minorHAnsi" w:cstheme="minorHAnsi"/>
          <w:color w:val="auto"/>
          <w:sz w:val="28"/>
          <w:szCs w:val="28"/>
        </w:rPr>
        <w:t xml:space="preserve">Accesibilidad. </w:t>
      </w:r>
      <w:r w:rsidRPr="005E1103">
        <w:rPr>
          <w:rFonts w:asciiTheme="minorHAnsi" w:eastAsia="Times New Roman" w:hAnsiTheme="minorHAnsi" w:cstheme="minorHAnsi"/>
          <w:color w:val="auto"/>
          <w:sz w:val="28"/>
          <w:szCs w:val="28"/>
        </w:rPr>
        <w:t>Muy buena, puesto que el afloramiento se encuentra en la zona asfaltada de encima de la playa de Itzurun.</w:t>
      </w:r>
    </w:p>
    <w:p w:rsidR="00DF59FF" w:rsidRPr="005E1103" w:rsidRDefault="00DF59FF" w:rsidP="00DF59FF">
      <w:pPr>
        <w:pStyle w:val="Cuerpo"/>
        <w:spacing w:before="120" w:after="0" w:line="360" w:lineRule="auto"/>
        <w:ind w:left="1416"/>
        <w:jc w:val="both"/>
        <w:rPr>
          <w:rFonts w:asciiTheme="minorHAnsi" w:eastAsia="Times New Roman" w:hAnsiTheme="minorHAnsi" w:cstheme="minorHAnsi"/>
          <w:color w:val="auto"/>
          <w:sz w:val="28"/>
          <w:szCs w:val="28"/>
        </w:rPr>
      </w:pPr>
    </w:p>
    <w:p w:rsidR="00DF59FF" w:rsidRPr="005E1103" w:rsidRDefault="00DF59FF" w:rsidP="00DF59FF">
      <w:pPr>
        <w:pStyle w:val="Cuerpo"/>
        <w:spacing w:before="120" w:after="0" w:line="360" w:lineRule="auto"/>
        <w:jc w:val="both"/>
        <w:rPr>
          <w:rFonts w:asciiTheme="minorHAnsi" w:hAnsiTheme="minorHAnsi" w:cstheme="minorHAnsi"/>
          <w:color w:val="auto"/>
          <w:sz w:val="28"/>
          <w:szCs w:val="28"/>
        </w:rPr>
      </w:pPr>
      <w:r w:rsidRPr="005E1103">
        <w:rPr>
          <w:rFonts w:asciiTheme="minorHAnsi" w:hAnsiTheme="minorHAnsi" w:cstheme="minorHAnsi"/>
          <w:color w:val="auto"/>
          <w:sz w:val="28"/>
          <w:szCs w:val="28"/>
        </w:rPr>
        <w:t>LIG nº103. Conjunto geomorfológico de la playa de Itzurun</w:t>
      </w:r>
    </w:p>
    <w:p w:rsidR="00DF59FF" w:rsidRPr="005E1103" w:rsidRDefault="00DF59FF" w:rsidP="00DF59FF">
      <w:pPr>
        <w:pStyle w:val="Cuerpo"/>
        <w:numPr>
          <w:ilvl w:val="0"/>
          <w:numId w:val="46"/>
        </w:numPr>
        <w:spacing w:before="120" w:after="0" w:line="360" w:lineRule="auto"/>
        <w:jc w:val="both"/>
        <w:rPr>
          <w:rFonts w:asciiTheme="minorHAnsi" w:hAnsiTheme="minorHAnsi" w:cstheme="minorHAnsi"/>
          <w:color w:val="auto"/>
          <w:sz w:val="28"/>
          <w:szCs w:val="28"/>
        </w:rPr>
      </w:pPr>
      <w:r w:rsidRPr="005E1103">
        <w:rPr>
          <w:rFonts w:asciiTheme="minorHAnsi" w:hAnsiTheme="minorHAnsi" w:cstheme="minorHAnsi"/>
          <w:color w:val="auto"/>
          <w:sz w:val="28"/>
          <w:szCs w:val="28"/>
        </w:rPr>
        <w:t>Interés geológico: geomorfológico.</w:t>
      </w:r>
    </w:p>
    <w:p w:rsidR="00DF59FF" w:rsidRPr="005E1103" w:rsidRDefault="00DF59FF" w:rsidP="00DF59FF">
      <w:pPr>
        <w:pStyle w:val="Prrafodelista"/>
        <w:numPr>
          <w:ilvl w:val="0"/>
          <w:numId w:val="46"/>
        </w:numPr>
        <w:spacing w:line="360" w:lineRule="auto"/>
        <w:jc w:val="both"/>
        <w:rPr>
          <w:rFonts w:asciiTheme="minorHAnsi" w:hAnsiTheme="minorHAnsi" w:cstheme="minorHAnsi"/>
          <w:sz w:val="28"/>
          <w:szCs w:val="28"/>
          <w:lang w:val="es-ES_tradnl" w:eastAsia="es-ES"/>
        </w:rPr>
      </w:pPr>
      <w:r w:rsidRPr="005E1103">
        <w:rPr>
          <w:rFonts w:asciiTheme="minorHAnsi" w:hAnsiTheme="minorHAnsi" w:cstheme="minorHAnsi"/>
          <w:sz w:val="28"/>
          <w:szCs w:val="28"/>
        </w:rPr>
        <w:t xml:space="preserve">Localización: </w:t>
      </w:r>
      <w:r w:rsidRPr="005E1103">
        <w:rPr>
          <w:rFonts w:asciiTheme="minorHAnsi" w:hAnsiTheme="minorHAnsi" w:cstheme="minorHAnsi"/>
          <w:sz w:val="28"/>
          <w:szCs w:val="28"/>
          <w:lang w:val="es-ES_tradnl" w:eastAsia="es-ES"/>
        </w:rPr>
        <w:t>43º 18’ 4,2 ‘’ N - 2º 15’ 35,6’’ O</w:t>
      </w:r>
    </w:p>
    <w:p w:rsidR="00DF59FF" w:rsidRPr="005E1103" w:rsidRDefault="00DF59FF" w:rsidP="00DF59FF">
      <w:pPr>
        <w:pStyle w:val="Prrafodelista"/>
        <w:numPr>
          <w:ilvl w:val="0"/>
          <w:numId w:val="46"/>
        </w:numPr>
        <w:spacing w:line="360" w:lineRule="auto"/>
        <w:jc w:val="both"/>
        <w:rPr>
          <w:rFonts w:asciiTheme="minorHAnsi" w:hAnsiTheme="minorHAnsi" w:cstheme="minorHAnsi"/>
          <w:sz w:val="28"/>
          <w:szCs w:val="28"/>
        </w:rPr>
      </w:pPr>
      <w:r w:rsidRPr="005E1103">
        <w:rPr>
          <w:rFonts w:asciiTheme="minorHAnsi" w:hAnsiTheme="minorHAnsi" w:cstheme="minorHAnsi"/>
          <w:sz w:val="28"/>
          <w:szCs w:val="28"/>
        </w:rPr>
        <w:t xml:space="preserve">Accesibilidad. El mejor punto de observación para personas con movilidad reducida se encuentra en el </w:t>
      </w:r>
      <w:r w:rsidRPr="005E1103">
        <w:rPr>
          <w:rFonts w:asciiTheme="minorHAnsi" w:hAnsiTheme="minorHAnsi" w:cstheme="minorHAnsi"/>
          <w:sz w:val="28"/>
          <w:szCs w:val="28"/>
          <w:lang w:val="es-ES_tradnl" w:eastAsia="es-ES"/>
        </w:rPr>
        <w:t>mirador de la playa, con altura suficiente como para tener perspectiva. Además, se puede bajar a la arena con silla de ruedas hasta el final de la rampa, para contemplar el flysch del margen noreste de la playa.</w:t>
      </w:r>
    </w:p>
    <w:p w:rsidR="00DF59FF" w:rsidRPr="005E1103" w:rsidRDefault="00DF59FF" w:rsidP="00DF59FF">
      <w:pPr>
        <w:pStyle w:val="Cuerpo"/>
        <w:spacing w:before="120" w:after="0" w:line="360" w:lineRule="auto"/>
        <w:jc w:val="both"/>
        <w:rPr>
          <w:rFonts w:asciiTheme="minorHAnsi" w:hAnsiTheme="minorHAnsi" w:cstheme="minorHAnsi"/>
          <w:color w:val="auto"/>
          <w:sz w:val="28"/>
          <w:szCs w:val="28"/>
        </w:rPr>
      </w:pPr>
    </w:p>
    <w:p w:rsidR="00DF59FF" w:rsidRPr="005E1103" w:rsidRDefault="00DF59FF" w:rsidP="00DF59FF">
      <w:pPr>
        <w:pStyle w:val="Cuerpo"/>
        <w:spacing w:before="120" w:after="0" w:line="360" w:lineRule="auto"/>
        <w:jc w:val="both"/>
        <w:rPr>
          <w:rFonts w:asciiTheme="minorHAnsi" w:hAnsiTheme="minorHAnsi" w:cstheme="minorHAnsi"/>
          <w:color w:val="auto"/>
          <w:sz w:val="28"/>
          <w:szCs w:val="28"/>
        </w:rPr>
      </w:pPr>
      <w:r w:rsidRPr="005E1103">
        <w:rPr>
          <w:rFonts w:asciiTheme="minorHAnsi" w:hAnsiTheme="minorHAnsi" w:cstheme="minorHAnsi"/>
          <w:color w:val="auto"/>
          <w:sz w:val="28"/>
          <w:szCs w:val="28"/>
        </w:rPr>
        <w:lastRenderedPageBreak/>
        <w:t>LIG 135. Icnofósiles del flysch eoceno de Zumaia-Getaria</w:t>
      </w:r>
    </w:p>
    <w:p w:rsidR="00DF59FF" w:rsidRPr="005E1103" w:rsidRDefault="00DF59FF" w:rsidP="00DF59FF">
      <w:pPr>
        <w:pStyle w:val="Cuerpo"/>
        <w:numPr>
          <w:ilvl w:val="0"/>
          <w:numId w:val="47"/>
        </w:numPr>
        <w:spacing w:before="120" w:after="0" w:line="360" w:lineRule="auto"/>
        <w:jc w:val="both"/>
        <w:rPr>
          <w:rFonts w:asciiTheme="minorHAnsi" w:hAnsiTheme="minorHAnsi" w:cstheme="minorHAnsi"/>
          <w:color w:val="auto"/>
          <w:sz w:val="28"/>
          <w:szCs w:val="28"/>
        </w:rPr>
      </w:pPr>
      <w:r w:rsidRPr="005E1103">
        <w:rPr>
          <w:rFonts w:asciiTheme="minorHAnsi" w:hAnsiTheme="minorHAnsi" w:cstheme="minorHAnsi"/>
          <w:color w:val="auto"/>
          <w:sz w:val="28"/>
          <w:szCs w:val="28"/>
        </w:rPr>
        <w:t xml:space="preserve">Interés geológico: paleontológico, estratigráfico y geomorfológico. </w:t>
      </w:r>
    </w:p>
    <w:p w:rsidR="00DF59FF" w:rsidRPr="005E1103" w:rsidRDefault="00DF59FF" w:rsidP="00DF59FF">
      <w:pPr>
        <w:pStyle w:val="Cuerpo"/>
        <w:numPr>
          <w:ilvl w:val="0"/>
          <w:numId w:val="47"/>
        </w:numPr>
        <w:spacing w:before="120" w:after="0" w:line="360" w:lineRule="auto"/>
        <w:jc w:val="both"/>
        <w:rPr>
          <w:rFonts w:asciiTheme="minorHAnsi" w:hAnsiTheme="minorHAnsi" w:cstheme="minorHAnsi"/>
          <w:color w:val="auto"/>
          <w:sz w:val="28"/>
          <w:szCs w:val="28"/>
        </w:rPr>
      </w:pPr>
      <w:r w:rsidRPr="005E1103">
        <w:rPr>
          <w:rFonts w:asciiTheme="minorHAnsi" w:hAnsiTheme="minorHAnsi" w:cstheme="minorHAnsi"/>
          <w:color w:val="auto"/>
          <w:sz w:val="28"/>
          <w:szCs w:val="28"/>
        </w:rPr>
        <w:t>Localización: 43º 18’ 29 ‘’ N - 2º 14’ 4’’ O.</w:t>
      </w:r>
    </w:p>
    <w:p w:rsidR="00DF59FF" w:rsidRPr="005E1103" w:rsidRDefault="00DF59FF" w:rsidP="00DF59FF">
      <w:pPr>
        <w:pStyle w:val="Cuerpo"/>
        <w:numPr>
          <w:ilvl w:val="0"/>
          <w:numId w:val="47"/>
        </w:numPr>
        <w:spacing w:before="120" w:after="0" w:line="360" w:lineRule="auto"/>
        <w:jc w:val="both"/>
        <w:rPr>
          <w:rFonts w:asciiTheme="minorHAnsi" w:hAnsiTheme="minorHAnsi" w:cstheme="minorHAnsi"/>
          <w:color w:val="auto"/>
          <w:sz w:val="28"/>
          <w:szCs w:val="28"/>
        </w:rPr>
      </w:pPr>
      <w:r w:rsidRPr="005E1103">
        <w:rPr>
          <w:rFonts w:asciiTheme="minorHAnsi" w:hAnsiTheme="minorHAnsi" w:cstheme="minorHAnsi"/>
          <w:color w:val="auto"/>
          <w:sz w:val="28"/>
          <w:szCs w:val="28"/>
        </w:rPr>
        <w:t xml:space="preserve">Accesibilidad. </w:t>
      </w:r>
      <w:r w:rsidRPr="005E1103">
        <w:rPr>
          <w:rFonts w:asciiTheme="minorHAnsi" w:hAnsiTheme="minorHAnsi" w:cstheme="minorHAnsi"/>
          <w:color w:val="auto"/>
          <w:sz w:val="28"/>
          <w:szCs w:val="28"/>
          <w:lang w:val="es-ES_tradnl"/>
        </w:rPr>
        <w:t>Al afloramiento se accede con marea baja, no siendo accesible para personas con movilidad reducida, excepto en la zona final de la rampa descrita en el LIG nº 103. Sin embargo, el afloramiento de Getaria está situado en el talud de la carretera N-634 que une Zumaia y Getaria, por lo que es posible realizar paradas puntuales, siempre con precaución debido al tránsito de vehículos.</w:t>
      </w:r>
    </w:p>
    <w:p w:rsidR="00DF59FF" w:rsidRPr="005E1103" w:rsidRDefault="00DF59FF" w:rsidP="00DF59FF">
      <w:pPr>
        <w:pStyle w:val="Cuerpo"/>
        <w:spacing w:before="120" w:after="0" w:line="360" w:lineRule="auto"/>
        <w:jc w:val="both"/>
        <w:rPr>
          <w:rFonts w:asciiTheme="minorHAnsi" w:hAnsiTheme="minorHAnsi" w:cstheme="minorHAnsi"/>
          <w:b/>
          <w:color w:val="auto"/>
          <w:sz w:val="28"/>
          <w:szCs w:val="28"/>
          <w:lang w:val="es-ES_tradnl"/>
        </w:rPr>
      </w:pPr>
    </w:p>
    <w:p w:rsidR="00DF59FF" w:rsidRPr="005E1103" w:rsidRDefault="00DF59FF" w:rsidP="00DF59FF">
      <w:pPr>
        <w:pStyle w:val="Cuerpo"/>
        <w:spacing w:before="120" w:after="0" w:line="360" w:lineRule="auto"/>
        <w:jc w:val="both"/>
        <w:rPr>
          <w:rFonts w:asciiTheme="minorHAnsi" w:hAnsiTheme="minorHAnsi" w:cstheme="minorHAnsi"/>
          <w:b/>
          <w:color w:val="auto"/>
          <w:sz w:val="28"/>
          <w:szCs w:val="28"/>
          <w:lang w:val="es-ES_tradnl"/>
        </w:rPr>
      </w:pPr>
      <w:r w:rsidRPr="005E1103">
        <w:rPr>
          <w:rFonts w:asciiTheme="minorHAnsi" w:hAnsiTheme="minorHAnsi" w:cstheme="minorHAnsi"/>
          <w:b/>
          <w:color w:val="auto"/>
          <w:sz w:val="28"/>
          <w:szCs w:val="28"/>
          <w:lang w:val="es-ES_tradnl"/>
        </w:rPr>
        <w:t>5. Conclusiones</w:t>
      </w:r>
    </w:p>
    <w:p w:rsidR="00DF59FF" w:rsidRPr="005E1103" w:rsidRDefault="00DF59FF" w:rsidP="00DF59FF">
      <w:pPr>
        <w:spacing w:before="120" w:line="360" w:lineRule="auto"/>
        <w:jc w:val="both"/>
        <w:rPr>
          <w:rFonts w:cstheme="minorHAnsi"/>
          <w:sz w:val="28"/>
          <w:szCs w:val="28"/>
          <w:lang w:eastAsia="es-ES"/>
        </w:rPr>
      </w:pPr>
      <w:r w:rsidRPr="005E1103">
        <w:rPr>
          <w:rFonts w:cstheme="minorHAnsi"/>
          <w:sz w:val="28"/>
          <w:szCs w:val="28"/>
          <w:lang w:eastAsia="es-ES"/>
        </w:rPr>
        <w:t>En este trabajo se exponen las Adaptaciones Curriculares Individuales (ACI) no significativas llevadas a cabo en la asignatura de Geología que se imparte en la Universidad del País Vasco /EHU, en los grados de Biología y Geología, para conseguir que los alumnos con discapacidad consigan las competencias inherentes a esta materia.</w:t>
      </w:r>
    </w:p>
    <w:p w:rsidR="00DF59FF" w:rsidRPr="005E1103" w:rsidRDefault="00DF59FF" w:rsidP="00DF59FF">
      <w:pPr>
        <w:spacing w:before="120" w:line="360" w:lineRule="auto"/>
        <w:jc w:val="both"/>
        <w:rPr>
          <w:rFonts w:cstheme="minorHAnsi"/>
          <w:sz w:val="28"/>
          <w:szCs w:val="28"/>
          <w:lang w:eastAsia="es-ES"/>
        </w:rPr>
      </w:pPr>
      <w:r w:rsidRPr="005E1103">
        <w:rPr>
          <w:rFonts w:cstheme="minorHAnsi"/>
          <w:sz w:val="28"/>
          <w:szCs w:val="28"/>
          <w:lang w:eastAsia="es-ES"/>
        </w:rPr>
        <w:t xml:space="preserve"> Se describe el uso de las TIC en las clases teóricas y en las prácticas de cartografía y las adaptaciones efectuadas a las prácticas de campo. </w:t>
      </w:r>
      <w:r w:rsidRPr="005E1103">
        <w:rPr>
          <w:rFonts w:cstheme="minorHAnsi"/>
          <w:sz w:val="28"/>
          <w:szCs w:val="28"/>
        </w:rPr>
        <w:t>El resultado de estas adaptaciones es una integración total del alumnado discapacitado con el resto del grupo</w:t>
      </w:r>
    </w:p>
    <w:p w:rsidR="00DF59FF" w:rsidRPr="005E1103" w:rsidRDefault="00DF59FF" w:rsidP="00DF59FF">
      <w:pPr>
        <w:spacing w:before="120" w:line="360" w:lineRule="auto"/>
        <w:jc w:val="both"/>
        <w:rPr>
          <w:rFonts w:cstheme="minorHAnsi"/>
          <w:sz w:val="28"/>
          <w:szCs w:val="28"/>
        </w:rPr>
      </w:pPr>
      <w:r w:rsidRPr="005E1103">
        <w:rPr>
          <w:rFonts w:cstheme="minorHAnsi"/>
          <w:sz w:val="28"/>
          <w:szCs w:val="28"/>
          <w:lang w:eastAsia="es-ES"/>
        </w:rPr>
        <w:t xml:space="preserve">Las clases de campo consisten en dos jornadas, </w:t>
      </w:r>
      <w:r w:rsidR="00171440" w:rsidRPr="005E1103">
        <w:rPr>
          <w:rFonts w:cstheme="minorHAnsi"/>
          <w:sz w:val="28"/>
          <w:szCs w:val="28"/>
          <w:lang w:eastAsia="es-ES"/>
        </w:rPr>
        <w:t>a Urdaibai</w:t>
      </w:r>
      <w:r w:rsidRPr="005E1103">
        <w:rPr>
          <w:rFonts w:cstheme="minorHAnsi"/>
          <w:b/>
          <w:sz w:val="28"/>
          <w:szCs w:val="28"/>
        </w:rPr>
        <w:t xml:space="preserve"> </w:t>
      </w:r>
      <w:r w:rsidRPr="005E1103">
        <w:rPr>
          <w:rFonts w:cstheme="minorHAnsi"/>
          <w:sz w:val="28"/>
          <w:szCs w:val="28"/>
        </w:rPr>
        <w:t>y</w:t>
      </w:r>
      <w:r w:rsidRPr="005E1103">
        <w:rPr>
          <w:rFonts w:cstheme="minorHAnsi"/>
          <w:b/>
          <w:sz w:val="28"/>
          <w:szCs w:val="28"/>
        </w:rPr>
        <w:t xml:space="preserve"> </w:t>
      </w:r>
      <w:r w:rsidRPr="005E1103">
        <w:rPr>
          <w:rFonts w:cstheme="minorHAnsi"/>
          <w:sz w:val="28"/>
          <w:szCs w:val="28"/>
        </w:rPr>
        <w:t>Zumaia</w:t>
      </w:r>
      <w:r w:rsidRPr="005E1103">
        <w:rPr>
          <w:rFonts w:cstheme="minorHAnsi"/>
          <w:sz w:val="28"/>
          <w:szCs w:val="28"/>
          <w:lang w:eastAsia="es-ES"/>
        </w:rPr>
        <w:t xml:space="preserve">, en las que se visitan distintos Lugares de Interés Geológico (LIG), cuyo grado de accesibilidad ha sido previamente </w:t>
      </w:r>
      <w:r w:rsidRPr="005E1103">
        <w:rPr>
          <w:rFonts w:cstheme="minorHAnsi"/>
          <w:sz w:val="28"/>
          <w:szCs w:val="28"/>
        </w:rPr>
        <w:t xml:space="preserve">revisado. </w:t>
      </w:r>
    </w:p>
    <w:p w:rsidR="00DF59FF" w:rsidRPr="005E1103" w:rsidRDefault="00DF59FF" w:rsidP="00DF59FF">
      <w:pPr>
        <w:spacing w:before="120" w:line="360" w:lineRule="auto"/>
        <w:jc w:val="both"/>
        <w:rPr>
          <w:rFonts w:cstheme="minorHAnsi"/>
          <w:sz w:val="28"/>
          <w:szCs w:val="28"/>
        </w:rPr>
      </w:pPr>
      <w:r w:rsidRPr="005E1103">
        <w:rPr>
          <w:rFonts w:cstheme="minorHAnsi"/>
          <w:sz w:val="28"/>
          <w:szCs w:val="28"/>
        </w:rPr>
        <w:t>Este trabajo es un ejemplo del avance hacia la inclusión de la diversidad humana, en los procesos de enseñanza y aprendizaje dentro de los grados científicos.</w:t>
      </w:r>
    </w:p>
    <w:p w:rsidR="00DF59FF" w:rsidRPr="005E1103" w:rsidRDefault="00DF59FF" w:rsidP="00DF59FF">
      <w:pPr>
        <w:spacing w:before="120" w:line="360" w:lineRule="auto"/>
        <w:jc w:val="both"/>
        <w:rPr>
          <w:rFonts w:cstheme="minorHAnsi"/>
          <w:b/>
          <w:sz w:val="28"/>
          <w:szCs w:val="28"/>
        </w:rPr>
      </w:pPr>
    </w:p>
    <w:p w:rsidR="00DF59FF" w:rsidRPr="005E1103" w:rsidRDefault="00DF59FF" w:rsidP="00DF59FF">
      <w:pPr>
        <w:spacing w:before="120" w:line="360" w:lineRule="auto"/>
        <w:jc w:val="both"/>
        <w:rPr>
          <w:rFonts w:cstheme="minorHAnsi"/>
          <w:b/>
          <w:sz w:val="28"/>
          <w:szCs w:val="28"/>
          <w:lang w:eastAsia="es-ES"/>
        </w:rPr>
      </w:pPr>
    </w:p>
    <w:p w:rsidR="00DF59FF" w:rsidRPr="005E1103" w:rsidRDefault="00DF59FF" w:rsidP="00DF59FF">
      <w:pPr>
        <w:spacing w:before="120" w:line="360" w:lineRule="auto"/>
        <w:jc w:val="both"/>
        <w:rPr>
          <w:rFonts w:cstheme="minorHAnsi"/>
          <w:b/>
          <w:sz w:val="28"/>
          <w:szCs w:val="28"/>
          <w:lang w:eastAsia="es-ES"/>
        </w:rPr>
      </w:pPr>
      <w:r w:rsidRPr="005E1103">
        <w:rPr>
          <w:rFonts w:cstheme="minorHAnsi"/>
          <w:b/>
          <w:sz w:val="28"/>
          <w:szCs w:val="28"/>
          <w:lang w:eastAsia="es-ES"/>
        </w:rPr>
        <w:lastRenderedPageBreak/>
        <w:t>6. Referencias bibliográficas</w:t>
      </w:r>
    </w:p>
    <w:p w:rsidR="00DF59FF" w:rsidRPr="005E1103" w:rsidRDefault="00DF59FF" w:rsidP="00DF59FF">
      <w:pPr>
        <w:spacing w:before="120" w:line="360" w:lineRule="auto"/>
        <w:jc w:val="both"/>
        <w:rPr>
          <w:rFonts w:cstheme="minorHAnsi"/>
          <w:sz w:val="28"/>
          <w:szCs w:val="28"/>
        </w:rPr>
      </w:pPr>
      <w:r w:rsidRPr="005E1103">
        <w:rPr>
          <w:rFonts w:cstheme="minorHAnsi"/>
          <w:sz w:val="28"/>
          <w:szCs w:val="28"/>
        </w:rPr>
        <w:t xml:space="preserve">Arnaiz Sánchez, Pilar (2000). Las Adaptaciones en el Currículum Universitario. </w:t>
      </w:r>
      <w:r w:rsidRPr="005E1103">
        <w:rPr>
          <w:rFonts w:cstheme="minorHAnsi"/>
          <w:i/>
          <w:sz w:val="28"/>
          <w:szCs w:val="28"/>
        </w:rPr>
        <w:t>Boletín del Real Patronato sobre discapacidad</w:t>
      </w:r>
      <w:r w:rsidRPr="005E1103">
        <w:rPr>
          <w:rFonts w:cstheme="minorHAnsi"/>
          <w:sz w:val="28"/>
          <w:szCs w:val="28"/>
        </w:rPr>
        <w:t>, 47, 151-168.</w:t>
      </w:r>
    </w:p>
    <w:p w:rsidR="00DF59FF" w:rsidRPr="005E1103" w:rsidRDefault="00DF59FF" w:rsidP="00DF59FF">
      <w:pPr>
        <w:spacing w:before="120" w:line="360" w:lineRule="auto"/>
        <w:jc w:val="both"/>
        <w:rPr>
          <w:rFonts w:cstheme="minorHAnsi"/>
          <w:sz w:val="28"/>
          <w:szCs w:val="28"/>
        </w:rPr>
      </w:pPr>
      <w:r w:rsidRPr="005E1103">
        <w:rPr>
          <w:rFonts w:cstheme="minorHAnsi"/>
          <w:sz w:val="28"/>
          <w:szCs w:val="28"/>
        </w:rPr>
        <w:t>Blanco Guijarro, Rosa (Ed.) (1992). </w:t>
      </w:r>
      <w:r w:rsidRPr="005E1103">
        <w:rPr>
          <w:rFonts w:cstheme="minorHAnsi"/>
          <w:i/>
          <w:sz w:val="28"/>
          <w:szCs w:val="28"/>
        </w:rPr>
        <w:t>Alumnos con Necesidades Educativas Especiales y Adaptaciones Curriculares</w:t>
      </w:r>
      <w:r w:rsidRPr="005E1103">
        <w:rPr>
          <w:rFonts w:cstheme="minorHAnsi"/>
          <w:sz w:val="28"/>
          <w:szCs w:val="28"/>
        </w:rPr>
        <w:t>. Ministerio de Educación y Ciencia, Dirección General de Renovación Pedagógica. Centro Nacional de Recursos para la Educación Especial. Madrid.</w:t>
      </w:r>
    </w:p>
    <w:p w:rsidR="00DF59FF" w:rsidRPr="005E1103" w:rsidRDefault="00DF59FF" w:rsidP="00DF59FF">
      <w:pPr>
        <w:spacing w:before="120" w:line="360" w:lineRule="auto"/>
        <w:jc w:val="both"/>
        <w:rPr>
          <w:rFonts w:cstheme="minorHAnsi"/>
          <w:sz w:val="28"/>
          <w:szCs w:val="28"/>
        </w:rPr>
      </w:pPr>
      <w:r w:rsidRPr="005E1103">
        <w:rPr>
          <w:rFonts w:cstheme="minorHAnsi"/>
          <w:sz w:val="28"/>
          <w:szCs w:val="28"/>
        </w:rPr>
        <w:t>Brusi, David (1992). Reflexiones en torno a la didáctica de las salidas de campo en Geología (II): aspectos didácticos. </w:t>
      </w:r>
      <w:r w:rsidRPr="005E1103">
        <w:rPr>
          <w:rFonts w:cstheme="minorHAnsi"/>
          <w:i/>
          <w:iCs/>
          <w:sz w:val="28"/>
          <w:szCs w:val="28"/>
        </w:rPr>
        <w:t>VII Simposio Nacional sobre Enseñanza de la Geología, Santiago de Compostela</w:t>
      </w:r>
      <w:r w:rsidRPr="005E1103">
        <w:rPr>
          <w:rFonts w:cstheme="minorHAnsi"/>
          <w:sz w:val="28"/>
          <w:szCs w:val="28"/>
        </w:rPr>
        <w:t>: 391-407.</w:t>
      </w:r>
    </w:p>
    <w:p w:rsidR="00DF59FF" w:rsidRPr="005E1103" w:rsidRDefault="00DF59FF" w:rsidP="00DF59FF">
      <w:pPr>
        <w:spacing w:before="120" w:line="360" w:lineRule="auto"/>
        <w:jc w:val="both"/>
        <w:rPr>
          <w:rFonts w:eastAsia="ヒラギノ角ゴ Pro W3" w:cstheme="minorHAnsi"/>
          <w:sz w:val="28"/>
          <w:szCs w:val="28"/>
          <w:lang w:val="es-ES_tradnl"/>
        </w:rPr>
      </w:pPr>
      <w:r w:rsidRPr="005E1103">
        <w:rPr>
          <w:rFonts w:eastAsia="ヒラギノ角ゴ Pro W3" w:cstheme="minorHAnsi"/>
          <w:sz w:val="28"/>
          <w:szCs w:val="28"/>
          <w:lang w:val="es-ES_tradnl"/>
        </w:rPr>
        <w:t xml:space="preserve">Díez, Emiliano; Alonso, Alba; Verdugo, Miguel Angel; Campo, Maribel; Sancho, Isabel; Sánchez, Sergio; Calvo, Isabel; y Moral, Eva (2011), </w:t>
      </w:r>
      <w:r w:rsidRPr="005E1103">
        <w:rPr>
          <w:rFonts w:eastAsia="ヒラギノ角ゴ Pro W3" w:cstheme="minorHAnsi"/>
          <w:i/>
          <w:sz w:val="28"/>
          <w:szCs w:val="28"/>
          <w:lang w:val="es-ES_tradnl"/>
        </w:rPr>
        <w:t>Espacio Europeo de Educación Superior: estándares e indicadores de buenas prácticas para la atención a estudiantes universitarios con discapacidad</w:t>
      </w:r>
      <w:r w:rsidRPr="005E1103">
        <w:rPr>
          <w:rFonts w:eastAsia="ヒラギノ角ゴ Pro W3" w:cstheme="minorHAnsi"/>
          <w:sz w:val="28"/>
          <w:szCs w:val="28"/>
          <w:lang w:val="es-ES_tradnl"/>
        </w:rPr>
        <w:t xml:space="preserve">. Salamanca, Publicaciones del INICO (Instituto Universitario de Integración en la Comunidad.  Universidad de Salamanca. </w:t>
      </w:r>
    </w:p>
    <w:p w:rsidR="00DF59FF" w:rsidRPr="005E1103" w:rsidRDefault="00DF59FF" w:rsidP="00DF59FF">
      <w:pPr>
        <w:spacing w:before="120" w:line="360" w:lineRule="auto"/>
        <w:jc w:val="both"/>
        <w:rPr>
          <w:rStyle w:val="Textoennegrita"/>
          <w:rFonts w:cstheme="minorHAnsi"/>
          <w:b w:val="0"/>
          <w:sz w:val="28"/>
          <w:szCs w:val="28"/>
        </w:rPr>
      </w:pPr>
      <w:r w:rsidRPr="005E1103">
        <w:rPr>
          <w:rFonts w:cstheme="minorHAnsi"/>
          <w:sz w:val="28"/>
          <w:szCs w:val="28"/>
        </w:rPr>
        <w:t xml:space="preserve">Eusko Jaurlaritza - Gobierno Vasco (2016). </w:t>
      </w:r>
      <w:r w:rsidRPr="005E1103">
        <w:rPr>
          <w:rStyle w:val="Textoennegrita"/>
          <w:rFonts w:cstheme="minorHAnsi"/>
          <w:b w:val="0"/>
          <w:sz w:val="28"/>
          <w:szCs w:val="28"/>
        </w:rPr>
        <w:t>Inventario de Lugares de Interés Geológico de la CAPV.</w:t>
      </w:r>
      <w:r w:rsidRPr="005E1103">
        <w:rPr>
          <w:rStyle w:val="Textoennegrita"/>
          <w:rFonts w:cstheme="minorHAnsi"/>
          <w:sz w:val="28"/>
          <w:szCs w:val="28"/>
        </w:rPr>
        <w:t xml:space="preserve"> </w:t>
      </w:r>
      <w:r w:rsidRPr="005E1103">
        <w:rPr>
          <w:rStyle w:val="Textoennegrita"/>
          <w:rFonts w:cstheme="minorHAnsi"/>
          <w:b w:val="0"/>
          <w:sz w:val="28"/>
          <w:szCs w:val="28"/>
        </w:rPr>
        <w:t xml:space="preserve">(modificado en 2015). </w:t>
      </w:r>
      <w:r w:rsidRPr="005E1103">
        <w:rPr>
          <w:rFonts w:cstheme="minorHAnsi"/>
          <w:sz w:val="28"/>
          <w:szCs w:val="28"/>
        </w:rPr>
        <w:t>Recuperado de: url</w:t>
      </w:r>
    </w:p>
    <w:p w:rsidR="00DF59FF" w:rsidRPr="005E1103" w:rsidRDefault="00BF6455" w:rsidP="00DF59FF">
      <w:pPr>
        <w:spacing w:before="120" w:line="360" w:lineRule="auto"/>
        <w:jc w:val="both"/>
        <w:rPr>
          <w:rFonts w:cstheme="minorHAnsi"/>
          <w:b/>
          <w:sz w:val="28"/>
          <w:szCs w:val="28"/>
        </w:rPr>
      </w:pPr>
      <w:hyperlink r:id="rId75" w:history="1">
        <w:r w:rsidR="00DF59FF" w:rsidRPr="005E1103">
          <w:rPr>
            <w:rStyle w:val="Hipervnculo"/>
            <w:rFonts w:cstheme="minorHAnsi"/>
            <w:sz w:val="28"/>
            <w:szCs w:val="28"/>
          </w:rPr>
          <w:t>http://www.ingurumena.ejgv.euskadi.eus/informacion/lugares-de-interes-geologico/r49-u95/es/</w:t>
        </w:r>
      </w:hyperlink>
    </w:p>
    <w:p w:rsidR="00DF59FF" w:rsidRPr="005E1103" w:rsidRDefault="00DF59FF" w:rsidP="00DF59FF">
      <w:pPr>
        <w:spacing w:before="120" w:line="360" w:lineRule="auto"/>
        <w:jc w:val="both"/>
        <w:rPr>
          <w:rFonts w:eastAsia="ヒラギノ角ゴ Pro W3" w:cstheme="minorHAnsi"/>
          <w:sz w:val="28"/>
          <w:szCs w:val="28"/>
          <w:lang w:val="es-ES_tradnl"/>
        </w:rPr>
      </w:pPr>
      <w:r w:rsidRPr="005E1103">
        <w:rPr>
          <w:rFonts w:eastAsia="ヒラギノ角ゴ Pro W3" w:cstheme="minorHAnsi"/>
          <w:sz w:val="28"/>
          <w:szCs w:val="28"/>
          <w:lang w:val="es-ES_tradnl"/>
        </w:rPr>
        <w:t xml:space="preserve">Mendia, Miren; Aranburu, Arantxa; Carracedo, Manuel; González, María José; Monge-Ganuzas, Manu y Pascual, </w:t>
      </w:r>
      <w:r w:rsidR="00171440" w:rsidRPr="005E1103">
        <w:rPr>
          <w:rFonts w:eastAsia="ヒラギノ角ゴ Pro W3" w:cstheme="minorHAnsi"/>
          <w:sz w:val="28"/>
          <w:szCs w:val="28"/>
          <w:lang w:val="es-ES_tradnl"/>
        </w:rPr>
        <w:t>Ana, (</w:t>
      </w:r>
      <w:r w:rsidRPr="005E1103">
        <w:rPr>
          <w:rFonts w:eastAsia="ヒラギノ角ゴ Pro W3" w:cstheme="minorHAnsi"/>
          <w:sz w:val="28"/>
          <w:szCs w:val="28"/>
          <w:lang w:val="es-ES_tradnl"/>
        </w:rPr>
        <w:t xml:space="preserve">2010), </w:t>
      </w:r>
      <w:r w:rsidRPr="005E1103">
        <w:rPr>
          <w:rFonts w:eastAsia="ヒラギノ角ゴ Pro W3" w:cstheme="minorHAnsi"/>
          <w:i/>
          <w:sz w:val="28"/>
          <w:szCs w:val="28"/>
          <w:lang w:val="es-ES_tradnl"/>
        </w:rPr>
        <w:t>Lugares de interés geológico de la Reserva de la Biosfera de Urdaibai</w:t>
      </w:r>
      <w:r w:rsidRPr="005E1103">
        <w:rPr>
          <w:rFonts w:eastAsia="ヒラギノ角ゴ Pro W3" w:cstheme="minorHAnsi"/>
          <w:sz w:val="28"/>
          <w:szCs w:val="28"/>
          <w:lang w:val="es-ES_tradnl"/>
        </w:rPr>
        <w:t xml:space="preserve">, Vitoria-Gasteiz, Gobierno Vasco.  Accesible desde   </w:t>
      </w:r>
      <w:hyperlink r:id="rId76" w:history="1">
        <w:r w:rsidRPr="005E1103">
          <w:rPr>
            <w:rStyle w:val="Hipervnculo"/>
            <w:rFonts w:eastAsia="ヒラギノ角ゴ Pro W3" w:cstheme="minorHAnsi"/>
            <w:sz w:val="28"/>
            <w:szCs w:val="28"/>
            <w:lang w:val="es-ES_tradnl"/>
          </w:rPr>
          <w:t>http://www.ingurumena.ejgv.euskadi.net/contenidos/informe_estudio/ligs_de_urdaibai_2010/es_doc/adjuntos/INVENTARIO%20de%20LIGs%20de%20URDAIBAI.pdf</w:t>
        </w:r>
      </w:hyperlink>
    </w:p>
    <w:p w:rsidR="00DF59FF" w:rsidRPr="005E1103" w:rsidRDefault="00DF59FF" w:rsidP="00DF59FF">
      <w:pPr>
        <w:spacing w:before="120" w:line="360" w:lineRule="auto"/>
        <w:jc w:val="both"/>
        <w:rPr>
          <w:rFonts w:eastAsia="ヒラギノ角ゴ Pro W3" w:cstheme="minorHAnsi"/>
          <w:sz w:val="28"/>
          <w:szCs w:val="28"/>
          <w:lang w:val="es-ES_tradnl"/>
        </w:rPr>
      </w:pPr>
      <w:r w:rsidRPr="005E1103">
        <w:rPr>
          <w:rFonts w:eastAsia="ヒラギノ角ゴ Pro W3" w:cstheme="minorHAnsi"/>
          <w:sz w:val="28"/>
          <w:szCs w:val="28"/>
          <w:lang w:val="es-ES_tradnl"/>
        </w:rPr>
        <w:lastRenderedPageBreak/>
        <w:t xml:space="preserve">Mendia, Miren; Monge-Ganuzas, Manu; Díaz, Guadalupe; González, Juan y Albizu, Xabier (2011).  </w:t>
      </w:r>
      <w:r w:rsidRPr="005E1103">
        <w:rPr>
          <w:rFonts w:eastAsia="ヒラギノ角ゴ Pro W3" w:cstheme="minorHAnsi"/>
          <w:i/>
          <w:sz w:val="28"/>
          <w:szCs w:val="28"/>
          <w:lang w:val="es-ES_tradnl"/>
        </w:rPr>
        <w:t>Urdaibai: Guía de lugares de interés geológico</w:t>
      </w:r>
      <w:r w:rsidRPr="005E1103">
        <w:rPr>
          <w:rFonts w:eastAsia="ヒラギノ角ゴ Pro W3" w:cstheme="minorHAnsi"/>
          <w:sz w:val="28"/>
          <w:szCs w:val="28"/>
          <w:lang w:val="es-ES_tradnl"/>
        </w:rPr>
        <w:t>, Vitoria-Gasteiz. Servicio Central de Publicaciones del Gobierno Vasco.</w:t>
      </w:r>
    </w:p>
    <w:p w:rsidR="00DF59FF" w:rsidRPr="005E1103" w:rsidRDefault="00DF59FF" w:rsidP="00DF59FF">
      <w:pPr>
        <w:autoSpaceDE w:val="0"/>
        <w:autoSpaceDN w:val="0"/>
        <w:adjustRightInd w:val="0"/>
        <w:spacing w:before="120" w:line="360" w:lineRule="auto"/>
        <w:jc w:val="both"/>
        <w:rPr>
          <w:rFonts w:eastAsia="ヒラギノ角ゴ Pro W3" w:cstheme="minorHAnsi"/>
          <w:sz w:val="28"/>
          <w:szCs w:val="28"/>
          <w:lang w:val="es-ES_tradnl"/>
        </w:rPr>
      </w:pPr>
      <w:r w:rsidRPr="005E1103">
        <w:rPr>
          <w:rFonts w:cstheme="minorHAnsi"/>
          <w:sz w:val="28"/>
          <w:szCs w:val="28"/>
          <w:lang w:val="es-ES_tradnl"/>
        </w:rPr>
        <w:t xml:space="preserve">Ministerio de Sanidad, Política Social e Igualdad (2011). </w:t>
      </w:r>
      <w:r w:rsidRPr="005E1103">
        <w:rPr>
          <w:rFonts w:cstheme="minorHAnsi"/>
          <w:i/>
          <w:sz w:val="28"/>
          <w:szCs w:val="28"/>
          <w:lang w:val="es-ES_tradnl"/>
        </w:rPr>
        <w:t>Estrategia española sobre discapacidad 2012-2020</w:t>
      </w:r>
      <w:r w:rsidRPr="005E1103">
        <w:rPr>
          <w:rFonts w:cstheme="minorHAnsi"/>
          <w:sz w:val="28"/>
          <w:szCs w:val="28"/>
          <w:lang w:val="es-ES_tradnl"/>
        </w:rPr>
        <w:t>. Madrid, Real Patronato sobre Discapacidad.</w:t>
      </w:r>
      <w:r w:rsidRPr="005E1103">
        <w:rPr>
          <w:rFonts w:eastAsia="ヒラギノ角ゴ Pro W3" w:cstheme="minorHAnsi"/>
          <w:sz w:val="28"/>
          <w:szCs w:val="28"/>
          <w:lang w:val="es-ES_tradnl"/>
        </w:rPr>
        <w:t xml:space="preserve"> </w:t>
      </w:r>
    </w:p>
    <w:p w:rsidR="00DF59FF" w:rsidRPr="005E1103" w:rsidRDefault="00DF59FF" w:rsidP="00DF59FF">
      <w:pPr>
        <w:autoSpaceDE w:val="0"/>
        <w:autoSpaceDN w:val="0"/>
        <w:adjustRightInd w:val="0"/>
        <w:spacing w:before="120" w:line="360" w:lineRule="auto"/>
        <w:jc w:val="both"/>
        <w:rPr>
          <w:rFonts w:eastAsia="ヒラギノ角ゴ Pro W3" w:cstheme="minorHAnsi"/>
          <w:sz w:val="28"/>
          <w:szCs w:val="28"/>
          <w:lang w:val="es-ES_tradnl"/>
        </w:rPr>
      </w:pPr>
      <w:r w:rsidRPr="005E1103">
        <w:rPr>
          <w:rFonts w:eastAsia="ヒラギノ角ゴ Pro W3" w:cstheme="minorHAnsi"/>
          <w:sz w:val="28"/>
          <w:szCs w:val="28"/>
          <w:lang w:val="es-ES_tradnl"/>
        </w:rPr>
        <w:t xml:space="preserve">Muñoz Santos, María; Gómez Limón, Javier; Arias, Fernando. (2007). </w:t>
      </w:r>
      <w:r w:rsidRPr="005E1103">
        <w:rPr>
          <w:rFonts w:eastAsia="ヒラギノ角ゴ Pro W3" w:cstheme="minorHAnsi"/>
          <w:i/>
          <w:sz w:val="28"/>
          <w:szCs w:val="28"/>
          <w:lang w:val="es-ES_tradnl"/>
        </w:rPr>
        <w:t>EUROPARC-España. 2007. Catálogo de buenas prácticas en materia de accesibilidad en espacios naturales protegidos</w:t>
      </w:r>
      <w:r w:rsidRPr="005E1103">
        <w:rPr>
          <w:rFonts w:eastAsia="ヒラギノ角ゴ Pro W3" w:cstheme="minorHAnsi"/>
          <w:sz w:val="28"/>
          <w:szCs w:val="28"/>
          <w:lang w:val="es-ES_tradnl"/>
        </w:rPr>
        <w:t xml:space="preserve">. Madrid. Fundación Fernando González Bernáldez. </w:t>
      </w:r>
    </w:p>
    <w:p w:rsidR="00DF59FF" w:rsidRPr="005E1103" w:rsidRDefault="00DF59FF" w:rsidP="00DF59FF">
      <w:pPr>
        <w:autoSpaceDE w:val="0"/>
        <w:autoSpaceDN w:val="0"/>
        <w:adjustRightInd w:val="0"/>
        <w:spacing w:before="120" w:line="360" w:lineRule="auto"/>
        <w:jc w:val="both"/>
        <w:rPr>
          <w:rFonts w:cstheme="minorHAnsi"/>
          <w:sz w:val="28"/>
          <w:szCs w:val="28"/>
          <w:lang w:val="es-ES_tradnl"/>
        </w:rPr>
      </w:pPr>
      <w:r w:rsidRPr="005E1103">
        <w:rPr>
          <w:rFonts w:cstheme="minorHAnsi"/>
          <w:sz w:val="28"/>
          <w:szCs w:val="28"/>
          <w:lang w:val="es-ES_tradnl"/>
        </w:rPr>
        <w:t>Pascual, Ana y Murelaga, Xabier, «Adaptación de las prácticas de campo de la asignatura “Geología” para alumnos con discapacidad motora</w:t>
      </w:r>
      <w:r w:rsidRPr="005E1103">
        <w:rPr>
          <w:rFonts w:eastAsia="ヒラギノ角ゴ Pro W3" w:cstheme="minorHAnsi"/>
          <w:sz w:val="28"/>
          <w:szCs w:val="28"/>
          <w:lang w:val="es-ES_tradnl"/>
        </w:rPr>
        <w:t>»</w:t>
      </w:r>
      <w:r w:rsidRPr="005E1103">
        <w:rPr>
          <w:rFonts w:cstheme="minorHAnsi"/>
          <w:sz w:val="28"/>
          <w:szCs w:val="28"/>
          <w:lang w:val="es-ES_tradnl"/>
        </w:rPr>
        <w:t xml:space="preserve">, en </w:t>
      </w:r>
      <w:r w:rsidRPr="005E1103">
        <w:rPr>
          <w:rFonts w:cstheme="minorHAnsi"/>
          <w:i/>
          <w:sz w:val="28"/>
          <w:szCs w:val="28"/>
          <w:lang w:val="es-ES_tradnl"/>
        </w:rPr>
        <w:t>I Congreso Internacional Universidad y Discapacidad (Madrid 22-23 de noviembre de 2012)</w:t>
      </w:r>
      <w:r w:rsidRPr="005E1103">
        <w:rPr>
          <w:rFonts w:cstheme="minorHAnsi"/>
          <w:sz w:val="28"/>
          <w:szCs w:val="28"/>
          <w:lang w:val="es-ES_tradnl"/>
        </w:rPr>
        <w:t>.</w:t>
      </w:r>
    </w:p>
    <w:p w:rsidR="00DF59FF" w:rsidRPr="005E1103" w:rsidRDefault="00DF59FF" w:rsidP="00DF59FF">
      <w:pPr>
        <w:autoSpaceDE w:val="0"/>
        <w:autoSpaceDN w:val="0"/>
        <w:adjustRightInd w:val="0"/>
        <w:spacing w:before="120" w:line="360" w:lineRule="auto"/>
        <w:jc w:val="both"/>
        <w:rPr>
          <w:rFonts w:cstheme="minorHAnsi"/>
          <w:sz w:val="28"/>
          <w:szCs w:val="28"/>
        </w:rPr>
      </w:pPr>
      <w:r w:rsidRPr="005E1103">
        <w:rPr>
          <w:rFonts w:cstheme="minorHAnsi"/>
          <w:sz w:val="28"/>
          <w:szCs w:val="28"/>
          <w:lang w:val="es-ES_tradnl"/>
        </w:rPr>
        <w:t>Pascual, Ana; Martínez-García, Blanca y Oñate, Leyre, «Geología y discapacidad. Adaptaciones curriculares en la universidad</w:t>
      </w:r>
      <w:r w:rsidRPr="005E1103">
        <w:rPr>
          <w:rFonts w:eastAsia="ヒラギノ角ゴ Pro W3" w:cstheme="minorHAnsi"/>
          <w:sz w:val="28"/>
          <w:szCs w:val="28"/>
          <w:lang w:val="es-ES_tradnl"/>
        </w:rPr>
        <w:t>»</w:t>
      </w:r>
      <w:r w:rsidRPr="005E1103">
        <w:rPr>
          <w:rFonts w:cstheme="minorHAnsi"/>
          <w:sz w:val="28"/>
          <w:szCs w:val="28"/>
          <w:lang w:val="es-ES_tradnl"/>
        </w:rPr>
        <w:t xml:space="preserve">, en </w:t>
      </w:r>
      <w:r w:rsidRPr="005E1103">
        <w:rPr>
          <w:rFonts w:cstheme="minorHAnsi"/>
          <w:i/>
          <w:sz w:val="28"/>
          <w:szCs w:val="28"/>
        </w:rPr>
        <w:t>XVIII Simposio sobre la enseñanza de la geología. Libro de comunicaciones</w:t>
      </w:r>
      <w:r w:rsidRPr="005E1103">
        <w:rPr>
          <w:rFonts w:cstheme="minorHAnsi"/>
          <w:sz w:val="28"/>
          <w:szCs w:val="28"/>
        </w:rPr>
        <w:t xml:space="preserve"> </w:t>
      </w:r>
      <w:r w:rsidRPr="005E1103">
        <w:rPr>
          <w:rFonts w:cstheme="minorHAnsi"/>
          <w:i/>
          <w:sz w:val="28"/>
          <w:szCs w:val="28"/>
        </w:rPr>
        <w:t>(Bilbao, 14-19 de julio de 2014)</w:t>
      </w:r>
      <w:r w:rsidRPr="005E1103">
        <w:rPr>
          <w:rFonts w:cstheme="minorHAnsi"/>
          <w:sz w:val="28"/>
          <w:szCs w:val="28"/>
        </w:rPr>
        <w:t>, 2014, págs. 237-247.</w:t>
      </w:r>
    </w:p>
    <w:p w:rsidR="00DF59FF" w:rsidRPr="005E1103" w:rsidRDefault="00DF59FF" w:rsidP="00DF59FF">
      <w:pPr>
        <w:autoSpaceDE w:val="0"/>
        <w:autoSpaceDN w:val="0"/>
        <w:adjustRightInd w:val="0"/>
        <w:spacing w:before="120" w:line="360" w:lineRule="auto"/>
        <w:jc w:val="both"/>
        <w:rPr>
          <w:rFonts w:cstheme="minorHAnsi"/>
          <w:sz w:val="28"/>
          <w:szCs w:val="28"/>
        </w:rPr>
      </w:pPr>
      <w:r w:rsidRPr="005E1103">
        <w:rPr>
          <w:rFonts w:cstheme="minorHAnsi"/>
          <w:sz w:val="28"/>
          <w:szCs w:val="28"/>
          <w:lang w:val="es-ES_tradnl"/>
        </w:rPr>
        <w:t xml:space="preserve">Pascual, Ana y Oñate, Leyre, «Geología para todos”, en </w:t>
      </w:r>
      <w:r w:rsidRPr="005E1103">
        <w:rPr>
          <w:rFonts w:cstheme="minorHAnsi"/>
          <w:i/>
          <w:sz w:val="28"/>
          <w:szCs w:val="28"/>
          <w:lang w:val="es-ES_tradnl"/>
        </w:rPr>
        <w:t>II Congreso Internacional Universidad y Discapacidad (Madrid 27-28 de noviembre de 2014)</w:t>
      </w:r>
      <w:r w:rsidRPr="005E1103">
        <w:rPr>
          <w:rFonts w:cstheme="minorHAnsi"/>
          <w:sz w:val="28"/>
          <w:szCs w:val="28"/>
          <w:lang w:val="es-ES_tradnl"/>
        </w:rPr>
        <w:t xml:space="preserve">. </w:t>
      </w:r>
      <w:r w:rsidRPr="005E1103">
        <w:rPr>
          <w:rFonts w:cstheme="minorHAnsi"/>
          <w:i/>
          <w:sz w:val="28"/>
          <w:szCs w:val="28"/>
          <w:lang w:val="es-ES_tradnl"/>
        </w:rPr>
        <w:t>Libro de Actas. Volumen 2: comunicaciones</w:t>
      </w:r>
      <w:r w:rsidRPr="005E1103">
        <w:rPr>
          <w:rFonts w:cstheme="minorHAnsi"/>
          <w:sz w:val="28"/>
          <w:szCs w:val="28"/>
          <w:lang w:val="es-ES_tradnl"/>
        </w:rPr>
        <w:t>, 2014, págs. 1110-1119.</w:t>
      </w:r>
    </w:p>
    <w:p w:rsidR="00DF59FF" w:rsidRPr="005E1103" w:rsidRDefault="00DF59FF" w:rsidP="00DF59FF">
      <w:pPr>
        <w:spacing w:before="120" w:line="360" w:lineRule="auto"/>
        <w:jc w:val="both"/>
        <w:rPr>
          <w:rStyle w:val="Textoennegrita"/>
          <w:rFonts w:cstheme="minorHAnsi"/>
          <w:b w:val="0"/>
          <w:sz w:val="28"/>
          <w:szCs w:val="28"/>
        </w:rPr>
      </w:pPr>
      <w:r w:rsidRPr="005E1103">
        <w:rPr>
          <w:rFonts w:cstheme="minorHAnsi"/>
          <w:sz w:val="28"/>
          <w:szCs w:val="28"/>
          <w:lang w:val="es-ES_tradnl"/>
        </w:rPr>
        <w:t>UNED (2008). Cartografía geológica práctica UNED</w:t>
      </w:r>
      <w:r w:rsidRPr="005E1103">
        <w:rPr>
          <w:rFonts w:cstheme="minorHAnsi"/>
          <w:sz w:val="28"/>
          <w:szCs w:val="28"/>
        </w:rPr>
        <w:t>. Recuperado de: url</w:t>
      </w:r>
    </w:p>
    <w:p w:rsidR="00DF59FF" w:rsidRPr="005E1103" w:rsidRDefault="00BF6455" w:rsidP="00DF59FF">
      <w:pPr>
        <w:spacing w:before="120" w:line="360" w:lineRule="auto"/>
        <w:jc w:val="both"/>
        <w:rPr>
          <w:rFonts w:cstheme="minorHAnsi"/>
          <w:sz w:val="28"/>
          <w:szCs w:val="28"/>
        </w:rPr>
      </w:pPr>
      <w:hyperlink r:id="rId77" w:history="1">
        <w:r w:rsidR="00DF59FF" w:rsidRPr="005E1103">
          <w:rPr>
            <w:rStyle w:val="Hipervnculo"/>
            <w:rFonts w:cstheme="minorHAnsi"/>
            <w:sz w:val="28"/>
            <w:szCs w:val="28"/>
          </w:rPr>
          <w:t>http://ocw.innova.uned.es/cartografia/indice_general.htm</w:t>
        </w:r>
      </w:hyperlink>
    </w:p>
    <w:p w:rsidR="00DF59FF" w:rsidRPr="005E1103" w:rsidRDefault="00DF59FF" w:rsidP="00DF59FF">
      <w:pPr>
        <w:spacing w:before="120" w:line="360" w:lineRule="auto"/>
        <w:rPr>
          <w:rStyle w:val="Textoennegrita"/>
          <w:rFonts w:cstheme="minorHAnsi"/>
          <w:b w:val="0"/>
          <w:bCs/>
          <w:sz w:val="28"/>
          <w:szCs w:val="28"/>
        </w:rPr>
      </w:pPr>
      <w:r w:rsidRPr="005E1103">
        <w:rPr>
          <w:rFonts w:cstheme="minorHAnsi"/>
          <w:sz w:val="28"/>
          <w:szCs w:val="28"/>
        </w:rPr>
        <w:t xml:space="preserve">UPV/EHU Servicio de Atención a Personas con Discapacidades (2016). </w:t>
      </w:r>
      <w:r w:rsidRPr="005E1103">
        <w:rPr>
          <w:rFonts w:cstheme="minorHAnsi"/>
          <w:bCs/>
          <w:kern w:val="36"/>
          <w:sz w:val="28"/>
          <w:szCs w:val="28"/>
        </w:rPr>
        <w:t>Cifras del alumnado con discapacidad en la UPV/</w:t>
      </w:r>
      <w:r w:rsidR="00171440" w:rsidRPr="005E1103">
        <w:rPr>
          <w:rFonts w:cstheme="minorHAnsi"/>
          <w:bCs/>
          <w:kern w:val="36"/>
          <w:sz w:val="28"/>
          <w:szCs w:val="28"/>
        </w:rPr>
        <w:t>EHU.</w:t>
      </w:r>
      <w:r w:rsidRPr="005E1103">
        <w:rPr>
          <w:rFonts w:cstheme="minorHAnsi"/>
          <w:bCs/>
          <w:kern w:val="36"/>
          <w:sz w:val="28"/>
          <w:szCs w:val="28"/>
        </w:rPr>
        <w:t xml:space="preserve"> </w:t>
      </w:r>
      <w:r w:rsidRPr="005E1103">
        <w:rPr>
          <w:rFonts w:cstheme="minorHAnsi"/>
          <w:sz w:val="28"/>
          <w:szCs w:val="28"/>
        </w:rPr>
        <w:t>Recuperado de: url</w:t>
      </w:r>
    </w:p>
    <w:p w:rsidR="00DF59FF" w:rsidRPr="005E1103" w:rsidRDefault="00BF6455" w:rsidP="00DF59FF">
      <w:pPr>
        <w:spacing w:before="120" w:line="360" w:lineRule="auto"/>
        <w:outlineLvl w:val="0"/>
        <w:rPr>
          <w:rStyle w:val="Hipervnculo"/>
          <w:rFonts w:cstheme="minorHAnsi"/>
          <w:sz w:val="28"/>
          <w:szCs w:val="28"/>
        </w:rPr>
      </w:pPr>
      <w:hyperlink r:id="rId78" w:history="1">
        <w:r w:rsidR="00DF59FF" w:rsidRPr="005E1103">
          <w:rPr>
            <w:rStyle w:val="Hipervnculo"/>
            <w:rFonts w:cstheme="minorHAnsi"/>
            <w:sz w:val="28"/>
            <w:szCs w:val="28"/>
          </w:rPr>
          <w:t>http://www.ehu.eus/es/web/discapacidad//ehu-eta-ezgaitasuna-zenbakitan</w:t>
        </w:r>
      </w:hyperlink>
    </w:p>
    <w:p w:rsidR="00DF59FF" w:rsidRPr="005E1103" w:rsidRDefault="00DF59FF" w:rsidP="00DF59FF">
      <w:pPr>
        <w:spacing w:line="360" w:lineRule="auto"/>
        <w:jc w:val="center"/>
        <w:rPr>
          <w:rFonts w:cstheme="minorHAnsi"/>
          <w:sz w:val="28"/>
          <w:szCs w:val="28"/>
        </w:rPr>
      </w:pPr>
    </w:p>
    <w:p w:rsidR="00DF59FF" w:rsidRPr="005E1103" w:rsidRDefault="00DF59FF" w:rsidP="00DF59FF">
      <w:pPr>
        <w:spacing w:before="120" w:after="0" w:line="360" w:lineRule="auto"/>
        <w:jc w:val="right"/>
        <w:rPr>
          <w:rFonts w:cstheme="minorHAnsi"/>
          <w:sz w:val="28"/>
          <w:szCs w:val="28"/>
        </w:rPr>
      </w:pPr>
    </w:p>
    <w:p w:rsidR="00DF59FF" w:rsidRPr="005E1103" w:rsidRDefault="00DF59FF" w:rsidP="00DF59FF">
      <w:pPr>
        <w:spacing w:line="360" w:lineRule="auto"/>
        <w:jc w:val="center"/>
        <w:rPr>
          <w:rFonts w:cstheme="minorHAnsi"/>
          <w:b/>
          <w:sz w:val="28"/>
          <w:szCs w:val="28"/>
        </w:rPr>
      </w:pPr>
      <w:r w:rsidRPr="005E1103">
        <w:rPr>
          <w:rFonts w:cstheme="minorHAnsi"/>
          <w:b/>
          <w:sz w:val="28"/>
          <w:szCs w:val="28"/>
        </w:rPr>
        <w:lastRenderedPageBreak/>
        <w:t>COMUNICACIÓN 5</w:t>
      </w:r>
    </w:p>
    <w:p w:rsidR="00DF59FF" w:rsidRPr="00171440" w:rsidRDefault="00DF59FF" w:rsidP="00DF59FF">
      <w:pPr>
        <w:pBdr>
          <w:top w:val="single" w:sz="4" w:space="1" w:color="auto"/>
          <w:left w:val="single" w:sz="4" w:space="4" w:color="auto"/>
          <w:bottom w:val="single" w:sz="4" w:space="1" w:color="auto"/>
          <w:right w:val="single" w:sz="4" w:space="4" w:color="auto"/>
        </w:pBdr>
        <w:spacing w:line="360" w:lineRule="auto"/>
        <w:ind w:right="277"/>
        <w:jc w:val="center"/>
        <w:rPr>
          <w:rFonts w:cstheme="minorHAnsi"/>
          <w:b/>
          <w:color w:val="222222"/>
          <w:sz w:val="28"/>
          <w:szCs w:val="28"/>
          <w:shd w:val="clear" w:color="auto" w:fill="FFFFFF"/>
        </w:rPr>
      </w:pPr>
      <w:r w:rsidRPr="00171440">
        <w:rPr>
          <w:rFonts w:cstheme="minorHAnsi"/>
          <w:b/>
          <w:color w:val="222222"/>
          <w:sz w:val="28"/>
          <w:szCs w:val="28"/>
          <w:shd w:val="clear" w:color="auto" w:fill="FFFFFF"/>
        </w:rPr>
        <w:t>Serious game accesibles: una asignatura pendiente</w:t>
      </w:r>
    </w:p>
    <w:p w:rsidR="00DF59FF" w:rsidRPr="005E1103" w:rsidRDefault="00DF59FF" w:rsidP="00DF59FF">
      <w:pPr>
        <w:spacing w:line="360" w:lineRule="auto"/>
        <w:jc w:val="center"/>
        <w:rPr>
          <w:rFonts w:cstheme="minorHAnsi"/>
          <w:b/>
          <w:sz w:val="28"/>
          <w:szCs w:val="28"/>
        </w:rPr>
      </w:pPr>
    </w:p>
    <w:p w:rsidR="00DF59FF" w:rsidRPr="005E1103" w:rsidRDefault="00DF59FF" w:rsidP="00DF59FF">
      <w:pPr>
        <w:spacing w:line="360" w:lineRule="auto"/>
        <w:ind w:right="277"/>
        <w:jc w:val="right"/>
        <w:rPr>
          <w:rFonts w:cstheme="minorHAnsi"/>
          <w:sz w:val="28"/>
          <w:szCs w:val="28"/>
        </w:rPr>
      </w:pPr>
      <w:r w:rsidRPr="005E1103">
        <w:rPr>
          <w:rFonts w:cstheme="minorHAnsi"/>
          <w:sz w:val="28"/>
          <w:szCs w:val="28"/>
        </w:rPr>
        <w:t>Dra. Idurre Lazcano Quintana</w:t>
      </w:r>
    </w:p>
    <w:p w:rsidR="00DF59FF" w:rsidRPr="005E1103" w:rsidRDefault="00DF59FF" w:rsidP="00DF59FF">
      <w:pPr>
        <w:spacing w:line="360" w:lineRule="auto"/>
        <w:ind w:right="277"/>
        <w:jc w:val="right"/>
        <w:rPr>
          <w:rFonts w:cstheme="minorHAnsi"/>
          <w:sz w:val="28"/>
          <w:szCs w:val="28"/>
        </w:rPr>
      </w:pPr>
      <w:r w:rsidRPr="005E1103">
        <w:rPr>
          <w:rFonts w:cstheme="minorHAnsi"/>
          <w:sz w:val="28"/>
          <w:szCs w:val="28"/>
        </w:rPr>
        <w:t xml:space="preserve">Investigadora. Directora Cátedra Ocio y Discapacidad. </w:t>
      </w:r>
    </w:p>
    <w:p w:rsidR="00DF59FF" w:rsidRPr="005E1103" w:rsidRDefault="00DF59FF" w:rsidP="00DF59FF">
      <w:pPr>
        <w:spacing w:line="360" w:lineRule="auto"/>
        <w:ind w:right="277"/>
        <w:jc w:val="right"/>
        <w:rPr>
          <w:rFonts w:cstheme="minorHAnsi"/>
          <w:sz w:val="28"/>
          <w:szCs w:val="28"/>
        </w:rPr>
      </w:pPr>
      <w:r w:rsidRPr="005E1103">
        <w:rPr>
          <w:rFonts w:cstheme="minorHAnsi"/>
          <w:sz w:val="28"/>
          <w:szCs w:val="28"/>
        </w:rPr>
        <w:t xml:space="preserve">Instituto de Estudios de Ocio. Facultad CCSSHH. </w:t>
      </w:r>
    </w:p>
    <w:p w:rsidR="00DF59FF" w:rsidRPr="005E1103" w:rsidRDefault="00DF59FF" w:rsidP="00DF59FF">
      <w:pPr>
        <w:spacing w:line="360" w:lineRule="auto"/>
        <w:ind w:right="277"/>
        <w:jc w:val="right"/>
        <w:rPr>
          <w:rFonts w:cstheme="minorHAnsi"/>
          <w:sz w:val="28"/>
          <w:szCs w:val="28"/>
        </w:rPr>
      </w:pPr>
      <w:r w:rsidRPr="005E1103">
        <w:rPr>
          <w:rFonts w:cstheme="minorHAnsi"/>
          <w:sz w:val="28"/>
          <w:szCs w:val="28"/>
        </w:rPr>
        <w:t>Universidad de Deusto.</w:t>
      </w:r>
    </w:p>
    <w:p w:rsidR="00DF59FF" w:rsidRPr="005E1103" w:rsidRDefault="00DF59FF" w:rsidP="00DF59FF">
      <w:pPr>
        <w:spacing w:line="360" w:lineRule="auto"/>
        <w:ind w:right="277"/>
        <w:jc w:val="right"/>
        <w:rPr>
          <w:rFonts w:cstheme="minorHAnsi"/>
          <w:sz w:val="28"/>
          <w:szCs w:val="28"/>
        </w:rPr>
      </w:pPr>
      <w:r w:rsidRPr="005E1103">
        <w:rPr>
          <w:rFonts w:cstheme="minorHAnsi"/>
          <w:sz w:val="28"/>
          <w:szCs w:val="28"/>
        </w:rPr>
        <w:t>Dra. Aurora Madariaga Ortuzar</w:t>
      </w:r>
    </w:p>
    <w:p w:rsidR="00DF59FF" w:rsidRPr="005E1103" w:rsidRDefault="00DF59FF" w:rsidP="00DF59FF">
      <w:pPr>
        <w:spacing w:line="360" w:lineRule="auto"/>
        <w:ind w:right="277"/>
        <w:jc w:val="right"/>
        <w:rPr>
          <w:rFonts w:cstheme="minorHAnsi"/>
          <w:sz w:val="28"/>
          <w:szCs w:val="28"/>
        </w:rPr>
      </w:pPr>
      <w:r w:rsidRPr="005E1103">
        <w:rPr>
          <w:rFonts w:cstheme="minorHAnsi"/>
          <w:sz w:val="28"/>
          <w:szCs w:val="28"/>
        </w:rPr>
        <w:t xml:space="preserve">Investigadora. Directora Cátedra Ocio y Discapacidad. </w:t>
      </w:r>
    </w:p>
    <w:p w:rsidR="00DF59FF" w:rsidRPr="005E1103" w:rsidRDefault="00DF59FF" w:rsidP="00DF59FF">
      <w:pPr>
        <w:spacing w:line="360" w:lineRule="auto"/>
        <w:ind w:right="277"/>
        <w:jc w:val="right"/>
        <w:rPr>
          <w:rFonts w:cstheme="minorHAnsi"/>
          <w:sz w:val="28"/>
          <w:szCs w:val="28"/>
        </w:rPr>
      </w:pPr>
      <w:r w:rsidRPr="005E1103">
        <w:rPr>
          <w:rFonts w:cstheme="minorHAnsi"/>
          <w:sz w:val="28"/>
          <w:szCs w:val="28"/>
        </w:rPr>
        <w:t xml:space="preserve">Instituto de Estudios de Ocio. Facultad CCSSHH. </w:t>
      </w:r>
    </w:p>
    <w:p w:rsidR="00DF59FF" w:rsidRPr="005E1103" w:rsidRDefault="00DF59FF" w:rsidP="00DF59FF">
      <w:pPr>
        <w:spacing w:line="360" w:lineRule="auto"/>
        <w:ind w:right="277"/>
        <w:jc w:val="right"/>
        <w:rPr>
          <w:rFonts w:cstheme="minorHAnsi"/>
          <w:sz w:val="28"/>
          <w:szCs w:val="28"/>
        </w:rPr>
      </w:pPr>
      <w:r w:rsidRPr="005E1103">
        <w:rPr>
          <w:rFonts w:cstheme="minorHAnsi"/>
          <w:sz w:val="28"/>
          <w:szCs w:val="28"/>
        </w:rPr>
        <w:t>Universidad de Deusto.</w:t>
      </w:r>
    </w:p>
    <w:p w:rsidR="00DF59FF" w:rsidRPr="005E1103" w:rsidRDefault="00DF59FF" w:rsidP="00DF59FF">
      <w:pPr>
        <w:spacing w:line="360" w:lineRule="auto"/>
        <w:ind w:right="277"/>
        <w:rPr>
          <w:rFonts w:cstheme="minorHAnsi"/>
          <w:color w:val="222222"/>
          <w:sz w:val="28"/>
          <w:szCs w:val="28"/>
          <w:shd w:val="clear" w:color="auto" w:fill="FFFFFF"/>
        </w:rPr>
      </w:pPr>
    </w:p>
    <w:p w:rsidR="00DF59FF" w:rsidRPr="005E1103" w:rsidRDefault="00DF59FF" w:rsidP="00DF59FF">
      <w:pPr>
        <w:pStyle w:val="Paragraph"/>
        <w:tabs>
          <w:tab w:val="left" w:pos="7932"/>
        </w:tabs>
        <w:spacing w:before="0" w:line="360" w:lineRule="auto"/>
        <w:jc w:val="both"/>
        <w:rPr>
          <w:rFonts w:asciiTheme="minorHAnsi" w:hAnsiTheme="minorHAnsi" w:cstheme="minorHAnsi"/>
          <w:sz w:val="28"/>
          <w:szCs w:val="28"/>
          <w:lang w:val="es-ES"/>
        </w:rPr>
      </w:pPr>
      <w:r w:rsidRPr="005E1103">
        <w:rPr>
          <w:rFonts w:asciiTheme="minorHAnsi" w:hAnsiTheme="minorHAnsi" w:cstheme="minorHAnsi"/>
          <w:sz w:val="28"/>
          <w:szCs w:val="28"/>
          <w:lang w:val="es-ES"/>
        </w:rPr>
        <w:t xml:space="preserve">Esta comunicación tiene como objetivo poner de manifiesto la falta de accesibilidad en los serious games </w:t>
      </w:r>
      <w:r w:rsidR="00171440" w:rsidRPr="005E1103">
        <w:rPr>
          <w:rFonts w:asciiTheme="minorHAnsi" w:hAnsiTheme="minorHAnsi" w:cstheme="minorHAnsi"/>
          <w:sz w:val="28"/>
          <w:szCs w:val="28"/>
          <w:lang w:val="es-ES"/>
        </w:rPr>
        <w:t>y,</w:t>
      </w:r>
      <w:r w:rsidRPr="005E1103">
        <w:rPr>
          <w:rFonts w:asciiTheme="minorHAnsi" w:hAnsiTheme="minorHAnsi" w:cstheme="minorHAnsi"/>
          <w:sz w:val="28"/>
          <w:szCs w:val="28"/>
          <w:lang w:val="es-ES"/>
        </w:rPr>
        <w:t xml:space="preserve"> además, describir un proyecto de investigación en el que el eje fundamental es la participación de personas con discapacidad (física) para que aporten ideas, describan dificultades y propongan alternativas en el diseño de un videojuego para Kinect accesible. El contenido se organiza en torno a dos apartados, el primero de ellos desarrolla algunas ideas fundamentales sobre videojuegos, serious games y accesibilidad, y el segundo, describe el proceso de participación de las personas con discapacidad física en el diseño del juego accesible.</w:t>
      </w:r>
    </w:p>
    <w:p w:rsidR="00DF59FF" w:rsidRPr="005E1103" w:rsidRDefault="00DF59FF" w:rsidP="00DF59FF">
      <w:pPr>
        <w:pStyle w:val="Ttulo1"/>
        <w:keepLines w:val="0"/>
        <w:numPr>
          <w:ilvl w:val="0"/>
          <w:numId w:val="49"/>
        </w:numPr>
        <w:tabs>
          <w:tab w:val="left" w:pos="284"/>
          <w:tab w:val="left" w:pos="7932"/>
        </w:tabs>
        <w:spacing w:before="0" w:line="360" w:lineRule="auto"/>
        <w:ind w:left="0" w:right="567" w:firstLine="0"/>
        <w:contextualSpacing/>
        <w:jc w:val="both"/>
        <w:rPr>
          <w:rFonts w:asciiTheme="minorHAnsi" w:hAnsiTheme="minorHAnsi" w:cstheme="minorHAnsi"/>
        </w:rPr>
      </w:pPr>
      <w:r w:rsidRPr="005E1103">
        <w:rPr>
          <w:rFonts w:asciiTheme="minorHAnsi" w:hAnsiTheme="minorHAnsi" w:cstheme="minorHAnsi"/>
        </w:rPr>
        <w:t>Algunas ideas sobre videojuegos, serious game y la accesibilidad</w:t>
      </w:r>
    </w:p>
    <w:p w:rsidR="00DF59FF" w:rsidRPr="005E1103" w:rsidRDefault="00DF59FF" w:rsidP="00DF59FF">
      <w:pPr>
        <w:pStyle w:val="Paragraph"/>
        <w:tabs>
          <w:tab w:val="left" w:pos="7932"/>
        </w:tabs>
        <w:spacing w:before="0" w:line="360" w:lineRule="auto"/>
        <w:jc w:val="both"/>
        <w:rPr>
          <w:rFonts w:asciiTheme="minorHAnsi" w:hAnsiTheme="minorHAnsi" w:cstheme="minorHAnsi"/>
          <w:sz w:val="28"/>
          <w:szCs w:val="28"/>
          <w:lang w:val="es-ES"/>
        </w:rPr>
      </w:pPr>
      <w:r w:rsidRPr="005E1103">
        <w:rPr>
          <w:rFonts w:asciiTheme="minorHAnsi" w:hAnsiTheme="minorHAnsi" w:cstheme="minorHAnsi"/>
          <w:sz w:val="28"/>
          <w:szCs w:val="28"/>
          <w:lang w:val="es-ES"/>
        </w:rPr>
        <w:t xml:space="preserve">El juego tiene lugar en un espacio ilusorio y libre en donde las personas ejecutan acciones y toman decisiones reales. Desde los juegos simbólicos (que reconstruyen las esferas de </w:t>
      </w:r>
      <w:r w:rsidRPr="005E1103">
        <w:rPr>
          <w:rFonts w:asciiTheme="minorHAnsi" w:hAnsiTheme="minorHAnsi" w:cstheme="minorHAnsi"/>
          <w:sz w:val="28"/>
          <w:szCs w:val="28"/>
          <w:lang w:val="es-ES"/>
        </w:rPr>
        <w:lastRenderedPageBreak/>
        <w:t>la vida) a los protagonizados (de naturaleza social y por tanto histórica), los jugadores exigen pertenecer al proceso lúdico, quieren participar del desarrollo de la narrativa y tienen una actitud activa. Un gran avance en el ámbito del juego simbólico es el videojuego, la versión tecnológica moderna del juego tradicional. Estos juegos interactivos y de tendencia social presentan realidades ilusorias en forma de recreaciones virtuales (Zyda, 2005), en donde los usuarios toman decisiones en tiempo real con repercusión virtual. El juego con videojuegos favorece según Gros (2000 y 2005) la autoestima y la motivación, el desarrollo de destrezas y estrategias cognitivas tales como la capacidad de resolución de problemas, la toma de decisiones, la búsqueda y organización de la información, algunas habilidades perceptivas, motrices, el razonamiento abstracto, la memoria y competencias digitales.</w:t>
      </w:r>
    </w:p>
    <w:p w:rsidR="00DF59FF" w:rsidRPr="005E1103" w:rsidRDefault="00DF59FF" w:rsidP="00DF59FF">
      <w:pPr>
        <w:pStyle w:val="Paragraph"/>
        <w:tabs>
          <w:tab w:val="left" w:pos="7932"/>
        </w:tabs>
        <w:spacing w:before="0" w:line="360" w:lineRule="auto"/>
        <w:jc w:val="both"/>
        <w:rPr>
          <w:rFonts w:asciiTheme="minorHAnsi" w:hAnsiTheme="minorHAnsi" w:cstheme="minorHAnsi"/>
          <w:sz w:val="28"/>
          <w:szCs w:val="28"/>
          <w:lang w:val="es-ES"/>
        </w:rPr>
      </w:pPr>
      <w:r w:rsidRPr="005E1103">
        <w:rPr>
          <w:rFonts w:asciiTheme="minorHAnsi" w:hAnsiTheme="minorHAnsi" w:cstheme="minorHAnsi"/>
          <w:sz w:val="28"/>
          <w:szCs w:val="28"/>
          <w:lang w:val="es-ES"/>
        </w:rPr>
        <w:t>Es en el año 1970 cuando Abt en su libro Serious Games, los definió como aquellos que tienen un propósito educativo explícito y cuidadosamente planeado, y que no están pensados para ser jugados únicamente por diversión. Zyda (2005), actualizó el concepto dándole un mayor alcance, concibiendo los serious games como una prueba mental a través de un ordenador que tiene reglas específicas y que utiliza el entretenimiento como forma de entrenamiento, y con finalidades educativas, sanitarias, de políticas públicas y de comunicaciones estratégicas. Y Sánchez (2010) los definió como objetos y/o herramientas de aprendizaje que poseen en sí mismos y en su uso objetivos pedagógicos, didácticos, autónomos, autosuficientes y reutilizables, que posibilitan a los jugadores obtener un conjunto de conocimientos y competencias predominantemente prácticos. El valor de un serious game (Marcano, 2010) depende de la relación directa que tenga con el mundo real y en no basarse en una pura fantasía. En otras palabras, un juego serio debe tener un vínculo evidente entre el mundo real y el virtual, y un objetivo más allá del puro entretenimiento.</w:t>
      </w:r>
    </w:p>
    <w:p w:rsidR="00DF59FF" w:rsidRPr="005E1103" w:rsidRDefault="00DF59FF" w:rsidP="00DF59FF">
      <w:pPr>
        <w:pStyle w:val="Paragraph"/>
        <w:tabs>
          <w:tab w:val="left" w:pos="7932"/>
        </w:tabs>
        <w:spacing w:before="0" w:line="360" w:lineRule="auto"/>
        <w:jc w:val="both"/>
        <w:rPr>
          <w:rFonts w:asciiTheme="minorHAnsi" w:hAnsiTheme="minorHAnsi" w:cstheme="minorHAnsi"/>
          <w:sz w:val="28"/>
          <w:szCs w:val="28"/>
          <w:lang w:val="es-ES"/>
        </w:rPr>
      </w:pPr>
      <w:r w:rsidRPr="005E1103">
        <w:rPr>
          <w:rFonts w:asciiTheme="minorHAnsi" w:hAnsiTheme="minorHAnsi" w:cstheme="minorHAnsi"/>
          <w:sz w:val="28"/>
          <w:szCs w:val="28"/>
          <w:lang w:val="es-ES"/>
        </w:rPr>
        <w:t xml:space="preserve">El desarrollo del mundo digital ha allanado el camino para los serious games, porque combinan aprendizaje, entrenamiento y entretenimiento, disfrute y diversión. La </w:t>
      </w:r>
      <w:r w:rsidRPr="005E1103">
        <w:rPr>
          <w:rFonts w:asciiTheme="minorHAnsi" w:hAnsiTheme="minorHAnsi" w:cstheme="minorHAnsi"/>
          <w:sz w:val="28"/>
          <w:szCs w:val="28"/>
          <w:lang w:val="es-ES"/>
        </w:rPr>
        <w:lastRenderedPageBreak/>
        <w:t xml:space="preserve">accesibilidad digital está ganando terreno en nuestra sociedad a diario. Sin un ordenador portátil o de sobremesa se está excluido de la vida en el mundo digital. Ello significa que estos juegos tienen que ser accesibles para todo el mundo, independientemente de sus características o necesidades (Battersby, 2009). </w:t>
      </w:r>
    </w:p>
    <w:p w:rsidR="00DF59FF" w:rsidRPr="005E1103" w:rsidRDefault="00DF59FF" w:rsidP="00DF59FF">
      <w:pPr>
        <w:pStyle w:val="Paragraph"/>
        <w:tabs>
          <w:tab w:val="left" w:pos="7932"/>
        </w:tabs>
        <w:spacing w:before="0" w:line="360" w:lineRule="auto"/>
        <w:jc w:val="both"/>
        <w:rPr>
          <w:rFonts w:asciiTheme="minorHAnsi" w:hAnsiTheme="minorHAnsi" w:cstheme="minorHAnsi"/>
          <w:sz w:val="28"/>
          <w:szCs w:val="28"/>
          <w:lang w:val="es-ES"/>
        </w:rPr>
      </w:pPr>
      <w:r w:rsidRPr="005E1103">
        <w:rPr>
          <w:rFonts w:asciiTheme="minorHAnsi" w:hAnsiTheme="minorHAnsi" w:cstheme="minorHAnsi"/>
          <w:sz w:val="28"/>
          <w:szCs w:val="28"/>
          <w:lang w:val="es-ES"/>
        </w:rPr>
        <w:t xml:space="preserve">Afortunadamente, una gran cantidad de innovaciones están dando a las personas con discapacidad el acceso al mundo digital (Garcia-Zapirain, Mendez-Zorrilla; Madariaga-Ortuzar, &amp; Lazcano-Quintana, 2015). Las personas con discapacidad física tienen sus propios mecanismos para poder manejar los equipos. Personas con discapacidad visual utilizan el software de conversión de texto a voz o la barra de Braille. Pero, cuando se trata de la accesibilidad en videojuegos, es bastante difícil (Grammenos y Savidis, 2009) ya que escasean en el mercado, ello limita las posibilidades del 11% de la población mundial ante la inexistencia de juegos accesibles e interfaces fáciles de usar. Aún a sabiendas que hay juegos que ayudan al jugador a aprender cuestiones específicas, mientras que el participante se divierte y disfruta, esa industria no se caracteriza por ser accesible (Lopez-Basterretxea, Mendez-Zorrilla, Garcia-Zapirain, Madariaga-Ortuzar, y Lazcano-Quintana, 2014). </w:t>
      </w:r>
      <w:r w:rsidR="00B50386" w:rsidRPr="005E1103">
        <w:rPr>
          <w:rFonts w:asciiTheme="minorHAnsi" w:hAnsiTheme="minorHAnsi" w:cstheme="minorHAnsi"/>
          <w:sz w:val="28"/>
          <w:szCs w:val="28"/>
          <w:lang w:val="es-ES"/>
        </w:rPr>
        <w:t>Y,</w:t>
      </w:r>
      <w:r w:rsidRPr="005E1103">
        <w:rPr>
          <w:rFonts w:asciiTheme="minorHAnsi" w:hAnsiTheme="minorHAnsi" w:cstheme="minorHAnsi"/>
          <w:sz w:val="28"/>
          <w:szCs w:val="28"/>
          <w:lang w:val="es-ES"/>
        </w:rPr>
        <w:t xml:space="preserve"> por tanto, la igualdad de oportunidades para todos está lejos de ser una realidad alcanzable (Sánchez, 2010), ya que la accesibilidad de los juegos no es una cuestión nuclear. Para avanzar en esta materia los desarrolladores deben tener en cuenta que algunas de las personas que juegan tienen necesidades o requisitos diferentes. La investigación ha demostrado su potencial, y hay maneras de hacer un juego accesible sin demasiado esfuerzo o una cantidad ingente de dinero. Las denominadas directrices de accesibilidad del juego son algunas reglas básicas destinadas a los desarrolladores para que los diseñen más accesibles. El futuro para los serious games parece brillante (Iglesias, 2015), y por ello es predecible que este sector crecerá en los próximos años y </w:t>
      </w:r>
      <w:r w:rsidR="00D8776D" w:rsidRPr="005E1103">
        <w:rPr>
          <w:rFonts w:asciiTheme="minorHAnsi" w:hAnsiTheme="minorHAnsi" w:cstheme="minorHAnsi"/>
          <w:sz w:val="28"/>
          <w:szCs w:val="28"/>
          <w:lang w:val="es-ES"/>
        </w:rPr>
        <w:t>llegará</w:t>
      </w:r>
      <w:r w:rsidRPr="005E1103">
        <w:rPr>
          <w:rFonts w:asciiTheme="minorHAnsi" w:hAnsiTheme="minorHAnsi" w:cstheme="minorHAnsi"/>
          <w:sz w:val="28"/>
          <w:szCs w:val="28"/>
          <w:lang w:val="es-ES"/>
        </w:rPr>
        <w:t xml:space="preserve"> cada vez a perfiles y tipos de públicos diferentes. Ya hay varios sitios web que se dedican a la accesibilidad, pero lo que es realmente necesario es que la accesibilidad se incluya en la formación de los futuros diseñadores y </w:t>
      </w:r>
      <w:r w:rsidRPr="005E1103">
        <w:rPr>
          <w:rFonts w:asciiTheme="minorHAnsi" w:hAnsiTheme="minorHAnsi" w:cstheme="minorHAnsi"/>
          <w:sz w:val="28"/>
          <w:szCs w:val="28"/>
          <w:lang w:val="es-ES"/>
        </w:rPr>
        <w:lastRenderedPageBreak/>
        <w:t xml:space="preserve">desarrolladores de juegos (Grammenos y Savidis, 2009). </w:t>
      </w:r>
    </w:p>
    <w:p w:rsidR="00DF59FF" w:rsidRPr="005E1103" w:rsidRDefault="00DF59FF" w:rsidP="00DF59FF">
      <w:pPr>
        <w:pStyle w:val="Ttulo1"/>
        <w:keepLines w:val="0"/>
        <w:numPr>
          <w:ilvl w:val="0"/>
          <w:numId w:val="49"/>
        </w:numPr>
        <w:tabs>
          <w:tab w:val="left" w:pos="7932"/>
        </w:tabs>
        <w:spacing w:before="0" w:line="360" w:lineRule="auto"/>
        <w:ind w:right="277"/>
        <w:contextualSpacing/>
        <w:jc w:val="both"/>
        <w:rPr>
          <w:rFonts w:asciiTheme="minorHAnsi" w:hAnsiTheme="minorHAnsi" w:cstheme="minorHAnsi"/>
        </w:rPr>
      </w:pPr>
      <w:r w:rsidRPr="005E1103">
        <w:rPr>
          <w:rFonts w:asciiTheme="minorHAnsi" w:hAnsiTheme="minorHAnsi" w:cstheme="minorHAnsi"/>
        </w:rPr>
        <w:t>Diseño del juego accesible</w:t>
      </w:r>
    </w:p>
    <w:p w:rsidR="00DF59FF" w:rsidRPr="005E1103" w:rsidRDefault="00DF59FF" w:rsidP="00DF59FF">
      <w:pPr>
        <w:pStyle w:val="Paragraph"/>
        <w:tabs>
          <w:tab w:val="left" w:pos="7932"/>
        </w:tabs>
        <w:spacing w:before="0" w:line="360" w:lineRule="auto"/>
        <w:ind w:right="277"/>
        <w:jc w:val="both"/>
        <w:rPr>
          <w:rFonts w:asciiTheme="minorHAnsi" w:hAnsiTheme="minorHAnsi" w:cstheme="minorHAnsi"/>
          <w:sz w:val="28"/>
          <w:szCs w:val="28"/>
          <w:lang w:val="es-ES"/>
        </w:rPr>
      </w:pPr>
      <w:r w:rsidRPr="005E1103">
        <w:rPr>
          <w:rFonts w:asciiTheme="minorHAnsi" w:hAnsiTheme="minorHAnsi" w:cstheme="minorHAnsi"/>
          <w:sz w:val="28"/>
          <w:szCs w:val="28"/>
          <w:lang w:val="es-ES"/>
        </w:rPr>
        <w:t xml:space="preserve">Para desarrollar el proyecto de forma colaborativa se ha formado un grupo de trabajo con usuarios de Fekoor (Federación de asociaciones de personas con discapacidad física de Bizkaia, España) para que participen activamente en la identificación de necesidades al jugar y en el diseño del juego. </w:t>
      </w:r>
    </w:p>
    <w:p w:rsidR="00DF59FF" w:rsidRPr="005E1103" w:rsidRDefault="00DF59FF" w:rsidP="00DF59FF">
      <w:pPr>
        <w:pStyle w:val="Paragraph"/>
        <w:tabs>
          <w:tab w:val="left" w:pos="7932"/>
        </w:tabs>
        <w:spacing w:before="0" w:line="360" w:lineRule="auto"/>
        <w:ind w:right="277"/>
        <w:jc w:val="both"/>
        <w:rPr>
          <w:rFonts w:asciiTheme="minorHAnsi" w:hAnsiTheme="minorHAnsi" w:cstheme="minorHAnsi"/>
          <w:sz w:val="28"/>
          <w:szCs w:val="28"/>
          <w:lang w:val="es-ES"/>
        </w:rPr>
      </w:pPr>
      <w:r w:rsidRPr="005E1103">
        <w:rPr>
          <w:rFonts w:asciiTheme="minorHAnsi" w:hAnsiTheme="minorHAnsi" w:cstheme="minorHAnsi"/>
          <w:sz w:val="28"/>
          <w:szCs w:val="28"/>
          <w:lang w:val="es-ES"/>
        </w:rPr>
        <w:t xml:space="preserve">El grupo de trabajo ha desarrollado dos tareas, por un </w:t>
      </w:r>
      <w:r w:rsidR="00D8776D" w:rsidRPr="005E1103">
        <w:rPr>
          <w:rFonts w:asciiTheme="minorHAnsi" w:hAnsiTheme="minorHAnsi" w:cstheme="minorHAnsi"/>
          <w:sz w:val="28"/>
          <w:szCs w:val="28"/>
          <w:lang w:val="es-ES"/>
        </w:rPr>
        <w:t>lado,</w:t>
      </w:r>
      <w:r w:rsidRPr="005E1103">
        <w:rPr>
          <w:rFonts w:asciiTheme="minorHAnsi" w:hAnsiTheme="minorHAnsi" w:cstheme="minorHAnsi"/>
          <w:sz w:val="28"/>
          <w:szCs w:val="28"/>
          <w:lang w:val="es-ES"/>
        </w:rPr>
        <w:t xml:space="preserve"> jugar con juegos comercializados e identificar las dificultades y necesidades; y por otro lado consensuar juntos elementos básicos del videojuego accesible. El primer día se les administro un breve cuestionario para conocer algunos datos personales y opiniones y experiencias en torno a los videojuegos. </w:t>
      </w:r>
      <w:r w:rsidR="00D8776D" w:rsidRPr="005E1103">
        <w:rPr>
          <w:rFonts w:asciiTheme="minorHAnsi" w:hAnsiTheme="minorHAnsi" w:cstheme="minorHAnsi"/>
          <w:sz w:val="28"/>
          <w:szCs w:val="28"/>
          <w:lang w:val="es-ES"/>
        </w:rPr>
        <w:t>Además,</w:t>
      </w:r>
      <w:r w:rsidRPr="005E1103">
        <w:rPr>
          <w:rFonts w:asciiTheme="minorHAnsi" w:hAnsiTheme="minorHAnsi" w:cstheme="minorHAnsi"/>
          <w:sz w:val="28"/>
          <w:szCs w:val="28"/>
          <w:lang w:val="es-ES"/>
        </w:rPr>
        <w:t xml:space="preserve"> se les solicitaba una evaluación personal de cada sesión y una evaluación final al terminar las ocho sesiones.</w:t>
      </w:r>
    </w:p>
    <w:p w:rsidR="00DF59FF" w:rsidRPr="005E1103" w:rsidRDefault="00DF59FF" w:rsidP="00DF59FF">
      <w:pPr>
        <w:pStyle w:val="Newparagraph"/>
        <w:tabs>
          <w:tab w:val="left" w:pos="7932"/>
        </w:tabs>
        <w:spacing w:line="360" w:lineRule="auto"/>
        <w:ind w:right="277" w:firstLine="0"/>
        <w:jc w:val="both"/>
        <w:rPr>
          <w:rFonts w:asciiTheme="minorHAnsi" w:hAnsiTheme="minorHAnsi" w:cstheme="minorHAnsi"/>
          <w:sz w:val="28"/>
          <w:szCs w:val="28"/>
          <w:lang w:val="es-ES"/>
        </w:rPr>
      </w:pPr>
      <w:r w:rsidRPr="005E1103">
        <w:rPr>
          <w:rFonts w:asciiTheme="minorHAnsi" w:hAnsiTheme="minorHAnsi" w:cstheme="minorHAnsi"/>
          <w:sz w:val="28"/>
          <w:szCs w:val="28"/>
          <w:lang w:val="es-ES"/>
        </w:rPr>
        <w:t xml:space="preserve">La descripción del proceso y resultado del grupo de las personas con discapacidad física del grupo de diseño se estructura en cuatro apartados. El primero recoge datos y opiniones de los participantes en el grupo, el segundo, identifica las necesidades y problemáticas detectadas desde la discapacidad física para jugar con la consola Kinect, en tercer lugar, se describen los elementos que el grupo ha desarrollado para el diseño de un videojuego accesible. Y por último se recoge la valoración posterior que cada participante realiza tras la participación en el grupo, </w:t>
      </w:r>
    </w:p>
    <w:p w:rsidR="00DF59FF" w:rsidRPr="005E1103" w:rsidRDefault="00DF59FF" w:rsidP="00DF59FF">
      <w:pPr>
        <w:pStyle w:val="Ttulo2"/>
        <w:keepLines w:val="0"/>
        <w:numPr>
          <w:ilvl w:val="0"/>
          <w:numId w:val="50"/>
        </w:numPr>
        <w:tabs>
          <w:tab w:val="left" w:pos="1134"/>
          <w:tab w:val="left" w:pos="7932"/>
        </w:tabs>
        <w:spacing w:before="0" w:line="360" w:lineRule="auto"/>
        <w:ind w:left="567" w:right="277" w:firstLine="0"/>
        <w:contextualSpacing/>
        <w:jc w:val="both"/>
        <w:rPr>
          <w:rFonts w:asciiTheme="minorHAnsi" w:hAnsiTheme="minorHAnsi" w:cstheme="minorHAnsi"/>
          <w:sz w:val="28"/>
          <w:szCs w:val="28"/>
        </w:rPr>
      </w:pPr>
      <w:bookmarkStart w:id="47" w:name="_Toc451870401"/>
      <w:r w:rsidRPr="005E1103">
        <w:rPr>
          <w:rFonts w:asciiTheme="minorHAnsi" w:hAnsiTheme="minorHAnsi" w:cstheme="minorHAnsi"/>
          <w:sz w:val="28"/>
          <w:szCs w:val="28"/>
        </w:rPr>
        <w:t xml:space="preserve">Datos y opiniones de los participantes </w:t>
      </w:r>
      <w:bookmarkEnd w:id="47"/>
    </w:p>
    <w:p w:rsidR="00DF59FF" w:rsidRPr="005E1103" w:rsidRDefault="00DF59FF" w:rsidP="00DF59FF">
      <w:pPr>
        <w:pStyle w:val="Newparagraph"/>
        <w:tabs>
          <w:tab w:val="left" w:pos="7932"/>
        </w:tabs>
        <w:spacing w:line="360" w:lineRule="auto"/>
        <w:ind w:right="277" w:firstLine="0"/>
        <w:jc w:val="both"/>
        <w:rPr>
          <w:rFonts w:asciiTheme="minorHAnsi" w:hAnsiTheme="minorHAnsi" w:cstheme="minorHAnsi"/>
          <w:sz w:val="28"/>
          <w:szCs w:val="28"/>
          <w:lang w:val="es-ES"/>
        </w:rPr>
      </w:pPr>
      <w:r w:rsidRPr="005E1103">
        <w:rPr>
          <w:rFonts w:asciiTheme="minorHAnsi" w:hAnsiTheme="minorHAnsi" w:cstheme="minorHAnsi"/>
          <w:sz w:val="28"/>
          <w:szCs w:val="28"/>
          <w:lang w:val="es-ES"/>
        </w:rPr>
        <w:t>En este primer apartado se describe el perfil de los participantes, sus preferencias en actividades de ocio y los beneficios percibidos, su experiencia previa y valoración de los videojuegos.</w:t>
      </w:r>
    </w:p>
    <w:p w:rsidR="00DF59FF" w:rsidRPr="005E1103" w:rsidRDefault="00DF59FF" w:rsidP="00DF59FF">
      <w:pPr>
        <w:pStyle w:val="Newparagraph"/>
        <w:tabs>
          <w:tab w:val="left" w:pos="7932"/>
        </w:tabs>
        <w:spacing w:line="360" w:lineRule="auto"/>
        <w:ind w:right="277" w:firstLine="0"/>
        <w:jc w:val="both"/>
        <w:rPr>
          <w:rFonts w:asciiTheme="minorHAnsi" w:hAnsiTheme="minorHAnsi" w:cstheme="minorHAnsi"/>
          <w:sz w:val="28"/>
          <w:szCs w:val="28"/>
          <w:lang w:val="es-ES"/>
        </w:rPr>
      </w:pPr>
      <w:r w:rsidRPr="005E1103">
        <w:rPr>
          <w:rFonts w:asciiTheme="minorHAnsi" w:hAnsiTheme="minorHAnsi" w:cstheme="minorHAnsi"/>
          <w:sz w:val="28"/>
          <w:szCs w:val="28"/>
          <w:lang w:val="es-ES"/>
        </w:rPr>
        <w:t xml:space="preserve">El </w:t>
      </w:r>
      <w:r w:rsidRPr="005E1103">
        <w:rPr>
          <w:rFonts w:asciiTheme="minorHAnsi" w:hAnsiTheme="minorHAnsi" w:cstheme="minorHAnsi"/>
          <w:i/>
          <w:sz w:val="28"/>
          <w:szCs w:val="28"/>
          <w:lang w:val="es-ES"/>
        </w:rPr>
        <w:t>grupo de trabajo</w:t>
      </w:r>
      <w:r w:rsidRPr="005E1103">
        <w:rPr>
          <w:rFonts w:asciiTheme="minorHAnsi" w:hAnsiTheme="minorHAnsi" w:cstheme="minorHAnsi"/>
          <w:sz w:val="28"/>
          <w:szCs w:val="28"/>
          <w:lang w:val="es-ES"/>
        </w:rPr>
        <w:t xml:space="preserve"> estaba compuesto por un total de siete socios de Fekoor, de los cuales cuatro eran hombres (57%) y tres mujeres (43%). La horquilla de edad de los participantes se situaba entre los 23 y 50 años. Tan solo un participante era menor de 30 años. Tres entre 31 y 40 años y los restantes mayores de 41 años.</w:t>
      </w:r>
    </w:p>
    <w:p w:rsidR="00DF59FF" w:rsidRPr="005E1103" w:rsidRDefault="00DF59FF" w:rsidP="00DF59FF">
      <w:pPr>
        <w:tabs>
          <w:tab w:val="left" w:pos="7932"/>
        </w:tabs>
        <w:spacing w:line="360" w:lineRule="auto"/>
        <w:ind w:right="277"/>
        <w:jc w:val="both"/>
        <w:rPr>
          <w:rFonts w:cstheme="minorHAnsi"/>
          <w:sz w:val="28"/>
          <w:szCs w:val="28"/>
        </w:rPr>
      </w:pPr>
      <w:r w:rsidRPr="005E1103">
        <w:rPr>
          <w:rFonts w:cstheme="minorHAnsi"/>
          <w:sz w:val="28"/>
          <w:szCs w:val="28"/>
        </w:rPr>
        <w:lastRenderedPageBreak/>
        <w:t xml:space="preserve">Sobre las </w:t>
      </w:r>
      <w:r w:rsidRPr="005E1103">
        <w:rPr>
          <w:rFonts w:cstheme="minorHAnsi"/>
          <w:i/>
          <w:sz w:val="28"/>
          <w:szCs w:val="28"/>
        </w:rPr>
        <w:t>actividades de ocio</w:t>
      </w:r>
      <w:r w:rsidRPr="005E1103">
        <w:rPr>
          <w:rFonts w:cstheme="minorHAnsi"/>
          <w:sz w:val="28"/>
          <w:szCs w:val="28"/>
        </w:rPr>
        <w:t xml:space="preserve"> incluidas en su repertorio habitual, señalar que las actividades culturales y deportivas presentan el mismo nivel de incidencia (38%) y en menor medida las recreativas (24%). Detallando la tipología de actividades por ámbitos de ocio, se observa que entre las actividades culturales destaca, entre los participantes, la lectura. Entre las actividades deportivas sobresale la natación y entre las recreativas, las manualidades. Las actividades deportivas son las más demandadas por las personas participantes en el grupo. </w:t>
      </w:r>
    </w:p>
    <w:p w:rsidR="00DF59FF" w:rsidRPr="005E1103" w:rsidRDefault="00DF59FF" w:rsidP="00DF59FF">
      <w:pPr>
        <w:pStyle w:val="Newparagraph"/>
        <w:tabs>
          <w:tab w:val="left" w:pos="7932"/>
        </w:tabs>
        <w:spacing w:line="360" w:lineRule="auto"/>
        <w:ind w:right="277" w:firstLine="0"/>
        <w:jc w:val="both"/>
        <w:rPr>
          <w:rFonts w:asciiTheme="minorHAnsi" w:hAnsiTheme="minorHAnsi" w:cstheme="minorHAnsi"/>
          <w:sz w:val="28"/>
          <w:szCs w:val="28"/>
          <w:lang w:val="es-ES"/>
        </w:rPr>
      </w:pPr>
      <w:r w:rsidRPr="005E1103">
        <w:rPr>
          <w:rFonts w:asciiTheme="minorHAnsi" w:hAnsiTheme="minorHAnsi" w:cstheme="minorHAnsi"/>
          <w:sz w:val="28"/>
          <w:szCs w:val="28"/>
          <w:lang w:val="es-ES"/>
        </w:rPr>
        <w:t xml:space="preserve">Respecto a los </w:t>
      </w:r>
      <w:r w:rsidRPr="005E1103">
        <w:rPr>
          <w:rFonts w:asciiTheme="minorHAnsi" w:hAnsiTheme="minorHAnsi" w:cstheme="minorHAnsi"/>
          <w:i/>
          <w:sz w:val="28"/>
          <w:szCs w:val="28"/>
          <w:lang w:val="es-ES"/>
        </w:rPr>
        <w:t>beneficios</w:t>
      </w:r>
      <w:r w:rsidRPr="005E1103">
        <w:rPr>
          <w:rFonts w:asciiTheme="minorHAnsi" w:hAnsiTheme="minorHAnsi" w:cstheme="minorHAnsi"/>
          <w:sz w:val="28"/>
          <w:szCs w:val="28"/>
          <w:lang w:val="es-ES"/>
        </w:rPr>
        <w:t xml:space="preserve"> percibidos como consecuencia de sus actividades de ocio, señalar que la mitad de los mencionados tienen que ver con beneficios de tipo psicológico (50%). Y en un 25% aluden a beneficios de tipo social o físico.</w:t>
      </w:r>
    </w:p>
    <w:p w:rsidR="00DF59FF" w:rsidRPr="005E1103" w:rsidRDefault="00DF59FF" w:rsidP="00DF59FF">
      <w:pPr>
        <w:pStyle w:val="Newparagraph"/>
        <w:tabs>
          <w:tab w:val="left" w:pos="7932"/>
        </w:tabs>
        <w:spacing w:line="360" w:lineRule="auto"/>
        <w:ind w:right="277" w:firstLine="0"/>
        <w:jc w:val="both"/>
        <w:rPr>
          <w:rFonts w:asciiTheme="minorHAnsi" w:hAnsiTheme="minorHAnsi" w:cstheme="minorHAnsi"/>
          <w:sz w:val="28"/>
          <w:szCs w:val="28"/>
          <w:lang w:val="es-ES"/>
        </w:rPr>
      </w:pPr>
      <w:r w:rsidRPr="005E1103">
        <w:rPr>
          <w:rFonts w:asciiTheme="minorHAnsi" w:hAnsiTheme="minorHAnsi" w:cstheme="minorHAnsi"/>
          <w:sz w:val="28"/>
          <w:szCs w:val="28"/>
          <w:lang w:val="es-ES"/>
        </w:rPr>
        <w:t xml:space="preserve">Gran parte de los participantes en el grupo de trabajo afirmaron no haber tenido ningún contacto previo con </w:t>
      </w:r>
      <w:r w:rsidRPr="005E1103">
        <w:rPr>
          <w:rFonts w:asciiTheme="minorHAnsi" w:hAnsiTheme="minorHAnsi" w:cstheme="minorHAnsi"/>
          <w:i/>
          <w:sz w:val="28"/>
          <w:szCs w:val="28"/>
          <w:lang w:val="es-ES"/>
        </w:rPr>
        <w:t>videojuegos</w:t>
      </w:r>
      <w:r w:rsidRPr="005E1103">
        <w:rPr>
          <w:rFonts w:asciiTheme="minorHAnsi" w:hAnsiTheme="minorHAnsi" w:cstheme="minorHAnsi"/>
          <w:sz w:val="28"/>
          <w:szCs w:val="28"/>
          <w:lang w:val="es-ES"/>
        </w:rPr>
        <w:t xml:space="preserve"> (56%), en concreto cuatro de siete. Y ninguno había jugado nunca hasta su participación en el proyecto con la consola Kinect. Al describir aspectos positivos vinculados a los videojuegos, la mitad de las respuestas están relacionadas con la diversión que genera en los jugadores participar activamente. </w:t>
      </w:r>
      <w:r w:rsidR="00D8776D" w:rsidRPr="005E1103">
        <w:rPr>
          <w:rFonts w:asciiTheme="minorHAnsi" w:hAnsiTheme="minorHAnsi" w:cstheme="minorHAnsi"/>
          <w:sz w:val="28"/>
          <w:szCs w:val="28"/>
          <w:lang w:val="es-ES"/>
        </w:rPr>
        <w:t>Además,</w:t>
      </w:r>
      <w:r w:rsidRPr="005E1103">
        <w:rPr>
          <w:rFonts w:asciiTheme="minorHAnsi" w:hAnsiTheme="minorHAnsi" w:cstheme="minorHAnsi"/>
          <w:sz w:val="28"/>
          <w:szCs w:val="28"/>
          <w:lang w:val="es-ES"/>
        </w:rPr>
        <w:t xml:space="preserve"> destacan otros dos aspectos positivos, la posibilidad de jugar en compañía de otras personas, y el desarrollo cognitivo que propicia esta actividad en cada jugador, ambos están representados con un 25%. Por el contrario, al referirse a aspectos negativos que creen que están vinculados a jugar con videojuegos, casi tres cuartas partes de las respuestas (72%) muestran que los participantes no identifican ningún elemento negativo. Algunos señalan dos cuestiones, con el mismo porcentaje (14%): el aislamiento si dedicas mucho tiempo a jugar solo y los problemas relacionados con la movilidad que inciden y limitan la manera o posibilidad de jugar.</w:t>
      </w:r>
    </w:p>
    <w:p w:rsidR="00DF59FF" w:rsidRPr="005E1103" w:rsidRDefault="00DF59FF" w:rsidP="00DF59FF">
      <w:pPr>
        <w:tabs>
          <w:tab w:val="left" w:pos="567"/>
        </w:tabs>
        <w:spacing w:line="360" w:lineRule="auto"/>
        <w:ind w:right="277"/>
        <w:jc w:val="both"/>
        <w:rPr>
          <w:rFonts w:cstheme="minorHAnsi"/>
          <w:sz w:val="28"/>
          <w:szCs w:val="28"/>
        </w:rPr>
      </w:pPr>
      <w:r w:rsidRPr="005E1103">
        <w:rPr>
          <w:rFonts w:cstheme="minorHAnsi"/>
          <w:sz w:val="28"/>
          <w:szCs w:val="28"/>
        </w:rPr>
        <w:t>La diversión y las instrucciones claras son las dos cuestiones más repetidas por la mayoría de ellos como elementos fundamentales de un videojuego.</w:t>
      </w:r>
    </w:p>
    <w:p w:rsidR="00DF59FF" w:rsidRPr="005E1103" w:rsidRDefault="00DF59FF" w:rsidP="00DF59FF">
      <w:pPr>
        <w:tabs>
          <w:tab w:val="left" w:pos="567"/>
        </w:tabs>
        <w:spacing w:line="360" w:lineRule="auto"/>
        <w:ind w:right="277"/>
        <w:jc w:val="both"/>
        <w:rPr>
          <w:rFonts w:cstheme="minorHAnsi"/>
          <w:sz w:val="28"/>
          <w:szCs w:val="28"/>
        </w:rPr>
      </w:pPr>
      <w:r w:rsidRPr="005E1103">
        <w:rPr>
          <w:rFonts w:cstheme="minorHAnsi"/>
          <w:sz w:val="28"/>
          <w:szCs w:val="28"/>
        </w:rPr>
        <w:lastRenderedPageBreak/>
        <w:t xml:space="preserve">Los participantes nos señalan cinco tipos de </w:t>
      </w:r>
      <w:r w:rsidRPr="005E1103">
        <w:rPr>
          <w:rFonts w:cstheme="minorHAnsi"/>
          <w:i/>
          <w:sz w:val="28"/>
          <w:szCs w:val="28"/>
        </w:rPr>
        <w:t>expectativas</w:t>
      </w:r>
      <w:r w:rsidRPr="005E1103">
        <w:rPr>
          <w:rFonts w:cstheme="minorHAnsi"/>
          <w:sz w:val="28"/>
          <w:szCs w:val="28"/>
        </w:rPr>
        <w:t xml:space="preserve"> antes de iniciarse el proceso de participar en el grupo de diseño del juego. Cuatro de ellas con igual número de respuestas (23%), todos ellos esperaban divertirse, conocer gente, aprender cosas nuevas y apoyar el proyecto. En menor medida identificaban el aprender a jugar.</w:t>
      </w:r>
    </w:p>
    <w:p w:rsidR="00DF59FF" w:rsidRPr="005E1103" w:rsidRDefault="00DF59FF" w:rsidP="00DF59FF">
      <w:pPr>
        <w:pStyle w:val="Ttulo2"/>
        <w:keepLines w:val="0"/>
        <w:numPr>
          <w:ilvl w:val="0"/>
          <w:numId w:val="50"/>
        </w:numPr>
        <w:tabs>
          <w:tab w:val="left" w:pos="1134"/>
          <w:tab w:val="left" w:pos="7932"/>
        </w:tabs>
        <w:spacing w:before="0" w:line="360" w:lineRule="auto"/>
        <w:ind w:left="567" w:right="277" w:firstLine="0"/>
        <w:contextualSpacing/>
        <w:jc w:val="both"/>
        <w:rPr>
          <w:rFonts w:asciiTheme="minorHAnsi" w:hAnsiTheme="minorHAnsi" w:cstheme="minorHAnsi"/>
          <w:sz w:val="28"/>
          <w:szCs w:val="28"/>
        </w:rPr>
      </w:pPr>
      <w:bookmarkStart w:id="48" w:name="_Toc451870413"/>
      <w:r w:rsidRPr="005E1103">
        <w:rPr>
          <w:rFonts w:asciiTheme="minorHAnsi" w:hAnsiTheme="minorHAnsi" w:cstheme="minorHAnsi"/>
          <w:sz w:val="28"/>
          <w:szCs w:val="28"/>
        </w:rPr>
        <w:t>Necesidades y dificultades detectadas</w:t>
      </w:r>
      <w:bookmarkEnd w:id="48"/>
      <w:r w:rsidRPr="005E1103">
        <w:rPr>
          <w:rFonts w:asciiTheme="minorHAnsi" w:hAnsiTheme="minorHAnsi" w:cstheme="minorHAnsi"/>
          <w:sz w:val="28"/>
          <w:szCs w:val="28"/>
        </w:rPr>
        <w:t xml:space="preserve"> </w:t>
      </w:r>
    </w:p>
    <w:p w:rsidR="00DF59FF" w:rsidRPr="005E1103" w:rsidRDefault="00DF59FF" w:rsidP="00DF59FF">
      <w:pPr>
        <w:pStyle w:val="Prrafodelista"/>
        <w:tabs>
          <w:tab w:val="left" w:pos="7932"/>
        </w:tabs>
        <w:spacing w:line="360" w:lineRule="auto"/>
        <w:ind w:left="0" w:right="277"/>
        <w:contextualSpacing w:val="0"/>
        <w:jc w:val="both"/>
        <w:rPr>
          <w:rFonts w:asciiTheme="minorHAnsi" w:hAnsiTheme="minorHAnsi" w:cstheme="minorHAnsi"/>
          <w:sz w:val="28"/>
          <w:szCs w:val="28"/>
        </w:rPr>
      </w:pPr>
      <w:r w:rsidRPr="005E1103">
        <w:rPr>
          <w:rFonts w:asciiTheme="minorHAnsi" w:hAnsiTheme="minorHAnsi" w:cstheme="minorHAnsi"/>
          <w:sz w:val="28"/>
          <w:szCs w:val="28"/>
        </w:rPr>
        <w:t>En este apartado se sintetizan las dificultades relacionadas con diferentes movimientos que se han detectado durante el transcurso de todas las sesiones, al ir probando diferentes juegos con los participantes, todas ellas son personas con grados de movilidad reducida diversos y en diferentes partes del cuerpo (lado izquierdo o derecho, tronco superior, extremidades, dificultades en los brazos). También se recogen otro tipo de dificultades que tienen que ver con las capacidades de cada persona más allá de si se desplazan a pie o en silla de ruedas.</w:t>
      </w:r>
    </w:p>
    <w:p w:rsidR="00DF59FF" w:rsidRPr="005E1103" w:rsidRDefault="00DF59FF" w:rsidP="00DF59FF">
      <w:pPr>
        <w:pStyle w:val="Prrafodelista"/>
        <w:tabs>
          <w:tab w:val="left" w:pos="7932"/>
        </w:tabs>
        <w:spacing w:line="360" w:lineRule="auto"/>
        <w:ind w:left="0" w:right="277"/>
        <w:contextualSpacing w:val="0"/>
        <w:jc w:val="both"/>
        <w:rPr>
          <w:rFonts w:asciiTheme="minorHAnsi" w:hAnsiTheme="minorHAnsi" w:cstheme="minorHAnsi"/>
          <w:sz w:val="28"/>
          <w:szCs w:val="28"/>
        </w:rPr>
      </w:pPr>
      <w:r w:rsidRPr="005E1103">
        <w:rPr>
          <w:rFonts w:asciiTheme="minorHAnsi" w:hAnsiTheme="minorHAnsi" w:cstheme="minorHAnsi"/>
          <w:sz w:val="28"/>
          <w:szCs w:val="28"/>
        </w:rPr>
        <w:t xml:space="preserve">Detectamos, para personas que se desplazan en silla de ruedas hay dificultades en los movimientos que implica saltar o mover todo el cuerpo, Además el dispositivo tiene muchos problemas para identificar a las personas que están en silla, hay que engañar a la Kinect. En algunos juegos es más fácil la detección, pero en otros es casi imposible, a pesar de que se trata de movimientos que se puede hacer desde una silla (movimientos de brazos). </w:t>
      </w:r>
    </w:p>
    <w:p w:rsidR="00DF59FF" w:rsidRPr="005E1103" w:rsidRDefault="00DF59FF" w:rsidP="00DF59FF">
      <w:pPr>
        <w:pStyle w:val="Prrafodelista"/>
        <w:tabs>
          <w:tab w:val="left" w:pos="7932"/>
        </w:tabs>
        <w:spacing w:line="360" w:lineRule="auto"/>
        <w:ind w:left="0" w:right="277"/>
        <w:contextualSpacing w:val="0"/>
        <w:jc w:val="both"/>
        <w:rPr>
          <w:rFonts w:asciiTheme="minorHAnsi" w:hAnsiTheme="minorHAnsi" w:cstheme="minorHAnsi"/>
          <w:sz w:val="28"/>
          <w:szCs w:val="28"/>
        </w:rPr>
      </w:pPr>
      <w:r w:rsidRPr="005E1103">
        <w:rPr>
          <w:rFonts w:asciiTheme="minorHAnsi" w:hAnsiTheme="minorHAnsi" w:cstheme="minorHAnsi"/>
          <w:sz w:val="28"/>
          <w:szCs w:val="28"/>
        </w:rPr>
        <w:t>En el grupo de personas que están de pie se han identificado las siguientes dificultades relacionadas con el movimiento de diferentes partes del cuerpo: mover los dos brazos (hay personas que solo mueven uno), problemas de coordinación, dificultades para saltar y para mover las piernas sin perder el equilibrio.</w:t>
      </w:r>
    </w:p>
    <w:p w:rsidR="00DF59FF" w:rsidRPr="005E1103" w:rsidRDefault="00DF59FF" w:rsidP="00DF59FF">
      <w:pPr>
        <w:pStyle w:val="Prrafodelista"/>
        <w:tabs>
          <w:tab w:val="left" w:pos="7932"/>
        </w:tabs>
        <w:spacing w:line="360" w:lineRule="auto"/>
        <w:ind w:left="0" w:right="277"/>
        <w:contextualSpacing w:val="0"/>
        <w:jc w:val="both"/>
        <w:rPr>
          <w:rFonts w:asciiTheme="minorHAnsi" w:hAnsiTheme="minorHAnsi" w:cstheme="minorHAnsi"/>
          <w:sz w:val="28"/>
          <w:szCs w:val="28"/>
        </w:rPr>
      </w:pPr>
      <w:r w:rsidRPr="005E1103">
        <w:rPr>
          <w:rFonts w:asciiTheme="minorHAnsi" w:hAnsiTheme="minorHAnsi" w:cstheme="minorHAnsi"/>
          <w:sz w:val="28"/>
          <w:szCs w:val="28"/>
        </w:rPr>
        <w:t xml:space="preserve">Además en algunos de los participantes se detectan problemas de concentración y dificultades en el mantenimiento de la atención, problemas para entender las instrucciones del juego (no leen las instrucciones, se ponen excesivamente </w:t>
      </w:r>
      <w:r w:rsidR="00D8776D" w:rsidRPr="005E1103">
        <w:rPr>
          <w:rFonts w:asciiTheme="minorHAnsi" w:hAnsiTheme="minorHAnsi" w:cstheme="minorHAnsi"/>
          <w:sz w:val="28"/>
          <w:szCs w:val="28"/>
        </w:rPr>
        <w:t>nerviosos,</w:t>
      </w:r>
      <w:r w:rsidRPr="005E1103">
        <w:rPr>
          <w:rFonts w:asciiTheme="minorHAnsi" w:hAnsiTheme="minorHAnsi" w:cstheme="minorHAnsi"/>
          <w:sz w:val="28"/>
          <w:szCs w:val="28"/>
        </w:rPr>
        <w:t xml:space="preserve">) </w:t>
      </w:r>
      <w:r w:rsidRPr="005E1103">
        <w:rPr>
          <w:rFonts w:asciiTheme="minorHAnsi" w:hAnsiTheme="minorHAnsi" w:cstheme="minorHAnsi"/>
          <w:sz w:val="28"/>
          <w:szCs w:val="28"/>
        </w:rPr>
        <w:lastRenderedPageBreak/>
        <w:t xml:space="preserve">y falta de práctica, la gran mayoría de las personas participantes no han jugado nunca o desde hace mucho tiempo a videojuegos. </w:t>
      </w:r>
    </w:p>
    <w:p w:rsidR="00DF59FF" w:rsidRPr="005E1103" w:rsidRDefault="00D8776D" w:rsidP="00DF59FF">
      <w:pPr>
        <w:pStyle w:val="Newparagraph"/>
        <w:tabs>
          <w:tab w:val="left" w:pos="7932"/>
        </w:tabs>
        <w:spacing w:line="360" w:lineRule="auto"/>
        <w:ind w:right="277" w:firstLine="0"/>
        <w:jc w:val="both"/>
        <w:rPr>
          <w:rFonts w:asciiTheme="minorHAnsi" w:hAnsiTheme="minorHAnsi" w:cstheme="minorHAnsi"/>
          <w:sz w:val="28"/>
          <w:szCs w:val="28"/>
          <w:lang w:val="es-ES"/>
        </w:rPr>
      </w:pPr>
      <w:r w:rsidRPr="005E1103">
        <w:rPr>
          <w:rFonts w:asciiTheme="minorHAnsi" w:hAnsiTheme="minorHAnsi" w:cstheme="minorHAnsi"/>
          <w:sz w:val="28"/>
          <w:szCs w:val="28"/>
          <w:lang w:val="es-ES"/>
        </w:rPr>
        <w:t>Además,</w:t>
      </w:r>
      <w:r w:rsidR="00DF59FF" w:rsidRPr="005E1103">
        <w:rPr>
          <w:rFonts w:asciiTheme="minorHAnsi" w:hAnsiTheme="minorHAnsi" w:cstheme="minorHAnsi"/>
          <w:sz w:val="28"/>
          <w:szCs w:val="28"/>
          <w:lang w:val="es-ES"/>
        </w:rPr>
        <w:t xml:space="preserve"> el grupo constata diferentes </w:t>
      </w:r>
      <w:r w:rsidR="00DF59FF" w:rsidRPr="005E1103">
        <w:rPr>
          <w:rFonts w:asciiTheme="minorHAnsi" w:hAnsiTheme="minorHAnsi" w:cstheme="minorHAnsi"/>
          <w:i/>
          <w:sz w:val="28"/>
          <w:szCs w:val="28"/>
          <w:lang w:val="es-ES"/>
        </w:rPr>
        <w:t>consideraciones previas</w:t>
      </w:r>
      <w:r w:rsidR="00DF59FF" w:rsidRPr="005E1103">
        <w:rPr>
          <w:rFonts w:asciiTheme="minorHAnsi" w:hAnsiTheme="minorHAnsi" w:cstheme="minorHAnsi"/>
          <w:sz w:val="28"/>
          <w:szCs w:val="28"/>
          <w:lang w:val="es-ES"/>
        </w:rPr>
        <w:t xml:space="preserve"> que deben ser tenidas en cuenta antes del inicio del juego y que se relacionan fundamentalmente con cuestiones de accesibilidad. Es necesario: </w:t>
      </w:r>
    </w:p>
    <w:p w:rsidR="00DF59FF" w:rsidRPr="005E1103" w:rsidRDefault="00DF59FF" w:rsidP="00DF59FF">
      <w:pPr>
        <w:pStyle w:val="Bulletedlist"/>
        <w:tabs>
          <w:tab w:val="left" w:pos="567"/>
        </w:tabs>
        <w:spacing w:before="0" w:after="0" w:line="360" w:lineRule="auto"/>
        <w:ind w:left="0" w:right="277" w:firstLine="0"/>
        <w:jc w:val="both"/>
        <w:rPr>
          <w:rFonts w:asciiTheme="minorHAnsi" w:hAnsiTheme="minorHAnsi" w:cstheme="minorHAnsi"/>
          <w:sz w:val="28"/>
          <w:szCs w:val="28"/>
          <w:lang w:val="es-ES"/>
        </w:rPr>
      </w:pPr>
      <w:r w:rsidRPr="005E1103">
        <w:rPr>
          <w:rFonts w:asciiTheme="minorHAnsi" w:hAnsiTheme="minorHAnsi" w:cstheme="minorHAnsi"/>
          <w:sz w:val="28"/>
          <w:szCs w:val="28"/>
          <w:lang w:val="es-ES"/>
        </w:rPr>
        <w:t>Poder elegir al principio el sexo de la persona protagonista</w:t>
      </w:r>
    </w:p>
    <w:p w:rsidR="00DF59FF" w:rsidRPr="005E1103" w:rsidRDefault="00DF59FF" w:rsidP="00DF59FF">
      <w:pPr>
        <w:pStyle w:val="Bulletedlist"/>
        <w:tabs>
          <w:tab w:val="left" w:pos="567"/>
        </w:tabs>
        <w:spacing w:before="0" w:after="0" w:line="360" w:lineRule="auto"/>
        <w:ind w:left="0" w:right="277" w:firstLine="0"/>
        <w:jc w:val="both"/>
        <w:rPr>
          <w:rFonts w:asciiTheme="minorHAnsi" w:hAnsiTheme="minorHAnsi" w:cstheme="minorHAnsi"/>
          <w:sz w:val="28"/>
          <w:szCs w:val="28"/>
          <w:lang w:val="es-ES"/>
        </w:rPr>
      </w:pPr>
      <w:r w:rsidRPr="005E1103">
        <w:rPr>
          <w:rFonts w:asciiTheme="minorHAnsi" w:hAnsiTheme="minorHAnsi" w:cstheme="minorHAnsi"/>
          <w:sz w:val="28"/>
          <w:szCs w:val="28"/>
          <w:lang w:val="es-ES"/>
        </w:rPr>
        <w:t>Conocer características del jugador para que pueda participar</w:t>
      </w:r>
    </w:p>
    <w:p w:rsidR="00DF59FF" w:rsidRPr="005E1103" w:rsidRDefault="00DF59FF" w:rsidP="00DF59FF">
      <w:pPr>
        <w:pStyle w:val="Bulletedlist"/>
        <w:tabs>
          <w:tab w:val="left" w:pos="567"/>
        </w:tabs>
        <w:spacing w:before="0" w:after="0" w:line="360" w:lineRule="auto"/>
        <w:ind w:left="0" w:right="277" w:firstLine="0"/>
        <w:jc w:val="both"/>
        <w:rPr>
          <w:rFonts w:asciiTheme="minorHAnsi" w:hAnsiTheme="minorHAnsi" w:cstheme="minorHAnsi"/>
          <w:sz w:val="28"/>
          <w:szCs w:val="28"/>
          <w:lang w:val="es-ES"/>
        </w:rPr>
      </w:pPr>
      <w:r w:rsidRPr="005E1103">
        <w:rPr>
          <w:rFonts w:asciiTheme="minorHAnsi" w:hAnsiTheme="minorHAnsi" w:cstheme="minorHAnsi"/>
          <w:sz w:val="28"/>
          <w:szCs w:val="28"/>
          <w:lang w:val="es-ES"/>
        </w:rPr>
        <w:t>Señalar las condiciones generales del jugador</w:t>
      </w:r>
    </w:p>
    <w:p w:rsidR="00DF59FF" w:rsidRPr="005E1103" w:rsidRDefault="00DF59FF" w:rsidP="00DF59FF">
      <w:pPr>
        <w:pStyle w:val="Bulletedlist"/>
        <w:tabs>
          <w:tab w:val="left" w:pos="567"/>
        </w:tabs>
        <w:spacing w:before="0" w:after="0" w:line="360" w:lineRule="auto"/>
        <w:ind w:left="0" w:right="277" w:firstLine="0"/>
        <w:jc w:val="both"/>
        <w:rPr>
          <w:rFonts w:asciiTheme="minorHAnsi" w:hAnsiTheme="minorHAnsi" w:cstheme="minorHAnsi"/>
          <w:sz w:val="28"/>
          <w:szCs w:val="28"/>
          <w:lang w:val="es-ES"/>
        </w:rPr>
      </w:pPr>
      <w:r w:rsidRPr="005E1103">
        <w:rPr>
          <w:rFonts w:asciiTheme="minorHAnsi" w:hAnsiTheme="minorHAnsi" w:cstheme="minorHAnsi"/>
          <w:sz w:val="28"/>
          <w:szCs w:val="28"/>
          <w:lang w:val="es-ES"/>
        </w:rPr>
        <w:t xml:space="preserve">Seleccionar previamente los movimientos que puedas realizar </w:t>
      </w:r>
    </w:p>
    <w:p w:rsidR="00DF59FF" w:rsidRPr="005E1103" w:rsidRDefault="00DF59FF" w:rsidP="00DF59FF">
      <w:pPr>
        <w:pStyle w:val="Bulletedlist"/>
        <w:tabs>
          <w:tab w:val="left" w:pos="567"/>
        </w:tabs>
        <w:spacing w:before="0" w:after="0" w:line="360" w:lineRule="auto"/>
        <w:ind w:left="0" w:right="277" w:firstLine="0"/>
        <w:jc w:val="both"/>
        <w:rPr>
          <w:rFonts w:asciiTheme="minorHAnsi" w:hAnsiTheme="minorHAnsi" w:cstheme="minorHAnsi"/>
          <w:sz w:val="28"/>
          <w:szCs w:val="28"/>
          <w:lang w:val="es-ES"/>
        </w:rPr>
      </w:pPr>
      <w:r w:rsidRPr="005E1103">
        <w:rPr>
          <w:rFonts w:asciiTheme="minorHAnsi" w:hAnsiTheme="minorHAnsi" w:cstheme="minorHAnsi"/>
          <w:sz w:val="28"/>
          <w:szCs w:val="28"/>
          <w:lang w:val="es-ES"/>
        </w:rPr>
        <w:t>Sería interesante valorar la posibilidad de jugar 2 jugadores, se trata de un juego para divertirse, y propiciar jugar en grupo</w:t>
      </w:r>
    </w:p>
    <w:p w:rsidR="00DF59FF" w:rsidRPr="005E1103" w:rsidRDefault="00DF59FF" w:rsidP="00DF59FF">
      <w:pPr>
        <w:pStyle w:val="Ttulo2"/>
        <w:keepLines w:val="0"/>
        <w:numPr>
          <w:ilvl w:val="0"/>
          <w:numId w:val="50"/>
        </w:numPr>
        <w:tabs>
          <w:tab w:val="left" w:pos="1134"/>
          <w:tab w:val="left" w:pos="7932"/>
        </w:tabs>
        <w:spacing w:before="0" w:line="360" w:lineRule="auto"/>
        <w:ind w:left="567" w:right="277" w:firstLine="0"/>
        <w:contextualSpacing/>
        <w:jc w:val="both"/>
        <w:rPr>
          <w:rFonts w:asciiTheme="minorHAnsi" w:hAnsiTheme="minorHAnsi" w:cstheme="minorHAnsi"/>
          <w:sz w:val="28"/>
          <w:szCs w:val="28"/>
        </w:rPr>
      </w:pPr>
      <w:bookmarkStart w:id="49" w:name="_Toc451870408"/>
      <w:r w:rsidRPr="005E1103">
        <w:rPr>
          <w:rFonts w:asciiTheme="minorHAnsi" w:hAnsiTheme="minorHAnsi" w:cstheme="minorHAnsi"/>
          <w:sz w:val="28"/>
          <w:szCs w:val="28"/>
        </w:rPr>
        <w:t>Contenidos del diseño del videojuego</w:t>
      </w:r>
      <w:bookmarkEnd w:id="49"/>
      <w:r w:rsidRPr="005E1103">
        <w:rPr>
          <w:rFonts w:asciiTheme="minorHAnsi" w:hAnsiTheme="minorHAnsi" w:cstheme="minorHAnsi"/>
          <w:sz w:val="28"/>
          <w:szCs w:val="28"/>
        </w:rPr>
        <w:t xml:space="preserve"> en el grupo </w:t>
      </w:r>
    </w:p>
    <w:p w:rsidR="00DF59FF" w:rsidRPr="005E1103" w:rsidRDefault="00DF59FF" w:rsidP="00DF59FF">
      <w:pPr>
        <w:pStyle w:val="Prrafodelista"/>
        <w:tabs>
          <w:tab w:val="left" w:pos="7932"/>
        </w:tabs>
        <w:spacing w:line="360" w:lineRule="auto"/>
        <w:ind w:left="0" w:right="277"/>
        <w:contextualSpacing w:val="0"/>
        <w:jc w:val="both"/>
        <w:rPr>
          <w:rFonts w:asciiTheme="minorHAnsi" w:hAnsiTheme="minorHAnsi" w:cstheme="minorHAnsi"/>
          <w:sz w:val="28"/>
          <w:szCs w:val="28"/>
        </w:rPr>
      </w:pPr>
      <w:r w:rsidRPr="005E1103">
        <w:rPr>
          <w:rFonts w:asciiTheme="minorHAnsi" w:hAnsiTheme="minorHAnsi" w:cstheme="minorHAnsi"/>
          <w:sz w:val="28"/>
          <w:szCs w:val="28"/>
        </w:rPr>
        <w:t>En este apartado se esbozan los contenidos del videojuego, consensuados y trabajados en el grupo de trabajo configurado por participantes con discapacidad física. Se plantea el argumento del juego, los escenarios del mismo y los diferentes tipos de actividades y pruebas que se proponen para el desarrollo del juego.</w:t>
      </w:r>
    </w:p>
    <w:p w:rsidR="00DF59FF" w:rsidRPr="005E1103" w:rsidRDefault="00DF59FF" w:rsidP="00DF59FF">
      <w:pPr>
        <w:pStyle w:val="Prrafodelista"/>
        <w:tabs>
          <w:tab w:val="left" w:pos="7932"/>
        </w:tabs>
        <w:spacing w:line="360" w:lineRule="auto"/>
        <w:ind w:left="0" w:right="277"/>
        <w:contextualSpacing w:val="0"/>
        <w:jc w:val="both"/>
        <w:rPr>
          <w:rFonts w:asciiTheme="minorHAnsi" w:hAnsiTheme="minorHAnsi" w:cstheme="minorHAnsi"/>
          <w:sz w:val="28"/>
          <w:szCs w:val="28"/>
        </w:rPr>
      </w:pPr>
      <w:r w:rsidRPr="005E1103">
        <w:rPr>
          <w:rFonts w:asciiTheme="minorHAnsi" w:hAnsiTheme="minorHAnsi" w:cstheme="minorHAnsi"/>
          <w:sz w:val="28"/>
          <w:szCs w:val="28"/>
        </w:rPr>
        <w:t>El grupo trabajó varias propuestas de títulos para el videojuego que giraron en torno a prototipos de futuro, la eliminación de las barreras y la presencia activa de personas con discapacidad física en la sociedad.</w:t>
      </w:r>
    </w:p>
    <w:p w:rsidR="00DF59FF" w:rsidRPr="005E1103" w:rsidRDefault="00DF59FF" w:rsidP="00DF59FF">
      <w:pPr>
        <w:pStyle w:val="Ttulo3"/>
        <w:tabs>
          <w:tab w:val="left" w:pos="7932"/>
        </w:tabs>
        <w:spacing w:before="0"/>
        <w:ind w:right="277"/>
        <w:jc w:val="both"/>
        <w:rPr>
          <w:rFonts w:asciiTheme="minorHAnsi" w:hAnsiTheme="minorHAnsi" w:cstheme="minorHAnsi"/>
          <w:i/>
          <w:sz w:val="28"/>
          <w:szCs w:val="28"/>
        </w:rPr>
      </w:pPr>
      <w:bookmarkStart w:id="50" w:name="_Toc451870410"/>
      <w:r w:rsidRPr="005E1103">
        <w:rPr>
          <w:rFonts w:asciiTheme="minorHAnsi" w:eastAsiaTheme="minorHAnsi" w:hAnsiTheme="minorHAnsi" w:cstheme="minorHAnsi"/>
          <w:sz w:val="28"/>
          <w:szCs w:val="28"/>
        </w:rPr>
        <w:lastRenderedPageBreak/>
        <w:t>El argumento del videojuego</w:t>
      </w:r>
      <w:bookmarkEnd w:id="50"/>
      <w:r w:rsidRPr="005E1103">
        <w:rPr>
          <w:rFonts w:asciiTheme="minorHAnsi" w:eastAsiaTheme="minorHAnsi" w:hAnsiTheme="minorHAnsi" w:cstheme="minorHAnsi"/>
          <w:sz w:val="28"/>
          <w:szCs w:val="28"/>
        </w:rPr>
        <w:t xml:space="preserve"> gira en torno al futuro. </w:t>
      </w:r>
      <w:r w:rsidRPr="005E1103">
        <w:rPr>
          <w:rFonts w:asciiTheme="minorHAnsi" w:hAnsiTheme="minorHAnsi" w:cstheme="minorHAnsi"/>
          <w:sz w:val="28"/>
          <w:szCs w:val="28"/>
        </w:rPr>
        <w:t xml:space="preserve">El Universo ha cambiado, las Tecnologías de la Información y Comunicación (TIC) han generado un mundo más evolucionado en una sociedad totalmente diferente a la de tiempos pasados. La tecnología al servicio de las personas ha provocado la absoluta necesidad y dependencia de las personas hacia las máquinas y dispositivos tecnológicos de diferente naturaleza. De igual manera, la tecnología se ha convertido en lo más importante, no solo es imprescindible para alimentarse, dormir, trabajar, desplazarse, sino que las máquinas se han convertido en auténticos artículos de colección. </w:t>
      </w:r>
    </w:p>
    <w:p w:rsidR="00DF59FF" w:rsidRPr="005E1103" w:rsidRDefault="00DF59FF" w:rsidP="00DF59FF">
      <w:pPr>
        <w:pStyle w:val="Prrafodelista"/>
        <w:tabs>
          <w:tab w:val="left" w:pos="7932"/>
        </w:tabs>
        <w:spacing w:line="360" w:lineRule="auto"/>
        <w:ind w:left="0" w:right="277"/>
        <w:contextualSpacing w:val="0"/>
        <w:jc w:val="both"/>
        <w:rPr>
          <w:rFonts w:asciiTheme="minorHAnsi" w:hAnsiTheme="minorHAnsi" w:cstheme="minorHAnsi"/>
          <w:sz w:val="28"/>
          <w:szCs w:val="28"/>
        </w:rPr>
      </w:pPr>
      <w:r w:rsidRPr="005E1103">
        <w:rPr>
          <w:rFonts w:asciiTheme="minorHAnsi" w:hAnsiTheme="minorHAnsi" w:cstheme="minorHAnsi"/>
          <w:sz w:val="28"/>
          <w:szCs w:val="28"/>
        </w:rPr>
        <w:t>Nuestro protagonista es una persona (hombre ó mujer) coleccionista de antiguos blogs rescatados, y al igual que antiguamente se guardaban en bibliotecas libros antiguos, colecciona miles de blogs, descubiertos durante siglos pasados y que se afana en leer, organizar y mantener ordenados dentro de su magnífica biblioteca virtual.</w:t>
      </w:r>
    </w:p>
    <w:p w:rsidR="00DF59FF" w:rsidRPr="005E1103" w:rsidRDefault="00DF59FF" w:rsidP="00DF59FF">
      <w:pPr>
        <w:pStyle w:val="Prrafodelista"/>
        <w:tabs>
          <w:tab w:val="left" w:pos="7932"/>
        </w:tabs>
        <w:spacing w:line="360" w:lineRule="auto"/>
        <w:ind w:left="0" w:right="277"/>
        <w:contextualSpacing w:val="0"/>
        <w:jc w:val="both"/>
        <w:rPr>
          <w:rFonts w:asciiTheme="minorHAnsi" w:hAnsiTheme="minorHAnsi" w:cstheme="minorHAnsi"/>
          <w:sz w:val="28"/>
          <w:szCs w:val="28"/>
        </w:rPr>
      </w:pPr>
      <w:r w:rsidRPr="005E1103">
        <w:rPr>
          <w:rFonts w:asciiTheme="minorHAnsi" w:hAnsiTheme="minorHAnsi" w:cstheme="minorHAnsi"/>
          <w:sz w:val="28"/>
          <w:szCs w:val="28"/>
        </w:rPr>
        <w:t xml:space="preserve">En alguno de los blogs datados en el siglo XXI encuentra historias apasionantes en las que aparecen elementos y situaciones que ya no se dan en el mundo que le toca vivir. Lee sobre barreras, dificultades, problemas de movilidad y otras vivencias de un colectivo denominado por aquel entonces personas con discapacidad física. Se da cuenta de que en su realidad no existen todas esas desigualdades mencionadas. Y decide emprender un viaje al pasado desde el futuro. El viaje comienza y acaba en tierras vascas, y durante el juego visitará infinidad de países, en donde tendrá que superar diferentes pruebas, </w:t>
      </w:r>
      <w:r w:rsidR="00D8776D" w:rsidRPr="005E1103">
        <w:rPr>
          <w:rFonts w:asciiTheme="minorHAnsi" w:hAnsiTheme="minorHAnsi" w:cstheme="minorHAnsi"/>
          <w:sz w:val="28"/>
          <w:szCs w:val="28"/>
        </w:rPr>
        <w:t>toda ella le permite</w:t>
      </w:r>
      <w:r w:rsidRPr="005E1103">
        <w:rPr>
          <w:rFonts w:asciiTheme="minorHAnsi" w:hAnsiTheme="minorHAnsi" w:cstheme="minorHAnsi"/>
          <w:sz w:val="28"/>
          <w:szCs w:val="28"/>
        </w:rPr>
        <w:t xml:space="preserve"> ganar puntos en materia de accesibilidad.</w:t>
      </w:r>
    </w:p>
    <w:p w:rsidR="00DF59FF" w:rsidRPr="005E1103" w:rsidRDefault="00DF59FF" w:rsidP="00DF59FF">
      <w:pPr>
        <w:pStyle w:val="Prrafodelista"/>
        <w:tabs>
          <w:tab w:val="left" w:pos="7932"/>
        </w:tabs>
        <w:spacing w:line="360" w:lineRule="auto"/>
        <w:ind w:left="0" w:right="277"/>
        <w:contextualSpacing w:val="0"/>
        <w:jc w:val="both"/>
        <w:rPr>
          <w:rFonts w:asciiTheme="minorHAnsi" w:hAnsiTheme="minorHAnsi" w:cstheme="minorHAnsi"/>
          <w:sz w:val="28"/>
          <w:szCs w:val="28"/>
        </w:rPr>
      </w:pPr>
      <w:r w:rsidRPr="005E1103">
        <w:rPr>
          <w:rFonts w:asciiTheme="minorHAnsi" w:hAnsiTheme="minorHAnsi" w:cstheme="minorHAnsi"/>
          <w:sz w:val="28"/>
          <w:szCs w:val="28"/>
        </w:rPr>
        <w:t xml:space="preserve">Se han planteado numerosos </w:t>
      </w:r>
      <w:r w:rsidRPr="005E1103">
        <w:rPr>
          <w:rFonts w:asciiTheme="minorHAnsi" w:hAnsiTheme="minorHAnsi" w:cstheme="minorHAnsi"/>
          <w:i/>
          <w:sz w:val="28"/>
          <w:szCs w:val="28"/>
        </w:rPr>
        <w:t>escenarios</w:t>
      </w:r>
      <w:r w:rsidRPr="005E1103">
        <w:rPr>
          <w:rFonts w:asciiTheme="minorHAnsi" w:hAnsiTheme="minorHAnsi" w:cstheme="minorHAnsi"/>
          <w:sz w:val="28"/>
          <w:szCs w:val="28"/>
        </w:rPr>
        <w:t xml:space="preserve"> para el videojuego, el grupo de personas con discapacidad física han listado un conjunto de lugares turísticos, emblemáticos y conocidos situados en diferentes ciudades y países de los cinco continentes.</w:t>
      </w:r>
    </w:p>
    <w:p w:rsidR="00DF59FF" w:rsidRPr="005E1103" w:rsidRDefault="00DF59FF" w:rsidP="00DF59FF">
      <w:pPr>
        <w:pStyle w:val="Prrafodelista"/>
        <w:tabs>
          <w:tab w:val="left" w:pos="7932"/>
        </w:tabs>
        <w:spacing w:line="360" w:lineRule="auto"/>
        <w:ind w:left="0" w:right="277"/>
        <w:contextualSpacing w:val="0"/>
        <w:jc w:val="both"/>
        <w:rPr>
          <w:rFonts w:asciiTheme="minorHAnsi" w:hAnsiTheme="minorHAnsi" w:cstheme="minorHAnsi"/>
          <w:sz w:val="28"/>
          <w:szCs w:val="28"/>
        </w:rPr>
      </w:pPr>
      <w:r w:rsidRPr="005E1103">
        <w:rPr>
          <w:rFonts w:asciiTheme="minorHAnsi" w:hAnsiTheme="minorHAnsi" w:cstheme="minorHAnsi"/>
          <w:sz w:val="28"/>
          <w:szCs w:val="28"/>
        </w:rPr>
        <w:t xml:space="preserve">El grupo ha pensado diferentes tipos de </w:t>
      </w:r>
      <w:r w:rsidRPr="005E1103">
        <w:rPr>
          <w:rFonts w:asciiTheme="minorHAnsi" w:hAnsiTheme="minorHAnsi" w:cstheme="minorHAnsi"/>
          <w:i/>
          <w:sz w:val="28"/>
          <w:szCs w:val="28"/>
        </w:rPr>
        <w:t>juegos</w:t>
      </w:r>
      <w:r w:rsidRPr="005E1103">
        <w:rPr>
          <w:rFonts w:asciiTheme="minorHAnsi" w:hAnsiTheme="minorHAnsi" w:cstheme="minorHAnsi"/>
          <w:sz w:val="28"/>
          <w:szCs w:val="28"/>
        </w:rPr>
        <w:t xml:space="preserve"> para ser incorporados en la sucesión de pruebas que se desarrollaran en el videojuego y poder ir superando niveles, las hay de carácter deportivo, recreativo y de corte más intelectual que implican habilidades de naturaleza más cognitiva.</w:t>
      </w:r>
    </w:p>
    <w:p w:rsidR="00DF59FF" w:rsidRPr="005E1103" w:rsidRDefault="00DF59FF" w:rsidP="00DF59FF">
      <w:pPr>
        <w:tabs>
          <w:tab w:val="left" w:pos="7932"/>
        </w:tabs>
        <w:spacing w:line="360" w:lineRule="auto"/>
        <w:ind w:right="277"/>
        <w:jc w:val="both"/>
        <w:rPr>
          <w:rFonts w:cstheme="minorHAnsi"/>
          <w:b/>
          <w:bCs/>
          <w:sz w:val="28"/>
          <w:szCs w:val="28"/>
        </w:rPr>
      </w:pPr>
      <w:r w:rsidRPr="005E1103">
        <w:rPr>
          <w:rFonts w:cstheme="minorHAnsi"/>
          <w:sz w:val="28"/>
          <w:szCs w:val="28"/>
        </w:rPr>
        <w:lastRenderedPageBreak/>
        <w:t>Los juegos deportivos planteados son: parapente, esquí, esquí acuático, ping-pong, golf, dardos, bolos, baloncesto, tenis, tiro con arco, hípica con obstáculos, carrera de handbikes y boccia. Los diferentes movimientos que el jugador hará en cada uno de ellos puede incluir uno o varios de los siguientes: brazos arriba y abajo, brazos derecha e izquierda, tronco de derecha e izquierda, un brazo delante basculando a derecha o izquierda, brazos arriba – abajo, derecha e izquierda, brazos adelante y atrás, un brazo arriba adelante y atrás.</w:t>
      </w:r>
    </w:p>
    <w:p w:rsidR="00DF59FF" w:rsidRPr="005E1103" w:rsidRDefault="00DF59FF" w:rsidP="00DF59FF">
      <w:pPr>
        <w:tabs>
          <w:tab w:val="left" w:pos="7932"/>
        </w:tabs>
        <w:spacing w:line="360" w:lineRule="auto"/>
        <w:ind w:right="277"/>
        <w:jc w:val="both"/>
        <w:rPr>
          <w:rFonts w:cstheme="minorHAnsi"/>
          <w:sz w:val="28"/>
          <w:szCs w:val="28"/>
        </w:rPr>
      </w:pPr>
      <w:r w:rsidRPr="005E1103">
        <w:rPr>
          <w:rFonts w:cstheme="minorHAnsi"/>
          <w:sz w:val="28"/>
          <w:szCs w:val="28"/>
        </w:rPr>
        <w:t xml:space="preserve">Los juegos recreativos pensados para incorporar en diferentes fases del videojuego son: escuela de conducción, tres en raya, canicas, juego de la oca, mesa con discos con aire para lanzar </w:t>
      </w:r>
      <w:r w:rsidR="00D8776D" w:rsidRPr="005E1103">
        <w:rPr>
          <w:rFonts w:cstheme="minorHAnsi"/>
          <w:sz w:val="28"/>
          <w:szCs w:val="28"/>
        </w:rPr>
        <w:t>discos,</w:t>
      </w:r>
      <w:r w:rsidRPr="005E1103">
        <w:rPr>
          <w:rFonts w:cstheme="minorHAnsi"/>
          <w:sz w:val="28"/>
          <w:szCs w:val="28"/>
        </w:rPr>
        <w:t xml:space="preserve"> al contrario, juegos de burbujas y juegos de ladrillos con diferentes niveles. El repertorio de movimientos implicados, uno o varios de ellos, en los juegos son: movimiento para realizar un circuito con señales, arrastrar con las manos, brazos adelante y atrás, brazos arriba y abajo. </w:t>
      </w:r>
    </w:p>
    <w:p w:rsidR="00DF59FF" w:rsidRPr="005E1103" w:rsidRDefault="00DF59FF" w:rsidP="00DF59FF">
      <w:pPr>
        <w:tabs>
          <w:tab w:val="left" w:pos="7932"/>
        </w:tabs>
        <w:spacing w:line="360" w:lineRule="auto"/>
        <w:ind w:right="277"/>
        <w:jc w:val="both"/>
        <w:rPr>
          <w:rFonts w:cstheme="minorHAnsi"/>
          <w:sz w:val="28"/>
          <w:szCs w:val="28"/>
        </w:rPr>
      </w:pPr>
      <w:r w:rsidRPr="005E1103">
        <w:rPr>
          <w:rFonts w:cstheme="minorHAnsi"/>
          <w:sz w:val="28"/>
          <w:szCs w:val="28"/>
        </w:rPr>
        <w:t>Los juegos cognitivos planteados son: emparejar estatuas, puzles, cortar frutas, búsqueda del tesoro o responder preguntas de cada país formato tipo trivial. Y los movimientos implicados son: arrastrar con las manos, manos de derecha e izquierda, avanzar en las pruebas con diferentes opciones de movimiento, y señalar respuesta correcta con un movimiento de brazo.</w:t>
      </w:r>
    </w:p>
    <w:p w:rsidR="00DF59FF" w:rsidRPr="005E1103" w:rsidRDefault="00DF59FF" w:rsidP="00DF59FF">
      <w:pPr>
        <w:pStyle w:val="Ttulo2"/>
        <w:keepLines w:val="0"/>
        <w:numPr>
          <w:ilvl w:val="0"/>
          <w:numId w:val="50"/>
        </w:numPr>
        <w:tabs>
          <w:tab w:val="left" w:pos="1134"/>
          <w:tab w:val="left" w:pos="7932"/>
        </w:tabs>
        <w:spacing w:before="0" w:line="360" w:lineRule="auto"/>
        <w:ind w:left="567" w:right="277" w:firstLine="0"/>
        <w:contextualSpacing/>
        <w:jc w:val="both"/>
        <w:rPr>
          <w:rFonts w:asciiTheme="minorHAnsi" w:hAnsiTheme="minorHAnsi" w:cstheme="minorHAnsi"/>
          <w:sz w:val="28"/>
          <w:szCs w:val="28"/>
        </w:rPr>
      </w:pPr>
      <w:bookmarkStart w:id="51" w:name="_Toc451870405"/>
      <w:r w:rsidRPr="005E1103">
        <w:rPr>
          <w:rFonts w:asciiTheme="minorHAnsi" w:hAnsiTheme="minorHAnsi" w:cstheme="minorHAnsi"/>
          <w:sz w:val="28"/>
          <w:szCs w:val="28"/>
        </w:rPr>
        <w:t>Valoración de los participantes al finalizar las sesiones</w:t>
      </w:r>
      <w:bookmarkEnd w:id="51"/>
    </w:p>
    <w:p w:rsidR="00DF59FF" w:rsidRPr="005E1103" w:rsidRDefault="00DF59FF" w:rsidP="00DF59FF">
      <w:pPr>
        <w:pStyle w:val="Newparagraph"/>
        <w:tabs>
          <w:tab w:val="left" w:pos="567"/>
        </w:tabs>
        <w:spacing w:line="360" w:lineRule="auto"/>
        <w:ind w:right="277" w:firstLine="0"/>
        <w:jc w:val="both"/>
        <w:rPr>
          <w:rFonts w:asciiTheme="minorHAnsi" w:hAnsiTheme="minorHAnsi" w:cstheme="minorHAnsi"/>
          <w:sz w:val="28"/>
          <w:szCs w:val="28"/>
          <w:lang w:val="es-ES"/>
        </w:rPr>
      </w:pPr>
      <w:r w:rsidRPr="005E1103">
        <w:rPr>
          <w:rFonts w:asciiTheme="minorHAnsi" w:hAnsiTheme="minorHAnsi" w:cstheme="minorHAnsi"/>
          <w:sz w:val="28"/>
          <w:szCs w:val="28"/>
          <w:lang w:val="es-ES"/>
        </w:rPr>
        <w:t>En este apartado se presenta la valoración que realizan de la experiencia de haber participado en el proceso de diseño del videojuego. Se resume de forma descriptiva las opiniones que los participantes han realizado al finalizar cada una de las sesiones, sus comentarios se articulan en torno a aspectos positivos y elementos a mejorar.</w:t>
      </w:r>
    </w:p>
    <w:p w:rsidR="00DF59FF" w:rsidRPr="005E1103" w:rsidRDefault="00DF59FF" w:rsidP="00DF59FF">
      <w:pPr>
        <w:pStyle w:val="Newparagraph"/>
        <w:tabs>
          <w:tab w:val="left" w:pos="567"/>
        </w:tabs>
        <w:spacing w:line="360" w:lineRule="auto"/>
        <w:ind w:right="277" w:firstLine="0"/>
        <w:jc w:val="both"/>
        <w:rPr>
          <w:rFonts w:asciiTheme="minorHAnsi" w:hAnsiTheme="minorHAnsi" w:cstheme="minorHAnsi"/>
          <w:sz w:val="28"/>
          <w:szCs w:val="28"/>
          <w:lang w:val="es-ES"/>
        </w:rPr>
      </w:pPr>
      <w:r w:rsidRPr="005E1103">
        <w:rPr>
          <w:rFonts w:asciiTheme="minorHAnsi" w:hAnsiTheme="minorHAnsi" w:cstheme="minorHAnsi"/>
          <w:sz w:val="28"/>
          <w:szCs w:val="28"/>
          <w:lang w:val="es-ES"/>
        </w:rPr>
        <w:t xml:space="preserve">Los </w:t>
      </w:r>
      <w:r w:rsidRPr="005E1103">
        <w:rPr>
          <w:rFonts w:asciiTheme="minorHAnsi" w:hAnsiTheme="minorHAnsi" w:cstheme="minorHAnsi"/>
          <w:i/>
          <w:sz w:val="28"/>
          <w:szCs w:val="28"/>
          <w:lang w:val="es-ES"/>
        </w:rPr>
        <w:t>aspectos positivos</w:t>
      </w:r>
      <w:r w:rsidRPr="005E1103">
        <w:rPr>
          <w:rFonts w:asciiTheme="minorHAnsi" w:hAnsiTheme="minorHAnsi" w:cstheme="minorHAnsi"/>
          <w:sz w:val="28"/>
          <w:szCs w:val="28"/>
          <w:lang w:val="es-ES"/>
        </w:rPr>
        <w:t xml:space="preserve"> están organizados en tres categorías: el funcionamiento grupal, la experiencia de jugar con videojuegos e ideas sobre el diseño del juego.</w:t>
      </w:r>
    </w:p>
    <w:p w:rsidR="00DF59FF" w:rsidRPr="005E1103" w:rsidRDefault="00DF59FF" w:rsidP="00DF59FF">
      <w:pPr>
        <w:pStyle w:val="Newparagraph"/>
        <w:tabs>
          <w:tab w:val="left" w:pos="567"/>
        </w:tabs>
        <w:spacing w:line="360" w:lineRule="auto"/>
        <w:ind w:right="277" w:firstLine="0"/>
        <w:jc w:val="both"/>
        <w:rPr>
          <w:rFonts w:asciiTheme="minorHAnsi" w:hAnsiTheme="minorHAnsi" w:cstheme="minorHAnsi"/>
          <w:color w:val="000000" w:themeColor="text1" w:themeShade="BF"/>
          <w:sz w:val="28"/>
          <w:szCs w:val="28"/>
          <w:lang w:val="es-ES"/>
        </w:rPr>
      </w:pPr>
      <w:r w:rsidRPr="005E1103">
        <w:rPr>
          <w:rFonts w:asciiTheme="minorHAnsi" w:hAnsiTheme="minorHAnsi" w:cstheme="minorHAnsi"/>
          <w:sz w:val="28"/>
          <w:szCs w:val="28"/>
          <w:lang w:val="es-ES"/>
        </w:rPr>
        <w:lastRenderedPageBreak/>
        <w:t>Las ideas expresadas en torno al funcionamiento grupal se centran en la a</w:t>
      </w:r>
      <w:r w:rsidRPr="005E1103">
        <w:rPr>
          <w:rFonts w:asciiTheme="minorHAnsi" w:hAnsiTheme="minorHAnsi" w:cstheme="minorHAnsi"/>
          <w:color w:val="000000" w:themeColor="text1" w:themeShade="BF"/>
          <w:sz w:val="28"/>
          <w:szCs w:val="28"/>
          <w:lang w:val="es-ES"/>
        </w:rPr>
        <w:t>lta participación, el buen ambiente y compañerismo y que se han divertido mucho aunque haya habido una rivalidad sana entre ellos.</w:t>
      </w:r>
    </w:p>
    <w:p w:rsidR="00DF59FF" w:rsidRPr="005E1103" w:rsidRDefault="00DF59FF" w:rsidP="00DF59FF">
      <w:pPr>
        <w:pStyle w:val="Newparagraph"/>
        <w:tabs>
          <w:tab w:val="left" w:pos="567"/>
        </w:tabs>
        <w:spacing w:line="360" w:lineRule="auto"/>
        <w:ind w:right="277" w:firstLine="0"/>
        <w:jc w:val="both"/>
        <w:rPr>
          <w:rFonts w:asciiTheme="minorHAnsi" w:hAnsiTheme="minorHAnsi" w:cstheme="minorHAnsi"/>
          <w:bCs/>
          <w:color w:val="000000" w:themeColor="text1" w:themeShade="BF"/>
          <w:sz w:val="28"/>
          <w:szCs w:val="28"/>
          <w:lang w:val="es-ES"/>
        </w:rPr>
      </w:pPr>
      <w:r w:rsidRPr="005E1103">
        <w:rPr>
          <w:rFonts w:asciiTheme="minorHAnsi" w:hAnsiTheme="minorHAnsi" w:cstheme="minorHAnsi"/>
          <w:sz w:val="28"/>
          <w:szCs w:val="28"/>
          <w:lang w:val="es-ES"/>
        </w:rPr>
        <w:t xml:space="preserve">Las afirmaciones que narran su experiencia al probar videojuegos giran en torno a lo importante que es que ahora pueden jugar, que hasta </w:t>
      </w:r>
      <w:r w:rsidRPr="005E1103">
        <w:rPr>
          <w:rFonts w:asciiTheme="minorHAnsi" w:hAnsiTheme="minorHAnsi" w:cstheme="minorHAnsi"/>
          <w:color w:val="000000" w:themeColor="text1" w:themeShade="BF"/>
          <w:sz w:val="28"/>
          <w:szCs w:val="28"/>
          <w:lang w:val="es-ES"/>
        </w:rPr>
        <w:t>que no lo pruebas no lo sabes valorar, no sabían jugar y pensaban que además no podían jugar, ha sido muy excitante ver la cara de alguno de los que no habían jugado nunca, se han divertido mucho y además hemos podido hacer movimientos que nos ayudan en la coordinación y en mantener niveles de movimiento. Se puede jugar a diferentes cosas dependiendo de tus dificultades de movilidad, nos gusta jugar y estamos encantados de poder jugar, de haber probado muchos juegos y de que juguemos todos.</w:t>
      </w:r>
    </w:p>
    <w:p w:rsidR="00DF59FF" w:rsidRPr="005E1103" w:rsidRDefault="00DF59FF" w:rsidP="00DF59FF">
      <w:pPr>
        <w:pStyle w:val="Newparagraph"/>
        <w:tabs>
          <w:tab w:val="left" w:pos="567"/>
        </w:tabs>
        <w:spacing w:line="360" w:lineRule="auto"/>
        <w:ind w:right="277" w:firstLine="0"/>
        <w:jc w:val="both"/>
        <w:rPr>
          <w:rFonts w:asciiTheme="minorHAnsi" w:hAnsiTheme="minorHAnsi" w:cstheme="minorHAnsi"/>
          <w:sz w:val="28"/>
          <w:szCs w:val="28"/>
          <w:lang w:val="es-ES"/>
        </w:rPr>
      </w:pPr>
      <w:r w:rsidRPr="005E1103">
        <w:rPr>
          <w:rFonts w:asciiTheme="minorHAnsi" w:hAnsiTheme="minorHAnsi" w:cstheme="minorHAnsi"/>
          <w:sz w:val="28"/>
          <w:szCs w:val="28"/>
          <w:lang w:val="es-ES"/>
        </w:rPr>
        <w:t>Las valoraciones más relacionadas con el proceso del diseño de un juego accesible recogen ideas tales como las ventajas de trabajar en grupo y hacer lluvia de ideas, la gozada de p</w:t>
      </w:r>
      <w:r w:rsidRPr="005E1103">
        <w:rPr>
          <w:rFonts w:asciiTheme="minorHAnsi" w:hAnsiTheme="minorHAnsi" w:cstheme="minorHAnsi"/>
          <w:color w:val="000000" w:themeColor="text1" w:themeShade="BF"/>
          <w:sz w:val="28"/>
          <w:szCs w:val="28"/>
          <w:lang w:val="es-ES"/>
        </w:rPr>
        <w:t>oder imaginar un mundo nuevo, la importancia de ponerse de acuerdo, de ir concretando elementos y cuestiones relacionadas con la accesibilidad, de tener ideas para proponer las pruebas, escenarios, países, en resumen h</w:t>
      </w:r>
      <w:r w:rsidRPr="005E1103">
        <w:rPr>
          <w:rFonts w:asciiTheme="minorHAnsi" w:hAnsiTheme="minorHAnsi" w:cstheme="minorHAnsi"/>
          <w:sz w:val="28"/>
          <w:szCs w:val="28"/>
          <w:lang w:val="es-ES"/>
        </w:rPr>
        <w:t>emos hecho algo novedoso para casi todos/as, y queremos continuar.</w:t>
      </w:r>
    </w:p>
    <w:p w:rsidR="00DF59FF" w:rsidRPr="005E1103" w:rsidRDefault="00DF59FF" w:rsidP="00DF59FF">
      <w:pPr>
        <w:pStyle w:val="Tabletitle"/>
        <w:tabs>
          <w:tab w:val="left" w:pos="567"/>
        </w:tabs>
        <w:spacing w:before="0"/>
        <w:ind w:right="277"/>
        <w:jc w:val="both"/>
        <w:rPr>
          <w:rFonts w:asciiTheme="minorHAnsi" w:hAnsiTheme="minorHAnsi" w:cstheme="minorHAnsi"/>
          <w:sz w:val="28"/>
          <w:szCs w:val="28"/>
          <w:lang w:val="es-ES"/>
        </w:rPr>
      </w:pPr>
      <w:r w:rsidRPr="005E1103">
        <w:rPr>
          <w:rFonts w:asciiTheme="minorHAnsi" w:hAnsiTheme="minorHAnsi" w:cstheme="minorHAnsi"/>
          <w:sz w:val="28"/>
          <w:szCs w:val="28"/>
          <w:lang w:val="es-ES"/>
        </w:rPr>
        <w:t>En general la valoración personal de las sesiones ha sido muy positiva, una experiencia divertida, contentos de participar, de mejorar habilidades si jugaran más de continuo, un grupo muy majo, buen ambiente en las sesiones, implicación de los participantes y una gran satisfacción.</w:t>
      </w:r>
    </w:p>
    <w:p w:rsidR="00DF59FF" w:rsidRPr="005E1103" w:rsidRDefault="00DF59FF" w:rsidP="00DF59FF">
      <w:pPr>
        <w:pStyle w:val="Newparagraph"/>
        <w:tabs>
          <w:tab w:val="left" w:pos="567"/>
        </w:tabs>
        <w:spacing w:line="360" w:lineRule="auto"/>
        <w:ind w:right="277" w:firstLine="0"/>
        <w:jc w:val="both"/>
        <w:rPr>
          <w:rFonts w:asciiTheme="minorHAnsi" w:hAnsiTheme="minorHAnsi" w:cstheme="minorHAnsi"/>
          <w:sz w:val="28"/>
          <w:szCs w:val="28"/>
          <w:lang w:val="es-ES"/>
        </w:rPr>
      </w:pPr>
      <w:r w:rsidRPr="005E1103">
        <w:rPr>
          <w:rFonts w:asciiTheme="minorHAnsi" w:hAnsiTheme="minorHAnsi" w:cstheme="minorHAnsi"/>
          <w:sz w:val="28"/>
          <w:szCs w:val="28"/>
          <w:lang w:val="es-ES"/>
        </w:rPr>
        <w:t>Aquellos aspectos a mejorar descritos por los participantes se organizan en dos grupos: aquellos relacionados con la participación en el grupo de trabajo y aquellos ligados a los videojuegos.</w:t>
      </w:r>
    </w:p>
    <w:p w:rsidR="00DF59FF" w:rsidRPr="005E1103" w:rsidRDefault="00DF59FF" w:rsidP="00DF59FF">
      <w:pPr>
        <w:pStyle w:val="Newparagraph"/>
        <w:tabs>
          <w:tab w:val="left" w:pos="567"/>
        </w:tabs>
        <w:spacing w:line="360" w:lineRule="auto"/>
        <w:ind w:right="277" w:firstLine="0"/>
        <w:jc w:val="both"/>
        <w:rPr>
          <w:rFonts w:asciiTheme="minorHAnsi" w:hAnsiTheme="minorHAnsi" w:cstheme="minorHAnsi"/>
          <w:sz w:val="28"/>
          <w:szCs w:val="28"/>
          <w:lang w:val="es-ES"/>
        </w:rPr>
      </w:pPr>
      <w:r w:rsidRPr="005E1103">
        <w:rPr>
          <w:rFonts w:asciiTheme="minorHAnsi" w:hAnsiTheme="minorHAnsi" w:cstheme="minorHAnsi"/>
          <w:sz w:val="28"/>
          <w:szCs w:val="28"/>
          <w:lang w:val="es-ES"/>
        </w:rPr>
        <w:t>La valoración de la participación en el grupo de trabajo recoge: la necesidad de que participen más personas, tener más tiempo para jugar, hilar más fino en el desarrollo del juego, y que dure más el tiempo de diseño del juego, y tener más sesiones.</w:t>
      </w:r>
    </w:p>
    <w:p w:rsidR="00DF59FF" w:rsidRPr="005E1103" w:rsidRDefault="00DF59FF" w:rsidP="00DF59FF">
      <w:pPr>
        <w:pStyle w:val="Newparagraph"/>
        <w:tabs>
          <w:tab w:val="left" w:pos="567"/>
        </w:tabs>
        <w:spacing w:line="360" w:lineRule="auto"/>
        <w:ind w:right="277" w:firstLine="0"/>
        <w:jc w:val="both"/>
        <w:rPr>
          <w:rFonts w:asciiTheme="minorHAnsi" w:hAnsiTheme="minorHAnsi" w:cstheme="minorHAnsi"/>
          <w:sz w:val="28"/>
          <w:szCs w:val="28"/>
          <w:lang w:val="es-ES"/>
        </w:rPr>
      </w:pPr>
      <w:r w:rsidRPr="005E1103">
        <w:rPr>
          <w:rFonts w:asciiTheme="minorHAnsi" w:hAnsiTheme="minorHAnsi" w:cstheme="minorHAnsi"/>
          <w:sz w:val="28"/>
          <w:szCs w:val="28"/>
          <w:lang w:val="es-ES"/>
        </w:rPr>
        <w:lastRenderedPageBreak/>
        <w:t>Destacan como aspectos a mejorar en los videojuegos: que nos escanee mejor la Kinect cuando vamos a jugar, investigar cómo puede calibrar mejor la Kinect, limitaciones en los movimientos a la hora de jugar y mucha espera a que juegue cada uno, algunos no han podido jugar a algunos juegos y hay que seguir probando.</w:t>
      </w:r>
    </w:p>
    <w:p w:rsidR="00DF59FF" w:rsidRPr="005E1103" w:rsidRDefault="00DF59FF" w:rsidP="00DF59FF">
      <w:pPr>
        <w:pStyle w:val="Tabletitle"/>
        <w:tabs>
          <w:tab w:val="left" w:pos="7932"/>
        </w:tabs>
        <w:spacing w:before="0"/>
        <w:ind w:right="277"/>
        <w:jc w:val="both"/>
        <w:rPr>
          <w:rFonts w:asciiTheme="minorHAnsi" w:hAnsiTheme="minorHAnsi" w:cstheme="minorHAnsi"/>
          <w:sz w:val="28"/>
          <w:szCs w:val="28"/>
          <w:lang w:val="es-ES"/>
        </w:rPr>
      </w:pPr>
      <w:r w:rsidRPr="005E1103">
        <w:rPr>
          <w:rFonts w:asciiTheme="minorHAnsi" w:hAnsiTheme="minorHAnsi" w:cstheme="minorHAnsi"/>
          <w:sz w:val="28"/>
          <w:szCs w:val="28"/>
          <w:lang w:val="es-ES"/>
        </w:rPr>
        <w:t>En síntesis las propuestas de mejora se centran, fundamentalmente, en torno a una mayor demanda de otras personas como participantes en el grupo y cuestiones estrechamente ligadas con la accesibilidad a los videojuegos y a la consola.</w:t>
      </w:r>
    </w:p>
    <w:p w:rsidR="00DF59FF" w:rsidRPr="005E1103" w:rsidRDefault="00DF59FF" w:rsidP="00DF59FF">
      <w:pPr>
        <w:tabs>
          <w:tab w:val="left" w:pos="6663"/>
          <w:tab w:val="left" w:pos="7932"/>
        </w:tabs>
        <w:spacing w:line="360" w:lineRule="auto"/>
        <w:ind w:right="277"/>
        <w:jc w:val="both"/>
        <w:rPr>
          <w:rFonts w:cstheme="minorHAnsi"/>
          <w:sz w:val="28"/>
          <w:szCs w:val="28"/>
        </w:rPr>
      </w:pPr>
      <w:r w:rsidRPr="005E1103">
        <w:rPr>
          <w:rFonts w:cstheme="minorHAnsi"/>
          <w:sz w:val="28"/>
          <w:szCs w:val="28"/>
        </w:rPr>
        <w:t xml:space="preserve">A modo de </w:t>
      </w:r>
      <w:r w:rsidRPr="005E1103">
        <w:rPr>
          <w:rFonts w:cstheme="minorHAnsi"/>
          <w:b/>
          <w:sz w:val="28"/>
          <w:szCs w:val="28"/>
        </w:rPr>
        <w:t>reflexión final</w:t>
      </w:r>
      <w:r w:rsidRPr="005E1103">
        <w:rPr>
          <w:rFonts w:cstheme="minorHAnsi"/>
          <w:sz w:val="28"/>
          <w:szCs w:val="28"/>
        </w:rPr>
        <w:t xml:space="preserve"> cabe señalar que los serious games son cada vez un sector del videojuego más amplio y aplicado a diferentes entornos y poblaciones. Se continúan estudiando los beneficios que aportan al desarrollo y ambos argumentos apoyan rotundamente la necesidad de que sean accesibles y adaptados a diferentes necesidades. La participación de las personas en los procesos previos al diseño del juego se constata como una herramienta útil para que el juego recoja las aportaciones de los </w:t>
      </w:r>
      <w:r w:rsidR="00D8776D" w:rsidRPr="005E1103">
        <w:rPr>
          <w:rFonts w:cstheme="minorHAnsi"/>
          <w:sz w:val="28"/>
          <w:szCs w:val="28"/>
        </w:rPr>
        <w:t>desarrolladores,</w:t>
      </w:r>
      <w:r w:rsidRPr="005E1103">
        <w:rPr>
          <w:rFonts w:cstheme="minorHAnsi"/>
          <w:sz w:val="28"/>
          <w:szCs w:val="28"/>
        </w:rPr>
        <w:t xml:space="preserve"> pero hechas en base a opiniones y necesidades de los futuros jugadores. En el caso de las personas con discapacidad, como en otros, sus aportaciones son insustituibles tanto en las fases previas como en las pruebas una vez desarrollado el juego, ya que son ellos jugando los que nos señalen las dificultades reales y las necesidades identificadas.</w:t>
      </w:r>
    </w:p>
    <w:p w:rsidR="00DF59FF" w:rsidRPr="005E1103" w:rsidRDefault="00DF59FF" w:rsidP="00DF59FF">
      <w:pPr>
        <w:pStyle w:val="Ttulo1"/>
        <w:tabs>
          <w:tab w:val="left" w:pos="7932"/>
        </w:tabs>
        <w:spacing w:before="0"/>
        <w:jc w:val="both"/>
        <w:rPr>
          <w:rFonts w:asciiTheme="minorHAnsi" w:hAnsiTheme="minorHAnsi" w:cstheme="minorHAnsi"/>
          <w:lang w:val="en-US"/>
        </w:rPr>
      </w:pPr>
      <w:r w:rsidRPr="005E1103">
        <w:rPr>
          <w:rFonts w:asciiTheme="minorHAnsi" w:hAnsiTheme="minorHAnsi" w:cstheme="minorHAnsi"/>
          <w:lang w:val="en-US"/>
        </w:rPr>
        <w:t>Referencias</w:t>
      </w:r>
    </w:p>
    <w:p w:rsidR="00DF59FF" w:rsidRPr="005E1103" w:rsidRDefault="00DF59FF" w:rsidP="00DF59FF">
      <w:pPr>
        <w:pStyle w:val="Prrafodelista"/>
        <w:tabs>
          <w:tab w:val="left" w:pos="7932"/>
        </w:tabs>
        <w:spacing w:line="360" w:lineRule="auto"/>
        <w:ind w:left="567" w:hanging="567"/>
        <w:contextualSpacing w:val="0"/>
        <w:jc w:val="both"/>
        <w:rPr>
          <w:rFonts w:asciiTheme="minorHAnsi" w:hAnsiTheme="minorHAnsi" w:cstheme="minorHAnsi"/>
          <w:sz w:val="28"/>
          <w:szCs w:val="28"/>
          <w:lang w:val="en-US"/>
        </w:rPr>
      </w:pPr>
      <w:r w:rsidRPr="005E1103">
        <w:rPr>
          <w:rFonts w:asciiTheme="minorHAnsi" w:hAnsiTheme="minorHAnsi" w:cstheme="minorHAnsi"/>
          <w:sz w:val="28"/>
          <w:szCs w:val="28"/>
          <w:lang w:val="en-US"/>
        </w:rPr>
        <w:t>Abt, Clark (1970), Serious Games, New York, Viking Press.</w:t>
      </w:r>
    </w:p>
    <w:p w:rsidR="00DF59FF" w:rsidRPr="005E1103" w:rsidRDefault="00DF59FF" w:rsidP="00DF59FF">
      <w:pPr>
        <w:pStyle w:val="Prrafodelista"/>
        <w:tabs>
          <w:tab w:val="left" w:pos="7932"/>
        </w:tabs>
        <w:spacing w:line="360" w:lineRule="auto"/>
        <w:ind w:left="567" w:hanging="567"/>
        <w:contextualSpacing w:val="0"/>
        <w:jc w:val="both"/>
        <w:rPr>
          <w:rFonts w:asciiTheme="minorHAnsi" w:hAnsiTheme="minorHAnsi" w:cstheme="minorHAnsi"/>
          <w:sz w:val="28"/>
          <w:szCs w:val="28"/>
          <w:lang w:val="en-US"/>
        </w:rPr>
      </w:pPr>
      <w:r w:rsidRPr="005E1103">
        <w:rPr>
          <w:rFonts w:asciiTheme="minorHAnsi" w:hAnsiTheme="minorHAnsi" w:cstheme="minorHAnsi"/>
          <w:sz w:val="28"/>
          <w:szCs w:val="28"/>
          <w:lang w:val="en-US"/>
        </w:rPr>
        <w:t xml:space="preserve">Battersby, Steven “Game On: Accessible Serious Games for Offenders and those at Risk of Offending”, </w:t>
      </w:r>
      <w:r w:rsidRPr="005E1103">
        <w:rPr>
          <w:rFonts w:asciiTheme="minorHAnsi" w:hAnsiTheme="minorHAnsi" w:cstheme="minorHAnsi"/>
          <w:i/>
          <w:sz w:val="28"/>
          <w:szCs w:val="28"/>
          <w:lang w:val="en-US"/>
        </w:rPr>
        <w:t>Journal of Assistive Technology</w:t>
      </w:r>
      <w:r w:rsidRPr="005E1103">
        <w:rPr>
          <w:rFonts w:asciiTheme="minorHAnsi" w:hAnsiTheme="minorHAnsi" w:cstheme="minorHAnsi"/>
          <w:sz w:val="28"/>
          <w:szCs w:val="28"/>
          <w:lang w:val="en-US"/>
        </w:rPr>
        <w:t>, vol 3, nº. 2 (2009), págs.13 – 25.</w:t>
      </w:r>
    </w:p>
    <w:p w:rsidR="00DF59FF" w:rsidRPr="005E1103" w:rsidRDefault="00DF59FF" w:rsidP="00DF59FF">
      <w:pPr>
        <w:tabs>
          <w:tab w:val="left" w:pos="7932"/>
        </w:tabs>
        <w:spacing w:line="360" w:lineRule="auto"/>
        <w:ind w:left="567" w:hanging="567"/>
        <w:jc w:val="both"/>
        <w:rPr>
          <w:rFonts w:cstheme="minorHAnsi"/>
          <w:sz w:val="28"/>
          <w:szCs w:val="28"/>
          <w:lang w:val="en-US"/>
        </w:rPr>
      </w:pPr>
      <w:r w:rsidRPr="005E1103">
        <w:rPr>
          <w:rFonts w:cstheme="minorHAnsi"/>
          <w:sz w:val="28"/>
          <w:szCs w:val="28"/>
          <w:lang w:val="en-US"/>
        </w:rPr>
        <w:t xml:space="preserve">Garcia-Zapirain, Begoña; Mendez-Zorrilla, Amaia; Madariaga-Ortuzar, Aurora; Lazcano-Quintana, Idurre “Online Computer Game Set Architecture for People with Cerebral Palsy: Case Study”, CGAMES, Computer Games: AI, Animation, Mobile, Multimedia, Educational and Serious Games, </w:t>
      </w:r>
      <w:hyperlink r:id="rId79" w:tgtFrame="blank" w:history="1">
        <w:r w:rsidRPr="005E1103">
          <w:rPr>
            <w:rFonts w:cstheme="minorHAnsi"/>
            <w:sz w:val="28"/>
            <w:szCs w:val="28"/>
            <w:lang w:val="en-US"/>
          </w:rPr>
          <w:t>(2015)</w:t>
        </w:r>
      </w:hyperlink>
      <w:r w:rsidRPr="005E1103">
        <w:rPr>
          <w:rFonts w:cstheme="minorHAnsi"/>
          <w:sz w:val="28"/>
          <w:szCs w:val="28"/>
          <w:lang w:val="en-US"/>
        </w:rPr>
        <w:t>, págs. 88-91.</w:t>
      </w:r>
    </w:p>
    <w:p w:rsidR="00DF59FF" w:rsidRPr="005E1103" w:rsidRDefault="00DF59FF" w:rsidP="00DF59FF">
      <w:pPr>
        <w:shd w:val="clear" w:color="auto" w:fill="FFFFFF"/>
        <w:tabs>
          <w:tab w:val="left" w:pos="7932"/>
        </w:tabs>
        <w:spacing w:line="360" w:lineRule="auto"/>
        <w:ind w:left="567" w:hanging="567"/>
        <w:jc w:val="both"/>
        <w:rPr>
          <w:rFonts w:cstheme="minorHAnsi"/>
          <w:sz w:val="28"/>
          <w:szCs w:val="28"/>
        </w:rPr>
      </w:pPr>
      <w:r w:rsidRPr="005E1103">
        <w:rPr>
          <w:rFonts w:cstheme="minorHAnsi"/>
          <w:sz w:val="28"/>
          <w:szCs w:val="28"/>
          <w:lang w:val="en-US"/>
        </w:rPr>
        <w:lastRenderedPageBreak/>
        <w:t>Grammenos, David, Savidis, Andrew “</w:t>
      </w:r>
      <w:r w:rsidRPr="005E1103">
        <w:rPr>
          <w:rFonts w:cstheme="minorHAnsi"/>
          <w:iCs/>
          <w:sz w:val="28"/>
          <w:szCs w:val="28"/>
          <w:lang w:val="en-US"/>
        </w:rPr>
        <w:t>Designing universally accessible games”</w:t>
      </w:r>
      <w:r w:rsidRPr="005E1103">
        <w:rPr>
          <w:rFonts w:cstheme="minorHAnsi"/>
          <w:i/>
          <w:iCs/>
          <w:sz w:val="28"/>
          <w:szCs w:val="28"/>
          <w:lang w:val="en-US"/>
        </w:rPr>
        <w:t>, Computers in Entertainment (CIE)</w:t>
      </w:r>
      <w:r w:rsidRPr="005E1103">
        <w:rPr>
          <w:rFonts w:cstheme="minorHAnsi"/>
          <w:sz w:val="28"/>
          <w:szCs w:val="28"/>
          <w:lang w:val="en-US"/>
        </w:rPr>
        <w:t xml:space="preserve">, vol. 7, nº. 1 (2009), págs. </w:t>
      </w:r>
      <w:r w:rsidRPr="005E1103">
        <w:rPr>
          <w:rFonts w:cstheme="minorHAnsi"/>
          <w:sz w:val="28"/>
          <w:szCs w:val="28"/>
        </w:rPr>
        <w:t>3-7.</w:t>
      </w:r>
    </w:p>
    <w:p w:rsidR="00DF59FF" w:rsidRPr="005E1103" w:rsidRDefault="00DF59FF" w:rsidP="00DF59FF">
      <w:pPr>
        <w:pStyle w:val="Prrafodelista"/>
        <w:tabs>
          <w:tab w:val="left" w:pos="7932"/>
        </w:tabs>
        <w:spacing w:line="360" w:lineRule="auto"/>
        <w:ind w:left="567" w:hanging="567"/>
        <w:contextualSpacing w:val="0"/>
        <w:jc w:val="both"/>
        <w:rPr>
          <w:rFonts w:asciiTheme="minorHAnsi" w:hAnsiTheme="minorHAnsi" w:cstheme="minorHAnsi"/>
          <w:sz w:val="28"/>
          <w:szCs w:val="28"/>
          <w:lang w:val="en-US"/>
        </w:rPr>
      </w:pPr>
      <w:r w:rsidRPr="005E1103">
        <w:rPr>
          <w:rFonts w:asciiTheme="minorHAnsi" w:hAnsiTheme="minorHAnsi" w:cstheme="minorHAnsi"/>
          <w:sz w:val="28"/>
          <w:szCs w:val="28"/>
        </w:rPr>
        <w:t xml:space="preserve">Gros, Begoña, “La dimensión socioeducativa de los videojuegos”, </w:t>
      </w:r>
      <w:r w:rsidRPr="005E1103">
        <w:rPr>
          <w:rFonts w:asciiTheme="minorHAnsi" w:hAnsiTheme="minorHAnsi" w:cstheme="minorHAnsi"/>
          <w:i/>
          <w:sz w:val="28"/>
          <w:szCs w:val="28"/>
        </w:rPr>
        <w:t>Edutec, Revista Electrónica de Tecnología Educativa</w:t>
      </w:r>
      <w:r w:rsidRPr="005E1103">
        <w:rPr>
          <w:rFonts w:asciiTheme="minorHAnsi" w:hAnsiTheme="minorHAnsi" w:cstheme="minorHAnsi"/>
          <w:sz w:val="28"/>
          <w:szCs w:val="28"/>
        </w:rPr>
        <w:t xml:space="preserve">, nº. 12 (2000), págs. </w:t>
      </w:r>
      <w:r w:rsidRPr="005E1103">
        <w:rPr>
          <w:rFonts w:asciiTheme="minorHAnsi" w:hAnsiTheme="minorHAnsi" w:cstheme="minorHAnsi"/>
          <w:sz w:val="28"/>
          <w:szCs w:val="28"/>
          <w:lang w:val="en-US"/>
        </w:rPr>
        <w:t>1-11.</w:t>
      </w:r>
    </w:p>
    <w:p w:rsidR="00DF59FF" w:rsidRPr="005E1103" w:rsidRDefault="00DF59FF" w:rsidP="00DF59FF">
      <w:pPr>
        <w:pStyle w:val="Prrafodelista"/>
        <w:tabs>
          <w:tab w:val="left" w:pos="7932"/>
        </w:tabs>
        <w:spacing w:line="360" w:lineRule="auto"/>
        <w:ind w:left="567" w:hanging="567"/>
        <w:contextualSpacing w:val="0"/>
        <w:jc w:val="both"/>
        <w:rPr>
          <w:rFonts w:asciiTheme="minorHAnsi" w:hAnsiTheme="minorHAnsi" w:cstheme="minorHAnsi"/>
          <w:sz w:val="28"/>
          <w:szCs w:val="28"/>
        </w:rPr>
      </w:pPr>
      <w:r w:rsidRPr="005E1103">
        <w:rPr>
          <w:rFonts w:asciiTheme="minorHAnsi" w:hAnsiTheme="minorHAnsi" w:cstheme="minorHAnsi"/>
          <w:sz w:val="28"/>
          <w:szCs w:val="28"/>
          <w:lang w:val="en-US"/>
        </w:rPr>
        <w:t xml:space="preserve">Gros, Begoña, “Digital Games in Education”, </w:t>
      </w:r>
      <w:r w:rsidRPr="005E1103">
        <w:rPr>
          <w:rFonts w:asciiTheme="minorHAnsi" w:hAnsiTheme="minorHAnsi" w:cstheme="minorHAnsi"/>
          <w:i/>
          <w:sz w:val="28"/>
          <w:szCs w:val="28"/>
          <w:lang w:val="en-US"/>
        </w:rPr>
        <w:t>Journal of Research on Technology in Education</w:t>
      </w:r>
      <w:r w:rsidRPr="005E1103">
        <w:rPr>
          <w:rFonts w:asciiTheme="minorHAnsi" w:hAnsiTheme="minorHAnsi" w:cstheme="minorHAnsi"/>
          <w:sz w:val="28"/>
          <w:szCs w:val="28"/>
          <w:lang w:val="en-US"/>
        </w:rPr>
        <w:t xml:space="preserve">, nº. 4 (2005), págs. </w:t>
      </w:r>
      <w:r w:rsidRPr="005E1103">
        <w:rPr>
          <w:rFonts w:asciiTheme="minorHAnsi" w:hAnsiTheme="minorHAnsi" w:cstheme="minorHAnsi"/>
          <w:sz w:val="28"/>
          <w:szCs w:val="28"/>
        </w:rPr>
        <w:t>23–38.</w:t>
      </w:r>
    </w:p>
    <w:p w:rsidR="00DF59FF" w:rsidRPr="005E1103" w:rsidRDefault="00DF59FF" w:rsidP="00DF59FF">
      <w:pPr>
        <w:pStyle w:val="Prrafodelista"/>
        <w:tabs>
          <w:tab w:val="left" w:pos="7932"/>
        </w:tabs>
        <w:spacing w:line="360" w:lineRule="auto"/>
        <w:ind w:left="567" w:hanging="567"/>
        <w:contextualSpacing w:val="0"/>
        <w:jc w:val="both"/>
        <w:rPr>
          <w:rFonts w:asciiTheme="minorHAnsi" w:hAnsiTheme="minorHAnsi" w:cstheme="minorHAnsi"/>
          <w:sz w:val="28"/>
          <w:szCs w:val="28"/>
          <w:lang w:val="en-US"/>
        </w:rPr>
      </w:pPr>
      <w:r w:rsidRPr="005E1103">
        <w:rPr>
          <w:rFonts w:asciiTheme="minorHAnsi" w:hAnsiTheme="minorHAnsi" w:cstheme="minorHAnsi"/>
          <w:sz w:val="28"/>
          <w:szCs w:val="28"/>
        </w:rPr>
        <w:t xml:space="preserve">Iglesias, Carlos “Retos del desarrollo de videojuegos en España”, En: </w:t>
      </w:r>
      <w:r w:rsidRPr="005E1103">
        <w:rPr>
          <w:rFonts w:asciiTheme="minorHAnsi" w:hAnsiTheme="minorHAnsi" w:cstheme="minorHAnsi"/>
          <w:i/>
          <w:sz w:val="28"/>
          <w:szCs w:val="28"/>
        </w:rPr>
        <w:t>adComunica, Revista Científica de Estrategias, Tendencias e Innovación en Comunicación</w:t>
      </w:r>
      <w:r w:rsidRPr="005E1103">
        <w:rPr>
          <w:rFonts w:asciiTheme="minorHAnsi" w:hAnsiTheme="minorHAnsi" w:cstheme="minorHAnsi"/>
          <w:sz w:val="28"/>
          <w:szCs w:val="28"/>
        </w:rPr>
        <w:t xml:space="preserve">, vol I, nº. 9 (2015), págs. </w:t>
      </w:r>
      <w:r w:rsidRPr="005E1103">
        <w:rPr>
          <w:rFonts w:asciiTheme="minorHAnsi" w:hAnsiTheme="minorHAnsi" w:cstheme="minorHAnsi"/>
          <w:sz w:val="28"/>
          <w:szCs w:val="28"/>
          <w:lang w:val="en-US"/>
        </w:rPr>
        <w:t>197-201.</w:t>
      </w:r>
    </w:p>
    <w:p w:rsidR="00DF59FF" w:rsidRPr="005E1103" w:rsidRDefault="00DF59FF" w:rsidP="00DF59FF">
      <w:pPr>
        <w:pStyle w:val="Prrafodelista"/>
        <w:tabs>
          <w:tab w:val="left" w:pos="7932"/>
        </w:tabs>
        <w:spacing w:line="360" w:lineRule="auto"/>
        <w:ind w:left="567" w:hanging="567"/>
        <w:contextualSpacing w:val="0"/>
        <w:jc w:val="both"/>
        <w:rPr>
          <w:rFonts w:asciiTheme="minorHAnsi" w:hAnsiTheme="minorHAnsi" w:cstheme="minorHAnsi"/>
          <w:sz w:val="28"/>
          <w:szCs w:val="28"/>
        </w:rPr>
      </w:pPr>
      <w:r w:rsidRPr="005E1103">
        <w:rPr>
          <w:rFonts w:asciiTheme="minorHAnsi" w:hAnsiTheme="minorHAnsi" w:cstheme="minorHAnsi"/>
          <w:sz w:val="28"/>
          <w:szCs w:val="28"/>
          <w:lang w:val="en-US"/>
        </w:rPr>
        <w:t xml:space="preserve">Lopez-Basterretxea, Asier, Mendez-Zorrilla, Amaia, Garcia-Zapirain, Begoña, Madariaga-Ortuzar, Aurora, Lazcano-Quintana, Idurre, "Serious games to promote independent living for intellectually disabled people: Starting with shopping", </w:t>
      </w:r>
      <w:r w:rsidRPr="005E1103">
        <w:rPr>
          <w:rFonts w:asciiTheme="minorHAnsi" w:hAnsiTheme="minorHAnsi" w:cstheme="minorHAnsi"/>
          <w:i/>
          <w:sz w:val="28"/>
          <w:szCs w:val="28"/>
          <w:lang w:val="en-US"/>
        </w:rPr>
        <w:t>CGAMES</w:t>
      </w:r>
      <w:r w:rsidRPr="005E1103">
        <w:rPr>
          <w:rFonts w:asciiTheme="minorHAnsi" w:hAnsiTheme="minorHAnsi" w:cstheme="minorHAnsi"/>
          <w:sz w:val="28"/>
          <w:szCs w:val="28"/>
          <w:lang w:val="en-US"/>
        </w:rPr>
        <w:t xml:space="preserve">, Computer Games: AI, Animation, Mobile, Multimedia, Educational and Serious Games (2014), págs. </w:t>
      </w:r>
      <w:r w:rsidRPr="005E1103">
        <w:rPr>
          <w:rFonts w:asciiTheme="minorHAnsi" w:hAnsiTheme="minorHAnsi" w:cstheme="minorHAnsi"/>
          <w:sz w:val="28"/>
          <w:szCs w:val="28"/>
        </w:rPr>
        <w:t>138-141.</w:t>
      </w:r>
    </w:p>
    <w:p w:rsidR="00DF59FF" w:rsidRPr="005E1103" w:rsidRDefault="00DF59FF" w:rsidP="00DF59FF">
      <w:pPr>
        <w:pStyle w:val="Prrafodelista"/>
        <w:tabs>
          <w:tab w:val="left" w:pos="7932"/>
        </w:tabs>
        <w:spacing w:line="360" w:lineRule="auto"/>
        <w:ind w:left="567" w:hanging="567"/>
        <w:contextualSpacing w:val="0"/>
        <w:jc w:val="both"/>
        <w:rPr>
          <w:rFonts w:asciiTheme="minorHAnsi" w:hAnsiTheme="minorHAnsi" w:cstheme="minorHAnsi"/>
          <w:sz w:val="28"/>
          <w:szCs w:val="28"/>
        </w:rPr>
      </w:pPr>
      <w:r w:rsidRPr="005E1103">
        <w:rPr>
          <w:rFonts w:asciiTheme="minorHAnsi" w:hAnsiTheme="minorHAnsi" w:cstheme="minorHAnsi"/>
          <w:sz w:val="28"/>
          <w:szCs w:val="28"/>
        </w:rPr>
        <w:t xml:space="preserve">Marcano, Beatriz “Competencias digitales y videojuegos online”, En </w:t>
      </w:r>
      <w:r w:rsidRPr="005E1103">
        <w:rPr>
          <w:rFonts w:asciiTheme="minorHAnsi" w:hAnsiTheme="minorHAnsi" w:cstheme="minorHAnsi"/>
          <w:i/>
          <w:sz w:val="28"/>
          <w:szCs w:val="28"/>
        </w:rPr>
        <w:t>Revista Didáctica, Innovación y Multimedia</w:t>
      </w:r>
      <w:r w:rsidRPr="005E1103">
        <w:rPr>
          <w:rFonts w:asciiTheme="minorHAnsi" w:hAnsiTheme="minorHAnsi" w:cstheme="minorHAnsi"/>
          <w:sz w:val="28"/>
          <w:szCs w:val="28"/>
        </w:rPr>
        <w:t>, nº. 19, (2010), Disponible: http://ddd,uab,cat/pub/dim/16993748n19a10,pdf.</w:t>
      </w:r>
    </w:p>
    <w:p w:rsidR="00DF59FF" w:rsidRPr="005E1103" w:rsidRDefault="00DF59FF" w:rsidP="00DF59FF">
      <w:pPr>
        <w:pStyle w:val="Prrafodelista"/>
        <w:tabs>
          <w:tab w:val="left" w:pos="7932"/>
        </w:tabs>
        <w:spacing w:line="360" w:lineRule="auto"/>
        <w:ind w:left="567" w:hanging="567"/>
        <w:contextualSpacing w:val="0"/>
        <w:jc w:val="both"/>
        <w:rPr>
          <w:rFonts w:asciiTheme="minorHAnsi" w:hAnsiTheme="minorHAnsi" w:cstheme="minorHAnsi"/>
          <w:sz w:val="28"/>
          <w:szCs w:val="28"/>
        </w:rPr>
      </w:pPr>
      <w:r w:rsidRPr="005E1103">
        <w:rPr>
          <w:rFonts w:asciiTheme="minorHAnsi" w:hAnsiTheme="minorHAnsi" w:cstheme="minorHAnsi"/>
          <w:sz w:val="28"/>
          <w:szCs w:val="28"/>
        </w:rPr>
        <w:t>Sánchez, María (2010) Buenas prácticas en la creación de Serious Games, Málaga, Facultad de Ciencias de la Comunicación, Universidad de Málaga.</w:t>
      </w:r>
    </w:p>
    <w:p w:rsidR="00DF59FF" w:rsidRPr="005E1103" w:rsidRDefault="00DF59FF" w:rsidP="00DF59FF">
      <w:pPr>
        <w:pStyle w:val="Prrafodelista"/>
        <w:tabs>
          <w:tab w:val="left" w:pos="7932"/>
        </w:tabs>
        <w:spacing w:line="360" w:lineRule="auto"/>
        <w:ind w:left="567" w:hanging="567"/>
        <w:contextualSpacing w:val="0"/>
        <w:jc w:val="both"/>
        <w:rPr>
          <w:rFonts w:asciiTheme="minorHAnsi" w:hAnsiTheme="minorHAnsi" w:cstheme="minorHAnsi"/>
          <w:sz w:val="28"/>
          <w:szCs w:val="28"/>
        </w:rPr>
      </w:pPr>
      <w:r w:rsidRPr="005E1103">
        <w:rPr>
          <w:rFonts w:asciiTheme="minorHAnsi" w:hAnsiTheme="minorHAnsi" w:cstheme="minorHAnsi"/>
          <w:sz w:val="28"/>
          <w:szCs w:val="28"/>
          <w:lang w:val="en-US"/>
        </w:rPr>
        <w:t xml:space="preserve">Zyda, Mike, (2005), “From Visual Simulation to Virtual Reality to games”, </w:t>
      </w:r>
      <w:r w:rsidRPr="005E1103">
        <w:rPr>
          <w:rFonts w:asciiTheme="minorHAnsi" w:hAnsiTheme="minorHAnsi" w:cstheme="minorHAnsi"/>
          <w:i/>
          <w:sz w:val="28"/>
          <w:szCs w:val="28"/>
          <w:lang w:val="en-US"/>
        </w:rPr>
        <w:t xml:space="preserve">Journal Computer, </w:t>
      </w:r>
      <w:r w:rsidRPr="005E1103">
        <w:rPr>
          <w:rFonts w:asciiTheme="minorHAnsi" w:hAnsiTheme="minorHAnsi" w:cstheme="minorHAnsi"/>
          <w:sz w:val="28"/>
          <w:szCs w:val="28"/>
          <w:lang w:val="en-US"/>
        </w:rPr>
        <w:t xml:space="preserve">vol. 38 nº. 9 (2005), págs. </w:t>
      </w:r>
      <w:r w:rsidRPr="005E1103">
        <w:rPr>
          <w:rFonts w:asciiTheme="minorHAnsi" w:hAnsiTheme="minorHAnsi" w:cstheme="minorHAnsi"/>
          <w:sz w:val="28"/>
          <w:szCs w:val="28"/>
        </w:rPr>
        <w:t>25-32.</w:t>
      </w:r>
    </w:p>
    <w:p w:rsidR="00DF59FF" w:rsidRPr="005E1103" w:rsidRDefault="00DF59FF">
      <w:pPr>
        <w:rPr>
          <w:rFonts w:eastAsia="Calibri" w:cstheme="minorHAnsi"/>
          <w:sz w:val="28"/>
          <w:szCs w:val="28"/>
        </w:rPr>
      </w:pPr>
      <w:r w:rsidRPr="005E1103">
        <w:rPr>
          <w:rFonts w:cstheme="minorHAnsi"/>
          <w:sz w:val="28"/>
          <w:szCs w:val="28"/>
        </w:rPr>
        <w:br w:type="page"/>
      </w:r>
    </w:p>
    <w:p w:rsidR="00DF59FF" w:rsidRPr="005E1103" w:rsidRDefault="00DF59FF" w:rsidP="00DF59FF">
      <w:pPr>
        <w:spacing w:line="360" w:lineRule="auto"/>
        <w:jc w:val="center"/>
        <w:rPr>
          <w:rFonts w:cstheme="minorHAnsi"/>
          <w:b/>
          <w:sz w:val="28"/>
          <w:szCs w:val="28"/>
        </w:rPr>
      </w:pPr>
      <w:r w:rsidRPr="005E1103">
        <w:rPr>
          <w:rFonts w:cstheme="minorHAnsi"/>
          <w:b/>
          <w:sz w:val="28"/>
          <w:szCs w:val="28"/>
        </w:rPr>
        <w:lastRenderedPageBreak/>
        <w:t>COMUNICACIÓN 6</w:t>
      </w:r>
    </w:p>
    <w:p w:rsidR="00DF59FF" w:rsidRPr="005E1103" w:rsidRDefault="00DF59FF" w:rsidP="00DF59FF">
      <w:pPr>
        <w:pBdr>
          <w:top w:val="single" w:sz="4" w:space="1" w:color="auto"/>
          <w:left w:val="single" w:sz="4" w:space="4" w:color="auto"/>
          <w:bottom w:val="single" w:sz="4" w:space="1" w:color="auto"/>
          <w:right w:val="single" w:sz="4" w:space="4" w:color="auto"/>
        </w:pBdr>
        <w:jc w:val="center"/>
        <w:rPr>
          <w:rFonts w:cstheme="minorHAnsi"/>
          <w:sz w:val="28"/>
          <w:szCs w:val="28"/>
        </w:rPr>
      </w:pPr>
      <w:r w:rsidRPr="005E1103">
        <w:rPr>
          <w:rFonts w:cstheme="minorHAnsi"/>
          <w:sz w:val="28"/>
          <w:szCs w:val="28"/>
        </w:rPr>
        <w:t>Diseño del Sistema de Mapas Hápticos de la UAM Cuajimalpa México</w:t>
      </w:r>
    </w:p>
    <w:p w:rsidR="00DF59FF" w:rsidRPr="005E1103" w:rsidRDefault="00DF59FF" w:rsidP="00DF59FF">
      <w:pPr>
        <w:spacing w:after="0" w:line="240" w:lineRule="auto"/>
        <w:jc w:val="right"/>
        <w:rPr>
          <w:rFonts w:cstheme="minorHAnsi"/>
          <w:sz w:val="28"/>
          <w:szCs w:val="28"/>
        </w:rPr>
      </w:pPr>
      <w:r w:rsidRPr="005E1103">
        <w:rPr>
          <w:rFonts w:cstheme="minorHAnsi"/>
          <w:sz w:val="28"/>
          <w:szCs w:val="28"/>
        </w:rPr>
        <w:t>Dra. G. Angélica Martínez de la Peña</w:t>
      </w:r>
    </w:p>
    <w:p w:rsidR="00DF59FF" w:rsidRPr="005E1103" w:rsidRDefault="00DF59FF" w:rsidP="00DF59FF">
      <w:pPr>
        <w:spacing w:after="0" w:line="240" w:lineRule="auto"/>
        <w:jc w:val="right"/>
        <w:rPr>
          <w:rFonts w:cstheme="minorHAnsi"/>
          <w:sz w:val="28"/>
          <w:szCs w:val="28"/>
        </w:rPr>
      </w:pPr>
      <w:r w:rsidRPr="005E1103">
        <w:rPr>
          <w:rFonts w:cstheme="minorHAnsi"/>
          <w:sz w:val="28"/>
          <w:szCs w:val="28"/>
        </w:rPr>
        <w:t>Universidad Autónoma Metropolitana (UAM) Cuajimalpa (México)</w:t>
      </w:r>
    </w:p>
    <w:p w:rsidR="00DF59FF" w:rsidRPr="005E1103" w:rsidRDefault="00BF6455" w:rsidP="00DF59FF">
      <w:pPr>
        <w:spacing w:after="0" w:line="240" w:lineRule="auto"/>
        <w:jc w:val="right"/>
        <w:rPr>
          <w:rFonts w:cstheme="minorHAnsi"/>
          <w:sz w:val="28"/>
          <w:szCs w:val="28"/>
        </w:rPr>
      </w:pPr>
      <w:hyperlink r:id="rId80" w:history="1">
        <w:r w:rsidR="00DF59FF" w:rsidRPr="005E1103">
          <w:rPr>
            <w:rStyle w:val="Hipervnculo"/>
            <w:rFonts w:cstheme="minorHAnsi"/>
            <w:sz w:val="28"/>
            <w:szCs w:val="28"/>
          </w:rPr>
          <w:t>gmartinez@correo.cua.uam.mx</w:t>
        </w:r>
      </w:hyperlink>
    </w:p>
    <w:p w:rsidR="00DF59FF" w:rsidRPr="005E1103" w:rsidRDefault="00BF6455" w:rsidP="00DF59FF">
      <w:pPr>
        <w:spacing w:after="0" w:line="240" w:lineRule="auto"/>
        <w:jc w:val="right"/>
        <w:rPr>
          <w:rStyle w:val="Hipervnculo"/>
          <w:rFonts w:cstheme="minorHAnsi"/>
          <w:sz w:val="28"/>
          <w:szCs w:val="28"/>
        </w:rPr>
      </w:pPr>
      <w:hyperlink r:id="rId81" w:history="1">
        <w:r w:rsidR="00DF59FF" w:rsidRPr="005E1103">
          <w:rPr>
            <w:rStyle w:val="Hipervnculo"/>
            <w:rFonts w:cstheme="minorHAnsi"/>
            <w:sz w:val="28"/>
            <w:szCs w:val="28"/>
          </w:rPr>
          <w:t>angelicamtz_mx@yahoo.com.mx</w:t>
        </w:r>
      </w:hyperlink>
    </w:p>
    <w:p w:rsidR="00DF59FF" w:rsidRPr="005E1103" w:rsidRDefault="00DF59FF" w:rsidP="00DF59FF">
      <w:pPr>
        <w:spacing w:after="0" w:line="240" w:lineRule="auto"/>
        <w:jc w:val="right"/>
        <w:rPr>
          <w:rFonts w:cstheme="minorHAnsi"/>
          <w:sz w:val="28"/>
          <w:szCs w:val="28"/>
        </w:rPr>
      </w:pPr>
      <w:r w:rsidRPr="005E1103">
        <w:rPr>
          <w:rStyle w:val="Hipervnculo"/>
          <w:rFonts w:cstheme="minorHAnsi"/>
          <w:sz w:val="28"/>
          <w:szCs w:val="28"/>
        </w:rPr>
        <w:t>03 octubre 2016</w:t>
      </w:r>
    </w:p>
    <w:p w:rsidR="00DF59FF" w:rsidRPr="005E1103" w:rsidRDefault="00DF59FF" w:rsidP="00DF59FF">
      <w:pPr>
        <w:jc w:val="center"/>
        <w:rPr>
          <w:rFonts w:cstheme="minorHAnsi"/>
          <w:b/>
          <w:sz w:val="28"/>
          <w:szCs w:val="28"/>
        </w:rPr>
      </w:pPr>
    </w:p>
    <w:p w:rsidR="00DF59FF" w:rsidRPr="005E1103" w:rsidRDefault="00DF59FF" w:rsidP="00DF59FF">
      <w:pPr>
        <w:rPr>
          <w:rFonts w:cstheme="minorHAnsi"/>
          <w:b/>
          <w:sz w:val="28"/>
          <w:szCs w:val="28"/>
        </w:rPr>
      </w:pPr>
      <w:r w:rsidRPr="005E1103">
        <w:rPr>
          <w:rFonts w:cstheme="minorHAnsi"/>
          <w:b/>
          <w:sz w:val="28"/>
          <w:szCs w:val="28"/>
        </w:rPr>
        <w:t>Diseño del Sistema de Mapas Hápticos de la UAM Cuajimalpa México</w:t>
      </w:r>
    </w:p>
    <w:p w:rsidR="00DF59FF" w:rsidRPr="005E1103" w:rsidRDefault="00DF59FF" w:rsidP="00DF59FF">
      <w:pPr>
        <w:spacing w:after="0" w:line="240" w:lineRule="auto"/>
        <w:jc w:val="both"/>
        <w:rPr>
          <w:rFonts w:cstheme="minorHAnsi"/>
          <w:sz w:val="28"/>
          <w:szCs w:val="28"/>
        </w:rPr>
      </w:pPr>
      <w:r w:rsidRPr="005E1103">
        <w:rPr>
          <w:rFonts w:cstheme="minorHAnsi"/>
          <w:sz w:val="28"/>
          <w:szCs w:val="28"/>
        </w:rPr>
        <w:t>Dra. Gloria Angélica Martínez de la Peña</w:t>
      </w:r>
    </w:p>
    <w:p w:rsidR="00DF59FF" w:rsidRPr="005E1103" w:rsidRDefault="00DF59FF" w:rsidP="00DF59FF">
      <w:pPr>
        <w:spacing w:after="0" w:line="240" w:lineRule="auto"/>
        <w:jc w:val="both"/>
        <w:rPr>
          <w:rFonts w:cstheme="minorHAnsi"/>
          <w:sz w:val="28"/>
          <w:szCs w:val="28"/>
        </w:rPr>
      </w:pPr>
      <w:r w:rsidRPr="005E1103">
        <w:rPr>
          <w:rFonts w:cstheme="minorHAnsi"/>
          <w:sz w:val="28"/>
          <w:szCs w:val="28"/>
        </w:rPr>
        <w:t>Universidad Autónoma Metropolitana (UAM) Cuajimalpa (México)</w:t>
      </w:r>
    </w:p>
    <w:p w:rsidR="00DF59FF" w:rsidRPr="005E1103" w:rsidRDefault="00BF6455" w:rsidP="00DF59FF">
      <w:pPr>
        <w:spacing w:after="0" w:line="240" w:lineRule="auto"/>
        <w:jc w:val="both"/>
        <w:rPr>
          <w:rFonts w:cstheme="minorHAnsi"/>
          <w:sz w:val="28"/>
          <w:szCs w:val="28"/>
        </w:rPr>
      </w:pPr>
      <w:hyperlink r:id="rId82" w:history="1">
        <w:r w:rsidR="00DF59FF" w:rsidRPr="005E1103">
          <w:rPr>
            <w:rStyle w:val="Hipervnculo"/>
            <w:rFonts w:cstheme="minorHAnsi"/>
            <w:sz w:val="28"/>
            <w:szCs w:val="28"/>
          </w:rPr>
          <w:t>gmartinez@correo.cua.uam.mx</w:t>
        </w:r>
      </w:hyperlink>
    </w:p>
    <w:p w:rsidR="00DF59FF" w:rsidRPr="005E1103" w:rsidRDefault="00BF6455" w:rsidP="00DF59FF">
      <w:pPr>
        <w:spacing w:after="0" w:line="240" w:lineRule="auto"/>
        <w:jc w:val="both"/>
        <w:rPr>
          <w:rFonts w:cstheme="minorHAnsi"/>
          <w:sz w:val="28"/>
          <w:szCs w:val="28"/>
        </w:rPr>
      </w:pPr>
      <w:hyperlink r:id="rId83" w:history="1">
        <w:r w:rsidR="00DF59FF" w:rsidRPr="005E1103">
          <w:rPr>
            <w:rStyle w:val="Hipervnculo"/>
            <w:rFonts w:cstheme="minorHAnsi"/>
            <w:sz w:val="28"/>
            <w:szCs w:val="28"/>
          </w:rPr>
          <w:t>angelicamtz_mx@yahoo.com.mx</w:t>
        </w:r>
      </w:hyperlink>
    </w:p>
    <w:p w:rsidR="00DF59FF" w:rsidRPr="005E1103" w:rsidRDefault="00DF59FF" w:rsidP="00DF59FF">
      <w:pPr>
        <w:spacing w:after="0" w:line="360" w:lineRule="auto"/>
        <w:jc w:val="both"/>
        <w:rPr>
          <w:rFonts w:cstheme="minorHAnsi"/>
          <w:b/>
          <w:sz w:val="28"/>
          <w:szCs w:val="28"/>
        </w:rPr>
      </w:pPr>
    </w:p>
    <w:p w:rsidR="00DF59FF" w:rsidRPr="005E1103" w:rsidRDefault="00DF59FF" w:rsidP="00DF59FF">
      <w:pPr>
        <w:spacing w:after="0" w:line="360" w:lineRule="auto"/>
        <w:jc w:val="both"/>
        <w:rPr>
          <w:rFonts w:cstheme="minorHAnsi"/>
          <w:b/>
          <w:sz w:val="28"/>
          <w:szCs w:val="28"/>
        </w:rPr>
      </w:pPr>
      <w:r w:rsidRPr="005E1103">
        <w:rPr>
          <w:rFonts w:cstheme="minorHAnsi"/>
          <w:b/>
          <w:sz w:val="28"/>
          <w:szCs w:val="28"/>
        </w:rPr>
        <w:t>Introducción</w:t>
      </w:r>
    </w:p>
    <w:p w:rsidR="00DF59FF" w:rsidRPr="005E1103" w:rsidRDefault="00DF59FF" w:rsidP="00DF59FF">
      <w:pPr>
        <w:spacing w:after="0" w:line="360" w:lineRule="auto"/>
        <w:jc w:val="both"/>
        <w:rPr>
          <w:rFonts w:cstheme="minorHAnsi"/>
          <w:sz w:val="28"/>
          <w:szCs w:val="28"/>
        </w:rPr>
      </w:pPr>
      <w:r w:rsidRPr="005E1103">
        <w:rPr>
          <w:rFonts w:cstheme="minorHAnsi"/>
          <w:sz w:val="28"/>
          <w:szCs w:val="28"/>
        </w:rPr>
        <w:t>El objetivo de este documento es presentar un proyecto colaborativo de investigación y diseño realizado dentro de la línea de investigación denominada “Diseño incluyente para la calidad de vida” de la Universidad Autónoma Metropolitana (UAM) Cuajimalpa (México), institución pública de Educación Superior. Versa sobre un sistema de siete mapas hápticos que representan espacialmente el edificio universitario, así como las principales áreas y servicios de la institución. El objetivo general es facilitar la ubicación y movilidad autónoma e independiente de las personas ciegas dentro del campus.</w:t>
      </w:r>
    </w:p>
    <w:p w:rsidR="00DF59FF" w:rsidRPr="005E1103" w:rsidRDefault="00DF59FF" w:rsidP="00DF59FF">
      <w:pPr>
        <w:spacing w:after="0" w:line="360" w:lineRule="auto"/>
        <w:jc w:val="both"/>
        <w:rPr>
          <w:rFonts w:cstheme="minorHAnsi"/>
          <w:sz w:val="28"/>
          <w:szCs w:val="28"/>
        </w:rPr>
      </w:pPr>
      <w:r w:rsidRPr="005E1103">
        <w:rPr>
          <w:rFonts w:cstheme="minorHAnsi"/>
          <w:sz w:val="28"/>
          <w:szCs w:val="28"/>
        </w:rPr>
        <w:t xml:space="preserve">El sistema está conceptualizado como una propuesta incluyente y accesible de diseño de información háptica, en el marco del Diseño Universal y de la Convención sobre los Derechos de las Personas con Discapacidad. Es resultado de una investigación participativa e interdisciplinaria de diez estudiantes de la línea </w:t>
      </w:r>
      <w:r w:rsidRPr="005E1103">
        <w:rPr>
          <w:rFonts w:cstheme="minorHAnsi"/>
          <w:i/>
          <w:sz w:val="28"/>
          <w:szCs w:val="28"/>
        </w:rPr>
        <w:t>Diseño de información</w:t>
      </w:r>
      <w:r w:rsidRPr="005E1103">
        <w:rPr>
          <w:rFonts w:cstheme="minorHAnsi"/>
          <w:sz w:val="28"/>
          <w:szCs w:val="28"/>
        </w:rPr>
        <w:t xml:space="preserve"> de la Maestría en Diseño, Información y Comunicación (MADIC); cinco participantes ciegos </w:t>
      </w:r>
      <w:r w:rsidRPr="005E1103">
        <w:rPr>
          <w:rFonts w:cstheme="minorHAnsi"/>
          <w:sz w:val="28"/>
          <w:szCs w:val="28"/>
        </w:rPr>
        <w:lastRenderedPageBreak/>
        <w:t xml:space="preserve">de la Asociación </w:t>
      </w:r>
      <w:r w:rsidRPr="005E1103">
        <w:rPr>
          <w:rFonts w:cstheme="minorHAnsi"/>
          <w:i/>
          <w:sz w:val="28"/>
          <w:szCs w:val="28"/>
        </w:rPr>
        <w:t>Ojos que Sienten AC</w:t>
      </w:r>
      <w:r w:rsidRPr="005E1103">
        <w:rPr>
          <w:rFonts w:cstheme="minorHAnsi"/>
          <w:sz w:val="28"/>
          <w:szCs w:val="28"/>
        </w:rPr>
        <w:t>, y por una servidora</w:t>
      </w:r>
      <w:r w:rsidRPr="005E1103">
        <w:rPr>
          <w:rStyle w:val="Refdenotaalpie"/>
          <w:rFonts w:cstheme="minorHAnsi"/>
          <w:sz w:val="28"/>
          <w:szCs w:val="28"/>
        </w:rPr>
        <w:footnoteReference w:id="31"/>
      </w:r>
      <w:r w:rsidRPr="005E1103">
        <w:rPr>
          <w:rFonts w:cstheme="minorHAnsi"/>
          <w:sz w:val="28"/>
          <w:szCs w:val="28"/>
        </w:rPr>
        <w:t xml:space="preserve">. Fue desarrollado durante 2015 e instalado en la universidad en enero de 2016. </w:t>
      </w:r>
    </w:p>
    <w:p w:rsidR="00DF59FF" w:rsidRPr="005E1103" w:rsidRDefault="00DF59FF" w:rsidP="00DF59FF">
      <w:pPr>
        <w:spacing w:after="0" w:line="360" w:lineRule="auto"/>
        <w:jc w:val="both"/>
        <w:rPr>
          <w:rFonts w:cstheme="minorHAnsi"/>
          <w:sz w:val="28"/>
          <w:szCs w:val="28"/>
        </w:rPr>
      </w:pPr>
      <w:r w:rsidRPr="005E1103">
        <w:rPr>
          <w:rFonts w:cstheme="minorHAnsi"/>
          <w:sz w:val="28"/>
          <w:szCs w:val="28"/>
        </w:rPr>
        <w:t>Los mapas hápticos de la universidad permiten a los usuarios: a) conocer cada piso del edificio universitario; b) identificar las principales áreas ubicadas en éstos; c) establecer los recorridos de manera autónoma para que las personas con discapacidad puedan trasladarse dentro del espacio; d) establecer rutas de desplazamiento al punto destino y e) localizar todas las señales informativas y direccionales con sistema braille que están colocadas dentro del espacio educativo.</w:t>
      </w:r>
    </w:p>
    <w:p w:rsidR="00DF59FF" w:rsidRPr="005E1103" w:rsidRDefault="00DF59FF" w:rsidP="00DF59FF">
      <w:pPr>
        <w:spacing w:after="0" w:line="360" w:lineRule="auto"/>
        <w:jc w:val="both"/>
        <w:rPr>
          <w:rFonts w:cstheme="minorHAnsi"/>
          <w:sz w:val="28"/>
          <w:szCs w:val="28"/>
        </w:rPr>
      </w:pPr>
      <w:r w:rsidRPr="005E1103">
        <w:rPr>
          <w:rFonts w:cstheme="minorHAnsi"/>
          <w:sz w:val="28"/>
          <w:szCs w:val="28"/>
        </w:rPr>
        <w:t xml:space="preserve">Es un proyecto innovador, porque en México no existe ningún otro espacio o institución (pública o privada), que cuente con un sistema integral de mapas que promueva la movilidad independiente de las personas ciegas. </w:t>
      </w:r>
      <w:r w:rsidR="00C273FC" w:rsidRPr="005E1103">
        <w:rPr>
          <w:rFonts w:cstheme="minorHAnsi"/>
          <w:sz w:val="28"/>
          <w:szCs w:val="28"/>
        </w:rPr>
        <w:t>Asimismo,</w:t>
      </w:r>
      <w:r w:rsidRPr="005E1103">
        <w:rPr>
          <w:rFonts w:cstheme="minorHAnsi"/>
          <w:sz w:val="28"/>
          <w:szCs w:val="28"/>
        </w:rPr>
        <w:t xml:space="preserve"> la metodología seguida es incluyente, ya que incorporó a personas ciegas en el equipo de investigación y diseño durante todo el proceso. Ellas participaron activamente en los recorridos completos del edificio, en la conceptualización y representación espacial de los mapas, dibujaron los bocetos y apoyaron durante la definición, evaluación y realización de los modelos funcionales y prototipos. Todo el tiempo ellos se mantuvieron integrados al equipo, su participación fue fundamental para la instrumentación del sistema y muy valiosa durante el proceso de enseñanza- aprendizaje.</w:t>
      </w:r>
    </w:p>
    <w:p w:rsidR="00DF59FF" w:rsidRPr="005E1103" w:rsidRDefault="00DF59FF" w:rsidP="00DF59FF">
      <w:pPr>
        <w:spacing w:after="0" w:line="360" w:lineRule="auto"/>
        <w:jc w:val="both"/>
        <w:rPr>
          <w:rFonts w:cstheme="minorHAnsi"/>
          <w:sz w:val="28"/>
          <w:szCs w:val="28"/>
        </w:rPr>
      </w:pPr>
    </w:p>
    <w:p w:rsidR="00DF59FF" w:rsidRPr="005E1103" w:rsidRDefault="00DF59FF" w:rsidP="00DF59FF">
      <w:pPr>
        <w:spacing w:after="0" w:line="360" w:lineRule="auto"/>
        <w:jc w:val="both"/>
        <w:rPr>
          <w:rFonts w:cstheme="minorHAnsi"/>
          <w:b/>
          <w:sz w:val="28"/>
          <w:szCs w:val="28"/>
        </w:rPr>
      </w:pPr>
      <w:r w:rsidRPr="005E1103">
        <w:rPr>
          <w:rFonts w:cstheme="minorHAnsi"/>
          <w:b/>
          <w:sz w:val="28"/>
          <w:szCs w:val="28"/>
        </w:rPr>
        <w:t>Antecedentes y precisiones</w:t>
      </w:r>
    </w:p>
    <w:p w:rsidR="00DF59FF" w:rsidRPr="005E1103" w:rsidRDefault="00DF59FF" w:rsidP="00DF59FF">
      <w:pPr>
        <w:spacing w:after="0" w:line="360" w:lineRule="auto"/>
        <w:jc w:val="both"/>
        <w:rPr>
          <w:rFonts w:cstheme="minorHAnsi"/>
          <w:sz w:val="28"/>
          <w:szCs w:val="28"/>
        </w:rPr>
      </w:pPr>
      <w:r w:rsidRPr="005E1103">
        <w:rPr>
          <w:rFonts w:cstheme="minorHAnsi"/>
          <w:sz w:val="28"/>
          <w:szCs w:val="28"/>
        </w:rPr>
        <w:t>Como antecedente de este proyecto se puede mencionar que en la Universidad Autónoma Metropolitana Cuajimalpa se cuenta con una línea de investigación</w:t>
      </w:r>
      <w:r w:rsidRPr="005E1103">
        <w:rPr>
          <w:rStyle w:val="Refdenotaalpie"/>
          <w:rFonts w:cstheme="minorHAnsi"/>
          <w:sz w:val="28"/>
          <w:szCs w:val="28"/>
        </w:rPr>
        <w:footnoteReference w:id="32"/>
      </w:r>
      <w:r w:rsidRPr="005E1103">
        <w:rPr>
          <w:rFonts w:cstheme="minorHAnsi"/>
          <w:sz w:val="28"/>
          <w:szCs w:val="28"/>
        </w:rPr>
        <w:t xml:space="preserve"> que </w:t>
      </w:r>
      <w:r w:rsidRPr="005E1103">
        <w:rPr>
          <w:rFonts w:cstheme="minorHAnsi"/>
          <w:sz w:val="28"/>
          <w:szCs w:val="28"/>
        </w:rPr>
        <w:lastRenderedPageBreak/>
        <w:t>busca desarrollar diseños incluyentes que promuevan la calidad de vida de las personas con discapacidad. Otro aspecto relevante es que el modelo educativo de la universidad se centra en el auto aprendizaje de los estudiantes. Una estrategia para promover la autogestión del aprendizaje, consiste en vincular a los alumnos con los propios proyectos de investigación de los docentes, bajo la figura del profesor-investigador. Esta dinámica se genera tanto a nivel licenciatura como en posgrado en la mayoría de los programas de estudio. Lo anterior permite que dentro de la didáctica puedan realizarse proyectos socialmente relevantes que vinculen a los estudiantes con la realidad y con las áreas de investigación de los propios profesores.</w:t>
      </w:r>
    </w:p>
    <w:p w:rsidR="00DF59FF" w:rsidRPr="005E1103" w:rsidRDefault="00DF59FF" w:rsidP="00DF59FF">
      <w:pPr>
        <w:spacing w:after="0" w:line="360" w:lineRule="auto"/>
        <w:jc w:val="both"/>
        <w:rPr>
          <w:rFonts w:cstheme="minorHAnsi"/>
          <w:sz w:val="28"/>
          <w:szCs w:val="28"/>
        </w:rPr>
      </w:pPr>
      <w:r w:rsidRPr="005E1103">
        <w:rPr>
          <w:rFonts w:cstheme="minorHAnsi"/>
          <w:sz w:val="28"/>
          <w:szCs w:val="28"/>
        </w:rPr>
        <w:t xml:space="preserve">Bajo esta dinámica, el sistema de mapas hápticos de la UAM Cuajimalpa forma parte de la línea de investigación mencionada y además pudo realizarse casi de forma simultánea con otro proyecto íntimamente relacionado, que consistía en un sistema integral de señalización y </w:t>
      </w:r>
      <w:r w:rsidRPr="005E1103">
        <w:rPr>
          <w:rFonts w:cstheme="minorHAnsi"/>
          <w:i/>
          <w:sz w:val="28"/>
          <w:szCs w:val="28"/>
        </w:rPr>
        <w:t>wayfinding</w:t>
      </w:r>
      <w:r w:rsidRPr="005E1103">
        <w:rPr>
          <w:rStyle w:val="Refdenotaalpie"/>
          <w:rFonts w:cstheme="minorHAnsi"/>
          <w:i/>
          <w:sz w:val="28"/>
          <w:szCs w:val="28"/>
        </w:rPr>
        <w:footnoteReference w:id="33"/>
      </w:r>
      <w:r w:rsidRPr="005E1103">
        <w:rPr>
          <w:rFonts w:cstheme="minorHAnsi"/>
          <w:sz w:val="28"/>
          <w:szCs w:val="28"/>
        </w:rPr>
        <w:t xml:space="preserve"> para la misma universidad (2014-2015). Éste se generó un año antes por ocho alumnos de licenciatura y dos profesoras</w:t>
      </w:r>
      <w:r w:rsidRPr="005E1103">
        <w:rPr>
          <w:rStyle w:val="Refdenotaalpie"/>
          <w:rFonts w:cstheme="minorHAnsi"/>
          <w:sz w:val="28"/>
          <w:szCs w:val="28"/>
        </w:rPr>
        <w:footnoteReference w:id="34"/>
      </w:r>
      <w:r w:rsidRPr="005E1103">
        <w:rPr>
          <w:rFonts w:cstheme="minorHAnsi"/>
          <w:sz w:val="28"/>
          <w:szCs w:val="28"/>
        </w:rPr>
        <w:t xml:space="preserve">, también bajo el enfoque del diseño universal buscando la accesibilidad de la información espacial del edificio tanto para personas normovisuales como para aquellas con discapacidad visual. </w:t>
      </w:r>
    </w:p>
    <w:p w:rsidR="00DF59FF" w:rsidRPr="005E1103" w:rsidRDefault="00DF59FF" w:rsidP="00DF59FF">
      <w:pPr>
        <w:spacing w:after="0" w:line="360" w:lineRule="auto"/>
        <w:jc w:val="both"/>
        <w:rPr>
          <w:rFonts w:cstheme="minorHAnsi"/>
          <w:sz w:val="28"/>
          <w:szCs w:val="28"/>
        </w:rPr>
      </w:pPr>
      <w:r w:rsidRPr="005E1103">
        <w:rPr>
          <w:rFonts w:cstheme="minorHAnsi"/>
          <w:sz w:val="28"/>
          <w:szCs w:val="28"/>
        </w:rPr>
        <w:t>Como principios rectores, para la realización de ambas propuestas se tuvieron siempre presentes a las Personas con Discapacidad Visual (PcDvi), sus necesidades y derechos, buscando fomentar situaciones y propuestas equitativas e incluyentes. Asimismo, se reconoció que por su condición poseen algunos derechos específicos</w:t>
      </w:r>
      <w:r w:rsidRPr="005E1103">
        <w:rPr>
          <w:rStyle w:val="Refdenotaalpie"/>
          <w:rFonts w:cstheme="minorHAnsi"/>
          <w:sz w:val="28"/>
          <w:szCs w:val="28"/>
        </w:rPr>
        <w:footnoteReference w:id="35"/>
      </w:r>
      <w:r w:rsidRPr="005E1103">
        <w:rPr>
          <w:rFonts w:cstheme="minorHAnsi"/>
          <w:sz w:val="28"/>
          <w:szCs w:val="28"/>
        </w:rPr>
        <w:t xml:space="preserve">, por ejemplo, el </w:t>
      </w:r>
      <w:r w:rsidRPr="005E1103">
        <w:rPr>
          <w:rFonts w:cstheme="minorHAnsi"/>
          <w:i/>
          <w:sz w:val="28"/>
          <w:szCs w:val="28"/>
        </w:rPr>
        <w:t>Derecho a la información y a la comunicación</w:t>
      </w:r>
      <w:r w:rsidRPr="005E1103">
        <w:rPr>
          <w:rFonts w:cstheme="minorHAnsi"/>
          <w:sz w:val="28"/>
          <w:szCs w:val="28"/>
        </w:rPr>
        <w:t xml:space="preserve"> que menciona lo siguiente:</w:t>
      </w:r>
    </w:p>
    <w:p w:rsidR="00DF59FF" w:rsidRPr="005E1103" w:rsidRDefault="00DF59FF" w:rsidP="00DF59FF">
      <w:pPr>
        <w:spacing w:before="240" w:after="240" w:line="360" w:lineRule="auto"/>
        <w:ind w:left="567" w:right="567"/>
        <w:jc w:val="both"/>
        <w:rPr>
          <w:rFonts w:cstheme="minorHAnsi"/>
          <w:sz w:val="28"/>
          <w:szCs w:val="28"/>
        </w:rPr>
      </w:pPr>
      <w:r w:rsidRPr="005E1103">
        <w:rPr>
          <w:rFonts w:cstheme="minorHAnsi"/>
          <w:sz w:val="28"/>
          <w:szCs w:val="28"/>
        </w:rPr>
        <w:lastRenderedPageBreak/>
        <w:t xml:space="preserve">“cuando la ceguera es total, el oído y el tacto pasan a ser los principales canales en la recepción de la información, mientras </w:t>
      </w:r>
      <w:r w:rsidR="00C273FC" w:rsidRPr="005E1103">
        <w:rPr>
          <w:rFonts w:cstheme="minorHAnsi"/>
          <w:sz w:val="28"/>
          <w:szCs w:val="28"/>
        </w:rPr>
        <w:t>que,</w:t>
      </w:r>
      <w:r w:rsidRPr="005E1103">
        <w:rPr>
          <w:rFonts w:cstheme="minorHAnsi"/>
          <w:sz w:val="28"/>
          <w:szCs w:val="28"/>
        </w:rPr>
        <w:t xml:space="preserve"> para las personas con debilidad visual, la poca visión que poseen es un recurso más que puede utilizar. Se debe fomentar la elaboración de medios alternativos de información, como, por ejemplo, imprimir textos en sistema Braille, hacer grabaciones en audio casetes, discos flexibles o discos compactos, entre otros”</w:t>
      </w:r>
    </w:p>
    <w:p w:rsidR="00DF59FF" w:rsidRPr="005E1103" w:rsidRDefault="00DF59FF" w:rsidP="00DF59FF">
      <w:pPr>
        <w:spacing w:after="0" w:line="360" w:lineRule="auto"/>
        <w:jc w:val="both"/>
        <w:rPr>
          <w:rFonts w:cstheme="minorHAnsi"/>
          <w:sz w:val="28"/>
          <w:szCs w:val="28"/>
        </w:rPr>
      </w:pPr>
      <w:r w:rsidRPr="005E1103">
        <w:rPr>
          <w:rFonts w:cstheme="minorHAnsi"/>
          <w:sz w:val="28"/>
          <w:szCs w:val="28"/>
        </w:rPr>
        <w:t xml:space="preserve">En la realización de ambos proyectos, la integración de estos lineamientos fue fundamental y por ejemplo, todo el sistema de </w:t>
      </w:r>
      <w:r w:rsidRPr="005E1103">
        <w:rPr>
          <w:rFonts w:cstheme="minorHAnsi"/>
          <w:i/>
          <w:sz w:val="28"/>
          <w:szCs w:val="28"/>
        </w:rPr>
        <w:t>wayfinding</w:t>
      </w:r>
      <w:r w:rsidRPr="005E1103">
        <w:rPr>
          <w:rFonts w:cstheme="minorHAnsi"/>
          <w:sz w:val="28"/>
          <w:szCs w:val="28"/>
        </w:rPr>
        <w:t xml:space="preserve"> integró textos braille en todos sus diseños. Por otra parte, para el sistema de mapas hápticos para PcDvi fue importante comprender la posibilidad de realizar una propuesta que les comunicara de manera evidente cómo se conforma y se comunica el espacio en el que se encuentran. De esta manera, retomamos el Artículo 2 de la Convención Sobre los Derechos de las Personas con Discapacidad que menciona:</w:t>
      </w:r>
    </w:p>
    <w:p w:rsidR="00DF59FF" w:rsidRPr="005E1103" w:rsidRDefault="00DF59FF" w:rsidP="00DF59FF">
      <w:pPr>
        <w:spacing w:before="240" w:after="240" w:line="360" w:lineRule="auto"/>
        <w:ind w:left="567" w:right="567"/>
        <w:jc w:val="both"/>
        <w:rPr>
          <w:rFonts w:cstheme="minorHAnsi"/>
          <w:sz w:val="28"/>
          <w:szCs w:val="28"/>
        </w:rPr>
      </w:pPr>
      <w:r w:rsidRPr="005E1103">
        <w:rPr>
          <w:rFonts w:cstheme="minorHAnsi"/>
          <w:sz w:val="28"/>
          <w:szCs w:val="28"/>
        </w:rPr>
        <w:t>La “comunicación” incluirá los lenguajes, la visualización de textos, el Braille, la comunicación táctil, los macrotipos, los dispositivos multimedia de fácil acceso, así como el lenguaje escrito, los sistemas auditivos, el lenguaje sencillo, los medios de voz digitalizada y otros modos, medios y formatos aumentativos o alternativos de comunicación, incluida la tecnología de la información y las comunicaciones de fácil acceso…</w:t>
      </w:r>
    </w:p>
    <w:p w:rsidR="00DF59FF" w:rsidRPr="005E1103" w:rsidRDefault="00DF59FF" w:rsidP="00DF59FF">
      <w:pPr>
        <w:spacing w:after="0" w:line="360" w:lineRule="auto"/>
        <w:jc w:val="both"/>
        <w:rPr>
          <w:rFonts w:cstheme="minorHAnsi"/>
          <w:sz w:val="28"/>
          <w:szCs w:val="28"/>
        </w:rPr>
      </w:pPr>
      <w:r w:rsidRPr="005E1103">
        <w:rPr>
          <w:rFonts w:cstheme="minorHAnsi"/>
          <w:sz w:val="28"/>
          <w:szCs w:val="28"/>
        </w:rPr>
        <w:t xml:space="preserve">De esta manera, comprendimos que los mapas hápticos resultaban ser un elemento indispensable en la propuesta de un sistema de señalización integral dentro de la universidad: que fuera articulado e incluyente, que combinara la señalización, mapas tipo </w:t>
      </w:r>
      <w:r w:rsidRPr="005E1103">
        <w:rPr>
          <w:rFonts w:cstheme="minorHAnsi"/>
          <w:i/>
          <w:sz w:val="28"/>
          <w:szCs w:val="28"/>
        </w:rPr>
        <w:t>“you are here”</w:t>
      </w:r>
      <w:r w:rsidRPr="005E1103">
        <w:rPr>
          <w:rFonts w:cstheme="minorHAnsi"/>
          <w:sz w:val="28"/>
          <w:szCs w:val="28"/>
        </w:rPr>
        <w:t xml:space="preserve"> (visuales, hápticos e interactivos), símbolos, colores, tipografías, sistema braille y otras comunicaciones como pantallas digitales e interactivas. El sistema de mapas debía contener, además del sistema braille y los macrotipos, una representación </w:t>
      </w:r>
      <w:r w:rsidRPr="005E1103">
        <w:rPr>
          <w:rFonts w:cstheme="minorHAnsi"/>
          <w:sz w:val="28"/>
          <w:szCs w:val="28"/>
        </w:rPr>
        <w:lastRenderedPageBreak/>
        <w:t xml:space="preserve">háptica congruente con la experiencia espacial de las PcDvi. Integrar códigos táctiles que les permitieran reconocer el espacio de forma intuitiva además de facilitar el acceso y la interacción con toda la propuesta. </w:t>
      </w:r>
    </w:p>
    <w:p w:rsidR="00DF59FF" w:rsidRPr="005E1103" w:rsidRDefault="00DF59FF" w:rsidP="00DF59FF">
      <w:pPr>
        <w:spacing w:after="0" w:line="360" w:lineRule="auto"/>
        <w:jc w:val="both"/>
        <w:rPr>
          <w:rFonts w:cstheme="minorHAnsi"/>
          <w:sz w:val="28"/>
          <w:szCs w:val="28"/>
        </w:rPr>
      </w:pPr>
      <w:r w:rsidRPr="005E1103">
        <w:rPr>
          <w:rFonts w:cstheme="minorHAnsi"/>
          <w:sz w:val="28"/>
          <w:szCs w:val="28"/>
        </w:rPr>
        <w:t>Un principio básico para el equipo fue, que si alguna persona ciega accediese a nuestro campus, era fundamental que pudiera comprender, mediante los mapas hápticos, la distribución del espacio en el que se encontraba y además integrar la información necesaria para desplazarse en él de forma independiente y autónoma. Otro principio importante era que la generación de estos mapas no podía provenir de representaciones visuales de personas normovisuales, sino que debían generase con base en aquellas representaciones espaciales provenientes de la propia experiencia multisensorial de las personas ciegas. De esta manera, los mapas hápticos debían concebirse tomando como principio esencial las representaciones cognitivo-espaciales que ellas mismas fueran capaces de hacer, una vez que se hubiesen formado una imagen mental del propio espacio a través de la experiencia obtenida d los recorridos, las exploraciones sensoriales y kinestésicas del lugar. Cabe recalcar que este último requisito es indispensable dentro del modelo de diseño hapto gráfico.</w:t>
      </w:r>
    </w:p>
    <w:p w:rsidR="00DF59FF" w:rsidRPr="005E1103" w:rsidRDefault="00DF59FF" w:rsidP="00DF59FF">
      <w:pPr>
        <w:spacing w:after="0" w:line="360" w:lineRule="auto"/>
        <w:jc w:val="both"/>
        <w:rPr>
          <w:rFonts w:cstheme="minorHAnsi"/>
          <w:sz w:val="28"/>
          <w:szCs w:val="28"/>
        </w:rPr>
      </w:pPr>
      <w:r w:rsidRPr="005E1103">
        <w:rPr>
          <w:rFonts w:cstheme="minorHAnsi"/>
          <w:sz w:val="28"/>
          <w:szCs w:val="28"/>
        </w:rPr>
        <w:t xml:space="preserve">Se ha observado, después de analizar distintos ejemplos de diseños táctiles y hápticos que tienen como base una representación visual, que al traducirse en alto relieve, éstos no significan ni comunican nada a las personas ciegas y por tanto, no les sirven en absoluto. Esto se debe precisamente a que aquello que es representado es información relevante únicamente para el sentido de la vista y además, en la composición de estos diseños se integran relaciones de elementos que adquieren sentido y comunican solamente cuando uno ve, independientemente de que la representación sea realizada en altorrelieve, integre Braille y utilice texturas. Debe comprenderse que si los diseños táctiles tienen como origen códigos, representaciones y relaciones visuales, éste tipo de diseños no serán significativos ni comunicativos para las personas ciegas; la explicación es simple: la percepción visual y la percepción háptica son sistemas completamente </w:t>
      </w:r>
      <w:r w:rsidRPr="005E1103">
        <w:rPr>
          <w:rFonts w:cstheme="minorHAnsi"/>
          <w:sz w:val="28"/>
          <w:szCs w:val="28"/>
        </w:rPr>
        <w:lastRenderedPageBreak/>
        <w:t>distintos y funcionan de manera completamente diferente. Este tipo de diseños “táctiles o hápticos” que solamente traducen en alto relieve lo visual, ya no deberían realizarse, porque no funcionan, no comunican y no incluyen.</w:t>
      </w:r>
    </w:p>
    <w:p w:rsidR="00DF59FF" w:rsidRPr="005E1103" w:rsidRDefault="00DF59FF" w:rsidP="00DF59FF">
      <w:pPr>
        <w:spacing w:after="0" w:line="360" w:lineRule="auto"/>
        <w:jc w:val="both"/>
        <w:rPr>
          <w:rFonts w:cstheme="minorHAnsi"/>
          <w:sz w:val="28"/>
          <w:szCs w:val="28"/>
        </w:rPr>
      </w:pPr>
      <w:r w:rsidRPr="005E1103">
        <w:rPr>
          <w:rFonts w:cstheme="minorHAnsi"/>
          <w:sz w:val="28"/>
          <w:szCs w:val="28"/>
        </w:rPr>
        <w:t>Los mapas hápticos y cualquier otro diseño que se denomine como tal, debe integrar precisamente aquella información que sea relevante para el sistema háptico y en la medida de lo posible, deberá integrar aquellas otras informaciones provenientes de otros sentidos. Toda la información que los ciegos perciben cuando realizan las exploraciones para conocer el espacio son las que deben conformar el diseño háptico y aparecer en los mapas.</w:t>
      </w:r>
    </w:p>
    <w:p w:rsidR="00DF59FF" w:rsidRPr="005E1103" w:rsidRDefault="00DF59FF" w:rsidP="00DF59FF">
      <w:pPr>
        <w:spacing w:after="0" w:line="360" w:lineRule="auto"/>
        <w:jc w:val="both"/>
        <w:rPr>
          <w:rFonts w:cstheme="minorHAnsi"/>
          <w:sz w:val="28"/>
          <w:szCs w:val="28"/>
        </w:rPr>
      </w:pPr>
    </w:p>
    <w:p w:rsidR="00DF59FF" w:rsidRPr="005E1103" w:rsidRDefault="00DF59FF" w:rsidP="00DF59FF">
      <w:pPr>
        <w:spacing w:after="0" w:line="360" w:lineRule="auto"/>
        <w:jc w:val="both"/>
        <w:rPr>
          <w:rFonts w:cstheme="minorHAnsi"/>
          <w:b/>
          <w:sz w:val="28"/>
          <w:szCs w:val="28"/>
        </w:rPr>
      </w:pPr>
      <w:r w:rsidRPr="005E1103">
        <w:rPr>
          <w:rFonts w:cstheme="minorHAnsi"/>
          <w:b/>
          <w:sz w:val="28"/>
          <w:szCs w:val="28"/>
        </w:rPr>
        <w:t>Metodología seguida en la realización de este sistema</w:t>
      </w:r>
    </w:p>
    <w:p w:rsidR="00DF59FF" w:rsidRPr="005E1103" w:rsidRDefault="00DF59FF" w:rsidP="00DF59FF">
      <w:pPr>
        <w:spacing w:after="0" w:line="360" w:lineRule="auto"/>
        <w:jc w:val="both"/>
        <w:rPr>
          <w:rFonts w:cstheme="minorHAnsi"/>
          <w:sz w:val="28"/>
          <w:szCs w:val="28"/>
        </w:rPr>
      </w:pPr>
      <w:r w:rsidRPr="005E1103">
        <w:rPr>
          <w:rFonts w:cstheme="minorHAnsi"/>
          <w:sz w:val="28"/>
          <w:szCs w:val="28"/>
        </w:rPr>
        <w:t>Los mapas y diseños táctiles o hápticos son generalmente representaciones tridimensionales en alto relieve que tratan de simbolizar o traducir el espacio a una persona ciega. La información de éstos es percibida al tocarlos con los dedos de las manos y los movimientos exploratorios. Es incorrecto pensar que este tipo de diseños debe estar determinado sobre aquellas convenciones de mapas visuales análogos y que se reducen únicamente a ser traducciones  de éstos con relieves y texturas.</w:t>
      </w:r>
    </w:p>
    <w:p w:rsidR="00DF59FF" w:rsidRPr="005E1103" w:rsidRDefault="00DF59FF" w:rsidP="00DF59FF">
      <w:pPr>
        <w:spacing w:after="0" w:line="360" w:lineRule="auto"/>
        <w:jc w:val="both"/>
        <w:rPr>
          <w:rFonts w:eastAsia="Arial" w:cstheme="minorHAnsi"/>
          <w:color w:val="000000"/>
          <w:sz w:val="28"/>
          <w:szCs w:val="28"/>
          <w:lang w:val="es-ES_tradnl"/>
        </w:rPr>
      </w:pPr>
      <w:r w:rsidRPr="005E1103">
        <w:rPr>
          <w:rFonts w:eastAsia="Arial" w:cstheme="minorHAnsi"/>
          <w:color w:val="000000"/>
          <w:sz w:val="28"/>
          <w:szCs w:val="28"/>
          <w:lang w:val="es-ES_tradnl"/>
        </w:rPr>
        <w:t xml:space="preserve">La habilidad de las personas con discapacidad visual para desplazarse en el espacio está relacionada con la percepción háptica, que se refiere a la capacidad de interactuar con los objetos a través del tacto. El término </w:t>
      </w:r>
      <w:r w:rsidRPr="005E1103">
        <w:rPr>
          <w:rFonts w:eastAsia="Arial" w:cstheme="minorHAnsi"/>
          <w:i/>
          <w:color w:val="000000"/>
          <w:sz w:val="28"/>
          <w:szCs w:val="28"/>
          <w:lang w:val="es-ES_tradnl"/>
        </w:rPr>
        <w:t>Haptik</w:t>
      </w:r>
      <w:r w:rsidRPr="005E1103">
        <w:rPr>
          <w:rFonts w:eastAsia="Arial" w:cstheme="minorHAnsi"/>
          <w:color w:val="000000"/>
          <w:sz w:val="28"/>
          <w:szCs w:val="28"/>
          <w:lang w:val="es-ES_tradnl"/>
        </w:rPr>
        <w:t xml:space="preserve"> fue usado por el psicólogo alemán Max Dessoir en su artículo de 1892 </w:t>
      </w:r>
      <w:r w:rsidRPr="005E1103">
        <w:rPr>
          <w:rFonts w:eastAsia="Arial" w:cstheme="minorHAnsi"/>
          <w:i/>
          <w:color w:val="000000"/>
          <w:sz w:val="28"/>
          <w:szCs w:val="28"/>
          <w:lang w:val="es-ES_tradnl"/>
        </w:rPr>
        <w:t>Über den Hautsinn</w:t>
      </w:r>
      <w:r w:rsidRPr="005E1103">
        <w:rPr>
          <w:rFonts w:eastAsia="Arial" w:cstheme="minorHAnsi"/>
          <w:color w:val="000000"/>
          <w:sz w:val="28"/>
          <w:szCs w:val="28"/>
          <w:lang w:val="es-ES_tradnl"/>
        </w:rPr>
        <w:t xml:space="preserve"> (Sobre el sentido del tacto), en el que lo definía como la percepción que se realiza a través de la exploración activa de objetos y superficies, en oposición al contacto pasivo de un sujeto estático durante la percepción táctil. Morash et al. (2012), amplían el término háptico para incluir en él </w:t>
      </w:r>
      <w:r w:rsidRPr="005E1103">
        <w:rPr>
          <w:rFonts w:eastAsia="Arial" w:cstheme="minorHAnsi"/>
          <w:i/>
          <w:color w:val="000000"/>
          <w:sz w:val="28"/>
          <w:szCs w:val="28"/>
          <w:lang w:val="es-ES_tradnl"/>
        </w:rPr>
        <w:t>la combinación de información táctil, propioceptiva, y cinestésica</w:t>
      </w:r>
      <w:r w:rsidRPr="005E1103">
        <w:rPr>
          <w:rStyle w:val="Refdenotaalpie"/>
          <w:rFonts w:eastAsia="Arial" w:cstheme="minorHAnsi"/>
          <w:i/>
          <w:color w:val="000000"/>
          <w:sz w:val="28"/>
          <w:szCs w:val="28"/>
          <w:lang w:val="es-ES_tradnl"/>
        </w:rPr>
        <w:t xml:space="preserve"> </w:t>
      </w:r>
      <w:r w:rsidRPr="005E1103">
        <w:rPr>
          <w:rStyle w:val="Refdenotaalpie"/>
          <w:rFonts w:eastAsia="Arial" w:cstheme="minorHAnsi"/>
          <w:i/>
          <w:color w:val="000000"/>
          <w:sz w:val="28"/>
          <w:szCs w:val="28"/>
          <w:lang w:val="es-ES_tradnl"/>
        </w:rPr>
        <w:footnoteReference w:id="36"/>
      </w:r>
      <w:r w:rsidRPr="005E1103">
        <w:rPr>
          <w:rFonts w:eastAsia="Arial" w:cstheme="minorHAnsi"/>
          <w:color w:val="000000"/>
          <w:sz w:val="28"/>
          <w:szCs w:val="28"/>
          <w:lang w:val="es-ES_tradnl"/>
        </w:rPr>
        <w:t>. Así, la orientación de las PcDvi también se complementa con la percepción del propio cuerpo y de sus movimientos.</w:t>
      </w:r>
    </w:p>
    <w:p w:rsidR="00DF59FF" w:rsidRPr="005E1103" w:rsidRDefault="00DF59FF" w:rsidP="00DF59FF">
      <w:pPr>
        <w:pStyle w:val="Normal1"/>
        <w:spacing w:line="360" w:lineRule="auto"/>
        <w:jc w:val="both"/>
        <w:rPr>
          <w:rFonts w:asciiTheme="minorHAnsi" w:hAnsiTheme="minorHAnsi" w:cstheme="minorHAnsi"/>
          <w:sz w:val="28"/>
          <w:szCs w:val="28"/>
        </w:rPr>
      </w:pPr>
      <w:r w:rsidRPr="005E1103">
        <w:rPr>
          <w:rFonts w:asciiTheme="minorHAnsi" w:hAnsiTheme="minorHAnsi" w:cstheme="minorHAnsi"/>
          <w:sz w:val="28"/>
          <w:szCs w:val="28"/>
        </w:rPr>
        <w:lastRenderedPageBreak/>
        <w:t xml:space="preserve">Los principios de la háptica se han aplicado a la creación del sistema de mapas para la orientación y movilidad de las personas con discapacidad visual. La función de éstos es ayudar en la comprensión de los espacios de manera previa. Los mapas ayudan a las PcDvi en la generación de mapas cognitivos, ya que a partir de la exploración háptica de las superficies de los mapas, el sujeto construye una representación mental del espacio que le ayuda a definir recorridos y a recordar características relevantes del entorno. El mapa cognitivo mejora el conocimiento espacial del individuo, es decir, su capacidad para localizar objetos en el sitio, pues cuando el sujeto trata de saber su ubicación debe contar, en un primer momento, con información previa que le ayude a conocer la forma del espacio, las ubicaciones principales y los posibles recorridos. Así, durante la ejecución de la tarea (desplazamiento) tendrá la capacidad de entender a su cuerpo como un objeto que se mueve por el espacio. </w:t>
      </w:r>
    </w:p>
    <w:p w:rsidR="00DF59FF" w:rsidRPr="005E1103" w:rsidRDefault="00DF59FF" w:rsidP="00DF59FF">
      <w:pPr>
        <w:pStyle w:val="Normal1"/>
        <w:spacing w:line="360" w:lineRule="auto"/>
        <w:jc w:val="both"/>
        <w:rPr>
          <w:rFonts w:asciiTheme="minorHAnsi" w:hAnsiTheme="minorHAnsi" w:cstheme="minorHAnsi"/>
          <w:sz w:val="28"/>
          <w:szCs w:val="28"/>
        </w:rPr>
      </w:pPr>
      <w:r w:rsidRPr="005E1103">
        <w:rPr>
          <w:rFonts w:asciiTheme="minorHAnsi" w:hAnsiTheme="minorHAnsi" w:cstheme="minorHAnsi"/>
          <w:sz w:val="28"/>
          <w:szCs w:val="28"/>
        </w:rPr>
        <w:t xml:space="preserve">Es necesario enfatizar algunos lineamientos importantes en el diseño de los mapas hápticos. La percepción háptica no tiene la misma resolución que la visual y por ello es indispensable pensar con el tacto, es decir, que los signos presentes en el mapa no sean complejos pues corren el riesgo de no ser comprendidos. Tampoco deben incluirse demasiados elementos ya que la percepción háptica es secuencial y el incremento en el tiempo de exploración aumentará la carga cognitiva del sujeto. Otro aspecto a considerar es que las personas con discapacidad visual tienen una mejor comprensión de los objetos en relieve a través de sus contornos y no como formas sólidas. En este sentido, se puede explotar la utilización de líneas de diferentes grosores o con patrones de discontinuidad que tengan diferentes significados dentro del mapa. También se pueden trabajar diferentes alturas o relieves. Por último, existe la opción de utilizar texturas para indicar zonificaciones del espacio, teniendo cuidado de no hacerlas complejas, que sean plenamente distinguibles entre sí y que no sean demasiadas. </w:t>
      </w:r>
    </w:p>
    <w:p w:rsidR="00DF59FF" w:rsidRPr="005E1103" w:rsidRDefault="00DF59FF" w:rsidP="00DF59FF">
      <w:pPr>
        <w:spacing w:after="0" w:line="360" w:lineRule="auto"/>
        <w:jc w:val="both"/>
        <w:rPr>
          <w:rFonts w:cstheme="minorHAnsi"/>
          <w:sz w:val="28"/>
          <w:szCs w:val="28"/>
        </w:rPr>
      </w:pPr>
      <w:r w:rsidRPr="005E1103">
        <w:rPr>
          <w:rFonts w:cstheme="minorHAnsi"/>
          <w:sz w:val="28"/>
          <w:szCs w:val="28"/>
        </w:rPr>
        <w:t xml:space="preserve">El proyecto de los siete mapas hápticos de la UAM- C, está basado completamente en el método de diseño hapto gráfico. Esto significa que cualquier diseño realizado con base </w:t>
      </w:r>
      <w:r w:rsidRPr="005E1103">
        <w:rPr>
          <w:rFonts w:cstheme="minorHAnsi"/>
          <w:sz w:val="28"/>
          <w:szCs w:val="28"/>
        </w:rPr>
        <w:lastRenderedPageBreak/>
        <w:t>en este método posee algunas características importantes, por ejemplo, a) que es un proceso de trabajo colaborativo que integra a las personas con discapacidad en el equipo de diseño dese el principio del proyecto; b) las personas ciegas son fundamentales en términos de la definición del problema y necesidades; c) ellas participan activamente en la definición de los objetivos de la solución de diseño de acuerdo con el problema detectado; d) ellas son colaboradores activos en los procesos cognitivos de conceptualización y representación espacial de cada solución (esto significa que ellas dibujan los bocetos con los que inicia el proyecto de solución); y e) las PcDvi son los evaluadores idóneos de la solución de diseño además de que proponen mejoras que en redundan un entendimiento del proyecto más asertivo para sus pares.</w:t>
      </w:r>
    </w:p>
    <w:p w:rsidR="00DF59FF" w:rsidRPr="005E1103" w:rsidRDefault="00DF59FF" w:rsidP="00DF59FF">
      <w:pPr>
        <w:spacing w:after="0" w:line="360" w:lineRule="auto"/>
        <w:jc w:val="both"/>
        <w:rPr>
          <w:rFonts w:cstheme="minorHAnsi"/>
          <w:sz w:val="28"/>
          <w:szCs w:val="28"/>
        </w:rPr>
      </w:pPr>
      <w:r w:rsidRPr="005E1103">
        <w:rPr>
          <w:rFonts w:cstheme="minorHAnsi"/>
          <w:sz w:val="28"/>
          <w:szCs w:val="28"/>
        </w:rPr>
        <w:t>El proyecto de los mapas hápticos tuvo como origen las siguientes preguntas: ¿cómo sería la forma más adecuada para interpretar el espacio de la universidad en un mapa? y con base en esta interpretación, ¿era posible generar una propuesta de diseño significativa para las personas ciegas que les permitiera tener información accesible del espacio universitario y a partir de la cual ellas pudieran tomar decisiones sobre cómo desplazarse de forma independiente y autónoma en el edificio?</w:t>
      </w:r>
    </w:p>
    <w:p w:rsidR="00DF59FF" w:rsidRPr="005E1103" w:rsidRDefault="00DF59FF" w:rsidP="00DF59FF">
      <w:pPr>
        <w:spacing w:after="0" w:line="360" w:lineRule="auto"/>
        <w:jc w:val="both"/>
        <w:rPr>
          <w:rFonts w:cstheme="minorHAnsi"/>
          <w:sz w:val="28"/>
          <w:szCs w:val="28"/>
        </w:rPr>
      </w:pPr>
      <w:r w:rsidRPr="005E1103">
        <w:rPr>
          <w:rFonts w:cstheme="minorHAnsi"/>
          <w:sz w:val="28"/>
          <w:szCs w:val="28"/>
        </w:rPr>
        <w:t xml:space="preserve">Como se ha mencionado, la esencia del proyecto se encuentra en el método del diseño háptico, cuyo principio de conceptualización y representación se centra en aquellos elementos significativos, comunicativos e informativos que surgen de las propias representaciones espaciales o dibujos de las personas con discapacidad visual provenientes de sus imágenes mentales o cognitivas. </w:t>
      </w:r>
    </w:p>
    <w:p w:rsidR="00DF59FF" w:rsidRPr="005E1103" w:rsidRDefault="00DF59FF" w:rsidP="00DF59FF">
      <w:pPr>
        <w:spacing w:after="0" w:line="360" w:lineRule="auto"/>
        <w:jc w:val="both"/>
        <w:rPr>
          <w:rFonts w:cstheme="minorHAnsi"/>
          <w:sz w:val="28"/>
          <w:szCs w:val="28"/>
        </w:rPr>
      </w:pPr>
      <w:r w:rsidRPr="005E1103">
        <w:rPr>
          <w:rFonts w:cstheme="minorHAnsi"/>
          <w:sz w:val="28"/>
          <w:szCs w:val="28"/>
        </w:rPr>
        <w:t>El método del diseño háptico se opone a que la información representada se limite a ser una traducción en alto relieve de representaciones que provienen del sentido de la vista. Si la imagen “táctil o háptica” es el resultado reduccionista de un proceso de interpretación y representación visual, entonces difícilmente resultará significativa y comunicativa para la persona ciega. Esto definitivamente no es suficiente, y peor aún, no funciona pues no les comunica nada a las PcDvi.</w:t>
      </w:r>
    </w:p>
    <w:p w:rsidR="00DF59FF" w:rsidRPr="005E1103" w:rsidRDefault="00DF59FF" w:rsidP="00DF59FF">
      <w:pPr>
        <w:spacing w:after="0" w:line="360" w:lineRule="auto"/>
        <w:jc w:val="both"/>
        <w:rPr>
          <w:rFonts w:cstheme="minorHAnsi"/>
          <w:sz w:val="28"/>
          <w:szCs w:val="28"/>
        </w:rPr>
      </w:pPr>
      <w:r w:rsidRPr="005E1103">
        <w:rPr>
          <w:rFonts w:cstheme="minorHAnsi"/>
          <w:sz w:val="28"/>
          <w:szCs w:val="28"/>
        </w:rPr>
        <w:lastRenderedPageBreak/>
        <w:t xml:space="preserve">Se ha comprobado, mediante otras investigaciones que hemos realizado, que las imágenes hápticas que necesitan las personas ciegas son aquellas que provienen de ellas mismas, a partir de sus propias descripciones o de aquellas representaciones espaciales que son capaces de dibujar y cuya configuración mental proviene de aquella información de lo que previamente han tocado, olido, escuchado o explorado. </w:t>
      </w:r>
    </w:p>
    <w:p w:rsidR="00DF59FF" w:rsidRPr="005E1103" w:rsidRDefault="00DF59FF" w:rsidP="00DF59FF">
      <w:pPr>
        <w:spacing w:after="0" w:line="360" w:lineRule="auto"/>
        <w:jc w:val="both"/>
        <w:rPr>
          <w:rFonts w:cstheme="minorHAnsi"/>
          <w:sz w:val="28"/>
          <w:szCs w:val="28"/>
        </w:rPr>
      </w:pPr>
      <w:r w:rsidRPr="005E1103">
        <w:rPr>
          <w:rFonts w:cstheme="minorHAnsi"/>
          <w:sz w:val="28"/>
          <w:szCs w:val="28"/>
        </w:rPr>
        <w:t xml:space="preserve">Así, las imágenes hápticas idóneas son aquellas que poseen en su composición todos aquellos elementos conformadores de la imagen que les resulten significativos a los ciegos, tanto en número, tamaño, proporción, proximidad, escala y ubicación. </w:t>
      </w:r>
    </w:p>
    <w:p w:rsidR="00DF59FF" w:rsidRPr="005E1103" w:rsidRDefault="00DF59FF" w:rsidP="00DF59FF">
      <w:pPr>
        <w:spacing w:after="0" w:line="360" w:lineRule="auto"/>
        <w:jc w:val="both"/>
        <w:rPr>
          <w:rFonts w:cstheme="minorHAnsi"/>
          <w:sz w:val="28"/>
          <w:szCs w:val="28"/>
        </w:rPr>
      </w:pPr>
      <w:r w:rsidRPr="005E1103">
        <w:rPr>
          <w:rFonts w:cstheme="minorHAnsi"/>
          <w:sz w:val="28"/>
          <w:szCs w:val="28"/>
        </w:rPr>
        <w:t xml:space="preserve">Por ejemplo, la imagen de una silla de ruedas para una persona ciega debe comunicarle que el objeto tiene la forma de un asiento, con respaldo y que cuenta con una rueda a cada lado, de tal manera que una persona con discapacidad motriz puede desplazarse usando esta silla estando sentada gracias a que rueda por los caminos. Es decir que entonces el pictograma de accesibilidad universal con la silla de ruedas en perfil y realizada en alto relieve, no les dice absolutamente nada del concepto que éste representa. Otro ejemplo sería el caso de un perro, por ejemplo la imagen háptica de éste, deberá representar a un animal de mediano tamaño, con un cuerpo regular (no demasiado delgado ni demasiado obeso) que tiene cuatro patas medianas y una cola (pegadas al cuerpo), dos ojos, dos orejas, una nariz y un hocico. </w:t>
      </w:r>
    </w:p>
    <w:p w:rsidR="00DF59FF" w:rsidRPr="005E1103" w:rsidRDefault="00DF59FF" w:rsidP="00DF59FF">
      <w:pPr>
        <w:spacing w:after="0" w:line="360" w:lineRule="auto"/>
        <w:jc w:val="both"/>
        <w:rPr>
          <w:rFonts w:cstheme="minorHAnsi"/>
          <w:sz w:val="28"/>
          <w:szCs w:val="28"/>
        </w:rPr>
      </w:pPr>
      <w:r w:rsidRPr="005E1103">
        <w:rPr>
          <w:rFonts w:cstheme="minorHAnsi"/>
          <w:sz w:val="28"/>
          <w:szCs w:val="28"/>
        </w:rPr>
        <w:t xml:space="preserve">Estos ejemplos significan que un diseño hapto gráfico debe representar aquellos datos que fueron incluidos previamente en el boceto del objeto realizado por la persona ciega y que contendrá los criterios esenciales de diseño, que al traducirse en alto relieve, resultan altamente informativos y comunicativos para ellos ya que tienen un origen perceptual principalmente háptico y multisensorial. </w:t>
      </w:r>
    </w:p>
    <w:p w:rsidR="00DF59FF" w:rsidRPr="005E1103" w:rsidRDefault="00DF59FF" w:rsidP="00DF59FF">
      <w:pPr>
        <w:spacing w:after="0" w:line="360" w:lineRule="auto"/>
        <w:jc w:val="both"/>
        <w:rPr>
          <w:rFonts w:cstheme="minorHAnsi"/>
          <w:sz w:val="28"/>
          <w:szCs w:val="28"/>
        </w:rPr>
      </w:pPr>
      <w:r w:rsidRPr="005E1103">
        <w:rPr>
          <w:rFonts w:cstheme="minorHAnsi"/>
          <w:sz w:val="28"/>
          <w:szCs w:val="28"/>
        </w:rPr>
        <w:t>De esta manera, se gestiona que un carácter ampliamente intuitivo para las personas ciegas respecto del diseño háptico, esto es, que no requiera de un aprendizaje previo, que no implique un desgaste físico en términos del esfuerzo empleado y que tampoco genere frustración.</w:t>
      </w:r>
    </w:p>
    <w:p w:rsidR="00DF59FF" w:rsidRPr="005E1103" w:rsidRDefault="00DF59FF" w:rsidP="00DF59FF">
      <w:pPr>
        <w:spacing w:after="0" w:line="360" w:lineRule="auto"/>
        <w:jc w:val="both"/>
        <w:rPr>
          <w:rFonts w:cstheme="minorHAnsi"/>
          <w:sz w:val="28"/>
          <w:szCs w:val="28"/>
        </w:rPr>
      </w:pPr>
      <w:r w:rsidRPr="005E1103">
        <w:rPr>
          <w:rFonts w:cstheme="minorHAnsi"/>
          <w:sz w:val="28"/>
          <w:szCs w:val="28"/>
        </w:rPr>
        <w:lastRenderedPageBreak/>
        <w:t>Como se ha mencionado, la realización del sistema de mapas para PcDvi siguió el método de diseño háptico que integra a personas ciegas en el equipo de diseño y que toma como base las representaciones mentales y cognitivas de ellos. El proceso de creación de los mapas tuvo nueve pasos (identificados en los párrafos siguientes mediante letras entre paréntesis) y que se describen brevemente a continuación.</w:t>
      </w:r>
    </w:p>
    <w:p w:rsidR="00DF59FF" w:rsidRPr="005E1103" w:rsidRDefault="00DF59FF" w:rsidP="00DF59FF">
      <w:pPr>
        <w:spacing w:after="0" w:line="360" w:lineRule="auto"/>
        <w:jc w:val="both"/>
        <w:rPr>
          <w:rFonts w:cstheme="minorHAnsi"/>
          <w:sz w:val="28"/>
          <w:szCs w:val="28"/>
        </w:rPr>
      </w:pPr>
      <w:r w:rsidRPr="005E1103">
        <w:rPr>
          <w:rFonts w:cstheme="minorHAnsi"/>
          <w:sz w:val="28"/>
          <w:szCs w:val="28"/>
        </w:rPr>
        <w:t xml:space="preserve">Para resolver el problema de la forma más adecuada para interpretar el espacio de la universidad en un mapa, lo que hicimos en primer lugar fue (a) invitar a cinco personas ciegas para que hicieran los recorridos completos del edificio desde la entrada peatonal incluyendo los 8 pisos. Estos recorridos fueron videograbados para poder tener un registro de todos los desplazamientos y de las opiniones que los ciegos nos externaron. Posteriormente tuvimos una sesión intensa de bocetaje inicial (b) en la cual las personas ciegas realizaron los dibujos de los pisos de acuerdo con sus representaciones mentales y cognitivo espaciales, producto de estos recorridos; este proceso también fue documentado. Los bocetos realizados por las personas ciegas nos permitieron comprender cuáles eran los aspectos más relevantes del espacio y los que ellos mencionaban como indispensables para que aparecieran en los mapas. Con base en todo este material hicimos el análisis a profundidad (c) tanto de los videos de los recorridos, de lo dicho por ellos y de los bocetos realizados. Este material fue fundamental para comprender la complejidad del problema espacial y de lo que deberíamos diseñar. También nos permitió percatarnos de todos los obstáculos y barreras que ellos identificaron y pudimos obtener hallazgos relevantes (d) para el proceso de diseño. Con base en toda esta información, estuvimos en posibilidad de realizar los primeros modelos para los mapas (e), los cuales diseñamos primero en dos dimensiones en el programa </w:t>
      </w:r>
      <w:r w:rsidRPr="005E1103">
        <w:rPr>
          <w:rFonts w:cstheme="minorHAnsi"/>
          <w:i/>
          <w:sz w:val="28"/>
          <w:szCs w:val="28"/>
        </w:rPr>
        <w:t>Illustrator</w:t>
      </w:r>
      <w:r w:rsidRPr="005E1103">
        <w:rPr>
          <w:rFonts w:cstheme="minorHAnsi"/>
          <w:sz w:val="28"/>
          <w:szCs w:val="28"/>
        </w:rPr>
        <w:t xml:space="preserve"> y posteriormente pudimos con estos archivos, realizar los modelos en altorrelieve con una medida de 35 x 50 cm. Estos primeros mapas muestran una codificación, a través de formas principalmente geométricas, que representan las aulas y diferentes espacios, así como los íconos para señalar bebederos, escaleras, rampa, </w:t>
      </w:r>
      <w:r w:rsidRPr="005E1103">
        <w:rPr>
          <w:rFonts w:cstheme="minorHAnsi"/>
          <w:sz w:val="28"/>
          <w:szCs w:val="28"/>
        </w:rPr>
        <w:lastRenderedPageBreak/>
        <w:t>recorridos, baños, caseta de vigilancia, elevadores etc. Estos mapas fueron realizados con dimensiones estimadas, no son representaciones a escala, y enfatizan la conceptualización y representación del espacio, más que dimensiones reales. Asimismo se determinó representar el edificio universitario con 7 mapas hápticos. Uno llamado “mapa base”, que se encuentra en la entrada principal y al cual se llega gracias a la guía tacto-podal. Éste muestra la representación del primer piso, una descripción general del sistema y su funcionamiento, y todos los demás lineamientos sobre la ubicación de las diferentes señales en braille dentro del edificio. También en el primer piso se encuentra otro mapa en los elevadores, que explica los diferentes sistemas de acceso vertical al edificio y enfatiza las escaleras, los elevadores y la rampa que recorre los 8 pisos del edificio. Además diseñamos otros cinco mapas de ubicación y desplazamientos para cada uno de los pisos (mapas de pisos del 4 al 8)</w:t>
      </w:r>
    </w:p>
    <w:p w:rsidR="00DF59FF" w:rsidRPr="005E1103" w:rsidRDefault="00DF59FF" w:rsidP="00DF59FF">
      <w:pPr>
        <w:spacing w:after="0" w:line="360" w:lineRule="auto"/>
        <w:jc w:val="center"/>
        <w:rPr>
          <w:rFonts w:cstheme="minorHAnsi"/>
          <w:sz w:val="28"/>
          <w:szCs w:val="28"/>
        </w:rPr>
      </w:pPr>
      <w:r w:rsidRPr="005E1103">
        <w:rPr>
          <w:rFonts w:cstheme="minorHAnsi"/>
          <w:noProof/>
          <w:sz w:val="28"/>
          <w:szCs w:val="28"/>
          <w:lang w:eastAsia="es-ES"/>
        </w:rPr>
        <w:drawing>
          <wp:inline distT="114300" distB="114300" distL="114300" distR="114300" wp14:anchorId="576195D5" wp14:editId="55BDED1C">
            <wp:extent cx="1790700" cy="2577602"/>
            <wp:effectExtent l="0" t="0" r="0" b="0"/>
            <wp:docPr id="6" name="image21.jpg" descr="Piso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jpg" descr="Piso_4.jpg"/>
                    <pic:cNvPicPr preferRelativeResize="0"/>
                  </pic:nvPicPr>
                  <pic:blipFill>
                    <a:blip r:embed="rId84"/>
                    <a:srcRect/>
                    <a:stretch>
                      <a:fillRect/>
                    </a:stretch>
                  </pic:blipFill>
                  <pic:spPr>
                    <a:xfrm>
                      <a:off x="0" y="0"/>
                      <a:ext cx="1791422" cy="2578642"/>
                    </a:xfrm>
                    <a:prstGeom prst="rect">
                      <a:avLst/>
                    </a:prstGeom>
                    <a:ln/>
                  </pic:spPr>
                </pic:pic>
              </a:graphicData>
            </a:graphic>
          </wp:inline>
        </w:drawing>
      </w:r>
      <w:r w:rsidRPr="005E1103">
        <w:rPr>
          <w:rFonts w:cstheme="minorHAnsi"/>
          <w:sz w:val="28"/>
          <w:szCs w:val="28"/>
        </w:rPr>
        <w:t xml:space="preserve">  </w:t>
      </w:r>
      <w:r w:rsidRPr="005E1103">
        <w:rPr>
          <w:rFonts w:cstheme="minorHAnsi"/>
          <w:noProof/>
          <w:sz w:val="28"/>
          <w:szCs w:val="28"/>
          <w:lang w:eastAsia="es-ES"/>
        </w:rPr>
        <w:drawing>
          <wp:inline distT="114300" distB="114300" distL="114300" distR="114300" wp14:anchorId="723E381D" wp14:editId="57FBB4C8">
            <wp:extent cx="1781624" cy="2552865"/>
            <wp:effectExtent l="0" t="0" r="9525" b="0"/>
            <wp:docPr id="15" name="image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85"/>
                    <a:srcRect/>
                    <a:stretch>
                      <a:fillRect/>
                    </a:stretch>
                  </pic:blipFill>
                  <pic:spPr>
                    <a:xfrm>
                      <a:off x="0" y="0"/>
                      <a:ext cx="1782252" cy="2553764"/>
                    </a:xfrm>
                    <a:prstGeom prst="rect">
                      <a:avLst/>
                    </a:prstGeom>
                    <a:ln/>
                  </pic:spPr>
                </pic:pic>
              </a:graphicData>
            </a:graphic>
          </wp:inline>
        </w:drawing>
      </w:r>
      <w:r w:rsidRPr="005E1103">
        <w:rPr>
          <w:rFonts w:cstheme="minorHAnsi"/>
          <w:sz w:val="28"/>
          <w:szCs w:val="28"/>
        </w:rPr>
        <w:t xml:space="preserve">  </w:t>
      </w:r>
      <w:r w:rsidRPr="005E1103">
        <w:rPr>
          <w:rFonts w:cstheme="minorHAnsi"/>
          <w:noProof/>
          <w:sz w:val="28"/>
          <w:szCs w:val="28"/>
          <w:lang w:eastAsia="es-ES"/>
        </w:rPr>
        <w:drawing>
          <wp:inline distT="0" distB="0" distL="0" distR="0" wp14:anchorId="6E534D6C" wp14:editId="0CCE103D">
            <wp:extent cx="1970314" cy="234020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s 2.pdf"/>
                    <pic:cNvPicPr/>
                  </pic:nvPicPr>
                  <pic:blipFill rotWithShape="1">
                    <a:blip r:embed="rId86" cstate="print">
                      <a:extLst>
                        <a:ext uri="{28A0092B-C50C-407E-A947-70E740481C1C}">
                          <a14:useLocalDpi xmlns:a14="http://schemas.microsoft.com/office/drawing/2010/main" val="0"/>
                        </a:ext>
                      </a:extLst>
                    </a:blip>
                    <a:srcRect b="16850"/>
                    <a:stretch/>
                  </pic:blipFill>
                  <pic:spPr bwMode="auto">
                    <a:xfrm>
                      <a:off x="0" y="0"/>
                      <a:ext cx="1974288" cy="2344925"/>
                    </a:xfrm>
                    <a:prstGeom prst="rect">
                      <a:avLst/>
                    </a:prstGeom>
                    <a:ln>
                      <a:noFill/>
                    </a:ln>
                    <a:extLst>
                      <a:ext uri="{53640926-AAD7-44D8-BBD7-CCE9431645EC}">
                        <a14:shadowObscured xmlns:a14="http://schemas.microsoft.com/office/drawing/2010/main"/>
                      </a:ext>
                    </a:extLst>
                  </pic:spPr>
                </pic:pic>
              </a:graphicData>
            </a:graphic>
          </wp:inline>
        </w:drawing>
      </w:r>
    </w:p>
    <w:p w:rsidR="00DF59FF" w:rsidRPr="005E1103" w:rsidRDefault="00DF59FF" w:rsidP="00DF59FF">
      <w:pPr>
        <w:spacing w:after="0" w:line="360" w:lineRule="auto"/>
        <w:jc w:val="both"/>
        <w:rPr>
          <w:rFonts w:cstheme="minorHAnsi"/>
          <w:sz w:val="28"/>
          <w:szCs w:val="28"/>
        </w:rPr>
      </w:pPr>
      <w:r w:rsidRPr="005E1103">
        <w:rPr>
          <w:rFonts w:cstheme="minorHAnsi"/>
          <w:sz w:val="28"/>
          <w:szCs w:val="28"/>
        </w:rPr>
        <w:t xml:space="preserve">Estos fueron los primeros modelos funcionales, elaborados con etiquetas en braille y contienen la zonificación de cada espacio. Después de estudiar varias posibilidades se llegó al acuerdo de utilizar para su realización cartulina batería como base e imprimir sobre ella con baja opacidad el plano a utilizar, para tener una referencia para colocar los elementos realzados, como aulas, recorridos, escaleras, íconos, etc. Para estos elementos se utilizaron placas de impresión tampográfica, (placas de polímero que se graban con una insoladora o quemadora de placas, y se revelan con agua o alcohol). La profundidad </w:t>
      </w:r>
      <w:r w:rsidRPr="005E1103">
        <w:rPr>
          <w:rFonts w:cstheme="minorHAnsi"/>
          <w:sz w:val="28"/>
          <w:szCs w:val="28"/>
        </w:rPr>
        <w:lastRenderedPageBreak/>
        <w:t xml:space="preserve">de estas placas nos permitió obtener la altura del realce idóneo para la comprensión háptica necesaria. </w:t>
      </w:r>
    </w:p>
    <w:p w:rsidR="00DF59FF" w:rsidRPr="005E1103" w:rsidRDefault="00DF59FF" w:rsidP="00DF59FF">
      <w:pPr>
        <w:spacing w:after="0" w:line="360" w:lineRule="auto"/>
        <w:jc w:val="both"/>
        <w:rPr>
          <w:rFonts w:cstheme="minorHAnsi"/>
          <w:sz w:val="28"/>
          <w:szCs w:val="28"/>
        </w:rPr>
      </w:pPr>
      <w:r w:rsidRPr="005E1103">
        <w:rPr>
          <w:rFonts w:cstheme="minorHAnsi"/>
          <w:sz w:val="28"/>
          <w:szCs w:val="28"/>
        </w:rPr>
        <w:t>Una vez que se tuvieron estos primeros modelos realizamos evaluaciones hápticas (f) con las personas ciegas para identificar el nivel de comprensión, comunicación, información y funcionalidad de los mapas.</w:t>
      </w:r>
    </w:p>
    <w:p w:rsidR="00DF59FF" w:rsidRPr="005E1103" w:rsidRDefault="00DF59FF" w:rsidP="00DF59FF">
      <w:pPr>
        <w:spacing w:after="0" w:line="360" w:lineRule="auto"/>
        <w:jc w:val="both"/>
        <w:rPr>
          <w:rFonts w:cstheme="minorHAnsi"/>
          <w:sz w:val="28"/>
          <w:szCs w:val="28"/>
        </w:rPr>
      </w:pPr>
      <w:r w:rsidRPr="005E1103">
        <w:rPr>
          <w:rFonts w:cstheme="minorHAnsi"/>
          <w:noProof/>
          <w:sz w:val="28"/>
          <w:szCs w:val="28"/>
          <w:lang w:eastAsia="es-ES"/>
        </w:rPr>
        <w:drawing>
          <wp:inline distT="114300" distB="114300" distL="114300" distR="114300" wp14:anchorId="5851AC21" wp14:editId="50456220">
            <wp:extent cx="1437640" cy="2059214"/>
            <wp:effectExtent l="0" t="0" r="10160" b="0"/>
            <wp:docPr id="13"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87"/>
                    <a:srcRect b="17821"/>
                    <a:stretch>
                      <a:fillRect/>
                    </a:stretch>
                  </pic:blipFill>
                  <pic:spPr>
                    <a:xfrm>
                      <a:off x="0" y="0"/>
                      <a:ext cx="1438275" cy="2060124"/>
                    </a:xfrm>
                    <a:prstGeom prst="rect">
                      <a:avLst/>
                    </a:prstGeom>
                    <a:ln/>
                  </pic:spPr>
                </pic:pic>
              </a:graphicData>
            </a:graphic>
          </wp:inline>
        </w:drawing>
      </w:r>
      <w:r w:rsidRPr="005E1103">
        <w:rPr>
          <w:rFonts w:cstheme="minorHAnsi"/>
          <w:sz w:val="28"/>
          <w:szCs w:val="28"/>
        </w:rPr>
        <w:t xml:space="preserve">  </w:t>
      </w:r>
      <w:r w:rsidRPr="005E1103">
        <w:rPr>
          <w:rFonts w:cstheme="minorHAnsi"/>
          <w:noProof/>
          <w:sz w:val="28"/>
          <w:szCs w:val="28"/>
          <w:lang w:eastAsia="es-ES"/>
        </w:rPr>
        <w:drawing>
          <wp:inline distT="114300" distB="114300" distL="114300" distR="114300" wp14:anchorId="10D2544C" wp14:editId="6FF8A5F2">
            <wp:extent cx="1962150" cy="1828629"/>
            <wp:effectExtent l="0" t="0" r="0" b="635"/>
            <wp:docPr id="2"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88"/>
                    <a:srcRect b="3550"/>
                    <a:stretch>
                      <a:fillRect/>
                    </a:stretch>
                  </pic:blipFill>
                  <pic:spPr>
                    <a:xfrm>
                      <a:off x="0" y="0"/>
                      <a:ext cx="1965087" cy="1831366"/>
                    </a:xfrm>
                    <a:prstGeom prst="rect">
                      <a:avLst/>
                    </a:prstGeom>
                    <a:ln/>
                  </pic:spPr>
                </pic:pic>
              </a:graphicData>
            </a:graphic>
          </wp:inline>
        </w:drawing>
      </w:r>
      <w:r w:rsidRPr="005E1103">
        <w:rPr>
          <w:rFonts w:cstheme="minorHAnsi"/>
          <w:sz w:val="28"/>
          <w:szCs w:val="28"/>
        </w:rPr>
        <w:t xml:space="preserve">  </w:t>
      </w:r>
      <w:r w:rsidRPr="005E1103">
        <w:rPr>
          <w:rFonts w:cstheme="minorHAnsi"/>
          <w:noProof/>
          <w:sz w:val="28"/>
          <w:szCs w:val="28"/>
          <w:lang w:eastAsia="es-ES"/>
        </w:rPr>
        <w:drawing>
          <wp:inline distT="0" distB="0" distL="0" distR="0" wp14:anchorId="310339EA" wp14:editId="63D1895E">
            <wp:extent cx="2046817" cy="1535113"/>
            <wp:effectExtent l="0" t="0" r="0" b="8255"/>
            <wp:docPr id="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5-28 11.34.25.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048021" cy="1536016"/>
                    </a:xfrm>
                    <a:prstGeom prst="rect">
                      <a:avLst/>
                    </a:prstGeom>
                  </pic:spPr>
                </pic:pic>
              </a:graphicData>
            </a:graphic>
          </wp:inline>
        </w:drawing>
      </w:r>
    </w:p>
    <w:p w:rsidR="00DF59FF" w:rsidRPr="005E1103" w:rsidRDefault="00DF59FF" w:rsidP="00DF59FF">
      <w:pPr>
        <w:spacing w:after="0" w:line="360" w:lineRule="auto"/>
        <w:jc w:val="both"/>
        <w:rPr>
          <w:rFonts w:cstheme="minorHAnsi"/>
          <w:sz w:val="28"/>
          <w:szCs w:val="28"/>
        </w:rPr>
      </w:pPr>
      <w:r w:rsidRPr="005E1103">
        <w:rPr>
          <w:rFonts w:cstheme="minorHAnsi"/>
          <w:sz w:val="28"/>
          <w:szCs w:val="28"/>
        </w:rPr>
        <w:t>Una vez que se realizaron estas evaluaciones, procedimos a realizar nuevos modelos de mapas (g) que integraban las correcciones que las PcDvi nos indicaron y que consistieron en corregir principalmente la composición del mapa en cuanto a la ubicación del código principal, el cual no debía estar ubicado en la parte superior, sino en el área lateral izquierda, precisamente junto al mapa para generar un reconocimiento más cercano y reducir los movimientos exploratorios. También nos indicaron algunos cambios en los códigos que propusimos mediante pictogramas táctiles para la identificación de áreas específicas e hicieron propuestas sobre el uso de texturas. Así desarrollamos nuevos modelos ya corregidos (h) y con base en una evaluación final que fue completamente satisfactoria, se realizaron los prototipos finales (i). Éstos fueron producidos por la empresa mexicana Zeus Braille en acrílico con corte láser y texturizadores. El braille fue instalado con el sistema Raster Braille y finalmente se instalaron adosados sobre los módulos informativos centrales de cada piso, a un lado de los elevadores.</w:t>
      </w:r>
    </w:p>
    <w:p w:rsidR="00DF59FF" w:rsidRPr="005E1103" w:rsidRDefault="00DF59FF" w:rsidP="00DF59FF">
      <w:pPr>
        <w:spacing w:after="0" w:line="360" w:lineRule="auto"/>
        <w:jc w:val="center"/>
        <w:rPr>
          <w:rFonts w:cstheme="minorHAnsi"/>
          <w:sz w:val="28"/>
          <w:szCs w:val="28"/>
        </w:rPr>
      </w:pPr>
      <w:r w:rsidRPr="005E1103">
        <w:rPr>
          <w:rFonts w:cstheme="minorHAnsi"/>
          <w:noProof/>
          <w:sz w:val="28"/>
          <w:szCs w:val="28"/>
          <w:lang w:eastAsia="es-ES"/>
        </w:rPr>
        <w:lastRenderedPageBreak/>
        <w:drawing>
          <wp:inline distT="0" distB="0" distL="0" distR="0" wp14:anchorId="788FC04C" wp14:editId="3DD12C0E">
            <wp:extent cx="2764051" cy="3154870"/>
            <wp:effectExtent l="0" t="0" r="0" b="7620"/>
            <wp:docPr id="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5121.JPG"/>
                    <pic:cNvPicPr/>
                  </pic:nvPicPr>
                  <pic:blipFill rotWithShape="1">
                    <a:blip r:embed="rId90" cstate="print">
                      <a:extLst>
                        <a:ext uri="{28A0092B-C50C-407E-A947-70E740481C1C}">
                          <a14:useLocalDpi xmlns:a14="http://schemas.microsoft.com/office/drawing/2010/main" val="0"/>
                        </a:ext>
                      </a:extLst>
                    </a:blip>
                    <a:srcRect l="20396" t="3473" r="25800" b="4411"/>
                    <a:stretch/>
                  </pic:blipFill>
                  <pic:spPr bwMode="auto">
                    <a:xfrm>
                      <a:off x="0" y="0"/>
                      <a:ext cx="2768556" cy="3160012"/>
                    </a:xfrm>
                    <a:prstGeom prst="rect">
                      <a:avLst/>
                    </a:prstGeom>
                    <a:ln>
                      <a:noFill/>
                    </a:ln>
                    <a:extLst>
                      <a:ext uri="{53640926-AAD7-44D8-BBD7-CCE9431645EC}">
                        <a14:shadowObscured xmlns:a14="http://schemas.microsoft.com/office/drawing/2010/main"/>
                      </a:ext>
                    </a:extLst>
                  </pic:spPr>
                </pic:pic>
              </a:graphicData>
            </a:graphic>
          </wp:inline>
        </w:drawing>
      </w:r>
      <w:r w:rsidRPr="005E1103">
        <w:rPr>
          <w:rFonts w:cstheme="minorHAnsi"/>
          <w:sz w:val="28"/>
          <w:szCs w:val="28"/>
        </w:rPr>
        <w:t xml:space="preserve">  </w:t>
      </w:r>
      <w:r w:rsidRPr="005E1103">
        <w:rPr>
          <w:rFonts w:cstheme="minorHAnsi"/>
          <w:noProof/>
          <w:sz w:val="28"/>
          <w:szCs w:val="28"/>
          <w:lang w:eastAsia="es-ES"/>
        </w:rPr>
        <w:drawing>
          <wp:inline distT="0" distB="0" distL="0" distR="0" wp14:anchorId="1C93E616" wp14:editId="70EE9B07">
            <wp:extent cx="2106083" cy="3159124"/>
            <wp:effectExtent l="0" t="0" r="8890" b="3810"/>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5120.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106548" cy="3159821"/>
                    </a:xfrm>
                    <a:prstGeom prst="rect">
                      <a:avLst/>
                    </a:prstGeom>
                  </pic:spPr>
                </pic:pic>
              </a:graphicData>
            </a:graphic>
          </wp:inline>
        </w:drawing>
      </w:r>
    </w:p>
    <w:p w:rsidR="00DF59FF" w:rsidRPr="005E1103" w:rsidRDefault="00DF59FF" w:rsidP="00DF59FF">
      <w:pPr>
        <w:spacing w:after="0" w:line="360" w:lineRule="auto"/>
        <w:jc w:val="center"/>
        <w:rPr>
          <w:rFonts w:cstheme="minorHAnsi"/>
          <w:sz w:val="28"/>
          <w:szCs w:val="28"/>
        </w:rPr>
      </w:pPr>
    </w:p>
    <w:p w:rsidR="00DF59FF" w:rsidRPr="005E1103" w:rsidRDefault="00DF59FF" w:rsidP="00DF59FF">
      <w:pPr>
        <w:spacing w:after="0" w:line="360" w:lineRule="auto"/>
        <w:jc w:val="both"/>
        <w:rPr>
          <w:rFonts w:cstheme="minorHAnsi"/>
          <w:b/>
          <w:sz w:val="28"/>
          <w:szCs w:val="28"/>
        </w:rPr>
      </w:pPr>
      <w:r w:rsidRPr="005E1103">
        <w:rPr>
          <w:rFonts w:cstheme="minorHAnsi"/>
          <w:b/>
          <w:sz w:val="28"/>
          <w:szCs w:val="28"/>
        </w:rPr>
        <w:t>Conclusiones</w:t>
      </w:r>
    </w:p>
    <w:p w:rsidR="00DF59FF" w:rsidRPr="005E1103" w:rsidRDefault="00DF59FF" w:rsidP="00DF59FF">
      <w:pPr>
        <w:spacing w:after="0" w:line="360" w:lineRule="auto"/>
        <w:jc w:val="both"/>
        <w:rPr>
          <w:rFonts w:cstheme="minorHAnsi"/>
          <w:sz w:val="28"/>
          <w:szCs w:val="28"/>
        </w:rPr>
      </w:pPr>
      <w:r w:rsidRPr="005E1103">
        <w:rPr>
          <w:rFonts w:cstheme="minorHAnsi"/>
          <w:sz w:val="28"/>
          <w:szCs w:val="28"/>
        </w:rPr>
        <w:t xml:space="preserve">Como comunidad universitaria resulta indispensable reflexionar sobre las problemáticas de las personas con discapacidad y realizar propuestas accesibles que faciliten la interacción, en este caso, con el espacio físico de la institución. Nuestra preocupación se centra en la accesibilidad del espacio físico con el objetivo de dotar a los usuarios de herramientas y estrategias que les permitan transitar de manera autónoma, independiente, eficaz y segura en las instalaciones. Así la UAM Cuajimalpa como universidad ha de otorgar una condición de igualdad de oportunidades de estudio y desarrollo a cualquier persona sin importar sus características físicas, ideológicas y/o culturales, poniendo a su disposición los servicios, espacios e instalaciones para su adecuado desempeño en las tareas que la vida universitaria le requiera. De esta manera, el sistema de Mapas Hápticos posiciona a la UAM como una universidad a la vanguardia en la inclusión social al contar con estrategias y recursos para personas con discapacidad visual, comprendiendo que ellas cuentan con las mismas capacidades cognitivas que una persona normovisual. Existen instituciones educativas que, al no considerar la adaptación del espacio físico para personas con discapacidad como un requerimiento básico del </w:t>
      </w:r>
      <w:r w:rsidRPr="005E1103">
        <w:rPr>
          <w:rFonts w:cstheme="minorHAnsi"/>
          <w:sz w:val="28"/>
          <w:szCs w:val="28"/>
        </w:rPr>
        <w:lastRenderedPageBreak/>
        <w:t xml:space="preserve">entorno, provocan no sólo una limitante en la accesibilidad a éste, sino que detonan procesos de exclusión y segregación social que habitualmente tienden a ser comunes e indeseables. Si bien este sistema resulta ser un proyecto innovador, estamos conscientes de que posee varias áreas de oportunidad y crecimiento, por ejemplo, en un futuro deberán realizarse más mapas en la universidad (entendidos como micro-mapas) que expliquen áreas específicas internas de algunas instalaciones que tienen cierto grado de complejidad, por ejemplo es el caso de algunas oficinas, las canchas, el ágora, la biblioteca, el comedor, los laboratorios, entre otros. De igual forma también sería deseable que existiera un sistema de información auditiva en algunos espacios para que se reforzara la información táctil, como es en el caso de los elevadores y así generar una propuesta de diseño más integral, incluyente y multisensorial. </w:t>
      </w:r>
    </w:p>
    <w:p w:rsidR="00DF59FF" w:rsidRPr="005E1103" w:rsidRDefault="00DF59FF" w:rsidP="00DF59FF">
      <w:pPr>
        <w:spacing w:after="0" w:line="360" w:lineRule="auto"/>
        <w:jc w:val="both"/>
        <w:rPr>
          <w:rFonts w:cstheme="minorHAnsi"/>
          <w:sz w:val="28"/>
          <w:szCs w:val="28"/>
        </w:rPr>
      </w:pPr>
      <w:r w:rsidRPr="005E1103">
        <w:rPr>
          <w:rFonts w:cstheme="minorHAnsi"/>
          <w:sz w:val="28"/>
          <w:szCs w:val="28"/>
        </w:rPr>
        <w:t>Una fortaleza de este proyecto y su método de realización, consiste precisamente en el valor del trabajo colaborativo de un equipo interdisciplinario, donde si bien los diseñadores aportamos nuestros conocimientos teóricos y prácticos, la participación y co-creación de las PcDvi es indispensable como diseñadores, ya que ellos aportan toda la información conceptual y de representación, sin la cual este tipo de diseño háptico no podría generar los resultados obtenidos. Toda esta riqueza de conocimiento háptico que ellos poseen es la esencia de estos ejercicios de diseño y los posiciona en un lugar fundamental y casi inexplorado del diseño.</w:t>
      </w:r>
    </w:p>
    <w:p w:rsidR="00DF59FF" w:rsidRPr="005E1103" w:rsidRDefault="00DF59FF" w:rsidP="00DF59FF">
      <w:pPr>
        <w:spacing w:after="0" w:line="360" w:lineRule="auto"/>
        <w:jc w:val="both"/>
        <w:rPr>
          <w:rFonts w:cstheme="minorHAnsi"/>
          <w:sz w:val="28"/>
          <w:szCs w:val="28"/>
        </w:rPr>
      </w:pPr>
      <w:r w:rsidRPr="005E1103">
        <w:rPr>
          <w:rFonts w:cstheme="minorHAnsi"/>
          <w:sz w:val="28"/>
          <w:szCs w:val="28"/>
        </w:rPr>
        <w:t>Por último, únicamente deseamos mencionar que este tipo de diseños en México, aún son muy escasos y que falta mucho trabajo por hacer. Sin embargo, la sociedad comienza a concientizarse y sensibilizarse al respecto</w:t>
      </w:r>
      <w:r w:rsidRPr="005E1103">
        <w:rPr>
          <w:rStyle w:val="Refdenotaalpie"/>
          <w:rFonts w:cstheme="minorHAnsi"/>
          <w:sz w:val="28"/>
          <w:szCs w:val="28"/>
        </w:rPr>
        <w:footnoteReference w:id="37"/>
      </w:r>
      <w:r w:rsidRPr="005E1103">
        <w:rPr>
          <w:rFonts w:cstheme="minorHAnsi"/>
          <w:sz w:val="28"/>
          <w:szCs w:val="28"/>
        </w:rPr>
        <w:t>.</w:t>
      </w:r>
    </w:p>
    <w:p w:rsidR="00DF59FF" w:rsidRPr="005E1103" w:rsidRDefault="00DF59FF" w:rsidP="00DF59FF">
      <w:pPr>
        <w:spacing w:after="0" w:line="360" w:lineRule="auto"/>
        <w:jc w:val="both"/>
        <w:rPr>
          <w:rFonts w:cstheme="minorHAnsi"/>
          <w:sz w:val="28"/>
          <w:szCs w:val="28"/>
        </w:rPr>
      </w:pPr>
    </w:p>
    <w:p w:rsidR="00DF59FF" w:rsidRPr="005E1103" w:rsidRDefault="00DF59FF" w:rsidP="00DF59FF">
      <w:pPr>
        <w:spacing w:after="0" w:line="360" w:lineRule="auto"/>
        <w:jc w:val="both"/>
        <w:rPr>
          <w:rFonts w:cstheme="minorHAnsi"/>
          <w:sz w:val="28"/>
          <w:szCs w:val="28"/>
        </w:rPr>
      </w:pPr>
      <w:r w:rsidRPr="005E1103">
        <w:rPr>
          <w:rFonts w:cstheme="minorHAnsi"/>
          <w:b/>
          <w:sz w:val="28"/>
          <w:szCs w:val="28"/>
        </w:rPr>
        <w:t>Referencias</w:t>
      </w:r>
      <w:r w:rsidRPr="005E1103">
        <w:rPr>
          <w:rFonts w:cstheme="minorHAnsi"/>
          <w:sz w:val="28"/>
          <w:szCs w:val="28"/>
        </w:rPr>
        <w:t>:</w:t>
      </w:r>
    </w:p>
    <w:p w:rsidR="00DF59FF" w:rsidRPr="005E1103" w:rsidRDefault="00DF59FF" w:rsidP="00DF59FF">
      <w:pPr>
        <w:pStyle w:val="Prrafodelista"/>
        <w:numPr>
          <w:ilvl w:val="0"/>
          <w:numId w:val="51"/>
        </w:numPr>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lang w:val="en-US"/>
        </w:rPr>
        <w:lastRenderedPageBreak/>
        <w:t xml:space="preserve">Morash, V. et al. (2012). </w:t>
      </w:r>
      <w:r w:rsidRPr="005E1103">
        <w:rPr>
          <w:rFonts w:asciiTheme="minorHAnsi" w:hAnsiTheme="minorHAnsi" w:cstheme="minorHAnsi"/>
          <w:i/>
          <w:sz w:val="28"/>
          <w:szCs w:val="28"/>
          <w:lang w:val="en-US"/>
        </w:rPr>
        <w:t>A Review of Haptic Spatial Abilities in the Blind</w:t>
      </w:r>
      <w:r w:rsidRPr="005E1103">
        <w:rPr>
          <w:rFonts w:asciiTheme="minorHAnsi" w:hAnsiTheme="minorHAnsi" w:cstheme="minorHAnsi"/>
          <w:sz w:val="28"/>
          <w:szCs w:val="28"/>
          <w:lang w:val="en-US"/>
        </w:rPr>
        <w:t>.</w:t>
      </w:r>
      <w:r w:rsidRPr="005E1103">
        <w:rPr>
          <w:rFonts w:asciiTheme="minorHAnsi" w:hAnsiTheme="minorHAnsi" w:cstheme="minorHAnsi"/>
          <w:i/>
          <w:sz w:val="28"/>
          <w:szCs w:val="28"/>
          <w:lang w:val="en-US"/>
        </w:rPr>
        <w:t xml:space="preserve"> </w:t>
      </w:r>
      <w:r w:rsidRPr="005E1103">
        <w:rPr>
          <w:rFonts w:asciiTheme="minorHAnsi" w:hAnsiTheme="minorHAnsi" w:cstheme="minorHAnsi"/>
          <w:sz w:val="28"/>
          <w:szCs w:val="28"/>
          <w:u w:val="single"/>
        </w:rPr>
        <w:t>Spatial Cognition &amp; Computation</w:t>
      </w:r>
      <w:r w:rsidRPr="005E1103">
        <w:rPr>
          <w:rFonts w:asciiTheme="minorHAnsi" w:hAnsiTheme="minorHAnsi" w:cstheme="minorHAnsi"/>
          <w:sz w:val="28"/>
          <w:szCs w:val="28"/>
        </w:rPr>
        <w:t>, 12, 83–95.</w:t>
      </w:r>
    </w:p>
    <w:p w:rsidR="00DF59FF" w:rsidRPr="005E1103" w:rsidRDefault="00DF59FF" w:rsidP="00DF59FF">
      <w:pPr>
        <w:pStyle w:val="Prrafodelista"/>
        <w:numPr>
          <w:ilvl w:val="0"/>
          <w:numId w:val="51"/>
        </w:numPr>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 xml:space="preserve">Rosas Barrientos, Ernesto, </w:t>
      </w:r>
      <w:r w:rsidRPr="005E1103">
        <w:rPr>
          <w:rFonts w:asciiTheme="minorHAnsi" w:hAnsiTheme="minorHAnsi" w:cstheme="minorHAnsi"/>
          <w:i/>
          <w:sz w:val="28"/>
          <w:szCs w:val="28"/>
        </w:rPr>
        <w:t>Los derechos humanos de las personas con discapacidad visual</w:t>
      </w:r>
      <w:r w:rsidRPr="005E1103">
        <w:rPr>
          <w:rFonts w:asciiTheme="minorHAnsi" w:hAnsiTheme="minorHAnsi" w:cstheme="minorHAnsi"/>
          <w:sz w:val="28"/>
          <w:szCs w:val="28"/>
        </w:rPr>
        <w:t>, México, 2002, Comisión Nacional de Derechos Humanos, p.3-11. (Borjón López-Coterilla Inés Coord.)</w:t>
      </w:r>
    </w:p>
    <w:p w:rsidR="00DF59FF" w:rsidRPr="005E1103" w:rsidRDefault="00DF59FF" w:rsidP="00DF59FF">
      <w:pPr>
        <w:pStyle w:val="Prrafodelista"/>
        <w:tabs>
          <w:tab w:val="left" w:pos="7932"/>
        </w:tabs>
        <w:spacing w:line="360" w:lineRule="auto"/>
        <w:ind w:left="567" w:hanging="567"/>
        <w:contextualSpacing w:val="0"/>
        <w:jc w:val="both"/>
        <w:rPr>
          <w:rFonts w:asciiTheme="minorHAnsi" w:hAnsiTheme="minorHAnsi" w:cstheme="minorHAnsi"/>
          <w:sz w:val="28"/>
          <w:szCs w:val="28"/>
        </w:rPr>
      </w:pPr>
      <w:r w:rsidRPr="005E1103">
        <w:rPr>
          <w:rFonts w:asciiTheme="minorHAnsi" w:hAnsiTheme="minorHAnsi" w:cstheme="minorHAnsi"/>
          <w:sz w:val="28"/>
          <w:szCs w:val="28"/>
          <w:lang w:val="en-US"/>
        </w:rPr>
        <w:t xml:space="preserve">Society for Experiential Graphic Design (2016) https://segd.org/what-wayfinding. </w:t>
      </w:r>
      <w:r w:rsidRPr="005E1103">
        <w:rPr>
          <w:rFonts w:asciiTheme="minorHAnsi" w:hAnsiTheme="minorHAnsi" w:cstheme="minorHAnsi"/>
          <w:sz w:val="28"/>
          <w:szCs w:val="28"/>
        </w:rPr>
        <w:t>Fecha de acceso 3 de septiembre 2016.</w:t>
      </w:r>
    </w:p>
    <w:p w:rsidR="00DF59FF" w:rsidRPr="005E1103" w:rsidRDefault="00DF59FF">
      <w:pPr>
        <w:rPr>
          <w:rFonts w:eastAsia="Calibri" w:cstheme="minorHAnsi"/>
          <w:sz w:val="28"/>
          <w:szCs w:val="28"/>
        </w:rPr>
      </w:pPr>
      <w:r w:rsidRPr="005E1103">
        <w:rPr>
          <w:rFonts w:cstheme="minorHAnsi"/>
          <w:sz w:val="28"/>
          <w:szCs w:val="28"/>
        </w:rPr>
        <w:br w:type="page"/>
      </w:r>
    </w:p>
    <w:p w:rsidR="00DF59FF" w:rsidRPr="005E1103" w:rsidRDefault="00DF59FF" w:rsidP="00DF59FF">
      <w:pPr>
        <w:spacing w:line="360" w:lineRule="auto"/>
        <w:jc w:val="center"/>
        <w:rPr>
          <w:rFonts w:cstheme="minorHAnsi"/>
          <w:b/>
          <w:sz w:val="28"/>
          <w:szCs w:val="28"/>
        </w:rPr>
      </w:pPr>
      <w:r w:rsidRPr="005E1103">
        <w:rPr>
          <w:rFonts w:cstheme="minorHAnsi"/>
          <w:b/>
          <w:sz w:val="28"/>
          <w:szCs w:val="28"/>
        </w:rPr>
        <w:lastRenderedPageBreak/>
        <w:t>COMUNICACIÓN 7</w:t>
      </w:r>
    </w:p>
    <w:p w:rsidR="00DF59FF" w:rsidRPr="005E1103" w:rsidRDefault="00DF59FF" w:rsidP="00DF59FF">
      <w:pPr>
        <w:pStyle w:val="Textoindependiente"/>
        <w:pBdr>
          <w:top w:val="single" w:sz="4" w:space="1" w:color="auto"/>
          <w:left w:val="single" w:sz="4" w:space="4" w:color="auto"/>
          <w:bottom w:val="single" w:sz="4" w:space="1" w:color="auto"/>
          <w:right w:val="single" w:sz="4" w:space="4" w:color="auto"/>
        </w:pBdr>
        <w:spacing w:before="72" w:line="259" w:lineRule="auto"/>
        <w:ind w:left="1486" w:right="167" w:hanging="1328"/>
        <w:jc w:val="center"/>
        <w:rPr>
          <w:rFonts w:asciiTheme="minorHAnsi" w:hAnsiTheme="minorHAnsi" w:cstheme="minorHAnsi"/>
          <w:sz w:val="28"/>
          <w:szCs w:val="28"/>
        </w:rPr>
      </w:pPr>
      <w:r w:rsidRPr="005E1103">
        <w:rPr>
          <w:rFonts w:asciiTheme="minorHAnsi" w:hAnsiTheme="minorHAnsi" w:cstheme="minorHAnsi"/>
          <w:sz w:val="28"/>
          <w:szCs w:val="28"/>
        </w:rPr>
        <w:t>El uso de los medios sonoros y la audiodescripción de imágenes y videos como recurso de accesibilidad a la producción científica en la universidad</w:t>
      </w:r>
    </w:p>
    <w:p w:rsidR="00DF59FF" w:rsidRPr="005E1103" w:rsidRDefault="00DF59FF" w:rsidP="00DF59FF">
      <w:pPr>
        <w:spacing w:before="60" w:after="60" w:line="360" w:lineRule="auto"/>
        <w:ind w:left="284" w:hanging="284"/>
        <w:jc w:val="both"/>
        <w:rPr>
          <w:rFonts w:cstheme="minorHAnsi"/>
          <w:b/>
          <w:sz w:val="28"/>
          <w:szCs w:val="28"/>
        </w:rPr>
      </w:pPr>
    </w:p>
    <w:p w:rsidR="00DF59FF" w:rsidRPr="005E1103" w:rsidRDefault="00DF59FF" w:rsidP="00DF59FF">
      <w:pPr>
        <w:pStyle w:val="Textoindependiente"/>
        <w:spacing w:before="1"/>
        <w:ind w:left="3335" w:right="118" w:firstLine="3956"/>
        <w:jc w:val="right"/>
        <w:rPr>
          <w:rFonts w:asciiTheme="minorHAnsi" w:hAnsiTheme="minorHAnsi" w:cstheme="minorHAnsi"/>
          <w:sz w:val="28"/>
          <w:szCs w:val="28"/>
        </w:rPr>
      </w:pPr>
      <w:r w:rsidRPr="005E1103">
        <w:rPr>
          <w:rFonts w:asciiTheme="minorHAnsi" w:hAnsiTheme="minorHAnsi" w:cstheme="minorHAnsi"/>
          <w:sz w:val="28"/>
          <w:szCs w:val="28"/>
        </w:rPr>
        <w:t>Suely Maciel Profesora Titular de Periodismo y Relaciones Públicas</w:t>
      </w:r>
      <w:r w:rsidRPr="005E1103">
        <w:rPr>
          <w:rFonts w:asciiTheme="minorHAnsi" w:hAnsiTheme="minorHAnsi" w:cstheme="minorHAnsi"/>
          <w:w w:val="99"/>
          <w:sz w:val="28"/>
          <w:szCs w:val="28"/>
        </w:rPr>
        <w:t xml:space="preserve"> </w:t>
      </w:r>
      <w:r w:rsidRPr="005E1103">
        <w:rPr>
          <w:rFonts w:asciiTheme="minorHAnsi" w:hAnsiTheme="minorHAnsi" w:cstheme="minorHAnsi"/>
          <w:sz w:val="28"/>
          <w:szCs w:val="28"/>
        </w:rPr>
        <w:t>Universidade Estadual Paulista (UNESP/Brasil)</w:t>
      </w:r>
    </w:p>
    <w:p w:rsidR="00DF59FF" w:rsidRPr="005E1103" w:rsidRDefault="00DF59FF" w:rsidP="00DF59FF">
      <w:pPr>
        <w:pStyle w:val="Textoindependiente"/>
        <w:ind w:left="4000" w:right="118" w:firstLine="2960"/>
        <w:jc w:val="right"/>
        <w:rPr>
          <w:rFonts w:asciiTheme="minorHAnsi" w:hAnsiTheme="minorHAnsi" w:cstheme="minorHAnsi"/>
          <w:sz w:val="28"/>
          <w:szCs w:val="28"/>
        </w:rPr>
      </w:pPr>
      <w:r w:rsidRPr="005E1103">
        <w:rPr>
          <w:rFonts w:asciiTheme="minorHAnsi" w:hAnsiTheme="minorHAnsi" w:cstheme="minorHAnsi"/>
          <w:sz w:val="28"/>
          <w:szCs w:val="28"/>
        </w:rPr>
        <w:t>Matheus Ferreira Estudiante de grado en Periodismo Universidade Estadual Paulista (UNESP/Brasil)</w:t>
      </w:r>
    </w:p>
    <w:p w:rsidR="00DF59FF" w:rsidRPr="005E1103" w:rsidRDefault="00DF59FF" w:rsidP="00DF59FF">
      <w:pPr>
        <w:pStyle w:val="Textoindependiente"/>
        <w:spacing w:before="11"/>
        <w:jc w:val="both"/>
        <w:rPr>
          <w:rFonts w:asciiTheme="minorHAnsi" w:hAnsiTheme="minorHAnsi" w:cstheme="minorHAnsi"/>
          <w:sz w:val="28"/>
          <w:szCs w:val="28"/>
        </w:rPr>
      </w:pPr>
    </w:p>
    <w:p w:rsidR="00DF59FF" w:rsidRPr="005E1103" w:rsidRDefault="00DF59FF" w:rsidP="00DF59FF">
      <w:pPr>
        <w:pStyle w:val="Textoindependiente"/>
        <w:ind w:right="116"/>
        <w:rPr>
          <w:rFonts w:asciiTheme="minorHAnsi" w:hAnsiTheme="minorHAnsi" w:cstheme="minorHAnsi"/>
          <w:sz w:val="28"/>
          <w:szCs w:val="28"/>
        </w:rPr>
      </w:pPr>
      <w:r w:rsidRPr="005E1103">
        <w:rPr>
          <w:rFonts w:asciiTheme="minorHAnsi" w:hAnsiTheme="minorHAnsi" w:cstheme="minorHAnsi"/>
          <w:b/>
          <w:sz w:val="28"/>
          <w:szCs w:val="28"/>
        </w:rPr>
        <w:t xml:space="preserve">Resúmen: </w:t>
      </w:r>
      <w:r w:rsidRPr="005E1103">
        <w:rPr>
          <w:rFonts w:asciiTheme="minorHAnsi" w:hAnsiTheme="minorHAnsi" w:cstheme="minorHAnsi"/>
          <w:sz w:val="28"/>
          <w:szCs w:val="28"/>
        </w:rPr>
        <w:t>El artículo analiza el uso de los medios de comunicación sonoros como un importante recurso de la accesibilidad a la producción científica y académica, especialmente para las personas con discapacidad visual. Presenta las estrategias de adaptación, para el medio sonoro, de contenidos originalmente impresos o digitales, como artículos científicos, tesis, libros, actas de congresos y otros formatos de divulgación científica, que están en forma de texto verbal por escrito o imágenes. Por lo tanto, el artículo trae recomendaciones para cada una de las etapas de adaptación, que incluyen la preparación de guiones, la locución, el diseño de sonido y la edición de archivos de audio o audio descripción. El trabajo de transformación accesible se centra en la producción generada por el Observatorio de la Educación (Obeduc) (</w:t>
      </w:r>
      <w:hyperlink r:id="rId92">
        <w:r w:rsidRPr="005E1103">
          <w:rPr>
            <w:rFonts w:asciiTheme="minorHAnsi" w:hAnsiTheme="minorHAnsi" w:cstheme="minorHAnsi"/>
            <w:color w:val="000080"/>
            <w:sz w:val="28"/>
            <w:szCs w:val="28"/>
            <w:u w:val="single" w:color="000080"/>
          </w:rPr>
          <w:t>http://www.acessibilidadeinclusao.com.br</w:t>
        </w:r>
      </w:hyperlink>
      <w:r w:rsidRPr="005E1103">
        <w:rPr>
          <w:rFonts w:asciiTheme="minorHAnsi" w:hAnsiTheme="minorHAnsi" w:cstheme="minorHAnsi"/>
          <w:sz w:val="28"/>
          <w:szCs w:val="28"/>
        </w:rPr>
        <w:t>), que es un proyecto de investigación en red, desarrollado por doce universidades brasileñas, argentinas y uruguayas, sobre el tema  de la accesibilidad y la inclusión en la educación universitaria. El estudio pone de manifiesto el importante papel de los medios sonoros en la difusión de la ciencia producida en la universidad, especialmente para permitir el acceso de las personas con discapacidad visual (pero no sólo ellas) a diversos contenidos científicos, generados en el ambiente académico. Así, los medios sonoros son más un formato accesible como los lectores de pantalla y otros</w:t>
      </w:r>
      <w:r w:rsidRPr="005E1103">
        <w:rPr>
          <w:rFonts w:asciiTheme="minorHAnsi" w:hAnsiTheme="minorHAnsi" w:cstheme="minorHAnsi"/>
          <w:spacing w:val="-8"/>
          <w:sz w:val="28"/>
          <w:szCs w:val="28"/>
        </w:rPr>
        <w:t xml:space="preserve"> </w:t>
      </w:r>
      <w:r w:rsidRPr="005E1103">
        <w:rPr>
          <w:rFonts w:asciiTheme="minorHAnsi" w:hAnsiTheme="minorHAnsi" w:cstheme="minorHAnsi"/>
          <w:sz w:val="28"/>
          <w:szCs w:val="28"/>
        </w:rPr>
        <w:t>recursos.</w:t>
      </w:r>
    </w:p>
    <w:p w:rsidR="00DF59FF" w:rsidRPr="005E1103" w:rsidRDefault="00DF59FF" w:rsidP="00DF59FF">
      <w:pPr>
        <w:pStyle w:val="Textoindependiente"/>
        <w:spacing w:before="158"/>
        <w:ind w:right="122"/>
        <w:rPr>
          <w:rFonts w:asciiTheme="minorHAnsi" w:hAnsiTheme="minorHAnsi" w:cstheme="minorHAnsi"/>
          <w:sz w:val="28"/>
          <w:szCs w:val="28"/>
        </w:rPr>
      </w:pPr>
      <w:r w:rsidRPr="005E1103">
        <w:rPr>
          <w:rFonts w:asciiTheme="minorHAnsi" w:hAnsiTheme="minorHAnsi" w:cstheme="minorHAnsi"/>
          <w:b/>
          <w:sz w:val="28"/>
          <w:szCs w:val="28"/>
        </w:rPr>
        <w:t>Palabras clave</w:t>
      </w:r>
      <w:r w:rsidRPr="005E1103">
        <w:rPr>
          <w:rFonts w:asciiTheme="minorHAnsi" w:hAnsiTheme="minorHAnsi" w:cstheme="minorHAnsi"/>
          <w:sz w:val="28"/>
          <w:szCs w:val="28"/>
        </w:rPr>
        <w:t>: accesibilidad; medio sonoro; audio descripción; divulgación científica; universidad</w:t>
      </w:r>
    </w:p>
    <w:p w:rsidR="00DF59FF" w:rsidRPr="005E1103" w:rsidRDefault="00DF59FF" w:rsidP="00DF59FF">
      <w:pPr>
        <w:pStyle w:val="Textoindependiente"/>
        <w:spacing w:before="160"/>
        <w:ind w:right="117"/>
        <w:rPr>
          <w:rFonts w:asciiTheme="minorHAnsi" w:hAnsiTheme="minorHAnsi" w:cstheme="minorHAnsi"/>
          <w:sz w:val="28"/>
          <w:szCs w:val="28"/>
        </w:rPr>
      </w:pPr>
      <w:r w:rsidRPr="005E1103">
        <w:rPr>
          <w:rFonts w:asciiTheme="minorHAnsi" w:hAnsiTheme="minorHAnsi" w:cstheme="minorHAnsi"/>
          <w:b/>
          <w:sz w:val="28"/>
          <w:szCs w:val="28"/>
        </w:rPr>
        <w:t xml:space="preserve">Resumo: </w:t>
      </w:r>
      <w:r w:rsidRPr="005E1103">
        <w:rPr>
          <w:rFonts w:asciiTheme="minorHAnsi" w:hAnsiTheme="minorHAnsi" w:cstheme="minorHAnsi"/>
          <w:sz w:val="28"/>
          <w:szCs w:val="28"/>
        </w:rPr>
        <w:t xml:space="preserve">O artigo analisa o uso dos meios de comunicação sonoros como um  importante recurso da acessibilidade à produção científica e acadêmica, especialmente para as pessoas com deficiência visual. Apresenta as estratégias de adaptação para o meio sonoro, de conteúdos originalmente impressos ou digitais, como  artigos científicos, teses, livros, atas de congressos e outros formatos de divulgação científica, </w:t>
      </w:r>
      <w:r w:rsidRPr="005E1103">
        <w:rPr>
          <w:rFonts w:asciiTheme="minorHAnsi" w:hAnsiTheme="minorHAnsi" w:cstheme="minorHAnsi"/>
          <w:sz w:val="28"/>
          <w:szCs w:val="28"/>
        </w:rPr>
        <w:lastRenderedPageBreak/>
        <w:t>que estão em forma de texto verbal escrito ou em imagens. Portanto, o artigo traz recomendações para cada uma das etapas de adaptação, que incluem a produção de roteiros, a locução, o desenho do som e a edição de arquivos de áudio ou  audiodescrição. O trabalho de transformação acessível se centra na produção gerada pelo Observatório da Educação (Obeduc) desenvolvido por doze universidades brasileiras, argentinas e uruguaias, sobre o tema da acessibilidade e inclusão na educação universitária. O estudo atesta o importante papel dos meios sonoros na difusão da ciência produzida na universidade, especialmente para permitir o acesso às pessoas com deficiência visual (mas não só elas) a diversos conteúdos científicos, gerados no ambiente acadêmico. Assim, as mídias sonoras são mais um formato acessível como os leitores de tela e outros</w:t>
      </w:r>
      <w:r w:rsidRPr="005E1103">
        <w:rPr>
          <w:rFonts w:asciiTheme="minorHAnsi" w:hAnsiTheme="minorHAnsi" w:cstheme="minorHAnsi"/>
          <w:spacing w:val="-5"/>
          <w:sz w:val="28"/>
          <w:szCs w:val="28"/>
        </w:rPr>
        <w:t xml:space="preserve"> </w:t>
      </w:r>
      <w:r w:rsidRPr="005E1103">
        <w:rPr>
          <w:rFonts w:asciiTheme="minorHAnsi" w:hAnsiTheme="minorHAnsi" w:cstheme="minorHAnsi"/>
          <w:sz w:val="28"/>
          <w:szCs w:val="28"/>
        </w:rPr>
        <w:t>recursos.</w:t>
      </w:r>
    </w:p>
    <w:p w:rsidR="00DF59FF" w:rsidRPr="005E1103" w:rsidRDefault="00DF59FF" w:rsidP="00DF59FF">
      <w:pPr>
        <w:pStyle w:val="Textoindependiente"/>
        <w:spacing w:before="70"/>
        <w:ind w:right="167"/>
        <w:rPr>
          <w:rFonts w:asciiTheme="minorHAnsi" w:hAnsiTheme="minorHAnsi" w:cstheme="minorHAnsi"/>
          <w:sz w:val="28"/>
          <w:szCs w:val="28"/>
        </w:rPr>
      </w:pPr>
      <w:r w:rsidRPr="005E1103">
        <w:rPr>
          <w:rFonts w:asciiTheme="minorHAnsi" w:hAnsiTheme="minorHAnsi" w:cstheme="minorHAnsi"/>
          <w:b/>
          <w:sz w:val="28"/>
          <w:szCs w:val="28"/>
        </w:rPr>
        <w:t>Palavras chave</w:t>
      </w:r>
      <w:r w:rsidRPr="005E1103">
        <w:rPr>
          <w:rFonts w:asciiTheme="minorHAnsi" w:hAnsiTheme="minorHAnsi" w:cstheme="minorHAnsi"/>
          <w:sz w:val="28"/>
          <w:szCs w:val="28"/>
        </w:rPr>
        <w:t>: acessibilidade, midia sonora, audiodescrição, divulgação científica, universidade</w:t>
      </w:r>
    </w:p>
    <w:p w:rsidR="00DF59FF" w:rsidRPr="005E1103" w:rsidRDefault="00DF59FF" w:rsidP="00DF59FF">
      <w:pPr>
        <w:pStyle w:val="Textoindependiente"/>
        <w:rPr>
          <w:rFonts w:asciiTheme="minorHAnsi" w:hAnsiTheme="minorHAnsi" w:cstheme="minorHAnsi"/>
          <w:sz w:val="28"/>
          <w:szCs w:val="28"/>
        </w:rPr>
      </w:pPr>
    </w:p>
    <w:p w:rsidR="00DF59FF" w:rsidRPr="005E1103" w:rsidRDefault="00DF59FF" w:rsidP="00DF59FF">
      <w:pPr>
        <w:pStyle w:val="Textoindependiente"/>
        <w:spacing w:before="6"/>
        <w:rPr>
          <w:rFonts w:asciiTheme="minorHAnsi" w:hAnsiTheme="minorHAnsi" w:cstheme="minorHAnsi"/>
          <w:sz w:val="28"/>
          <w:szCs w:val="28"/>
        </w:rPr>
      </w:pPr>
    </w:p>
    <w:p w:rsidR="00DF59FF" w:rsidRPr="005E1103" w:rsidRDefault="00DF59FF" w:rsidP="00DF59FF">
      <w:pPr>
        <w:pStyle w:val="Ttulo1"/>
        <w:spacing w:before="1"/>
        <w:rPr>
          <w:rFonts w:asciiTheme="minorHAnsi" w:eastAsia="Times New Roman" w:hAnsiTheme="minorHAnsi" w:cstheme="minorHAnsi"/>
          <w:bCs w:val="0"/>
          <w:color w:val="auto"/>
          <w:kern w:val="1"/>
          <w:lang w:eastAsia="ar-SA"/>
        </w:rPr>
      </w:pPr>
      <w:r w:rsidRPr="005E1103">
        <w:rPr>
          <w:rFonts w:asciiTheme="minorHAnsi" w:eastAsia="Times New Roman" w:hAnsiTheme="minorHAnsi" w:cstheme="minorHAnsi"/>
          <w:bCs w:val="0"/>
          <w:color w:val="auto"/>
          <w:kern w:val="1"/>
          <w:lang w:eastAsia="ar-SA"/>
        </w:rPr>
        <w:t>Introdução</w:t>
      </w:r>
    </w:p>
    <w:p w:rsidR="00DF59FF" w:rsidRPr="005E1103" w:rsidRDefault="00DF59FF" w:rsidP="00DF59FF">
      <w:pPr>
        <w:pStyle w:val="Textoindependiente"/>
        <w:spacing w:before="5"/>
        <w:rPr>
          <w:rFonts w:asciiTheme="minorHAnsi" w:hAnsiTheme="minorHAnsi" w:cstheme="minorHAnsi"/>
          <w:b/>
          <w:sz w:val="28"/>
          <w:szCs w:val="28"/>
        </w:rPr>
      </w:pPr>
    </w:p>
    <w:p w:rsidR="00DF59FF" w:rsidRPr="005E1103" w:rsidRDefault="00DF59FF" w:rsidP="00DF59FF">
      <w:pPr>
        <w:pStyle w:val="Textoindependiente"/>
        <w:spacing w:line="360" w:lineRule="auto"/>
        <w:ind w:right="117" w:firstLine="707"/>
        <w:rPr>
          <w:rFonts w:asciiTheme="minorHAnsi" w:hAnsiTheme="minorHAnsi" w:cstheme="minorHAnsi"/>
          <w:sz w:val="28"/>
          <w:szCs w:val="28"/>
        </w:rPr>
      </w:pPr>
      <w:r w:rsidRPr="005E1103">
        <w:rPr>
          <w:rFonts w:asciiTheme="minorHAnsi" w:hAnsiTheme="minorHAnsi" w:cstheme="minorHAnsi"/>
          <w:sz w:val="28"/>
          <w:szCs w:val="28"/>
        </w:rPr>
        <w:t>O direito de todos à comunicação e à informação está previsto em vários tratados internacionais, a começar pela Declaração Universal de Direitos Humanos, e se estende das constituições nacionais a portarias, leis e decretos específicos de cada país, os quais incluem as pessoas com deficiência entre os cidadãos a quem esse direito deve ser garantido.</w:t>
      </w:r>
    </w:p>
    <w:p w:rsidR="00DF59FF" w:rsidRPr="005E1103" w:rsidRDefault="00DF59FF" w:rsidP="00DF59FF">
      <w:pPr>
        <w:pStyle w:val="Textoindependiente"/>
        <w:spacing w:line="360" w:lineRule="auto"/>
        <w:ind w:right="114" w:firstLine="707"/>
        <w:rPr>
          <w:rFonts w:asciiTheme="minorHAnsi" w:hAnsiTheme="minorHAnsi" w:cstheme="minorHAnsi"/>
          <w:sz w:val="28"/>
          <w:szCs w:val="28"/>
        </w:rPr>
      </w:pPr>
      <w:r w:rsidRPr="005E1103">
        <w:rPr>
          <w:rFonts w:asciiTheme="minorHAnsi" w:hAnsiTheme="minorHAnsi" w:cstheme="minorHAnsi"/>
          <w:sz w:val="28"/>
          <w:szCs w:val="28"/>
        </w:rPr>
        <w:t xml:space="preserve">No caso do Brasil, são diversas as leis que tratam da igualdade entre todos os cidadãos e do papel do Estado na salvaguarda dos direitos e no provimento das necessidades desse coletivo, da Constituição a leis gerais, sendo o Estatuto da Pessoa com Deficiência (Lei nº 13.146. de 6 de julho de 2015) a lei mais recente. </w:t>
      </w:r>
      <w:r w:rsidRPr="005E1103">
        <w:rPr>
          <w:rFonts w:asciiTheme="minorHAnsi" w:hAnsiTheme="minorHAnsi" w:cstheme="minorHAnsi"/>
          <w:spacing w:val="-4"/>
          <w:sz w:val="28"/>
          <w:szCs w:val="28"/>
        </w:rPr>
        <w:t xml:space="preserve">Todos </w:t>
      </w:r>
      <w:r w:rsidRPr="005E1103">
        <w:rPr>
          <w:rFonts w:asciiTheme="minorHAnsi" w:hAnsiTheme="minorHAnsi" w:cstheme="minorHAnsi"/>
          <w:sz w:val="28"/>
          <w:szCs w:val="28"/>
        </w:rPr>
        <w:t xml:space="preserve">os parâmetros legais refletem a crescente consolidação dos princípios da cidadania, do respeito às diferenças e da defesa da inclusão. Esse movimento leva ao fortalecimento da “identidade da deficiência”, uma luta que tem resultado na identificação mais pontual das necessidades do coletivo de pessoas com deficiência e na mobilização para a garantia do seu atendimento e da sua plena inclusão em todas as esferas da sociedade </w:t>
      </w:r>
      <w:r w:rsidRPr="005E1103">
        <w:rPr>
          <w:rFonts w:asciiTheme="minorHAnsi" w:hAnsiTheme="minorHAnsi" w:cstheme="minorHAnsi"/>
          <w:sz w:val="28"/>
          <w:szCs w:val="28"/>
        </w:rPr>
        <w:lastRenderedPageBreak/>
        <w:t>(Silva, 2011:</w:t>
      </w:r>
      <w:r w:rsidRPr="005E1103">
        <w:rPr>
          <w:rFonts w:asciiTheme="minorHAnsi" w:hAnsiTheme="minorHAnsi" w:cstheme="minorHAnsi"/>
          <w:spacing w:val="-11"/>
          <w:sz w:val="28"/>
          <w:szCs w:val="28"/>
        </w:rPr>
        <w:t xml:space="preserve"> </w:t>
      </w:r>
      <w:r w:rsidRPr="005E1103">
        <w:rPr>
          <w:rFonts w:asciiTheme="minorHAnsi" w:hAnsiTheme="minorHAnsi" w:cstheme="minorHAnsi"/>
          <w:sz w:val="28"/>
          <w:szCs w:val="28"/>
        </w:rPr>
        <w:t>3).</w:t>
      </w:r>
    </w:p>
    <w:p w:rsidR="00DF59FF" w:rsidRPr="005E1103" w:rsidRDefault="00DF59FF" w:rsidP="00DF59FF">
      <w:pPr>
        <w:pStyle w:val="Textoindependiente"/>
        <w:spacing w:line="360" w:lineRule="auto"/>
        <w:ind w:right="119" w:firstLine="707"/>
        <w:rPr>
          <w:rFonts w:asciiTheme="minorHAnsi" w:hAnsiTheme="minorHAnsi" w:cstheme="minorHAnsi"/>
          <w:sz w:val="28"/>
          <w:szCs w:val="28"/>
        </w:rPr>
      </w:pPr>
      <w:r w:rsidRPr="005E1103">
        <w:rPr>
          <w:rFonts w:asciiTheme="minorHAnsi" w:hAnsiTheme="minorHAnsi" w:cstheme="minorHAnsi"/>
          <w:sz w:val="28"/>
          <w:szCs w:val="28"/>
        </w:rPr>
        <w:t>“Considera-se pessoa com deficiência aquela que tem impedimento de longo prazo de natureza física, mental, intelectual ou sensorial” (Brasil, 2015). No Brasil, cerca de 45 milhões de pessoas enquadram-se nessa caracterização feita pela Lei da Pessoa com Deficiência. A deficiência mais comum no país é a visual, caracterizada pela perda total ou parcial da visão por fatores congênitos ou adquiridos. Ela atinge  mais de 35 milhões de pessoas, segundo dados do último censo demográfico  do  Instituto Brasileiro de Geografia e Estatística (IBGE), de 2010. Destas, cerca de 6,5 milhões têm deficiência visual severa (baixa visão e visão subnormal) e 506 mil são cegas.</w:t>
      </w:r>
    </w:p>
    <w:p w:rsidR="00DF59FF" w:rsidRPr="005E1103" w:rsidRDefault="00DF59FF" w:rsidP="00DF59FF">
      <w:pPr>
        <w:pStyle w:val="Textoindependiente"/>
        <w:spacing w:before="166" w:line="360" w:lineRule="auto"/>
        <w:ind w:right="120" w:firstLine="707"/>
        <w:rPr>
          <w:rFonts w:asciiTheme="minorHAnsi" w:hAnsiTheme="minorHAnsi" w:cstheme="minorHAnsi"/>
          <w:sz w:val="28"/>
          <w:szCs w:val="28"/>
        </w:rPr>
      </w:pPr>
      <w:r w:rsidRPr="005E1103">
        <w:rPr>
          <w:rFonts w:asciiTheme="minorHAnsi" w:hAnsiTheme="minorHAnsi" w:cstheme="minorHAnsi"/>
          <w:sz w:val="28"/>
          <w:szCs w:val="28"/>
        </w:rPr>
        <w:t xml:space="preserve">Em Portugal e na Espanha, por exemplo, esse quadro é proporcionalmente o mesmo. Em Portugal, cerca de 400 mil pessoas apresentam alguma dificuldade visual, sendo que aproximadamente 160 mil pessoas têm deficiência visual (20 mil cegos e 140 mil com visão subnormal ou baixa visão, classificados como “amblíopes”) </w:t>
      </w:r>
      <w:r w:rsidRPr="005E1103">
        <w:rPr>
          <w:rFonts w:asciiTheme="minorHAnsi" w:hAnsiTheme="minorHAnsi" w:cstheme="minorHAnsi"/>
          <w:spacing w:val="57"/>
          <w:sz w:val="28"/>
          <w:szCs w:val="28"/>
        </w:rPr>
        <w:t xml:space="preserve"> </w:t>
      </w:r>
      <w:r w:rsidRPr="005E1103">
        <w:rPr>
          <w:rFonts w:asciiTheme="minorHAnsi" w:hAnsiTheme="minorHAnsi" w:cstheme="minorHAnsi"/>
          <w:sz w:val="28"/>
          <w:szCs w:val="28"/>
        </w:rPr>
        <w:t>(Gonçalves,2003: 72). Na Espanha, há cerca de 4 milhões de pessoas com deficiência, sendo que 979 mil apresentam deficiência visual (Lara; García, 2010: 169; INE, 2009: 2).</w:t>
      </w:r>
    </w:p>
    <w:p w:rsidR="00DF59FF" w:rsidRPr="005E1103" w:rsidRDefault="00DF59FF" w:rsidP="00DF59FF">
      <w:pPr>
        <w:pStyle w:val="Textoindependiente"/>
        <w:spacing w:line="360" w:lineRule="auto"/>
        <w:ind w:right="116" w:firstLine="707"/>
        <w:rPr>
          <w:rFonts w:asciiTheme="minorHAnsi" w:hAnsiTheme="minorHAnsi" w:cstheme="minorHAnsi"/>
          <w:sz w:val="28"/>
          <w:szCs w:val="28"/>
        </w:rPr>
      </w:pPr>
      <w:r w:rsidRPr="005E1103">
        <w:rPr>
          <w:rFonts w:asciiTheme="minorHAnsi" w:hAnsiTheme="minorHAnsi" w:cstheme="minorHAnsi"/>
          <w:sz w:val="28"/>
          <w:szCs w:val="28"/>
        </w:rPr>
        <w:t>Se até pouco tempo atrás esse enorme contingente de indivíduos via-se tolhido na sua capacidade de interação e atuação nos mais diversos ambientes e situações no meio social, hoje começa a ter à sua disposição um número crescente de alternativas de inserção e participação autônoma. A iniciativa de proporcionar a acessibilidade para pessoas com deficiência em geral (não só visual) vem paulatinamente ganhando espaço nos mais diversos setores da sociedade: no mercado de trabalho, na oferta de produtos e serviços, na educação, na saúde etc. (Heitzmann; Zamboni,</w:t>
      </w:r>
      <w:r w:rsidRPr="005E1103">
        <w:rPr>
          <w:rFonts w:asciiTheme="minorHAnsi" w:hAnsiTheme="minorHAnsi" w:cstheme="minorHAnsi"/>
          <w:spacing w:val="-13"/>
          <w:sz w:val="28"/>
          <w:szCs w:val="28"/>
        </w:rPr>
        <w:t xml:space="preserve"> </w:t>
      </w:r>
      <w:r w:rsidRPr="005E1103">
        <w:rPr>
          <w:rFonts w:asciiTheme="minorHAnsi" w:hAnsiTheme="minorHAnsi" w:cstheme="minorHAnsi"/>
          <w:sz w:val="28"/>
          <w:szCs w:val="28"/>
        </w:rPr>
        <w:t>2005).</w:t>
      </w:r>
    </w:p>
    <w:p w:rsidR="00DF59FF" w:rsidRPr="005E1103" w:rsidRDefault="00DF59FF" w:rsidP="00DF59FF">
      <w:pPr>
        <w:pStyle w:val="Textoindependiente"/>
        <w:spacing w:line="360" w:lineRule="auto"/>
        <w:ind w:right="120" w:firstLine="707"/>
        <w:rPr>
          <w:rFonts w:asciiTheme="minorHAnsi" w:hAnsiTheme="minorHAnsi" w:cstheme="minorHAnsi"/>
          <w:sz w:val="28"/>
          <w:szCs w:val="28"/>
        </w:rPr>
      </w:pPr>
      <w:r w:rsidRPr="005E1103">
        <w:rPr>
          <w:rFonts w:asciiTheme="minorHAnsi" w:hAnsiTheme="minorHAnsi" w:cstheme="minorHAnsi"/>
          <w:sz w:val="28"/>
          <w:szCs w:val="28"/>
        </w:rPr>
        <w:t xml:space="preserve">Apesar disso, ainda permanecem erguidas muitas barreiras à acessibilidade, as quais se estendem da inexistência de infraestrutura adequada para a mobilidade nos espaços públicos e privados até a carência de produções adaptadas às demandas de leitura e conhecimento desse público, como livros em braile, sites e documentos digitais </w:t>
      </w:r>
      <w:r w:rsidRPr="005E1103">
        <w:rPr>
          <w:rFonts w:asciiTheme="minorHAnsi" w:hAnsiTheme="minorHAnsi" w:cstheme="minorHAnsi"/>
          <w:sz w:val="28"/>
          <w:szCs w:val="28"/>
        </w:rPr>
        <w:lastRenderedPageBreak/>
        <w:t>acessíveis por leitores de tela, programas audiovisuais, espetáculos teatrais e exposições artísticas com o recurso da audiodescrição etc. Ou seja, ainda se verificam muitos entraves à acessibilidade, entendida como garantia de condições plenas de “utilização, com segurança e autonomia, total ou assistida, dos espaços, mobiliários e equipamentos urbanos, das edificações, dos serviços de transporte e dos dispositivos, sistemas e meios de comunicação e informação, por pessoa portadora de deficiência ou com mobilidade reduzida” (Brasil, 2004).</w:t>
      </w:r>
    </w:p>
    <w:p w:rsidR="00DF59FF" w:rsidRPr="005E1103" w:rsidRDefault="00DF59FF" w:rsidP="00DF59FF">
      <w:pPr>
        <w:pStyle w:val="Textoindependiente"/>
        <w:spacing w:line="360" w:lineRule="auto"/>
        <w:ind w:right="115" w:firstLine="707"/>
        <w:rPr>
          <w:rFonts w:asciiTheme="minorHAnsi" w:hAnsiTheme="minorHAnsi" w:cstheme="minorHAnsi"/>
          <w:sz w:val="28"/>
          <w:szCs w:val="28"/>
        </w:rPr>
      </w:pPr>
      <w:r w:rsidRPr="005E1103">
        <w:rPr>
          <w:rFonts w:asciiTheme="minorHAnsi" w:hAnsiTheme="minorHAnsi" w:cstheme="minorHAnsi"/>
          <w:sz w:val="28"/>
          <w:szCs w:val="28"/>
        </w:rPr>
        <w:t>Nesse sentido, incluir a pessoa com deficiência na sociedade implica o oferecimento de condições para o total aproveitamento das experiências que determinado meio proporciona e a consideração das especificidades culturais, comportamentais e históricas dos diferentes grupos de pessoas. “Incluir não é apenas colocar junto, e principalmente, não é negar a diferença, mas respeitá-la como constitutiva do humano”. (Bartalotti, 2006: 16). Além disso, é certo que a cegueira não tem nenhuma relação direta com dificuldades cognitivas ou na formação de ideias e conceitos, pois estas provêm da falta de experiências enriquecedoras que permitem a construção e o acesso aos significados dos fatos nas diferentes esferas da vida. Obstáculos e barreiras à acessibilidade física ou limitações à comunicação e à experiência de pessoas com deficiência visual comprometem muito mais o processo de aprendizagem que a falta de visão (Domingues et al, 2010:</w:t>
      </w:r>
      <w:r w:rsidRPr="005E1103">
        <w:rPr>
          <w:rFonts w:asciiTheme="minorHAnsi" w:hAnsiTheme="minorHAnsi" w:cstheme="minorHAnsi"/>
          <w:spacing w:val="-9"/>
          <w:sz w:val="28"/>
          <w:szCs w:val="28"/>
        </w:rPr>
        <w:t xml:space="preserve"> </w:t>
      </w:r>
      <w:r w:rsidRPr="005E1103">
        <w:rPr>
          <w:rFonts w:asciiTheme="minorHAnsi" w:hAnsiTheme="minorHAnsi" w:cstheme="minorHAnsi"/>
          <w:sz w:val="28"/>
          <w:szCs w:val="28"/>
        </w:rPr>
        <w:t>33).</w:t>
      </w:r>
    </w:p>
    <w:p w:rsidR="00DF59FF" w:rsidRPr="005E1103" w:rsidRDefault="00DF59FF" w:rsidP="00DF59FF">
      <w:pPr>
        <w:pStyle w:val="Textoindependiente"/>
        <w:spacing w:before="72" w:line="360" w:lineRule="auto"/>
        <w:ind w:right="116" w:firstLine="707"/>
        <w:rPr>
          <w:rFonts w:asciiTheme="minorHAnsi" w:hAnsiTheme="minorHAnsi" w:cstheme="minorHAnsi"/>
          <w:sz w:val="28"/>
          <w:szCs w:val="28"/>
        </w:rPr>
      </w:pPr>
      <w:r w:rsidRPr="005E1103">
        <w:rPr>
          <w:rFonts w:asciiTheme="minorHAnsi" w:hAnsiTheme="minorHAnsi" w:cstheme="minorHAnsi"/>
          <w:sz w:val="28"/>
          <w:szCs w:val="28"/>
        </w:rPr>
        <w:t xml:space="preserve">Diante desse esforço para a inclusão, as mídias sonoras se tornam um recurso de acessibilidade relevante, dada sua riqueza de formatos e a capacidade de sensibilização, além de características como baixo custo, portabilidade, fácil assimilação e autonomia (Ortriwano. 1985: 78-81), o que as torna mais práticas, em determinados contextos e objetivos, que o Sistema Braille e os </w:t>
      </w:r>
      <w:r w:rsidRPr="005E1103">
        <w:rPr>
          <w:rFonts w:asciiTheme="minorHAnsi" w:hAnsiTheme="minorHAnsi" w:cstheme="minorHAnsi"/>
          <w:i/>
          <w:sz w:val="28"/>
          <w:szCs w:val="28"/>
        </w:rPr>
        <w:t xml:space="preserve">softwares </w:t>
      </w:r>
      <w:r w:rsidRPr="005E1103">
        <w:rPr>
          <w:rFonts w:asciiTheme="minorHAnsi" w:hAnsiTheme="minorHAnsi" w:cstheme="minorHAnsi"/>
          <w:sz w:val="28"/>
          <w:szCs w:val="28"/>
        </w:rPr>
        <w:t>de leitura.</w:t>
      </w:r>
    </w:p>
    <w:p w:rsidR="00DF59FF" w:rsidRPr="005E1103" w:rsidRDefault="00DF59FF" w:rsidP="00DF59FF">
      <w:pPr>
        <w:pStyle w:val="Textoindependiente"/>
        <w:spacing w:before="166" w:line="360" w:lineRule="auto"/>
        <w:ind w:right="118" w:firstLine="707"/>
        <w:rPr>
          <w:rFonts w:asciiTheme="minorHAnsi" w:hAnsiTheme="minorHAnsi" w:cstheme="minorHAnsi"/>
          <w:sz w:val="28"/>
          <w:szCs w:val="28"/>
        </w:rPr>
      </w:pPr>
      <w:r w:rsidRPr="005E1103">
        <w:rPr>
          <w:rFonts w:asciiTheme="minorHAnsi" w:hAnsiTheme="minorHAnsi" w:cstheme="minorHAnsi"/>
          <w:sz w:val="28"/>
          <w:szCs w:val="28"/>
        </w:rPr>
        <w:t xml:space="preserve">A produção de recursos de acessibilidade em mídia sonora, com o propósito de desenvolver e estimular habilidades e novos conhecimentos por parte das pessoas com </w:t>
      </w:r>
      <w:r w:rsidRPr="005E1103">
        <w:rPr>
          <w:rFonts w:asciiTheme="minorHAnsi" w:hAnsiTheme="minorHAnsi" w:cstheme="minorHAnsi"/>
          <w:sz w:val="28"/>
          <w:szCs w:val="28"/>
        </w:rPr>
        <w:lastRenderedPageBreak/>
        <w:t>deficiência visual, é um caminho que pode e deve ser explorado, proporcionando uma possibilidade a mais de acesso à educação, à cultura e ao conhecimento. Um possível uso desse recurso está na divulgação da produção científica e acadêmica no ensino superior, o que implica a adaptação de textos escritos, impressos ou digitais, para o áudio. Nesse processo devem ser observadas a linguagem e as formas de produção nos meios sonoros, em especial o rádio, para assegurar a criação de arquivos em áudio acessíveis.</w:t>
      </w:r>
    </w:p>
    <w:p w:rsidR="00DF59FF" w:rsidRPr="005E1103" w:rsidRDefault="00DF59FF" w:rsidP="00DF59FF">
      <w:pPr>
        <w:pStyle w:val="Textoindependiente"/>
        <w:rPr>
          <w:rFonts w:asciiTheme="minorHAnsi" w:hAnsiTheme="minorHAnsi" w:cstheme="minorHAnsi"/>
          <w:sz w:val="28"/>
          <w:szCs w:val="28"/>
        </w:rPr>
      </w:pPr>
    </w:p>
    <w:p w:rsidR="00DF59FF" w:rsidRPr="005E1103" w:rsidRDefault="00DF59FF" w:rsidP="00DF59FF">
      <w:pPr>
        <w:pStyle w:val="Ttulo1"/>
        <w:rPr>
          <w:rFonts w:asciiTheme="minorHAnsi" w:eastAsia="Times New Roman" w:hAnsiTheme="minorHAnsi" w:cstheme="minorHAnsi"/>
          <w:bCs w:val="0"/>
          <w:color w:val="auto"/>
          <w:kern w:val="1"/>
          <w:lang w:eastAsia="ar-SA"/>
        </w:rPr>
      </w:pPr>
      <w:r w:rsidRPr="005E1103">
        <w:rPr>
          <w:rFonts w:asciiTheme="minorHAnsi" w:eastAsia="Times New Roman" w:hAnsiTheme="minorHAnsi" w:cstheme="minorHAnsi"/>
          <w:bCs w:val="0"/>
          <w:color w:val="auto"/>
          <w:kern w:val="1"/>
          <w:lang w:eastAsia="ar-SA"/>
        </w:rPr>
        <w:t>A produção em mídia sonora</w:t>
      </w:r>
    </w:p>
    <w:p w:rsidR="00DF59FF" w:rsidRPr="005E1103" w:rsidRDefault="00DF59FF" w:rsidP="00DF59FF">
      <w:pPr>
        <w:pStyle w:val="Textoindependiente"/>
        <w:spacing w:before="5"/>
        <w:rPr>
          <w:rFonts w:asciiTheme="minorHAnsi" w:hAnsiTheme="minorHAnsi" w:cstheme="minorHAnsi"/>
          <w:b/>
          <w:sz w:val="28"/>
          <w:szCs w:val="28"/>
        </w:rPr>
      </w:pPr>
    </w:p>
    <w:p w:rsidR="00DF59FF" w:rsidRPr="005E1103" w:rsidRDefault="00DF59FF" w:rsidP="00DF59FF">
      <w:pPr>
        <w:pStyle w:val="Textoindependiente"/>
        <w:spacing w:line="360" w:lineRule="auto"/>
        <w:ind w:right="117" w:firstLine="707"/>
        <w:rPr>
          <w:rFonts w:asciiTheme="minorHAnsi" w:hAnsiTheme="minorHAnsi" w:cstheme="minorHAnsi"/>
          <w:sz w:val="28"/>
          <w:szCs w:val="28"/>
        </w:rPr>
      </w:pPr>
      <w:r w:rsidRPr="005E1103">
        <w:rPr>
          <w:rFonts w:asciiTheme="minorHAnsi" w:hAnsiTheme="minorHAnsi" w:cstheme="minorHAnsi"/>
          <w:sz w:val="28"/>
          <w:szCs w:val="28"/>
        </w:rPr>
        <w:t>O advento dos meios digitais modificou a configuração das mídias sonoras, mas o fundamento de todas, em termos de linguagem, continua sendo o rádio, que tem alta capacidade de se amalgamar a novos suportes (Ferraretto, 2014). Por isso que podcasts, webrádios, arquivos sonoros digitais etc. apresentam características particulares em termos estruturação e veiculação, todos têm como fundamento a linguagem radiofônica, cuja arquitetura constitui-se a partir integração dos códigos verbal, sonoro e musical e  do silêncio (Balsebre, 2005), num ordenamento</w:t>
      </w:r>
      <w:r w:rsidRPr="005E1103">
        <w:rPr>
          <w:rFonts w:asciiTheme="minorHAnsi" w:hAnsiTheme="minorHAnsi" w:cstheme="minorHAnsi"/>
          <w:spacing w:val="-11"/>
          <w:sz w:val="28"/>
          <w:szCs w:val="28"/>
        </w:rPr>
        <w:t xml:space="preserve"> </w:t>
      </w:r>
      <w:r w:rsidRPr="005E1103">
        <w:rPr>
          <w:rFonts w:asciiTheme="minorHAnsi" w:hAnsiTheme="minorHAnsi" w:cstheme="minorHAnsi"/>
          <w:sz w:val="28"/>
          <w:szCs w:val="28"/>
        </w:rPr>
        <w:t>temporal.</w:t>
      </w:r>
    </w:p>
    <w:p w:rsidR="00DF59FF" w:rsidRPr="005E1103" w:rsidRDefault="00DF59FF" w:rsidP="00DF59FF">
      <w:pPr>
        <w:pStyle w:val="Textoindependiente"/>
        <w:spacing w:before="165" w:line="360" w:lineRule="auto"/>
        <w:ind w:right="117" w:firstLine="707"/>
        <w:rPr>
          <w:rFonts w:asciiTheme="minorHAnsi" w:hAnsiTheme="minorHAnsi" w:cstheme="minorHAnsi"/>
          <w:sz w:val="28"/>
          <w:szCs w:val="28"/>
        </w:rPr>
      </w:pPr>
      <w:r w:rsidRPr="005E1103">
        <w:rPr>
          <w:rFonts w:asciiTheme="minorHAnsi" w:hAnsiTheme="minorHAnsi" w:cstheme="minorHAnsi"/>
          <w:sz w:val="28"/>
          <w:szCs w:val="28"/>
        </w:rPr>
        <w:t xml:space="preserve">A essência do rádio consiste justamente em oferecer a totalidade de sentido somente por meio sonoro (Arnheim, 1980). </w:t>
      </w:r>
      <w:r w:rsidRPr="005E1103">
        <w:rPr>
          <w:rFonts w:asciiTheme="minorHAnsi" w:hAnsiTheme="minorHAnsi" w:cstheme="minorHAnsi"/>
          <w:spacing w:val="-6"/>
          <w:sz w:val="28"/>
          <w:szCs w:val="28"/>
        </w:rPr>
        <w:t xml:space="preserve">Tal </w:t>
      </w:r>
      <w:r w:rsidRPr="005E1103">
        <w:rPr>
          <w:rFonts w:asciiTheme="minorHAnsi" w:hAnsiTheme="minorHAnsi" w:cstheme="minorHAnsi"/>
          <w:sz w:val="28"/>
          <w:szCs w:val="28"/>
        </w:rPr>
        <w:t xml:space="preserve">ordenamento permite a criação de 'imagens mentais', as quais, na verdade, não são realmente imagens, mas somente a recuperação de uma memória discursiva sonora, a remissão à realidade acústica que permeia todos os acontecimentos da vida concreta e do mundo e permite justamente recuperar cenários, objetos e pessoas que participam desses momentos (Maciel, 2009). Estas são as 'imagens' que só o som constrói. </w:t>
      </w:r>
      <w:r w:rsidRPr="005E1103">
        <w:rPr>
          <w:rFonts w:asciiTheme="minorHAnsi" w:hAnsiTheme="minorHAnsi" w:cstheme="minorHAnsi"/>
          <w:spacing w:val="-6"/>
          <w:sz w:val="28"/>
          <w:szCs w:val="28"/>
        </w:rPr>
        <w:t xml:space="preserve">Tal </w:t>
      </w:r>
      <w:r w:rsidRPr="005E1103">
        <w:rPr>
          <w:rFonts w:asciiTheme="minorHAnsi" w:hAnsiTheme="minorHAnsi" w:cstheme="minorHAnsi"/>
          <w:sz w:val="28"/>
          <w:szCs w:val="28"/>
        </w:rPr>
        <w:t>fato dá lugar à imaginação,  responsável</w:t>
      </w:r>
      <w:r w:rsidRPr="005E1103">
        <w:rPr>
          <w:rFonts w:asciiTheme="minorHAnsi" w:hAnsiTheme="minorHAnsi" w:cstheme="minorHAnsi"/>
          <w:spacing w:val="43"/>
          <w:sz w:val="28"/>
          <w:szCs w:val="28"/>
        </w:rPr>
        <w:t xml:space="preserve"> </w:t>
      </w:r>
      <w:r w:rsidRPr="005E1103">
        <w:rPr>
          <w:rFonts w:asciiTheme="minorHAnsi" w:hAnsiTheme="minorHAnsi" w:cstheme="minorHAnsi"/>
          <w:sz w:val="28"/>
          <w:szCs w:val="28"/>
        </w:rPr>
        <w:t>por</w:t>
      </w:r>
      <w:r w:rsidRPr="005E1103">
        <w:rPr>
          <w:rFonts w:asciiTheme="minorHAnsi" w:hAnsiTheme="minorHAnsi" w:cstheme="minorHAnsi"/>
          <w:spacing w:val="42"/>
          <w:sz w:val="28"/>
          <w:szCs w:val="28"/>
        </w:rPr>
        <w:t xml:space="preserve"> </w:t>
      </w:r>
      <w:r w:rsidRPr="005E1103">
        <w:rPr>
          <w:rFonts w:asciiTheme="minorHAnsi" w:hAnsiTheme="minorHAnsi" w:cstheme="minorHAnsi"/>
          <w:sz w:val="28"/>
          <w:szCs w:val="28"/>
        </w:rPr>
        <w:t>reproduzir</w:t>
      </w:r>
      <w:r w:rsidRPr="005E1103">
        <w:rPr>
          <w:rFonts w:asciiTheme="minorHAnsi" w:hAnsiTheme="minorHAnsi" w:cstheme="minorHAnsi"/>
          <w:spacing w:val="43"/>
          <w:sz w:val="28"/>
          <w:szCs w:val="28"/>
        </w:rPr>
        <w:t xml:space="preserve"> </w:t>
      </w:r>
      <w:r w:rsidRPr="005E1103">
        <w:rPr>
          <w:rFonts w:asciiTheme="minorHAnsi" w:hAnsiTheme="minorHAnsi" w:cstheme="minorHAnsi"/>
          <w:sz w:val="28"/>
          <w:szCs w:val="28"/>
        </w:rPr>
        <w:t>impressões</w:t>
      </w:r>
      <w:r w:rsidRPr="005E1103">
        <w:rPr>
          <w:rFonts w:asciiTheme="minorHAnsi" w:hAnsiTheme="minorHAnsi" w:cstheme="minorHAnsi"/>
          <w:spacing w:val="43"/>
          <w:sz w:val="28"/>
          <w:szCs w:val="28"/>
        </w:rPr>
        <w:t xml:space="preserve"> </w:t>
      </w:r>
      <w:r w:rsidRPr="005E1103">
        <w:rPr>
          <w:rFonts w:asciiTheme="minorHAnsi" w:hAnsiTheme="minorHAnsi" w:cstheme="minorHAnsi"/>
          <w:sz w:val="28"/>
          <w:szCs w:val="28"/>
        </w:rPr>
        <w:t>sensoriais</w:t>
      </w:r>
      <w:r w:rsidRPr="005E1103">
        <w:rPr>
          <w:rFonts w:asciiTheme="minorHAnsi" w:hAnsiTheme="minorHAnsi" w:cstheme="minorHAnsi"/>
          <w:spacing w:val="44"/>
          <w:sz w:val="28"/>
          <w:szCs w:val="28"/>
        </w:rPr>
        <w:t xml:space="preserve"> </w:t>
      </w:r>
      <w:r w:rsidRPr="005E1103">
        <w:rPr>
          <w:rFonts w:asciiTheme="minorHAnsi" w:hAnsiTheme="minorHAnsi" w:cstheme="minorHAnsi"/>
          <w:sz w:val="28"/>
          <w:szCs w:val="28"/>
        </w:rPr>
        <w:t>e</w:t>
      </w:r>
      <w:r w:rsidRPr="005E1103">
        <w:rPr>
          <w:rFonts w:asciiTheme="minorHAnsi" w:hAnsiTheme="minorHAnsi" w:cstheme="minorHAnsi"/>
          <w:spacing w:val="42"/>
          <w:sz w:val="28"/>
          <w:szCs w:val="28"/>
        </w:rPr>
        <w:t xml:space="preserve"> </w:t>
      </w:r>
      <w:r w:rsidRPr="005E1103">
        <w:rPr>
          <w:rFonts w:asciiTheme="minorHAnsi" w:hAnsiTheme="minorHAnsi" w:cstheme="minorHAnsi"/>
          <w:sz w:val="28"/>
          <w:szCs w:val="28"/>
        </w:rPr>
        <w:t>perceptivas</w:t>
      </w:r>
      <w:r w:rsidRPr="005E1103">
        <w:rPr>
          <w:rFonts w:asciiTheme="minorHAnsi" w:hAnsiTheme="minorHAnsi" w:cstheme="minorHAnsi"/>
          <w:spacing w:val="43"/>
          <w:sz w:val="28"/>
          <w:szCs w:val="28"/>
        </w:rPr>
        <w:t xml:space="preserve"> </w:t>
      </w:r>
      <w:r w:rsidRPr="005E1103">
        <w:rPr>
          <w:rFonts w:asciiTheme="minorHAnsi" w:hAnsiTheme="minorHAnsi" w:cstheme="minorHAnsi"/>
          <w:sz w:val="28"/>
          <w:szCs w:val="28"/>
        </w:rPr>
        <w:t>daquilo</w:t>
      </w:r>
      <w:r w:rsidRPr="005E1103">
        <w:rPr>
          <w:rFonts w:asciiTheme="minorHAnsi" w:hAnsiTheme="minorHAnsi" w:cstheme="minorHAnsi"/>
          <w:spacing w:val="43"/>
          <w:sz w:val="28"/>
          <w:szCs w:val="28"/>
        </w:rPr>
        <w:t xml:space="preserve"> </w:t>
      </w:r>
      <w:r w:rsidRPr="005E1103">
        <w:rPr>
          <w:rFonts w:asciiTheme="minorHAnsi" w:hAnsiTheme="minorHAnsi" w:cstheme="minorHAnsi"/>
          <w:sz w:val="28"/>
          <w:szCs w:val="28"/>
        </w:rPr>
        <w:t>que</w:t>
      </w:r>
      <w:r w:rsidRPr="005E1103">
        <w:rPr>
          <w:rFonts w:asciiTheme="minorHAnsi" w:hAnsiTheme="minorHAnsi" w:cstheme="minorHAnsi"/>
          <w:spacing w:val="42"/>
          <w:sz w:val="28"/>
          <w:szCs w:val="28"/>
        </w:rPr>
        <w:t xml:space="preserve"> </w:t>
      </w:r>
      <w:r w:rsidRPr="005E1103">
        <w:rPr>
          <w:rFonts w:asciiTheme="minorHAnsi" w:hAnsiTheme="minorHAnsi" w:cstheme="minorHAnsi"/>
          <w:sz w:val="28"/>
          <w:szCs w:val="28"/>
        </w:rPr>
        <w:t>não</w:t>
      </w:r>
      <w:r w:rsidRPr="005E1103">
        <w:rPr>
          <w:rFonts w:asciiTheme="minorHAnsi" w:hAnsiTheme="minorHAnsi" w:cstheme="minorHAnsi"/>
          <w:spacing w:val="43"/>
          <w:sz w:val="28"/>
          <w:szCs w:val="28"/>
        </w:rPr>
        <w:t xml:space="preserve"> </w:t>
      </w:r>
      <w:r w:rsidRPr="005E1103">
        <w:rPr>
          <w:rFonts w:asciiTheme="minorHAnsi" w:hAnsiTheme="minorHAnsi" w:cstheme="minorHAnsi"/>
          <w:sz w:val="28"/>
          <w:szCs w:val="28"/>
        </w:rPr>
        <w:t>está presente, “as imagens auditivas” (Balsebre, 2005). Balsebre define assim a linguagem sonora:</w:t>
      </w:r>
    </w:p>
    <w:p w:rsidR="00DF59FF" w:rsidRPr="005E1103" w:rsidRDefault="00DF59FF" w:rsidP="00DF59FF">
      <w:pPr>
        <w:pStyle w:val="Textoindependiente"/>
        <w:spacing w:line="360" w:lineRule="auto"/>
        <w:ind w:left="2228" w:right="116"/>
        <w:rPr>
          <w:rFonts w:asciiTheme="minorHAnsi" w:hAnsiTheme="minorHAnsi" w:cstheme="minorHAnsi"/>
          <w:sz w:val="28"/>
          <w:szCs w:val="28"/>
        </w:rPr>
      </w:pPr>
      <w:r w:rsidRPr="005E1103">
        <w:rPr>
          <w:rFonts w:asciiTheme="minorHAnsi" w:hAnsiTheme="minorHAnsi" w:cstheme="minorHAnsi"/>
          <w:sz w:val="28"/>
          <w:szCs w:val="28"/>
        </w:rPr>
        <w:lastRenderedPageBreak/>
        <w:t>A linguagem radiofônica é o conjunto de formas sonoras e não sonoras representadas pelos sistemas expressivos da palavra, a música, os efeitos sonoros e o silencio, cuja significação vem determinada pelo conjunto dos recursos técnico-expressivos da reprodução sonora e o conjunto de fatores que caracterizam o processo de percepção sonora e imaginativo-visual dos radiouvintes (Balsebre, 2012: 18)</w:t>
      </w:r>
    </w:p>
    <w:p w:rsidR="00DF59FF" w:rsidRPr="005E1103" w:rsidRDefault="00DF59FF" w:rsidP="00DF59FF">
      <w:pPr>
        <w:pStyle w:val="Textoindependiente"/>
        <w:rPr>
          <w:rFonts w:asciiTheme="minorHAnsi" w:hAnsiTheme="minorHAnsi" w:cstheme="minorHAnsi"/>
          <w:sz w:val="28"/>
          <w:szCs w:val="28"/>
        </w:rPr>
      </w:pPr>
    </w:p>
    <w:p w:rsidR="00DF59FF" w:rsidRPr="005E1103" w:rsidRDefault="00DF59FF" w:rsidP="00DF59FF">
      <w:pPr>
        <w:pStyle w:val="Textoindependiente"/>
        <w:spacing w:before="2"/>
        <w:rPr>
          <w:rFonts w:asciiTheme="minorHAnsi" w:hAnsiTheme="minorHAnsi" w:cstheme="minorHAnsi"/>
          <w:sz w:val="28"/>
          <w:szCs w:val="28"/>
        </w:rPr>
      </w:pPr>
    </w:p>
    <w:p w:rsidR="00DF59FF" w:rsidRPr="005E1103" w:rsidRDefault="00DF59FF" w:rsidP="00DF59FF">
      <w:pPr>
        <w:pStyle w:val="Textoindependiente"/>
        <w:spacing w:line="360" w:lineRule="auto"/>
        <w:ind w:right="116" w:firstLine="707"/>
        <w:rPr>
          <w:rFonts w:asciiTheme="minorHAnsi" w:hAnsiTheme="minorHAnsi" w:cstheme="minorHAnsi"/>
          <w:sz w:val="28"/>
          <w:szCs w:val="28"/>
        </w:rPr>
      </w:pPr>
      <w:r w:rsidRPr="005E1103">
        <w:rPr>
          <w:rFonts w:asciiTheme="minorHAnsi" w:hAnsiTheme="minorHAnsi" w:cstheme="minorHAnsi"/>
          <w:sz w:val="28"/>
          <w:szCs w:val="28"/>
        </w:rPr>
        <w:t>Tendo em vista a configuração da mensagem sonora e o fato de a audição constituir-se num sentido fundamental na ausência de visão, a adaptação de textos científico-acadêmicos e técnicos de diferentes ordens (ensaios, artigos, dissertações, manuais, protocolos, apostilas etc.) para o áudio é uma forma bastante proveitosa e eficiente de tornar acessíveis, para as pessoas com deficiência visual, as pesquisas, o material didático e as demais produções no ensino superior. Para tanto, é preciso levar em conta os princípios da linguagem do rádio e das mídias sonoras e realizar uma série de processos que se inicia na seleção do material a ser adaptado e se estende à elaboração de roteiro (documento escrito onde estão organizados os elementos verbais, sonoros e musicais que integrarão a peça em áudio), à locução (processo de vocalização das unidades verbais), à sonoplastia (articulação dos elementos sonoros e musicais na peça) e à edição (organização de todas as unidades numa sequência temporal, preferencialmente conforme previsto no roteiro, e ajuste dos parâmetros acústicos da voz, dos efeitos, da música e do silêncio).</w:t>
      </w:r>
    </w:p>
    <w:p w:rsidR="00DF59FF" w:rsidRPr="005E1103" w:rsidRDefault="00DF59FF" w:rsidP="00DF59FF">
      <w:pPr>
        <w:pStyle w:val="Textoindependiente"/>
        <w:spacing w:before="165" w:line="360" w:lineRule="auto"/>
        <w:ind w:right="117" w:firstLine="707"/>
        <w:rPr>
          <w:rFonts w:asciiTheme="minorHAnsi" w:hAnsiTheme="minorHAnsi" w:cstheme="minorHAnsi"/>
          <w:sz w:val="28"/>
          <w:szCs w:val="28"/>
        </w:rPr>
      </w:pPr>
      <w:r w:rsidRPr="005E1103">
        <w:rPr>
          <w:rFonts w:asciiTheme="minorHAnsi" w:hAnsiTheme="minorHAnsi" w:cstheme="minorHAnsi"/>
          <w:sz w:val="28"/>
          <w:szCs w:val="28"/>
        </w:rPr>
        <w:t xml:space="preserve">Para se construir uma mensagem sonora de qualidade, é preciso conhecer e compreender o meio radiofônico e suas características, pois a simples transposição do material impresso para o áudio pode prejudicar o sentido e recepção da mensagem. No entanto, além de ter conhecimento das características do meio, é preciso apresentar </w:t>
      </w:r>
      <w:r w:rsidRPr="005E1103">
        <w:rPr>
          <w:rFonts w:asciiTheme="minorHAnsi" w:hAnsiTheme="minorHAnsi" w:cstheme="minorHAnsi"/>
          <w:sz w:val="28"/>
          <w:szCs w:val="28"/>
        </w:rPr>
        <w:lastRenderedPageBreak/>
        <w:t xml:space="preserve">certo desejo de interação, o qual determina o sucesso da relação entre emissor e receptor (López Vigil, 2003:122). Balsabre também fala sobre a intenção do locutor para com o ouvinte: </w:t>
      </w:r>
    </w:p>
    <w:p w:rsidR="00DF59FF" w:rsidRPr="005E1103" w:rsidRDefault="00DF59FF" w:rsidP="00DF59FF">
      <w:pPr>
        <w:pStyle w:val="Textoindependiente"/>
        <w:spacing w:before="165" w:line="360" w:lineRule="auto"/>
        <w:ind w:right="117" w:firstLine="707"/>
        <w:rPr>
          <w:rFonts w:asciiTheme="minorHAnsi" w:hAnsiTheme="minorHAnsi" w:cstheme="minorHAnsi"/>
          <w:sz w:val="28"/>
          <w:szCs w:val="28"/>
        </w:rPr>
      </w:pPr>
      <w:r w:rsidRPr="005E1103">
        <w:rPr>
          <w:rFonts w:asciiTheme="minorHAnsi" w:hAnsiTheme="minorHAnsi" w:cstheme="minorHAnsi"/>
          <w:sz w:val="28"/>
          <w:szCs w:val="28"/>
        </w:rPr>
        <w:t>Nos estúdios ou salas de gravação das emissoras de rádio, bem tratas acusticamente, o locutor tem uma tendência a falar melhor porque o feedback auditivo se reproduz com maior facilidade. Quando o som da nossa palavra chega aos nossos ouvidos externos com toda sua riqueza de matizes, se verifica um autêntico estímulo auditivo que retroalimenta nossa atitude comunicativa e facilita uma expressão mais correta (Balsebre 2012 :33)</w:t>
      </w:r>
    </w:p>
    <w:p w:rsidR="00DF59FF" w:rsidRPr="005E1103" w:rsidRDefault="00DF59FF" w:rsidP="00DF59FF">
      <w:pPr>
        <w:pStyle w:val="Textoindependiente"/>
        <w:rPr>
          <w:rFonts w:asciiTheme="minorHAnsi" w:hAnsiTheme="minorHAnsi" w:cstheme="minorHAnsi"/>
          <w:sz w:val="28"/>
          <w:szCs w:val="28"/>
        </w:rPr>
      </w:pPr>
    </w:p>
    <w:p w:rsidR="00DF59FF" w:rsidRPr="005E1103" w:rsidRDefault="00DF59FF" w:rsidP="00DF59FF">
      <w:pPr>
        <w:pStyle w:val="Textoindependiente"/>
        <w:spacing w:before="2"/>
        <w:rPr>
          <w:rFonts w:asciiTheme="minorHAnsi" w:hAnsiTheme="minorHAnsi" w:cstheme="minorHAnsi"/>
          <w:sz w:val="28"/>
          <w:szCs w:val="28"/>
        </w:rPr>
      </w:pPr>
    </w:p>
    <w:p w:rsidR="00DF59FF" w:rsidRPr="005E1103" w:rsidRDefault="00DF59FF" w:rsidP="00DF59FF">
      <w:pPr>
        <w:pStyle w:val="Textoindependiente"/>
        <w:spacing w:line="360" w:lineRule="auto"/>
        <w:ind w:right="117" w:firstLine="707"/>
        <w:rPr>
          <w:rFonts w:asciiTheme="minorHAnsi" w:hAnsiTheme="minorHAnsi" w:cstheme="minorHAnsi"/>
          <w:sz w:val="28"/>
          <w:szCs w:val="28"/>
        </w:rPr>
      </w:pPr>
      <w:r w:rsidRPr="005E1103">
        <w:rPr>
          <w:rFonts w:asciiTheme="minorHAnsi" w:hAnsiTheme="minorHAnsi" w:cstheme="minorHAnsi"/>
          <w:sz w:val="28"/>
          <w:szCs w:val="28"/>
        </w:rPr>
        <w:t xml:space="preserve">Para Silva, a voz faz presente o cenário, os personagens e suas intenções e torna sensível o sentido da palavra, que é personalizada pela </w:t>
      </w:r>
      <w:r w:rsidRPr="005E1103">
        <w:rPr>
          <w:rFonts w:asciiTheme="minorHAnsi" w:hAnsiTheme="minorHAnsi" w:cstheme="minorHAnsi"/>
          <w:spacing w:val="-3"/>
          <w:sz w:val="28"/>
          <w:szCs w:val="28"/>
        </w:rPr>
        <w:t xml:space="preserve">cor, </w:t>
      </w:r>
      <w:r w:rsidRPr="005E1103">
        <w:rPr>
          <w:rFonts w:asciiTheme="minorHAnsi" w:hAnsiTheme="minorHAnsi" w:cstheme="minorHAnsi"/>
          <w:sz w:val="28"/>
          <w:szCs w:val="28"/>
        </w:rPr>
        <w:t xml:space="preserve">ritmo, fraseado, emoção, atmosfera e gesto vocal. Ela “surpreende a escrita engendrando e revelando outros valores que, na interpretação, integram-se ao sentido do texto transmitido, enriquecendo-o e transformando-o, por vezes, a ponto de fazê-lo significar mais do que diz. (Silva, 1999: 54-5). A capacidade que a mensagem sonora tem de envolver o ouvinte, ao despertar nele a imaginação, a remissão a espaços e situações e a recuperação de uma memória afetiva dos sons do mundo. </w:t>
      </w:r>
      <w:r w:rsidRPr="005E1103">
        <w:rPr>
          <w:rFonts w:asciiTheme="minorHAnsi" w:hAnsiTheme="minorHAnsi" w:cstheme="minorHAnsi"/>
          <w:spacing w:val="-6"/>
          <w:sz w:val="28"/>
          <w:szCs w:val="28"/>
        </w:rPr>
        <w:t xml:space="preserve">Tal </w:t>
      </w:r>
      <w:r w:rsidRPr="005E1103">
        <w:rPr>
          <w:rFonts w:asciiTheme="minorHAnsi" w:hAnsiTheme="minorHAnsi" w:cstheme="minorHAnsi"/>
          <w:sz w:val="28"/>
          <w:szCs w:val="28"/>
        </w:rPr>
        <w:t>característica se deve à articulação dos códigos que configuram a linguagem das mídias sonoras, ou seja, o verbal, o musical e o sonoro, manifestos na palavra proferida, na música e nos efeitos de sonoplastia.</w:t>
      </w:r>
    </w:p>
    <w:p w:rsidR="00DF59FF" w:rsidRPr="005E1103" w:rsidRDefault="00DF59FF" w:rsidP="00DF59FF">
      <w:pPr>
        <w:pStyle w:val="Textoindependiente"/>
        <w:spacing w:line="360" w:lineRule="auto"/>
        <w:ind w:right="116" w:firstLine="707"/>
        <w:rPr>
          <w:rFonts w:asciiTheme="minorHAnsi" w:hAnsiTheme="minorHAnsi" w:cstheme="minorHAnsi"/>
          <w:sz w:val="28"/>
          <w:szCs w:val="28"/>
        </w:rPr>
      </w:pPr>
      <w:r w:rsidRPr="005E1103">
        <w:rPr>
          <w:rFonts w:asciiTheme="minorHAnsi" w:hAnsiTheme="minorHAnsi" w:cstheme="minorHAnsi"/>
          <w:sz w:val="28"/>
          <w:szCs w:val="28"/>
        </w:rPr>
        <w:t xml:space="preserve">Mesma compreensão do fenômeno tem Armand Balsebre (2005), para quem a realização sonora da palavra é elemento essencial para a compreensão do que ele chamou “nível estético” da mensagem, que atua diretamente no “nível semântico” da mesma. A forma composicional da mensagem, a escolha e articulação dos recursos </w:t>
      </w:r>
      <w:r w:rsidRPr="005E1103">
        <w:rPr>
          <w:rFonts w:asciiTheme="minorHAnsi" w:hAnsiTheme="minorHAnsi" w:cstheme="minorHAnsi"/>
          <w:spacing w:val="2"/>
          <w:sz w:val="28"/>
          <w:szCs w:val="28"/>
        </w:rPr>
        <w:t xml:space="preserve">que </w:t>
      </w:r>
      <w:r w:rsidRPr="005E1103">
        <w:rPr>
          <w:rFonts w:asciiTheme="minorHAnsi" w:hAnsiTheme="minorHAnsi" w:cstheme="minorHAnsi"/>
          <w:sz w:val="28"/>
          <w:szCs w:val="28"/>
        </w:rPr>
        <w:lastRenderedPageBreak/>
        <w:t>a integram atuam diretamente na constituição dos sentidos por ela</w:t>
      </w:r>
      <w:r w:rsidRPr="005E1103">
        <w:rPr>
          <w:rFonts w:asciiTheme="minorHAnsi" w:hAnsiTheme="minorHAnsi" w:cstheme="minorHAnsi"/>
          <w:spacing w:val="-8"/>
          <w:sz w:val="28"/>
          <w:szCs w:val="28"/>
        </w:rPr>
        <w:t xml:space="preserve"> </w:t>
      </w:r>
      <w:r w:rsidRPr="005E1103">
        <w:rPr>
          <w:rFonts w:asciiTheme="minorHAnsi" w:hAnsiTheme="minorHAnsi" w:cstheme="minorHAnsi"/>
          <w:sz w:val="28"/>
          <w:szCs w:val="28"/>
        </w:rPr>
        <w:t>engedrados.</w:t>
      </w:r>
    </w:p>
    <w:p w:rsidR="00DF59FF" w:rsidRPr="005E1103" w:rsidRDefault="00DF59FF" w:rsidP="00DF59FF">
      <w:pPr>
        <w:pStyle w:val="Textoindependiente"/>
        <w:spacing w:line="360" w:lineRule="auto"/>
        <w:ind w:right="121" w:firstLine="707"/>
        <w:rPr>
          <w:rFonts w:asciiTheme="minorHAnsi" w:hAnsiTheme="minorHAnsi" w:cstheme="minorHAnsi"/>
          <w:sz w:val="28"/>
          <w:szCs w:val="28"/>
        </w:rPr>
      </w:pPr>
      <w:r w:rsidRPr="005E1103">
        <w:rPr>
          <w:rFonts w:asciiTheme="minorHAnsi" w:hAnsiTheme="minorHAnsi" w:cstheme="minorHAnsi"/>
          <w:sz w:val="28"/>
          <w:szCs w:val="28"/>
        </w:rPr>
        <w:t>Todas essas etapas da produção das mídias acessíveis podem ser realizadas com relativa rapidez e independência, uma vez que a produção em áudio não exige infraestrutura e equipe muito complexas. É claro que o ideal é a utilização de equipamento atualizado e o acesso a um estúdio apropriado para gravação e edição, com isolamento acústico, microfones de boa qualidade, mesa de edição e/ou computador e softwares de ponta. Nada impede, todavia, que possam ser utilizados computadores domésticos, bem como headset amador e softwares livres de gravação e edição.</w:t>
      </w:r>
    </w:p>
    <w:p w:rsidR="00DF59FF" w:rsidRPr="005E1103" w:rsidRDefault="00DF59FF" w:rsidP="00DF59FF">
      <w:pPr>
        <w:pStyle w:val="Textoindependiente"/>
        <w:spacing w:before="72" w:line="360" w:lineRule="auto"/>
        <w:ind w:right="118" w:firstLine="707"/>
        <w:rPr>
          <w:rFonts w:asciiTheme="minorHAnsi" w:hAnsiTheme="minorHAnsi" w:cstheme="minorHAnsi"/>
          <w:sz w:val="28"/>
          <w:szCs w:val="28"/>
        </w:rPr>
      </w:pPr>
      <w:r w:rsidRPr="005E1103">
        <w:rPr>
          <w:rFonts w:asciiTheme="minorHAnsi" w:hAnsiTheme="minorHAnsi" w:cstheme="minorHAnsi"/>
          <w:spacing w:val="-5"/>
          <w:sz w:val="28"/>
          <w:szCs w:val="28"/>
        </w:rPr>
        <w:t xml:space="preserve">Todo </w:t>
      </w:r>
      <w:r w:rsidRPr="005E1103">
        <w:rPr>
          <w:rFonts w:asciiTheme="minorHAnsi" w:hAnsiTheme="minorHAnsi" w:cstheme="minorHAnsi"/>
          <w:sz w:val="28"/>
          <w:szCs w:val="28"/>
        </w:rPr>
        <w:t xml:space="preserve">o material adaptado pode ser disponibilizado em mídias digitais físicas ou em rede (Cds/DVDs, sites, portais, podcasts e/ou perfis em redes sociais) e é aconselhável identificar previamente qual o formato de gravação mais adequado ao espaço onde o áudio ficará disponível, pois as plataformas, equipamentos e softwares trabalham com uma variedade ampla de opções (MP3, AAC, </w:t>
      </w:r>
      <w:r w:rsidRPr="005E1103">
        <w:rPr>
          <w:rFonts w:asciiTheme="minorHAnsi" w:hAnsiTheme="minorHAnsi" w:cstheme="minorHAnsi"/>
          <w:spacing w:val="-23"/>
          <w:sz w:val="28"/>
          <w:szCs w:val="28"/>
        </w:rPr>
        <w:t xml:space="preserve">WAV, </w:t>
      </w:r>
      <w:r w:rsidRPr="005E1103">
        <w:rPr>
          <w:rFonts w:asciiTheme="minorHAnsi" w:hAnsiTheme="minorHAnsi" w:cstheme="minorHAnsi"/>
          <w:spacing w:val="-8"/>
          <w:sz w:val="28"/>
          <w:szCs w:val="28"/>
        </w:rPr>
        <w:t xml:space="preserve">OGG,  </w:t>
      </w:r>
      <w:r w:rsidRPr="005E1103">
        <w:rPr>
          <w:rFonts w:asciiTheme="minorHAnsi" w:hAnsiTheme="minorHAnsi" w:cstheme="minorHAnsi"/>
          <w:sz w:val="28"/>
          <w:szCs w:val="28"/>
        </w:rPr>
        <w:t>FLAC, OPUS, MIDI, MOD e</w:t>
      </w:r>
      <w:r w:rsidRPr="005E1103">
        <w:rPr>
          <w:rFonts w:asciiTheme="minorHAnsi" w:hAnsiTheme="minorHAnsi" w:cstheme="minorHAnsi"/>
          <w:spacing w:val="-6"/>
          <w:sz w:val="28"/>
          <w:szCs w:val="28"/>
        </w:rPr>
        <w:t xml:space="preserve"> </w:t>
      </w:r>
      <w:r w:rsidRPr="005E1103">
        <w:rPr>
          <w:rFonts w:asciiTheme="minorHAnsi" w:hAnsiTheme="minorHAnsi" w:cstheme="minorHAnsi"/>
          <w:sz w:val="28"/>
          <w:szCs w:val="28"/>
        </w:rPr>
        <w:t>outros).</w:t>
      </w:r>
    </w:p>
    <w:p w:rsidR="00DF59FF" w:rsidRPr="005E1103" w:rsidRDefault="00DF59FF" w:rsidP="00DF59FF">
      <w:pPr>
        <w:pStyle w:val="Textoindependiente"/>
        <w:spacing w:line="360" w:lineRule="auto"/>
        <w:ind w:right="119" w:firstLine="707"/>
        <w:rPr>
          <w:rFonts w:asciiTheme="minorHAnsi" w:hAnsiTheme="minorHAnsi" w:cstheme="minorHAnsi"/>
          <w:sz w:val="28"/>
          <w:szCs w:val="28"/>
        </w:rPr>
      </w:pPr>
      <w:r w:rsidRPr="005E1103">
        <w:rPr>
          <w:rFonts w:asciiTheme="minorHAnsi" w:hAnsiTheme="minorHAnsi" w:cstheme="minorHAnsi"/>
          <w:sz w:val="28"/>
          <w:szCs w:val="28"/>
        </w:rPr>
        <w:t>Na discussão aqui proposta sobre a elaboração de produtos acessíveis em mídia sonora, tomam-se como exemplo os trabalhos resultantes da pesquisa em rede "Acessibilidade no ensino superior: da análise das políticas públicas educacionais ao desenvolvimento de mídias instrumentais sobre deficiência e inclusão" (Obeduc/Unesp), os quais estão centralizados em site próprio do projeto (www.obeducunesp.com.br). O site reúne textos originalmente produzidos para serem nele publicados (apresentação, informações sobre os pesquisadores, dados de eventos etc.), mas também funciona  como espaço para o compartilhamento de artigos, relatórios, projetos e outros documentos originalmente produzidos para outros fins, como comunicações científicas, por</w:t>
      </w:r>
      <w:r w:rsidRPr="005E1103">
        <w:rPr>
          <w:rFonts w:asciiTheme="minorHAnsi" w:hAnsiTheme="minorHAnsi" w:cstheme="minorHAnsi"/>
          <w:spacing w:val="-1"/>
          <w:sz w:val="28"/>
          <w:szCs w:val="28"/>
        </w:rPr>
        <w:t xml:space="preserve"> </w:t>
      </w:r>
      <w:r w:rsidRPr="005E1103">
        <w:rPr>
          <w:rFonts w:asciiTheme="minorHAnsi" w:hAnsiTheme="minorHAnsi" w:cstheme="minorHAnsi"/>
          <w:sz w:val="28"/>
          <w:szCs w:val="28"/>
        </w:rPr>
        <w:t>exemplo.</w:t>
      </w:r>
    </w:p>
    <w:p w:rsidR="00DF59FF" w:rsidRPr="005E1103" w:rsidRDefault="00DF59FF" w:rsidP="00DF59FF">
      <w:pPr>
        <w:pStyle w:val="Textoindependiente"/>
        <w:spacing w:before="167" w:line="360" w:lineRule="auto"/>
        <w:ind w:right="116" w:firstLine="767"/>
        <w:rPr>
          <w:rFonts w:asciiTheme="minorHAnsi" w:hAnsiTheme="minorHAnsi" w:cstheme="minorHAnsi"/>
          <w:sz w:val="28"/>
          <w:szCs w:val="28"/>
        </w:rPr>
      </w:pPr>
      <w:r w:rsidRPr="005E1103">
        <w:rPr>
          <w:rFonts w:asciiTheme="minorHAnsi" w:hAnsiTheme="minorHAnsi" w:cstheme="minorHAnsi"/>
          <w:sz w:val="28"/>
          <w:szCs w:val="28"/>
        </w:rPr>
        <w:t xml:space="preserve">Os conteúdos, em geral, seguem os parâmetros da modalidade escrita da língua </w:t>
      </w:r>
      <w:r w:rsidRPr="005E1103">
        <w:rPr>
          <w:rFonts w:asciiTheme="minorHAnsi" w:hAnsiTheme="minorHAnsi" w:cstheme="minorHAnsi"/>
          <w:sz w:val="28"/>
          <w:szCs w:val="28"/>
        </w:rPr>
        <w:lastRenderedPageBreak/>
        <w:t>portuguesa. Isso acarreta a necessidade de modificações (algumas ligeiras, outras um pouco mais substanciais) na transposição para o áudio, de forma a tornar o texto adequado para a emissão exclusivamente sonora e a recepção auditiva, garantindo nitidez e equilíbrio rítmico na locução, bem como clareza e fácil assimilação  na  audição.</w:t>
      </w:r>
    </w:p>
    <w:p w:rsidR="00DF59FF" w:rsidRPr="005E1103" w:rsidRDefault="00DF59FF" w:rsidP="00DF59FF">
      <w:pPr>
        <w:pStyle w:val="Textoindependiente"/>
        <w:spacing w:line="360" w:lineRule="auto"/>
        <w:ind w:right="115" w:firstLine="707"/>
        <w:rPr>
          <w:rFonts w:asciiTheme="minorHAnsi" w:hAnsiTheme="minorHAnsi" w:cstheme="minorHAnsi"/>
          <w:sz w:val="28"/>
          <w:szCs w:val="28"/>
        </w:rPr>
      </w:pPr>
      <w:r w:rsidRPr="005E1103">
        <w:rPr>
          <w:rFonts w:asciiTheme="minorHAnsi" w:hAnsiTheme="minorHAnsi" w:cstheme="minorHAnsi"/>
          <w:sz w:val="28"/>
          <w:szCs w:val="28"/>
        </w:rPr>
        <w:t xml:space="preserve">As mídias sonoras comportam texto verbal em modalidade falada e/ou escrita, mas esta última deve aproximar-se o máximo possível das estruturas da  fala,  respeitando a outra sintaxe de que fala Silva (1999). Para tanto, geralmente é necessário fazer modificações de ordem sintática e lexical quando se trata da transposição de textos do impresso/digital para o sonoro, de forma a garantir a clareza, a objetividade, a simplicidade e a memorização. Essa conformação pode ser obtida por meio da quebra  de períodos muito longos, ordem direta da oração, alterações lexicais, entre outras (López </w:t>
      </w:r>
      <w:r w:rsidRPr="005E1103">
        <w:rPr>
          <w:rFonts w:asciiTheme="minorHAnsi" w:hAnsiTheme="minorHAnsi" w:cstheme="minorHAnsi"/>
          <w:spacing w:val="-3"/>
          <w:sz w:val="28"/>
          <w:szCs w:val="28"/>
        </w:rPr>
        <w:t xml:space="preserve">Vigil, </w:t>
      </w:r>
      <w:r w:rsidRPr="005E1103">
        <w:rPr>
          <w:rFonts w:asciiTheme="minorHAnsi" w:hAnsiTheme="minorHAnsi" w:cstheme="minorHAnsi"/>
          <w:sz w:val="28"/>
          <w:szCs w:val="28"/>
        </w:rPr>
        <w:t xml:space="preserve">2003: 43 - 59). Segundo Silva (1999), a coordenação, por exemplo, é um recurso que permite o desenvolvimento de uma ideia por sentença, conferindo fluidez e ritmo ao texto radiofônico escrito e facilitando, consequentemente, o entendimento  </w:t>
      </w:r>
      <w:r w:rsidRPr="005E1103">
        <w:rPr>
          <w:rFonts w:asciiTheme="minorHAnsi" w:hAnsiTheme="minorHAnsi" w:cstheme="minorHAnsi"/>
          <w:spacing w:val="27"/>
          <w:sz w:val="28"/>
          <w:szCs w:val="28"/>
        </w:rPr>
        <w:t xml:space="preserve"> </w:t>
      </w:r>
      <w:r w:rsidRPr="005E1103">
        <w:rPr>
          <w:rFonts w:asciiTheme="minorHAnsi" w:hAnsiTheme="minorHAnsi" w:cstheme="minorHAnsi"/>
          <w:sz w:val="28"/>
          <w:szCs w:val="28"/>
        </w:rPr>
        <w:t>por</w:t>
      </w:r>
    </w:p>
    <w:p w:rsidR="00DF59FF" w:rsidRPr="005E1103" w:rsidRDefault="00DF59FF" w:rsidP="00DF59FF">
      <w:pPr>
        <w:pStyle w:val="Textoindependiente"/>
        <w:spacing w:before="72" w:line="360" w:lineRule="auto"/>
        <w:ind w:right="167"/>
        <w:rPr>
          <w:rFonts w:asciiTheme="minorHAnsi" w:hAnsiTheme="minorHAnsi" w:cstheme="minorHAnsi"/>
          <w:sz w:val="28"/>
          <w:szCs w:val="28"/>
        </w:rPr>
      </w:pPr>
      <w:r w:rsidRPr="005E1103">
        <w:rPr>
          <w:rFonts w:asciiTheme="minorHAnsi" w:hAnsiTheme="minorHAnsi" w:cstheme="minorHAnsi"/>
          <w:sz w:val="28"/>
          <w:szCs w:val="28"/>
        </w:rPr>
        <w:t>parte do ouvinte. O mesmo ocorre com a linearidade baseada na subordinação (sujeito/predicado/atributos).</w:t>
      </w:r>
    </w:p>
    <w:p w:rsidR="00DF59FF" w:rsidRPr="005E1103" w:rsidRDefault="00DF59FF" w:rsidP="00DF59FF">
      <w:pPr>
        <w:pStyle w:val="Textoindependiente"/>
        <w:spacing w:line="360" w:lineRule="auto"/>
        <w:ind w:right="117" w:firstLine="707"/>
        <w:rPr>
          <w:rFonts w:asciiTheme="minorHAnsi" w:hAnsiTheme="minorHAnsi" w:cstheme="minorHAnsi"/>
          <w:sz w:val="28"/>
          <w:szCs w:val="28"/>
        </w:rPr>
      </w:pPr>
      <w:r w:rsidRPr="005E1103">
        <w:rPr>
          <w:rFonts w:asciiTheme="minorHAnsi" w:hAnsiTheme="minorHAnsi" w:cstheme="minorHAnsi"/>
          <w:sz w:val="28"/>
          <w:szCs w:val="28"/>
        </w:rPr>
        <w:t>Além de comprometer a inteligibilidade do texto em áudio, a não observância  das recomendações de adequação pode prejudicar também a locução, com consequências desastrosas para a nitidez e o ritmo do áudio, sem falar no risco de comprometimento dos sentidos da mensagem, devido às pausas em momentos errados, pronúncia confusa de termos e alterações bruscas de volume e entonação. Esses problemas geralmente advêm da má estruturação dos períodos, da seleção vocabular inapropriada e do uso incorreto dos sinais de</w:t>
      </w:r>
      <w:r w:rsidRPr="005E1103">
        <w:rPr>
          <w:rFonts w:asciiTheme="minorHAnsi" w:hAnsiTheme="minorHAnsi" w:cstheme="minorHAnsi"/>
          <w:spacing w:val="-8"/>
          <w:sz w:val="28"/>
          <w:szCs w:val="28"/>
        </w:rPr>
        <w:t xml:space="preserve"> </w:t>
      </w:r>
      <w:r w:rsidRPr="005E1103">
        <w:rPr>
          <w:rFonts w:asciiTheme="minorHAnsi" w:hAnsiTheme="minorHAnsi" w:cstheme="minorHAnsi"/>
          <w:sz w:val="28"/>
          <w:szCs w:val="28"/>
        </w:rPr>
        <w:t>pontuação.</w:t>
      </w:r>
    </w:p>
    <w:p w:rsidR="00DF59FF" w:rsidRPr="005E1103" w:rsidRDefault="00DF59FF" w:rsidP="00DF59FF">
      <w:pPr>
        <w:pStyle w:val="Textoindependiente"/>
        <w:spacing w:line="360" w:lineRule="auto"/>
        <w:ind w:right="117" w:firstLine="707"/>
        <w:rPr>
          <w:rFonts w:asciiTheme="minorHAnsi" w:hAnsiTheme="minorHAnsi" w:cstheme="minorHAnsi"/>
          <w:sz w:val="28"/>
          <w:szCs w:val="28"/>
        </w:rPr>
      </w:pPr>
      <w:r w:rsidRPr="005E1103">
        <w:rPr>
          <w:rFonts w:asciiTheme="minorHAnsi" w:hAnsiTheme="minorHAnsi" w:cstheme="minorHAnsi"/>
          <w:sz w:val="28"/>
          <w:szCs w:val="28"/>
        </w:rPr>
        <w:t xml:space="preserve">Estes foram, justamente, os principais problemas encontrados no momento da locução dos textos do Obeduc/Unesp. Mesmo a adaptação prévia em roteiros não foi </w:t>
      </w:r>
      <w:r w:rsidRPr="005E1103">
        <w:rPr>
          <w:rFonts w:asciiTheme="minorHAnsi" w:hAnsiTheme="minorHAnsi" w:cstheme="minorHAnsi"/>
          <w:sz w:val="28"/>
          <w:szCs w:val="28"/>
        </w:rPr>
        <w:lastRenderedPageBreak/>
        <w:t>suficiente para evitar todos os problemas de composição. Uma vez que nem sempre foi possível entrar em contato com os autores para conferência de propostas de mudança, optou-se, na roteirização, por seguir o original o máximo possível. No momento da locução, foram frequentes as interrupções, ora porque os períodos eram muito longos, ora devido às palavras de difícil pronúncia e outras ocorrências. Essas interrupções não apenas prejudicam a harmonia e a linearidade da locução, como demandam um esforço extra de edição.</w:t>
      </w:r>
    </w:p>
    <w:p w:rsidR="00DF59FF" w:rsidRPr="005E1103" w:rsidRDefault="00DF59FF" w:rsidP="00DF59FF">
      <w:pPr>
        <w:pStyle w:val="Textoindependiente"/>
        <w:spacing w:line="360" w:lineRule="auto"/>
        <w:ind w:right="114" w:firstLine="707"/>
        <w:rPr>
          <w:rFonts w:asciiTheme="minorHAnsi" w:hAnsiTheme="minorHAnsi" w:cstheme="minorHAnsi"/>
          <w:sz w:val="28"/>
          <w:szCs w:val="28"/>
        </w:rPr>
      </w:pPr>
      <w:r w:rsidRPr="005E1103">
        <w:rPr>
          <w:rFonts w:asciiTheme="minorHAnsi" w:hAnsiTheme="minorHAnsi" w:cstheme="minorHAnsi"/>
          <w:sz w:val="28"/>
          <w:szCs w:val="28"/>
        </w:rPr>
        <w:t>Para dinamizar as etapas de produção e facilitar a adaptação dos roteiros, seria ideal que os autores buscassem aproximar seus textos, o máximo possível, das recomendações para as mensagens sonoras, evitando, por exemplo, o emprego de períodos muito longos, ordem inversa, orações reduzidas intercaladas, apostos, encadeamentos extensos, palavras de difícil pronúncia, cacófatos, aliterações etc. Para tanto, bastaria a substituição dessas construções por alternativas de composição simples, que em nada comprometem o gênero acadêmico. Melhor ainda seria o desenvolvimento de um trabalho conjunto entre autores e os produtores das mídias sonoras, de forma a se discutir previamente como o texto escrito pode ser construído em consonância com sua futura transposição para o áudio.</w:t>
      </w:r>
    </w:p>
    <w:p w:rsidR="00DF59FF" w:rsidRPr="005E1103" w:rsidRDefault="00DF59FF" w:rsidP="00DF59FF">
      <w:pPr>
        <w:pStyle w:val="Textoindependiente"/>
        <w:spacing w:line="360" w:lineRule="auto"/>
        <w:ind w:right="119" w:firstLine="767"/>
        <w:rPr>
          <w:rFonts w:asciiTheme="minorHAnsi" w:hAnsiTheme="minorHAnsi" w:cstheme="minorHAnsi"/>
          <w:sz w:val="28"/>
          <w:szCs w:val="28"/>
        </w:rPr>
      </w:pPr>
      <w:r w:rsidRPr="005E1103">
        <w:rPr>
          <w:rFonts w:asciiTheme="minorHAnsi" w:hAnsiTheme="minorHAnsi" w:cstheme="minorHAnsi"/>
          <w:sz w:val="28"/>
          <w:szCs w:val="28"/>
        </w:rPr>
        <w:t>Em relação à vocalização e à edição propriamente ditas, o ideal é que haja uma boa infraestrutura técnica: se não há acesso a um estúdio de gravação e/ou espaço com isolamento acústico, que se garanta, no mínimo, a utilização de um microfone profissional e o acesso a software de edição. No caso da transposição das produções   do</w:t>
      </w:r>
    </w:p>
    <w:p w:rsidR="00DF59FF" w:rsidRPr="005E1103" w:rsidRDefault="00DF59FF" w:rsidP="00DF59FF">
      <w:pPr>
        <w:pStyle w:val="Textoindependiente"/>
        <w:spacing w:before="72" w:line="360" w:lineRule="auto"/>
        <w:ind w:right="119"/>
        <w:rPr>
          <w:rFonts w:asciiTheme="minorHAnsi" w:hAnsiTheme="minorHAnsi" w:cstheme="minorHAnsi"/>
          <w:sz w:val="28"/>
          <w:szCs w:val="28"/>
        </w:rPr>
      </w:pPr>
      <w:r w:rsidRPr="005E1103">
        <w:rPr>
          <w:rFonts w:asciiTheme="minorHAnsi" w:hAnsiTheme="minorHAnsi" w:cstheme="minorHAnsi"/>
          <w:sz w:val="28"/>
          <w:szCs w:val="28"/>
        </w:rPr>
        <w:t xml:space="preserve">Obeduc/Unesp para o áudio, todos os processos foram realizados fora de um estúdio de gravação e de forma relativamente 'caseira', com o uso de três ferramentas básicas: um headset (que fez as vezes de fone de ouvido e microfone), um notebook e um software gratuito de edição (Audacity). Não houve a impressão dos roteiros, sempre lidos na própria tela do computador, quando da vocalização. É certo que a opção pela </w:t>
      </w:r>
      <w:r w:rsidRPr="005E1103">
        <w:rPr>
          <w:rFonts w:asciiTheme="minorHAnsi" w:hAnsiTheme="minorHAnsi" w:cstheme="minorHAnsi"/>
          <w:sz w:val="28"/>
          <w:szCs w:val="28"/>
        </w:rPr>
        <w:lastRenderedPageBreak/>
        <w:t>infraestrutura mais simples facilitou a realização de todas as etapas, mas, obviamente, também impediu que se chegasse à excelência na qualidade acústica do material.</w:t>
      </w:r>
    </w:p>
    <w:p w:rsidR="00DF59FF" w:rsidRPr="005E1103" w:rsidRDefault="00DF59FF" w:rsidP="00DF59FF">
      <w:pPr>
        <w:pStyle w:val="Textoindependiente"/>
        <w:spacing w:line="360" w:lineRule="auto"/>
        <w:ind w:right="105" w:firstLine="707"/>
        <w:rPr>
          <w:rFonts w:asciiTheme="minorHAnsi" w:hAnsiTheme="minorHAnsi" w:cstheme="minorHAnsi"/>
          <w:sz w:val="28"/>
          <w:szCs w:val="28"/>
        </w:rPr>
      </w:pPr>
      <w:r w:rsidRPr="005E1103">
        <w:rPr>
          <w:rFonts w:asciiTheme="minorHAnsi" w:hAnsiTheme="minorHAnsi" w:cstheme="minorHAnsi"/>
          <w:sz w:val="28"/>
          <w:szCs w:val="28"/>
        </w:rPr>
        <w:t>A respeito da sonoplastia e da edição, considerou-se que a inserção de música e efeitos sonoros não era adequada para o tipo de material que estava sendo adaptado. Ainda assim, todo o material em áudio foi editado com a inserção de silêncios para auxiliar na compreensão dos conteúdos, haja vista a densidade e extensão destes. A depender do tipo de produção, porém, nada impede que tais recursos possam ser empregados, recorrendo-se aos procedimentos de justaposição, mixagem ou alinhamento.</w:t>
      </w:r>
    </w:p>
    <w:p w:rsidR="00DF59FF" w:rsidRPr="005E1103" w:rsidRDefault="00DF59FF" w:rsidP="00DF59FF">
      <w:pPr>
        <w:pStyle w:val="Textoindependiente"/>
        <w:spacing w:before="166" w:line="360" w:lineRule="auto"/>
        <w:ind w:right="117" w:firstLine="707"/>
        <w:rPr>
          <w:rFonts w:asciiTheme="minorHAnsi" w:hAnsiTheme="minorHAnsi" w:cstheme="minorHAnsi"/>
          <w:sz w:val="28"/>
          <w:szCs w:val="28"/>
        </w:rPr>
      </w:pPr>
      <w:r w:rsidRPr="005E1103">
        <w:rPr>
          <w:rFonts w:asciiTheme="minorHAnsi" w:hAnsiTheme="minorHAnsi" w:cstheme="minorHAnsi"/>
          <w:sz w:val="28"/>
          <w:szCs w:val="28"/>
        </w:rPr>
        <w:t>No caso da locução das mídias sonoras acessíveis no ensino superior, a</w:t>
      </w:r>
      <w:r w:rsidRPr="005E1103">
        <w:rPr>
          <w:rFonts w:asciiTheme="minorHAnsi" w:hAnsiTheme="minorHAnsi" w:cstheme="minorHAnsi"/>
          <w:spacing w:val="-22"/>
          <w:sz w:val="28"/>
          <w:szCs w:val="28"/>
        </w:rPr>
        <w:t xml:space="preserve"> </w:t>
      </w:r>
      <w:r w:rsidRPr="005E1103">
        <w:rPr>
          <w:rFonts w:asciiTheme="minorHAnsi" w:hAnsiTheme="minorHAnsi" w:cstheme="minorHAnsi"/>
          <w:sz w:val="28"/>
          <w:szCs w:val="28"/>
        </w:rPr>
        <w:t>indicação é de que seja mantido um estilo sóbrio, mas relaxado, mais adaptado aos gêneros textuais normalmente presentes no ambiente da produção acadêmica. Deve-se procurar manter um volume médio e um timbre ligeiramente grave, evitando as mudanças bruscas de ritmo e de entonação. Dependendo, porém, do tipo de produção a ser adaptada, pode-se optar por um outro estilo de</w:t>
      </w:r>
      <w:r w:rsidRPr="005E1103">
        <w:rPr>
          <w:rFonts w:asciiTheme="minorHAnsi" w:hAnsiTheme="minorHAnsi" w:cstheme="minorHAnsi"/>
          <w:spacing w:val="-8"/>
          <w:sz w:val="28"/>
          <w:szCs w:val="28"/>
        </w:rPr>
        <w:t xml:space="preserve"> </w:t>
      </w:r>
      <w:r w:rsidRPr="005E1103">
        <w:rPr>
          <w:rFonts w:asciiTheme="minorHAnsi" w:hAnsiTheme="minorHAnsi" w:cstheme="minorHAnsi"/>
          <w:sz w:val="28"/>
          <w:szCs w:val="28"/>
        </w:rPr>
        <w:t>vocalização.</w:t>
      </w:r>
    </w:p>
    <w:p w:rsidR="00DF59FF" w:rsidRPr="005E1103" w:rsidRDefault="00DF59FF" w:rsidP="00DF59FF">
      <w:pPr>
        <w:pStyle w:val="Textoindependiente"/>
        <w:spacing w:line="360" w:lineRule="auto"/>
        <w:ind w:right="118" w:firstLine="707"/>
        <w:rPr>
          <w:rFonts w:asciiTheme="minorHAnsi" w:hAnsiTheme="minorHAnsi" w:cstheme="minorHAnsi"/>
          <w:sz w:val="28"/>
          <w:szCs w:val="28"/>
        </w:rPr>
      </w:pPr>
      <w:r w:rsidRPr="005E1103">
        <w:rPr>
          <w:rFonts w:asciiTheme="minorHAnsi" w:hAnsiTheme="minorHAnsi" w:cstheme="minorHAnsi"/>
          <w:sz w:val="28"/>
          <w:szCs w:val="28"/>
        </w:rPr>
        <w:t>Existe sempre o risco do locutor estar monologando, falando sozinho. Mas não deve esquecer que está falando para muitos. Assim como o ouvinte imagina o locutor, o locutor deve imaginar o ouvinte (Lopez Vigil, 2003, p.94). Por isso, a figura no microfone deve desaparecer na percepção de quem está locutando, para trazer a maior naturalidade possível, para não perder a tenção do leitor.</w:t>
      </w:r>
    </w:p>
    <w:p w:rsidR="00DF59FF" w:rsidRPr="005E1103" w:rsidRDefault="00DF59FF" w:rsidP="00DF59FF">
      <w:pPr>
        <w:pStyle w:val="Textoindependiente"/>
        <w:spacing w:line="360" w:lineRule="auto"/>
        <w:ind w:right="118" w:firstLine="707"/>
        <w:rPr>
          <w:rFonts w:asciiTheme="minorHAnsi" w:hAnsiTheme="minorHAnsi" w:cstheme="minorHAnsi"/>
          <w:sz w:val="28"/>
          <w:szCs w:val="28"/>
        </w:rPr>
      </w:pPr>
      <w:r w:rsidRPr="005E1103">
        <w:rPr>
          <w:rFonts w:asciiTheme="minorHAnsi" w:hAnsiTheme="minorHAnsi" w:cstheme="minorHAnsi"/>
          <w:sz w:val="28"/>
          <w:szCs w:val="28"/>
        </w:rPr>
        <w:t xml:space="preserve">Por fim, os áudios podem ser disponibilizados fisicamente, em CDs e DVDs (para consumo individual ou coletivo), e digitalmente, em podcasts atualizados periodicamente ou em sites, portais e redes sociais, via arquivos executáveis por streaming e/ou downdoad. Nos meios digitais, é aconselhável que os arquivos sejam acompanhados de um título simples e/ou um texto curto escrito que possa ser percorrido pelos leitores de tela, permitindo à pessoa com deficiência visual ter uma </w:t>
      </w:r>
      <w:r w:rsidRPr="005E1103">
        <w:rPr>
          <w:rFonts w:asciiTheme="minorHAnsi" w:hAnsiTheme="minorHAnsi" w:cstheme="minorHAnsi"/>
          <w:sz w:val="28"/>
          <w:szCs w:val="28"/>
        </w:rPr>
        <w:lastRenderedPageBreak/>
        <w:t>noção sobre o conteúdo. No caso do Obeduc/Unesp, os áudios acompanham, no site, cada um dos</w:t>
      </w:r>
    </w:p>
    <w:p w:rsidR="00DF59FF" w:rsidRPr="005E1103" w:rsidRDefault="00DF59FF" w:rsidP="00DF59FF">
      <w:pPr>
        <w:pStyle w:val="Textoindependiente"/>
        <w:spacing w:before="72" w:line="360" w:lineRule="auto"/>
        <w:ind w:right="121"/>
        <w:rPr>
          <w:rFonts w:asciiTheme="minorHAnsi" w:hAnsiTheme="minorHAnsi" w:cstheme="minorHAnsi"/>
          <w:sz w:val="28"/>
          <w:szCs w:val="28"/>
        </w:rPr>
      </w:pPr>
      <w:r w:rsidRPr="005E1103">
        <w:rPr>
          <w:rFonts w:asciiTheme="minorHAnsi" w:hAnsiTheme="minorHAnsi" w:cstheme="minorHAnsi"/>
          <w:sz w:val="28"/>
          <w:szCs w:val="28"/>
        </w:rPr>
        <w:t>textos/segmentos a que se referem e geralmente são colocados logo abaixo do título de cada produção. Dessa maneira, a pessoa com deficiência pode ouvir cada um separadamente.</w:t>
      </w:r>
    </w:p>
    <w:p w:rsidR="00DF59FF" w:rsidRPr="005E1103" w:rsidRDefault="00DF59FF" w:rsidP="00DF59FF">
      <w:pPr>
        <w:pStyle w:val="Textoindependiente"/>
        <w:rPr>
          <w:rFonts w:asciiTheme="minorHAnsi" w:hAnsiTheme="minorHAnsi" w:cstheme="minorHAnsi"/>
          <w:sz w:val="28"/>
          <w:szCs w:val="28"/>
        </w:rPr>
      </w:pPr>
    </w:p>
    <w:p w:rsidR="00DF59FF" w:rsidRPr="005E1103" w:rsidRDefault="00DF59FF" w:rsidP="00DF59FF">
      <w:pPr>
        <w:pStyle w:val="Ttulo1"/>
        <w:jc w:val="both"/>
        <w:rPr>
          <w:rFonts w:asciiTheme="minorHAnsi" w:hAnsiTheme="minorHAnsi" w:cstheme="minorHAnsi"/>
          <w:b w:val="0"/>
          <w:color w:val="auto"/>
        </w:rPr>
      </w:pPr>
      <w:r w:rsidRPr="005E1103">
        <w:rPr>
          <w:rFonts w:asciiTheme="minorHAnsi" w:hAnsiTheme="minorHAnsi" w:cstheme="minorHAnsi"/>
          <w:b w:val="0"/>
          <w:color w:val="auto"/>
        </w:rPr>
        <w:t>Citações bibliográficas</w:t>
      </w:r>
    </w:p>
    <w:p w:rsidR="00DF59FF" w:rsidRPr="005E1103" w:rsidRDefault="00DF59FF" w:rsidP="00DF59FF">
      <w:pPr>
        <w:pStyle w:val="Textoindependiente"/>
        <w:spacing w:before="5"/>
        <w:rPr>
          <w:rFonts w:asciiTheme="minorHAnsi" w:hAnsiTheme="minorHAnsi" w:cstheme="minorHAnsi"/>
          <w:b/>
          <w:sz w:val="28"/>
          <w:szCs w:val="28"/>
        </w:rPr>
      </w:pPr>
    </w:p>
    <w:p w:rsidR="00DF59FF" w:rsidRPr="005E1103" w:rsidRDefault="00DF59FF" w:rsidP="00DF59FF">
      <w:pPr>
        <w:pStyle w:val="Textoindependiente"/>
        <w:spacing w:line="256" w:lineRule="auto"/>
        <w:ind w:right="119"/>
        <w:rPr>
          <w:rFonts w:asciiTheme="minorHAnsi" w:hAnsiTheme="minorHAnsi" w:cstheme="minorHAnsi"/>
          <w:sz w:val="28"/>
          <w:szCs w:val="28"/>
        </w:rPr>
      </w:pPr>
      <w:r w:rsidRPr="005E1103">
        <w:rPr>
          <w:rFonts w:asciiTheme="minorHAnsi" w:hAnsiTheme="minorHAnsi" w:cstheme="minorHAnsi"/>
          <w:sz w:val="28"/>
          <w:szCs w:val="28"/>
        </w:rPr>
        <w:t xml:space="preserve">Arnheim, R. (2005) O diferencial da cegueira: estar além dos limites dos corpos. In: MEDITSCH, Eduardo. (org). </w:t>
      </w:r>
      <w:r w:rsidRPr="005E1103">
        <w:rPr>
          <w:rFonts w:asciiTheme="minorHAnsi" w:hAnsiTheme="minorHAnsi" w:cstheme="minorHAnsi"/>
          <w:i/>
          <w:spacing w:val="-4"/>
          <w:sz w:val="28"/>
          <w:szCs w:val="28"/>
        </w:rPr>
        <w:t xml:space="preserve">Teorias </w:t>
      </w:r>
      <w:r w:rsidRPr="005E1103">
        <w:rPr>
          <w:rFonts w:asciiTheme="minorHAnsi" w:hAnsiTheme="minorHAnsi" w:cstheme="minorHAnsi"/>
          <w:i/>
          <w:sz w:val="28"/>
          <w:szCs w:val="28"/>
        </w:rPr>
        <w:t xml:space="preserve">do rádio: </w:t>
      </w:r>
      <w:r w:rsidRPr="005E1103">
        <w:rPr>
          <w:rFonts w:asciiTheme="minorHAnsi" w:hAnsiTheme="minorHAnsi" w:cstheme="minorHAnsi"/>
          <w:sz w:val="28"/>
          <w:szCs w:val="28"/>
        </w:rPr>
        <w:t xml:space="preserve">textos e contextos. Florianópolis, </w:t>
      </w:r>
      <w:r w:rsidRPr="005E1103">
        <w:rPr>
          <w:rFonts w:asciiTheme="minorHAnsi" w:hAnsiTheme="minorHAnsi" w:cstheme="minorHAnsi"/>
          <w:spacing w:val="-3"/>
          <w:sz w:val="28"/>
          <w:szCs w:val="28"/>
        </w:rPr>
        <w:t>Insular.</w:t>
      </w:r>
    </w:p>
    <w:p w:rsidR="00DF59FF" w:rsidRPr="005E1103" w:rsidRDefault="00DF59FF" w:rsidP="00DF59FF">
      <w:pPr>
        <w:spacing w:before="174"/>
        <w:ind w:left="102"/>
        <w:jc w:val="both"/>
        <w:rPr>
          <w:rFonts w:cstheme="minorHAnsi"/>
          <w:sz w:val="28"/>
          <w:szCs w:val="28"/>
        </w:rPr>
      </w:pPr>
      <w:r w:rsidRPr="005E1103">
        <w:rPr>
          <w:rFonts w:cstheme="minorHAnsi"/>
          <w:sz w:val="28"/>
          <w:szCs w:val="28"/>
        </w:rPr>
        <w:t xml:space="preserve">Balsebre, A. (2012) </w:t>
      </w:r>
      <w:r w:rsidRPr="005E1103">
        <w:rPr>
          <w:rFonts w:cstheme="minorHAnsi"/>
          <w:i/>
          <w:sz w:val="28"/>
          <w:szCs w:val="28"/>
        </w:rPr>
        <w:t>El Lenguaje Radiofónico</w:t>
      </w:r>
      <w:r w:rsidRPr="005E1103">
        <w:rPr>
          <w:rFonts w:cstheme="minorHAnsi"/>
          <w:sz w:val="28"/>
          <w:szCs w:val="28"/>
        </w:rPr>
        <w:t>. 6 ed. Madrid: Cátedra, 2012.</w:t>
      </w:r>
    </w:p>
    <w:p w:rsidR="00DF59FF" w:rsidRPr="005E1103" w:rsidRDefault="00DF59FF" w:rsidP="00DF59FF">
      <w:pPr>
        <w:pStyle w:val="Textoindependiente"/>
        <w:spacing w:before="170"/>
        <w:ind w:right="125"/>
        <w:rPr>
          <w:rFonts w:asciiTheme="minorHAnsi" w:hAnsiTheme="minorHAnsi" w:cstheme="minorHAnsi"/>
          <w:sz w:val="28"/>
          <w:szCs w:val="28"/>
        </w:rPr>
      </w:pPr>
      <w:r w:rsidRPr="005E1103">
        <w:rPr>
          <w:rFonts w:asciiTheme="minorHAnsi" w:hAnsiTheme="minorHAnsi" w:cstheme="minorHAnsi"/>
          <w:sz w:val="28"/>
          <w:szCs w:val="28"/>
          <w:lang w:val="en-US"/>
        </w:rPr>
        <w:t xml:space="preserve">Balsebre, A. (2005) A linguagem radiofônica. In: MEDITSCH, Eduardo. </w:t>
      </w:r>
      <w:r w:rsidRPr="005E1103">
        <w:rPr>
          <w:rFonts w:asciiTheme="minorHAnsi" w:hAnsiTheme="minorHAnsi" w:cstheme="minorHAnsi"/>
          <w:sz w:val="28"/>
          <w:szCs w:val="28"/>
        </w:rPr>
        <w:t>(org). Teorias do rádio: textos e contextos. Florianópolis, Insular.</w:t>
      </w:r>
    </w:p>
    <w:p w:rsidR="00DF59FF" w:rsidRPr="005E1103" w:rsidRDefault="00DF59FF" w:rsidP="00DF59FF">
      <w:pPr>
        <w:spacing w:before="170"/>
        <w:ind w:left="102" w:right="119"/>
        <w:jc w:val="both"/>
        <w:rPr>
          <w:rFonts w:cstheme="minorHAnsi"/>
          <w:sz w:val="28"/>
          <w:szCs w:val="28"/>
        </w:rPr>
      </w:pPr>
      <w:r w:rsidRPr="005E1103">
        <w:rPr>
          <w:rFonts w:cstheme="minorHAnsi"/>
          <w:sz w:val="28"/>
          <w:szCs w:val="28"/>
        </w:rPr>
        <w:t xml:space="preserve">Bartalotti, C C. (2006) </w:t>
      </w:r>
      <w:r w:rsidRPr="005E1103">
        <w:rPr>
          <w:rFonts w:cstheme="minorHAnsi"/>
          <w:i/>
          <w:sz w:val="28"/>
          <w:szCs w:val="28"/>
        </w:rPr>
        <w:t>Inclusão social das pessoas com deficiência: utopia ou possibilidade?</w:t>
      </w:r>
      <w:r w:rsidRPr="005E1103">
        <w:rPr>
          <w:rFonts w:cstheme="minorHAnsi"/>
          <w:sz w:val="28"/>
          <w:szCs w:val="28"/>
        </w:rPr>
        <w:t>. São Paulo, Paulus.</w:t>
      </w:r>
    </w:p>
    <w:p w:rsidR="00DF59FF" w:rsidRPr="005E1103" w:rsidRDefault="00DF59FF" w:rsidP="00DF59FF">
      <w:pPr>
        <w:spacing w:before="168"/>
        <w:ind w:left="102"/>
        <w:jc w:val="both"/>
        <w:rPr>
          <w:rFonts w:cstheme="minorHAnsi"/>
          <w:sz w:val="28"/>
          <w:szCs w:val="28"/>
        </w:rPr>
      </w:pPr>
      <w:r w:rsidRPr="005E1103">
        <w:rPr>
          <w:rFonts w:cstheme="minorHAnsi"/>
          <w:sz w:val="28"/>
          <w:szCs w:val="28"/>
        </w:rPr>
        <w:t>Brasil, Cartilha do Censo 2010</w:t>
      </w:r>
      <w:r w:rsidRPr="005E1103">
        <w:rPr>
          <w:rFonts w:cstheme="minorHAnsi"/>
          <w:i/>
          <w:sz w:val="28"/>
          <w:szCs w:val="28"/>
        </w:rPr>
        <w:t>: Pessoas com Deficiência</w:t>
      </w:r>
      <w:r w:rsidRPr="005E1103">
        <w:rPr>
          <w:rFonts w:cstheme="minorHAnsi"/>
          <w:sz w:val="28"/>
          <w:szCs w:val="28"/>
        </w:rPr>
        <w:t>.</w:t>
      </w:r>
    </w:p>
    <w:p w:rsidR="00DF59FF" w:rsidRPr="005E1103" w:rsidRDefault="00DF59FF" w:rsidP="00DF59FF">
      <w:pPr>
        <w:spacing w:before="170"/>
        <w:ind w:left="102" w:right="286"/>
        <w:rPr>
          <w:rFonts w:cstheme="minorHAnsi"/>
          <w:sz w:val="28"/>
          <w:szCs w:val="28"/>
        </w:rPr>
      </w:pPr>
      <w:r w:rsidRPr="005E1103">
        <w:rPr>
          <w:rFonts w:cstheme="minorHAnsi"/>
          <w:sz w:val="28"/>
          <w:szCs w:val="28"/>
        </w:rPr>
        <w:t xml:space="preserve">Brasil, Lei N°13.146, 6 de julho de 2015, </w:t>
      </w:r>
      <w:r w:rsidRPr="005E1103">
        <w:rPr>
          <w:rFonts w:cstheme="minorHAnsi"/>
          <w:i/>
          <w:sz w:val="28"/>
          <w:szCs w:val="28"/>
        </w:rPr>
        <w:t>Diário Oficial da União</w:t>
      </w:r>
      <w:r w:rsidRPr="005E1103">
        <w:rPr>
          <w:rFonts w:cstheme="minorHAnsi"/>
          <w:sz w:val="28"/>
          <w:szCs w:val="28"/>
        </w:rPr>
        <w:t>, 7 de julho de 2015, págs. 1-12</w:t>
      </w:r>
    </w:p>
    <w:p w:rsidR="00DF59FF" w:rsidRPr="005E1103" w:rsidRDefault="00DF59FF" w:rsidP="00DF59FF">
      <w:pPr>
        <w:pStyle w:val="Textoindependiente"/>
        <w:rPr>
          <w:rFonts w:asciiTheme="minorHAnsi" w:hAnsiTheme="minorHAnsi" w:cstheme="minorHAnsi"/>
          <w:sz w:val="28"/>
          <w:szCs w:val="28"/>
        </w:rPr>
      </w:pPr>
    </w:p>
    <w:p w:rsidR="00DF59FF" w:rsidRPr="005E1103" w:rsidRDefault="00DF59FF" w:rsidP="00DF59FF">
      <w:pPr>
        <w:ind w:left="102" w:right="116"/>
        <w:jc w:val="both"/>
        <w:rPr>
          <w:rFonts w:cstheme="minorHAnsi"/>
          <w:sz w:val="28"/>
          <w:szCs w:val="28"/>
        </w:rPr>
      </w:pPr>
      <w:r w:rsidRPr="005E1103">
        <w:rPr>
          <w:rFonts w:cstheme="minorHAnsi"/>
          <w:sz w:val="28"/>
          <w:szCs w:val="28"/>
        </w:rPr>
        <w:t xml:space="preserve">Domingues, C. dos A. </w:t>
      </w:r>
      <w:r w:rsidRPr="005E1103">
        <w:rPr>
          <w:rFonts w:cstheme="minorHAnsi"/>
          <w:i/>
          <w:sz w:val="28"/>
          <w:szCs w:val="28"/>
        </w:rPr>
        <w:t>et al</w:t>
      </w:r>
      <w:r w:rsidRPr="005E1103">
        <w:rPr>
          <w:rFonts w:cstheme="minorHAnsi"/>
          <w:sz w:val="28"/>
          <w:szCs w:val="28"/>
        </w:rPr>
        <w:t xml:space="preserve">. (2010). </w:t>
      </w:r>
      <w:r w:rsidRPr="005E1103">
        <w:rPr>
          <w:rFonts w:cstheme="minorHAnsi"/>
          <w:i/>
          <w:sz w:val="28"/>
          <w:szCs w:val="28"/>
        </w:rPr>
        <w:t xml:space="preserve">A Educação Especial na Perspectiva da Inclusão Escolar: os alunos com deficiência visual: baixa visão e cegueira. </w:t>
      </w:r>
      <w:r w:rsidRPr="005E1103">
        <w:rPr>
          <w:rFonts w:cstheme="minorHAnsi"/>
          <w:sz w:val="28"/>
          <w:szCs w:val="28"/>
        </w:rPr>
        <w:t>Brasília: Ministério da Educação, Secretaria de Educação Especial; Fortaleza: Universidade Federal do Ceará.</w:t>
      </w:r>
    </w:p>
    <w:p w:rsidR="00DF59FF" w:rsidRPr="005E1103" w:rsidRDefault="00DF59FF" w:rsidP="00DF59FF">
      <w:pPr>
        <w:spacing w:before="170"/>
        <w:ind w:left="102"/>
        <w:jc w:val="both"/>
        <w:rPr>
          <w:rFonts w:cstheme="minorHAnsi"/>
          <w:sz w:val="28"/>
          <w:szCs w:val="28"/>
        </w:rPr>
      </w:pPr>
      <w:r w:rsidRPr="005E1103">
        <w:rPr>
          <w:rFonts w:cstheme="minorHAnsi"/>
          <w:sz w:val="28"/>
          <w:szCs w:val="28"/>
        </w:rPr>
        <w:t xml:space="preserve">Ferrareto, L. A. (2014) </w:t>
      </w:r>
      <w:r w:rsidRPr="005E1103">
        <w:rPr>
          <w:rFonts w:cstheme="minorHAnsi"/>
          <w:i/>
          <w:sz w:val="28"/>
          <w:szCs w:val="28"/>
        </w:rPr>
        <w:t xml:space="preserve">Rádio [recurso eletrônico]: </w:t>
      </w:r>
      <w:r w:rsidRPr="005E1103">
        <w:rPr>
          <w:rFonts w:cstheme="minorHAnsi"/>
          <w:sz w:val="28"/>
          <w:szCs w:val="28"/>
        </w:rPr>
        <w:t>teoria e prática. São Paulo, Summus.</w:t>
      </w:r>
    </w:p>
    <w:p w:rsidR="00DF59FF" w:rsidRPr="005E1103" w:rsidRDefault="00DF59FF" w:rsidP="00DF59FF">
      <w:pPr>
        <w:spacing w:before="194"/>
        <w:ind w:left="102" w:right="122"/>
        <w:jc w:val="both"/>
        <w:rPr>
          <w:rFonts w:cstheme="minorHAnsi"/>
          <w:sz w:val="28"/>
          <w:szCs w:val="28"/>
        </w:rPr>
      </w:pPr>
      <w:r w:rsidRPr="005E1103">
        <w:rPr>
          <w:rFonts w:cstheme="minorHAnsi"/>
          <w:sz w:val="28"/>
          <w:szCs w:val="28"/>
        </w:rPr>
        <w:t xml:space="preserve">Heitzmann,P.Z.; Zamboni,A.A. </w:t>
      </w:r>
      <w:r w:rsidRPr="005E1103">
        <w:rPr>
          <w:rFonts w:cstheme="minorHAnsi"/>
          <w:i/>
          <w:sz w:val="28"/>
          <w:szCs w:val="28"/>
        </w:rPr>
        <w:t>Acorda e Escuta Londrina: a experiência da revista radiofônica produzida pelos deficientes visuais do Instituto Londrinense de Instrução e Trabalho para Cegos</w:t>
      </w:r>
      <w:r w:rsidRPr="005E1103">
        <w:rPr>
          <w:rFonts w:cstheme="minorHAnsi"/>
          <w:sz w:val="28"/>
          <w:szCs w:val="28"/>
        </w:rPr>
        <w:t>. In: Congresso Brasileiro de Ciência da Comunicação, 28, 2005. Rio de Janeiro. Anais... São Paulo: Intercom, 2005</w:t>
      </w:r>
    </w:p>
    <w:p w:rsidR="00DF59FF" w:rsidRPr="005E1103" w:rsidRDefault="00DF59FF" w:rsidP="00DF59FF">
      <w:pPr>
        <w:spacing w:before="173" w:line="256" w:lineRule="auto"/>
        <w:ind w:left="102" w:right="120"/>
        <w:jc w:val="both"/>
        <w:rPr>
          <w:rFonts w:cstheme="minorHAnsi"/>
          <w:sz w:val="28"/>
          <w:szCs w:val="28"/>
        </w:rPr>
      </w:pPr>
      <w:r w:rsidRPr="005E1103">
        <w:rPr>
          <w:rFonts w:cstheme="minorHAnsi"/>
          <w:sz w:val="28"/>
          <w:szCs w:val="28"/>
        </w:rPr>
        <w:t xml:space="preserve">Lara, A J; Garcia, A. H. </w:t>
      </w:r>
      <w:r w:rsidRPr="005E1103">
        <w:rPr>
          <w:rFonts w:cstheme="minorHAnsi"/>
          <w:i/>
          <w:sz w:val="28"/>
          <w:szCs w:val="28"/>
        </w:rPr>
        <w:t>Estadística e otros registros sobre discapacidad en España. Política y Sociedad</w:t>
      </w:r>
      <w:r w:rsidRPr="005E1103">
        <w:rPr>
          <w:rFonts w:cstheme="minorHAnsi"/>
          <w:sz w:val="28"/>
          <w:szCs w:val="28"/>
        </w:rPr>
        <w:t>,  Murcia, v. 47, n. 1, p. 165-173, 2010.</w:t>
      </w:r>
    </w:p>
    <w:p w:rsidR="00DF59FF" w:rsidRPr="005E1103" w:rsidRDefault="00DF59FF" w:rsidP="00DF59FF">
      <w:pPr>
        <w:spacing w:before="175" w:line="256" w:lineRule="auto"/>
        <w:ind w:left="102" w:right="116"/>
        <w:jc w:val="both"/>
        <w:rPr>
          <w:rFonts w:cstheme="minorHAnsi"/>
          <w:sz w:val="28"/>
          <w:szCs w:val="28"/>
        </w:rPr>
      </w:pPr>
      <w:r w:rsidRPr="005E1103">
        <w:rPr>
          <w:rFonts w:cstheme="minorHAnsi"/>
          <w:sz w:val="28"/>
          <w:szCs w:val="28"/>
        </w:rPr>
        <w:lastRenderedPageBreak/>
        <w:t xml:space="preserve">López Vigil, J. I. (2003) </w:t>
      </w:r>
      <w:r w:rsidRPr="005E1103">
        <w:rPr>
          <w:rFonts w:cstheme="minorHAnsi"/>
          <w:i/>
          <w:sz w:val="28"/>
          <w:szCs w:val="28"/>
        </w:rPr>
        <w:t>Manual urgente para radialistas apaixonados</w:t>
      </w:r>
      <w:r w:rsidRPr="005E1103">
        <w:rPr>
          <w:rFonts w:cstheme="minorHAnsi"/>
          <w:sz w:val="28"/>
          <w:szCs w:val="28"/>
        </w:rPr>
        <w:t>. São Paulo, Paulinas.</w:t>
      </w:r>
    </w:p>
    <w:p w:rsidR="00DF59FF" w:rsidRPr="005E1103" w:rsidRDefault="00DF59FF" w:rsidP="00DF59FF">
      <w:pPr>
        <w:spacing w:before="172"/>
        <w:ind w:left="102"/>
        <w:jc w:val="both"/>
        <w:rPr>
          <w:rFonts w:cstheme="minorHAnsi"/>
          <w:i/>
          <w:sz w:val="28"/>
          <w:szCs w:val="28"/>
        </w:rPr>
      </w:pPr>
      <w:r w:rsidRPr="005E1103">
        <w:rPr>
          <w:rFonts w:cstheme="minorHAnsi"/>
          <w:sz w:val="28"/>
          <w:szCs w:val="28"/>
        </w:rPr>
        <w:t xml:space="preserve">Maciel, Suely.  </w:t>
      </w:r>
      <w:r w:rsidRPr="005E1103">
        <w:rPr>
          <w:rFonts w:cstheme="minorHAnsi"/>
          <w:i/>
          <w:sz w:val="28"/>
          <w:szCs w:val="28"/>
        </w:rPr>
        <w:t>A interatividade no diálogo de viva-voz na comunicação radiofônica.</w:t>
      </w:r>
    </w:p>
    <w:p w:rsidR="00DF59FF" w:rsidRPr="005E1103" w:rsidRDefault="00DF59FF" w:rsidP="00DF59FF">
      <w:pPr>
        <w:pStyle w:val="Textoindependiente"/>
        <w:rPr>
          <w:rFonts w:asciiTheme="minorHAnsi" w:hAnsiTheme="minorHAnsi" w:cstheme="minorHAnsi"/>
          <w:sz w:val="28"/>
          <w:szCs w:val="28"/>
        </w:rPr>
      </w:pPr>
      <w:r w:rsidRPr="005E1103">
        <w:rPr>
          <w:rFonts w:asciiTheme="minorHAnsi" w:hAnsiTheme="minorHAnsi" w:cstheme="minorHAnsi"/>
          <w:sz w:val="28"/>
          <w:szCs w:val="28"/>
        </w:rPr>
        <w:t>(Tese de doutorado). São Paulo: ECA/USP, 2009.</w:t>
      </w:r>
    </w:p>
    <w:p w:rsidR="00DF59FF" w:rsidRPr="005E1103" w:rsidRDefault="00DF59FF" w:rsidP="00DF59FF">
      <w:pPr>
        <w:pStyle w:val="Textoindependiente"/>
        <w:spacing w:before="3"/>
        <w:rPr>
          <w:rFonts w:asciiTheme="minorHAnsi" w:hAnsiTheme="minorHAnsi" w:cstheme="minorHAnsi"/>
          <w:sz w:val="28"/>
          <w:szCs w:val="28"/>
        </w:rPr>
      </w:pPr>
    </w:p>
    <w:p w:rsidR="00DF59FF" w:rsidRPr="005E1103" w:rsidRDefault="00DF59FF" w:rsidP="00DF59FF">
      <w:pPr>
        <w:spacing w:line="256" w:lineRule="auto"/>
        <w:ind w:left="102" w:right="167"/>
        <w:rPr>
          <w:rFonts w:cstheme="minorHAnsi"/>
          <w:sz w:val="28"/>
          <w:szCs w:val="28"/>
        </w:rPr>
      </w:pPr>
      <w:r w:rsidRPr="005E1103">
        <w:rPr>
          <w:rFonts w:cstheme="minorHAnsi"/>
          <w:sz w:val="28"/>
          <w:szCs w:val="28"/>
        </w:rPr>
        <w:t xml:space="preserve">Ortriwano, G. S. (1985). </w:t>
      </w:r>
      <w:r w:rsidRPr="005E1103">
        <w:rPr>
          <w:rFonts w:cstheme="minorHAnsi"/>
          <w:i/>
          <w:sz w:val="28"/>
          <w:szCs w:val="28"/>
        </w:rPr>
        <w:t xml:space="preserve">A informação no rádio: </w:t>
      </w:r>
      <w:r w:rsidRPr="005E1103">
        <w:rPr>
          <w:rFonts w:cstheme="minorHAnsi"/>
          <w:sz w:val="28"/>
          <w:szCs w:val="28"/>
        </w:rPr>
        <w:t>os grupos de poder e a determinação dos conteúdos</w:t>
      </w:r>
      <w:r w:rsidRPr="005E1103">
        <w:rPr>
          <w:rFonts w:cstheme="minorHAnsi"/>
          <w:i/>
          <w:sz w:val="28"/>
          <w:szCs w:val="28"/>
        </w:rPr>
        <w:t xml:space="preserve">. </w:t>
      </w:r>
      <w:r w:rsidRPr="005E1103">
        <w:rPr>
          <w:rFonts w:cstheme="minorHAnsi"/>
          <w:sz w:val="28"/>
          <w:szCs w:val="28"/>
        </w:rPr>
        <w:t>São Paulo, Summus.</w:t>
      </w:r>
    </w:p>
    <w:p w:rsidR="009B60AB" w:rsidRPr="005E1103" w:rsidRDefault="00DF59FF" w:rsidP="00DF59FF">
      <w:pPr>
        <w:spacing w:before="175" w:line="256" w:lineRule="auto"/>
        <w:ind w:left="102" w:right="121"/>
        <w:jc w:val="both"/>
        <w:rPr>
          <w:rFonts w:cstheme="minorHAnsi"/>
          <w:sz w:val="28"/>
          <w:szCs w:val="28"/>
        </w:rPr>
      </w:pPr>
      <w:r w:rsidRPr="005E1103">
        <w:rPr>
          <w:rFonts w:cstheme="minorHAnsi"/>
          <w:sz w:val="28"/>
          <w:szCs w:val="28"/>
        </w:rPr>
        <w:t xml:space="preserve">Silva, J. L. de O. A. da. (1999). </w:t>
      </w:r>
      <w:r w:rsidRPr="005E1103">
        <w:rPr>
          <w:rFonts w:cstheme="minorHAnsi"/>
          <w:i/>
          <w:sz w:val="28"/>
          <w:szCs w:val="28"/>
        </w:rPr>
        <w:t xml:space="preserve">Rádio: oralidade mediatizada – O spot e os elementos da linguagem radiofônica. </w:t>
      </w:r>
      <w:r w:rsidRPr="005E1103">
        <w:rPr>
          <w:rFonts w:cstheme="minorHAnsi"/>
          <w:sz w:val="28"/>
          <w:szCs w:val="28"/>
        </w:rPr>
        <w:t>São Paulo: Annablume.</w:t>
      </w:r>
    </w:p>
    <w:p w:rsidR="009B60AB" w:rsidRPr="005E1103" w:rsidRDefault="009B60AB">
      <w:pPr>
        <w:rPr>
          <w:rFonts w:cstheme="minorHAnsi"/>
          <w:sz w:val="28"/>
          <w:szCs w:val="28"/>
        </w:rPr>
      </w:pPr>
      <w:r w:rsidRPr="005E1103">
        <w:rPr>
          <w:rFonts w:cstheme="minorHAnsi"/>
          <w:sz w:val="28"/>
          <w:szCs w:val="28"/>
        </w:rPr>
        <w:br w:type="page"/>
      </w:r>
    </w:p>
    <w:p w:rsidR="009B60AB" w:rsidRPr="005E1103" w:rsidRDefault="009B60AB" w:rsidP="009B60AB">
      <w:pPr>
        <w:spacing w:line="360" w:lineRule="auto"/>
        <w:jc w:val="center"/>
        <w:rPr>
          <w:rFonts w:cstheme="minorHAnsi"/>
          <w:b/>
          <w:sz w:val="28"/>
          <w:szCs w:val="28"/>
        </w:rPr>
      </w:pPr>
      <w:r w:rsidRPr="005E1103">
        <w:rPr>
          <w:rFonts w:cstheme="minorHAnsi"/>
          <w:b/>
          <w:sz w:val="28"/>
          <w:szCs w:val="28"/>
        </w:rPr>
        <w:lastRenderedPageBreak/>
        <w:t>COMUNICACIÓN 8</w:t>
      </w:r>
    </w:p>
    <w:p w:rsidR="009B60AB" w:rsidRPr="005E1103" w:rsidRDefault="009B60AB" w:rsidP="009B60AB">
      <w:pPr>
        <w:pBdr>
          <w:top w:val="single" w:sz="4" w:space="1" w:color="auto"/>
          <w:left w:val="single" w:sz="4" w:space="4" w:color="auto"/>
          <w:bottom w:val="single" w:sz="4" w:space="1" w:color="auto"/>
          <w:right w:val="single" w:sz="4" w:space="4" w:color="auto"/>
        </w:pBdr>
        <w:spacing w:line="360" w:lineRule="auto"/>
        <w:jc w:val="center"/>
        <w:rPr>
          <w:rFonts w:cstheme="minorHAnsi"/>
          <w:sz w:val="28"/>
          <w:szCs w:val="28"/>
        </w:rPr>
      </w:pPr>
      <w:r w:rsidRPr="005E1103">
        <w:rPr>
          <w:rFonts w:cstheme="minorHAnsi"/>
          <w:sz w:val="28"/>
          <w:szCs w:val="28"/>
        </w:rPr>
        <w:t>Satisfacción del profesorado como indicador de calidad sobre su formación en relación con alumnos con discapacidad</w:t>
      </w:r>
    </w:p>
    <w:p w:rsidR="009B60AB" w:rsidRPr="005E1103" w:rsidRDefault="009B60AB" w:rsidP="009B60AB">
      <w:pPr>
        <w:spacing w:before="100" w:beforeAutospacing="1" w:after="100" w:afterAutospacing="1" w:line="360" w:lineRule="auto"/>
        <w:rPr>
          <w:rFonts w:cstheme="minorHAnsi"/>
          <w:b/>
          <w:sz w:val="28"/>
          <w:szCs w:val="28"/>
        </w:rPr>
      </w:pPr>
      <w:r w:rsidRPr="005E1103">
        <w:rPr>
          <w:rFonts w:cstheme="minorHAnsi"/>
          <w:b/>
          <w:sz w:val="28"/>
          <w:szCs w:val="28"/>
          <w:u w:val="single"/>
        </w:rPr>
        <w:t>Autores</w:t>
      </w:r>
      <w:r w:rsidRPr="005E1103">
        <w:rPr>
          <w:rFonts w:cstheme="minorHAnsi"/>
          <w:b/>
          <w:sz w:val="28"/>
          <w:szCs w:val="28"/>
        </w:rPr>
        <w:t xml:space="preserve">: </w:t>
      </w:r>
    </w:p>
    <w:p w:rsidR="009B60AB" w:rsidRPr="005E1103" w:rsidRDefault="009B60AB" w:rsidP="009B60AB">
      <w:pPr>
        <w:spacing w:before="100" w:beforeAutospacing="1" w:after="100" w:afterAutospacing="1" w:line="360" w:lineRule="auto"/>
        <w:jc w:val="center"/>
        <w:rPr>
          <w:rFonts w:cstheme="minorHAnsi"/>
          <w:sz w:val="28"/>
          <w:szCs w:val="28"/>
        </w:rPr>
      </w:pPr>
      <w:r w:rsidRPr="005E1103">
        <w:rPr>
          <w:rFonts w:cstheme="minorHAnsi"/>
          <w:sz w:val="28"/>
          <w:szCs w:val="28"/>
        </w:rPr>
        <w:t>Mirón-Canelo JA*, Fernández-Martín LC, Alonso Sardón M, Iglesias De Sena H, Sáez Lorenzo M, Fernández-Lázaro CI.</w:t>
      </w:r>
    </w:p>
    <w:p w:rsidR="009B60AB" w:rsidRPr="005E1103" w:rsidRDefault="009B60AB" w:rsidP="009B60AB">
      <w:pPr>
        <w:spacing w:line="360" w:lineRule="auto"/>
        <w:jc w:val="center"/>
        <w:rPr>
          <w:rFonts w:cstheme="minorHAnsi"/>
          <w:sz w:val="28"/>
          <w:szCs w:val="28"/>
        </w:rPr>
      </w:pPr>
      <w:r w:rsidRPr="005E1103">
        <w:rPr>
          <w:rFonts w:cstheme="minorHAnsi"/>
          <w:sz w:val="28"/>
          <w:szCs w:val="28"/>
        </w:rPr>
        <w:t>,</w:t>
      </w:r>
    </w:p>
    <w:p w:rsidR="009B60AB" w:rsidRPr="005E1103" w:rsidRDefault="009B60AB" w:rsidP="009B60AB">
      <w:pPr>
        <w:spacing w:line="360" w:lineRule="auto"/>
        <w:rPr>
          <w:rFonts w:cstheme="minorHAnsi"/>
          <w:b/>
          <w:sz w:val="28"/>
          <w:szCs w:val="28"/>
        </w:rPr>
      </w:pPr>
      <w:r w:rsidRPr="005E1103">
        <w:rPr>
          <w:rFonts w:cstheme="minorHAnsi"/>
          <w:b/>
          <w:sz w:val="28"/>
          <w:szCs w:val="28"/>
          <w:u w:val="single"/>
        </w:rPr>
        <w:t>Correspondencia</w:t>
      </w:r>
      <w:r w:rsidRPr="005E1103">
        <w:rPr>
          <w:rFonts w:cstheme="minorHAnsi"/>
          <w:b/>
          <w:sz w:val="28"/>
          <w:szCs w:val="28"/>
        </w:rPr>
        <w:t>:</w:t>
      </w:r>
    </w:p>
    <w:p w:rsidR="009B60AB" w:rsidRPr="005E1103" w:rsidRDefault="009B60AB" w:rsidP="009B60AB">
      <w:pPr>
        <w:spacing w:line="360" w:lineRule="auto"/>
        <w:rPr>
          <w:rFonts w:cstheme="minorHAnsi"/>
          <w:sz w:val="28"/>
          <w:szCs w:val="28"/>
        </w:rPr>
      </w:pPr>
      <w:r w:rsidRPr="005E1103">
        <w:rPr>
          <w:rFonts w:cstheme="minorHAnsi"/>
          <w:sz w:val="28"/>
          <w:szCs w:val="28"/>
        </w:rPr>
        <w:t>J.A Mirón-Canelo</w:t>
      </w:r>
    </w:p>
    <w:p w:rsidR="009B60AB" w:rsidRPr="005E1103" w:rsidRDefault="009B60AB" w:rsidP="009B60AB">
      <w:pPr>
        <w:spacing w:line="360" w:lineRule="auto"/>
        <w:rPr>
          <w:rFonts w:cstheme="minorHAnsi"/>
          <w:sz w:val="28"/>
          <w:szCs w:val="28"/>
        </w:rPr>
      </w:pPr>
      <w:r w:rsidRPr="005E1103">
        <w:rPr>
          <w:rFonts w:cstheme="minorHAnsi"/>
          <w:sz w:val="28"/>
          <w:szCs w:val="28"/>
        </w:rPr>
        <w:t>Profesor Titular de Medicina Preventiva y Salud Pública</w:t>
      </w:r>
    </w:p>
    <w:p w:rsidR="009B60AB" w:rsidRPr="005E1103" w:rsidRDefault="009B60AB" w:rsidP="009B60AB">
      <w:pPr>
        <w:spacing w:line="360" w:lineRule="auto"/>
        <w:rPr>
          <w:rFonts w:cstheme="minorHAnsi"/>
          <w:sz w:val="28"/>
          <w:szCs w:val="28"/>
        </w:rPr>
      </w:pPr>
      <w:r w:rsidRPr="005E1103">
        <w:rPr>
          <w:rFonts w:cstheme="minorHAnsi"/>
          <w:sz w:val="28"/>
          <w:szCs w:val="28"/>
        </w:rPr>
        <w:t>Departamento de Ciencias Biomédicas</w:t>
      </w:r>
    </w:p>
    <w:p w:rsidR="009B60AB" w:rsidRPr="005E1103" w:rsidRDefault="009B60AB" w:rsidP="009B60AB">
      <w:pPr>
        <w:spacing w:line="360" w:lineRule="auto"/>
        <w:rPr>
          <w:rFonts w:cstheme="minorHAnsi"/>
          <w:sz w:val="28"/>
          <w:szCs w:val="28"/>
        </w:rPr>
      </w:pPr>
      <w:r w:rsidRPr="005E1103">
        <w:rPr>
          <w:rFonts w:cstheme="minorHAnsi"/>
          <w:sz w:val="28"/>
          <w:szCs w:val="28"/>
        </w:rPr>
        <w:t>Avd. Alfonso X El sabio s/n CP 37007</w:t>
      </w:r>
    </w:p>
    <w:p w:rsidR="009B60AB" w:rsidRPr="005E1103" w:rsidRDefault="009B60AB" w:rsidP="009B60AB">
      <w:pPr>
        <w:spacing w:line="360" w:lineRule="auto"/>
        <w:rPr>
          <w:rFonts w:cstheme="minorHAnsi"/>
          <w:sz w:val="28"/>
          <w:szCs w:val="28"/>
        </w:rPr>
      </w:pPr>
      <w:r w:rsidRPr="005E1103">
        <w:rPr>
          <w:rFonts w:cstheme="minorHAnsi"/>
          <w:sz w:val="28"/>
          <w:szCs w:val="28"/>
        </w:rPr>
        <w:t>Facultad de Medicina (Universidad de Salamanca)</w:t>
      </w:r>
    </w:p>
    <w:p w:rsidR="009B60AB" w:rsidRPr="005E1103" w:rsidRDefault="009B60AB" w:rsidP="009B60AB">
      <w:pPr>
        <w:spacing w:line="360" w:lineRule="auto"/>
        <w:rPr>
          <w:rFonts w:cstheme="minorHAnsi"/>
          <w:sz w:val="28"/>
          <w:szCs w:val="28"/>
        </w:rPr>
      </w:pPr>
      <w:r w:rsidRPr="005E1103">
        <w:rPr>
          <w:rFonts w:cstheme="minorHAnsi"/>
          <w:sz w:val="28"/>
          <w:szCs w:val="28"/>
          <w:u w:val="single"/>
        </w:rPr>
        <w:t xml:space="preserve">E-mail: </w:t>
      </w:r>
      <w:r w:rsidRPr="005E1103">
        <w:rPr>
          <w:rFonts w:cstheme="minorHAnsi"/>
          <w:sz w:val="28"/>
          <w:szCs w:val="28"/>
        </w:rPr>
        <w:t>miroxx@usal.es</w:t>
      </w:r>
    </w:p>
    <w:p w:rsidR="009B60AB" w:rsidRPr="005E1103" w:rsidRDefault="009B60AB" w:rsidP="009B60AB">
      <w:pPr>
        <w:pStyle w:val="NormalWeb"/>
        <w:spacing w:before="0" w:beforeAutospacing="0" w:after="0" w:afterAutospacing="0" w:line="360" w:lineRule="auto"/>
        <w:rPr>
          <w:rFonts w:asciiTheme="minorHAnsi" w:hAnsiTheme="minorHAnsi" w:cstheme="minorHAnsi"/>
          <w:sz w:val="28"/>
          <w:szCs w:val="28"/>
        </w:rPr>
      </w:pPr>
      <w:r w:rsidRPr="005E1103">
        <w:rPr>
          <w:rFonts w:asciiTheme="minorHAnsi" w:hAnsiTheme="minorHAnsi" w:cstheme="minorHAnsi"/>
          <w:sz w:val="28"/>
          <w:szCs w:val="28"/>
          <w:u w:val="single"/>
        </w:rPr>
        <w:t xml:space="preserve">Teléfono: </w:t>
      </w:r>
      <w:r w:rsidRPr="005E1103">
        <w:rPr>
          <w:rFonts w:asciiTheme="minorHAnsi" w:hAnsiTheme="minorHAnsi" w:cstheme="minorHAnsi"/>
          <w:sz w:val="28"/>
          <w:szCs w:val="28"/>
        </w:rPr>
        <w:t>923 294540 ext 1801/1812</w:t>
      </w:r>
    </w:p>
    <w:p w:rsidR="009B60AB" w:rsidRPr="005E1103" w:rsidRDefault="009B60AB" w:rsidP="009B60AB">
      <w:pPr>
        <w:pStyle w:val="NormalWeb"/>
        <w:spacing w:before="0" w:beforeAutospacing="0" w:after="0" w:afterAutospacing="0" w:line="360" w:lineRule="auto"/>
        <w:jc w:val="both"/>
        <w:rPr>
          <w:rFonts w:asciiTheme="minorHAnsi" w:hAnsiTheme="minorHAnsi" w:cstheme="minorHAnsi"/>
          <w:b/>
          <w:sz w:val="28"/>
          <w:szCs w:val="28"/>
        </w:rPr>
      </w:pPr>
    </w:p>
    <w:p w:rsidR="009B60AB" w:rsidRPr="005E1103" w:rsidRDefault="009B60AB" w:rsidP="009B60AB">
      <w:pPr>
        <w:pStyle w:val="NormalWeb"/>
        <w:spacing w:before="0" w:beforeAutospacing="0" w:after="0" w:afterAutospacing="0" w:line="360" w:lineRule="auto"/>
        <w:jc w:val="both"/>
        <w:rPr>
          <w:rFonts w:asciiTheme="minorHAnsi" w:hAnsiTheme="minorHAnsi" w:cstheme="minorHAnsi"/>
          <w:b/>
          <w:sz w:val="28"/>
          <w:szCs w:val="28"/>
        </w:rPr>
      </w:pPr>
    </w:p>
    <w:p w:rsidR="009B60AB" w:rsidRPr="005E1103" w:rsidRDefault="009B60AB" w:rsidP="009B60AB">
      <w:pPr>
        <w:pStyle w:val="NormalWeb"/>
        <w:spacing w:before="0" w:beforeAutospacing="0" w:after="0" w:afterAutospacing="0" w:line="360" w:lineRule="auto"/>
        <w:jc w:val="both"/>
        <w:rPr>
          <w:rFonts w:asciiTheme="minorHAnsi" w:hAnsiTheme="minorHAnsi" w:cstheme="minorHAnsi"/>
          <w:b/>
          <w:sz w:val="28"/>
          <w:szCs w:val="28"/>
        </w:rPr>
      </w:pPr>
      <w:r w:rsidRPr="005E1103">
        <w:rPr>
          <w:rFonts w:asciiTheme="minorHAnsi" w:hAnsiTheme="minorHAnsi" w:cstheme="minorHAnsi"/>
          <w:b/>
          <w:sz w:val="28"/>
          <w:szCs w:val="28"/>
        </w:rPr>
        <w:t>Conflicto de interés.-</w:t>
      </w:r>
    </w:p>
    <w:p w:rsidR="009B60AB" w:rsidRPr="005E1103" w:rsidRDefault="009B60AB" w:rsidP="009B60AB">
      <w:pPr>
        <w:pStyle w:val="NormalWeb"/>
        <w:spacing w:before="0" w:beforeAutospacing="0" w:after="0" w:afterAutospacing="0" w:line="360" w:lineRule="auto"/>
        <w:jc w:val="both"/>
        <w:rPr>
          <w:rFonts w:asciiTheme="minorHAnsi" w:hAnsiTheme="minorHAnsi" w:cstheme="minorHAnsi"/>
          <w:i/>
          <w:sz w:val="28"/>
          <w:szCs w:val="28"/>
        </w:rPr>
      </w:pPr>
    </w:p>
    <w:p w:rsidR="009B60AB" w:rsidRPr="005E1103" w:rsidRDefault="009B60AB" w:rsidP="009B60AB">
      <w:pPr>
        <w:pStyle w:val="NormalWeb"/>
        <w:spacing w:before="0" w:beforeAutospacing="0" w:after="0" w:afterAutospacing="0" w:line="360" w:lineRule="auto"/>
        <w:jc w:val="both"/>
        <w:rPr>
          <w:rFonts w:asciiTheme="minorHAnsi" w:hAnsiTheme="minorHAnsi" w:cstheme="minorHAnsi"/>
          <w:i/>
          <w:sz w:val="28"/>
          <w:szCs w:val="28"/>
        </w:rPr>
      </w:pPr>
      <w:r w:rsidRPr="005E1103">
        <w:rPr>
          <w:rFonts w:asciiTheme="minorHAnsi" w:hAnsiTheme="minorHAnsi" w:cstheme="minorHAnsi"/>
          <w:i/>
          <w:sz w:val="28"/>
          <w:szCs w:val="28"/>
        </w:rPr>
        <w:t>Los autores declaran que su único interés ha sido mejorar la competencia de los profesores universitarios en relación con los alumnos con discapacidad.</w:t>
      </w:r>
    </w:p>
    <w:p w:rsidR="009B60AB" w:rsidRPr="005E1103" w:rsidRDefault="009B60AB" w:rsidP="009B60AB">
      <w:pPr>
        <w:pStyle w:val="NormalWeb"/>
        <w:spacing w:before="0" w:beforeAutospacing="0" w:after="0" w:afterAutospacing="0" w:line="360" w:lineRule="auto"/>
        <w:jc w:val="both"/>
        <w:rPr>
          <w:rFonts w:asciiTheme="minorHAnsi" w:hAnsiTheme="minorHAnsi" w:cstheme="minorHAnsi"/>
          <w:sz w:val="28"/>
          <w:szCs w:val="28"/>
        </w:rPr>
      </w:pPr>
    </w:p>
    <w:p w:rsidR="009B60AB" w:rsidRPr="005E1103" w:rsidRDefault="009B60AB" w:rsidP="009B60AB">
      <w:pPr>
        <w:pStyle w:val="NormalWeb"/>
        <w:spacing w:before="0" w:beforeAutospacing="0" w:after="0" w:afterAutospacing="0" w:line="360" w:lineRule="auto"/>
        <w:jc w:val="both"/>
        <w:rPr>
          <w:rFonts w:asciiTheme="minorHAnsi" w:hAnsiTheme="minorHAnsi" w:cstheme="minorHAnsi"/>
          <w:sz w:val="28"/>
          <w:szCs w:val="28"/>
        </w:rPr>
      </w:pPr>
    </w:p>
    <w:p w:rsidR="009B60AB" w:rsidRPr="005E1103" w:rsidRDefault="009B60AB" w:rsidP="009B60AB">
      <w:pPr>
        <w:pStyle w:val="NormalWeb"/>
        <w:spacing w:before="0" w:beforeAutospacing="0" w:after="0" w:afterAutospacing="0" w:line="360" w:lineRule="auto"/>
        <w:jc w:val="both"/>
        <w:rPr>
          <w:rFonts w:asciiTheme="minorHAnsi" w:hAnsiTheme="minorHAnsi" w:cstheme="minorHAnsi"/>
          <w:b/>
          <w:sz w:val="28"/>
          <w:szCs w:val="28"/>
        </w:rPr>
      </w:pPr>
    </w:p>
    <w:p w:rsidR="009B60AB" w:rsidRPr="005E1103" w:rsidRDefault="009B60AB" w:rsidP="009B60AB">
      <w:pPr>
        <w:rPr>
          <w:rFonts w:cstheme="minorHAnsi"/>
          <w:b/>
          <w:sz w:val="28"/>
          <w:szCs w:val="28"/>
        </w:rPr>
      </w:pPr>
      <w:r w:rsidRPr="005E1103">
        <w:rPr>
          <w:rFonts w:cstheme="minorHAnsi"/>
          <w:b/>
          <w:sz w:val="28"/>
          <w:szCs w:val="28"/>
        </w:rPr>
        <w:t>RESUMEN</w:t>
      </w:r>
    </w:p>
    <w:p w:rsidR="009B60AB" w:rsidRPr="005E1103" w:rsidRDefault="009B60AB" w:rsidP="009B60AB">
      <w:pPr>
        <w:pStyle w:val="NormalWeb"/>
        <w:spacing w:before="0" w:beforeAutospacing="0" w:after="0" w:afterAutospacing="0" w:line="360" w:lineRule="auto"/>
        <w:jc w:val="both"/>
        <w:rPr>
          <w:rFonts w:asciiTheme="minorHAnsi" w:hAnsiTheme="minorHAnsi" w:cstheme="minorHAnsi"/>
          <w:sz w:val="28"/>
          <w:szCs w:val="28"/>
        </w:rPr>
      </w:pPr>
    </w:p>
    <w:p w:rsidR="009B60AB" w:rsidRPr="005E1103" w:rsidRDefault="009B60AB" w:rsidP="009B60AB">
      <w:pPr>
        <w:pStyle w:val="NormalWeb"/>
        <w:spacing w:before="0" w:beforeAutospacing="0" w:after="0" w:afterAutospacing="0" w:line="360" w:lineRule="auto"/>
        <w:jc w:val="both"/>
        <w:rPr>
          <w:rFonts w:asciiTheme="minorHAnsi" w:hAnsiTheme="minorHAnsi" w:cstheme="minorHAnsi"/>
          <w:sz w:val="28"/>
          <w:szCs w:val="28"/>
        </w:rPr>
      </w:pPr>
      <w:r w:rsidRPr="005E1103">
        <w:rPr>
          <w:rFonts w:asciiTheme="minorHAnsi" w:hAnsiTheme="minorHAnsi" w:cstheme="minorHAnsi"/>
          <w:sz w:val="28"/>
          <w:szCs w:val="28"/>
        </w:rPr>
        <w:t xml:space="preserve">Se trata de una experiencia innovadora sobre Educación Inclusiva que consiste en una actividad de Formación Continua del profesorado universitario con el </w:t>
      </w:r>
      <w:r w:rsidRPr="005E1103">
        <w:rPr>
          <w:rFonts w:asciiTheme="minorHAnsi" w:hAnsiTheme="minorHAnsi" w:cstheme="minorHAnsi"/>
          <w:b/>
          <w:sz w:val="28"/>
          <w:szCs w:val="28"/>
        </w:rPr>
        <w:t>objetivo</w:t>
      </w:r>
      <w:r w:rsidRPr="005E1103">
        <w:rPr>
          <w:rFonts w:asciiTheme="minorHAnsi" w:hAnsiTheme="minorHAnsi" w:cstheme="minorHAnsi"/>
          <w:sz w:val="28"/>
          <w:szCs w:val="28"/>
        </w:rPr>
        <w:t xml:space="preserve"> de mejorar su sensibilidad, conocimientos y competencias profesionales en relación con el proceso de enseñanza-aprendizaje de alumnos universitarios con discapacidad.</w:t>
      </w:r>
    </w:p>
    <w:p w:rsidR="009B60AB" w:rsidRPr="005E1103" w:rsidRDefault="009B60AB" w:rsidP="009B60AB">
      <w:pPr>
        <w:pStyle w:val="NormalWeb"/>
        <w:spacing w:before="0" w:beforeAutospacing="0" w:after="0" w:afterAutospacing="0" w:line="360" w:lineRule="auto"/>
        <w:jc w:val="both"/>
        <w:rPr>
          <w:rFonts w:asciiTheme="minorHAnsi" w:hAnsiTheme="minorHAnsi" w:cstheme="minorHAnsi"/>
          <w:sz w:val="28"/>
          <w:szCs w:val="28"/>
        </w:rPr>
      </w:pPr>
      <w:r w:rsidRPr="005E1103">
        <w:rPr>
          <w:rFonts w:asciiTheme="minorHAnsi" w:hAnsiTheme="minorHAnsi" w:cstheme="minorHAnsi"/>
          <w:sz w:val="28"/>
          <w:szCs w:val="28"/>
        </w:rPr>
        <w:t xml:space="preserve">La actividad docente está encuadrada en la Formación Continua anual del profesorado universitario que organiza el Instituto Universitario de Ciencias de la Educación (IUCE) de la Universidad de Salamanca. </w:t>
      </w:r>
      <w:r w:rsidRPr="005E1103">
        <w:rPr>
          <w:rFonts w:asciiTheme="minorHAnsi" w:hAnsiTheme="minorHAnsi" w:cstheme="minorHAnsi"/>
          <w:b/>
          <w:sz w:val="28"/>
          <w:szCs w:val="28"/>
        </w:rPr>
        <w:t>Material y Métodos:</w:t>
      </w:r>
      <w:r w:rsidRPr="005E1103">
        <w:rPr>
          <w:rFonts w:asciiTheme="minorHAnsi" w:hAnsiTheme="minorHAnsi" w:cstheme="minorHAnsi"/>
          <w:sz w:val="28"/>
          <w:szCs w:val="28"/>
        </w:rPr>
        <w:t xml:space="preserve"> La </w:t>
      </w:r>
      <w:r w:rsidRPr="005E1103">
        <w:rPr>
          <w:rFonts w:asciiTheme="minorHAnsi" w:hAnsiTheme="minorHAnsi" w:cstheme="minorHAnsi"/>
          <w:i/>
          <w:sz w:val="28"/>
          <w:szCs w:val="28"/>
        </w:rPr>
        <w:t>intervención educativa</w:t>
      </w:r>
      <w:r w:rsidRPr="005E1103">
        <w:rPr>
          <w:rFonts w:asciiTheme="minorHAnsi" w:hAnsiTheme="minorHAnsi" w:cstheme="minorHAnsi"/>
          <w:sz w:val="28"/>
          <w:szCs w:val="28"/>
        </w:rPr>
        <w:t xml:space="preserve"> conlleva una parte teórica sobre la calidad del proceso de enseñanza-aprendizaje y dos talleres prácticos, uno sobre casos reales de adaptaciones curriculares no significativas, apoyos y asesoramiento y otro sobre habilidades sociales y de comunicación con personas con discapacidad. La valoración de la intervención se realizó a través de indicadores de satisfacción de la misma a través de un cuestionario de 18 ítems que cumplimentaron los 74 profesores participantes en los curso de los últimos cinco años. Los </w:t>
      </w:r>
      <w:r w:rsidRPr="005E1103">
        <w:rPr>
          <w:rFonts w:asciiTheme="minorHAnsi" w:hAnsiTheme="minorHAnsi" w:cstheme="minorHAnsi"/>
          <w:b/>
          <w:sz w:val="28"/>
          <w:szCs w:val="28"/>
        </w:rPr>
        <w:t>resultados</w:t>
      </w:r>
      <w:r w:rsidRPr="005E1103">
        <w:rPr>
          <w:rFonts w:asciiTheme="minorHAnsi" w:hAnsiTheme="minorHAnsi" w:cstheme="minorHAnsi"/>
          <w:sz w:val="28"/>
          <w:szCs w:val="28"/>
        </w:rPr>
        <w:t xml:space="preserve"> de los 5 cursos (2011-2015) muestran una valoración del proceso de enseñanza-aprendizaje con una media de 4,32 en una escala de Likert de 1 a 5 y la satisfacción global del profesorado fue de 4,5. También refieren que recomendarían su realización a otros profesores con 4,4. Como </w:t>
      </w:r>
      <w:r w:rsidRPr="005E1103">
        <w:rPr>
          <w:rFonts w:asciiTheme="minorHAnsi" w:hAnsiTheme="minorHAnsi" w:cstheme="minorHAnsi"/>
          <w:b/>
          <w:sz w:val="28"/>
          <w:szCs w:val="28"/>
        </w:rPr>
        <w:t>conclusión</w:t>
      </w:r>
      <w:r w:rsidRPr="005E1103">
        <w:rPr>
          <w:rFonts w:asciiTheme="minorHAnsi" w:hAnsiTheme="minorHAnsi" w:cstheme="minorHAnsi"/>
          <w:sz w:val="28"/>
          <w:szCs w:val="28"/>
        </w:rPr>
        <w:t xml:space="preserve"> en base a las observaciones obtenidas se puede afirmar que la intervención educativa se muestra efectiva al producir altos niveles de </w:t>
      </w:r>
      <w:r w:rsidRPr="005E1103">
        <w:rPr>
          <w:rFonts w:asciiTheme="minorHAnsi" w:hAnsiTheme="minorHAnsi" w:cstheme="minorHAnsi"/>
          <w:i/>
          <w:sz w:val="28"/>
          <w:szCs w:val="28"/>
        </w:rPr>
        <w:t>satisfacción</w:t>
      </w:r>
      <w:r w:rsidRPr="005E1103">
        <w:rPr>
          <w:rFonts w:asciiTheme="minorHAnsi" w:hAnsiTheme="minorHAnsi" w:cstheme="minorHAnsi"/>
          <w:sz w:val="28"/>
          <w:szCs w:val="28"/>
        </w:rPr>
        <w:t xml:space="preserve"> del profesorado participante.</w:t>
      </w:r>
    </w:p>
    <w:p w:rsidR="009B60AB" w:rsidRPr="005E1103" w:rsidRDefault="009B60AB" w:rsidP="009B60AB">
      <w:pPr>
        <w:rPr>
          <w:rFonts w:eastAsia="Times New Roman" w:cstheme="minorHAnsi"/>
          <w:b/>
          <w:sz w:val="28"/>
          <w:szCs w:val="28"/>
          <w:lang w:eastAsia="es-ES"/>
        </w:rPr>
      </w:pPr>
    </w:p>
    <w:p w:rsidR="009B60AB" w:rsidRPr="005E1103" w:rsidRDefault="009B60AB" w:rsidP="009B60AB">
      <w:pPr>
        <w:rPr>
          <w:rFonts w:eastAsia="Times New Roman" w:cstheme="minorHAnsi"/>
          <w:b/>
          <w:sz w:val="28"/>
          <w:szCs w:val="28"/>
          <w:lang w:eastAsia="es-ES"/>
        </w:rPr>
      </w:pPr>
    </w:p>
    <w:p w:rsidR="009B60AB" w:rsidRPr="005E1103" w:rsidRDefault="009B60AB" w:rsidP="009B60AB">
      <w:pPr>
        <w:rPr>
          <w:rFonts w:eastAsia="Times New Roman" w:cstheme="minorHAnsi"/>
          <w:b/>
          <w:sz w:val="28"/>
          <w:szCs w:val="28"/>
          <w:lang w:eastAsia="es-ES"/>
        </w:rPr>
      </w:pPr>
    </w:p>
    <w:p w:rsidR="009B60AB" w:rsidRPr="005E1103" w:rsidRDefault="009B60AB" w:rsidP="009B60AB">
      <w:pPr>
        <w:rPr>
          <w:rFonts w:eastAsia="Times New Roman" w:cstheme="minorHAnsi"/>
          <w:b/>
          <w:sz w:val="28"/>
          <w:szCs w:val="28"/>
          <w:lang w:eastAsia="es-ES"/>
        </w:rPr>
      </w:pPr>
      <w:r w:rsidRPr="005E1103">
        <w:rPr>
          <w:rFonts w:eastAsia="Times New Roman" w:cstheme="minorHAnsi"/>
          <w:b/>
          <w:sz w:val="28"/>
          <w:szCs w:val="28"/>
          <w:lang w:eastAsia="es-ES"/>
        </w:rPr>
        <w:t>Palabras clave:</w:t>
      </w:r>
    </w:p>
    <w:p w:rsidR="009B60AB" w:rsidRPr="005E1103" w:rsidRDefault="009B60AB" w:rsidP="009B60AB">
      <w:pPr>
        <w:rPr>
          <w:rFonts w:eastAsia="Times New Roman" w:cstheme="minorHAnsi"/>
          <w:sz w:val="28"/>
          <w:szCs w:val="28"/>
          <w:lang w:eastAsia="es-ES"/>
        </w:rPr>
      </w:pPr>
      <w:r w:rsidRPr="005E1103">
        <w:rPr>
          <w:rFonts w:eastAsia="Times New Roman" w:cstheme="minorHAnsi"/>
          <w:sz w:val="28"/>
          <w:szCs w:val="28"/>
          <w:lang w:eastAsia="es-ES"/>
        </w:rPr>
        <w:lastRenderedPageBreak/>
        <w:t>Calidad Docente, Satisfacción del Profesorado, Alumnos con Discapacidad.</w:t>
      </w:r>
    </w:p>
    <w:p w:rsidR="009B60AB" w:rsidRPr="005E1103" w:rsidRDefault="009B60AB" w:rsidP="009B60AB">
      <w:pPr>
        <w:rPr>
          <w:rFonts w:eastAsia="Times New Roman" w:cstheme="minorHAnsi"/>
          <w:sz w:val="28"/>
          <w:szCs w:val="28"/>
          <w:lang w:eastAsia="es-ES"/>
        </w:rPr>
      </w:pPr>
    </w:p>
    <w:p w:rsidR="009B60AB" w:rsidRPr="005E1103" w:rsidRDefault="009B60AB" w:rsidP="009B60AB">
      <w:pPr>
        <w:pStyle w:val="NormalWeb"/>
        <w:spacing w:before="0" w:beforeAutospacing="0" w:after="0" w:afterAutospacing="0" w:line="360" w:lineRule="auto"/>
        <w:jc w:val="both"/>
        <w:rPr>
          <w:rFonts w:asciiTheme="minorHAnsi" w:hAnsiTheme="minorHAnsi" w:cstheme="minorHAnsi"/>
          <w:b/>
          <w:sz w:val="28"/>
          <w:szCs w:val="28"/>
        </w:rPr>
      </w:pPr>
      <w:r w:rsidRPr="005E1103">
        <w:rPr>
          <w:rFonts w:asciiTheme="minorHAnsi" w:hAnsiTheme="minorHAnsi" w:cstheme="minorHAnsi"/>
          <w:b/>
          <w:sz w:val="28"/>
          <w:szCs w:val="28"/>
        </w:rPr>
        <w:t>1.- INTRODUCCIÓN</w:t>
      </w:r>
    </w:p>
    <w:p w:rsidR="009B60AB" w:rsidRPr="005E1103" w:rsidRDefault="009B60AB" w:rsidP="009B60AB">
      <w:pPr>
        <w:pStyle w:val="NormalWeb"/>
        <w:spacing w:before="0" w:beforeAutospacing="0" w:after="0" w:afterAutospacing="0" w:line="360" w:lineRule="auto"/>
        <w:jc w:val="both"/>
        <w:rPr>
          <w:rFonts w:asciiTheme="minorHAnsi" w:hAnsiTheme="minorHAnsi" w:cstheme="minorHAnsi"/>
          <w:sz w:val="28"/>
          <w:szCs w:val="28"/>
        </w:rPr>
      </w:pPr>
      <w:r w:rsidRPr="005E1103">
        <w:rPr>
          <w:rFonts w:asciiTheme="minorHAnsi" w:hAnsiTheme="minorHAnsi" w:cstheme="minorHAnsi"/>
          <w:sz w:val="28"/>
          <w:szCs w:val="28"/>
        </w:rPr>
        <w:t xml:space="preserve"> </w:t>
      </w:r>
    </w:p>
    <w:p w:rsidR="009B60AB" w:rsidRPr="005E1103" w:rsidRDefault="009B60AB" w:rsidP="009B60AB">
      <w:pPr>
        <w:pStyle w:val="Textoindependiente2"/>
        <w:spacing w:before="240" w:after="240" w:line="360" w:lineRule="auto"/>
        <w:jc w:val="both"/>
        <w:rPr>
          <w:rFonts w:cstheme="minorHAnsi"/>
          <w:bCs/>
          <w:sz w:val="28"/>
          <w:szCs w:val="28"/>
        </w:rPr>
      </w:pPr>
      <w:r w:rsidRPr="005E1103">
        <w:rPr>
          <w:rFonts w:cstheme="minorHAnsi"/>
          <w:bCs/>
          <w:sz w:val="28"/>
          <w:szCs w:val="28"/>
        </w:rPr>
        <w:t xml:space="preserve">En </w:t>
      </w:r>
      <w:r w:rsidRPr="005E1103">
        <w:rPr>
          <w:rFonts w:cstheme="minorHAnsi"/>
          <w:sz w:val="28"/>
          <w:szCs w:val="28"/>
        </w:rPr>
        <w:t>materia educativa</w:t>
      </w:r>
      <w:r w:rsidRPr="005E1103">
        <w:rPr>
          <w:rFonts w:cstheme="minorHAnsi"/>
          <w:bCs/>
          <w:sz w:val="28"/>
          <w:szCs w:val="28"/>
        </w:rPr>
        <w:t>, la promulgación de la Ley de Integración Social del Minusválido (LISMI) supuso un punto de inflexión en el tratamiento educativo de los niños con necesidades educativas especiales y/o con discapacidad. Se pasó de tenerlos recluidos a integrarlos en el sistema educativo, aspecto muy positivo en relación con su normalización educativa y/o social (Echeita et al, 2004).</w:t>
      </w:r>
      <w:r w:rsidRPr="005E1103">
        <w:rPr>
          <w:rFonts w:cstheme="minorHAnsi"/>
          <w:sz w:val="28"/>
          <w:szCs w:val="28"/>
        </w:rPr>
        <w:t xml:space="preserve"> Este proceso fue posible gracias al esfuerzo de los profesionales y a la normativa que supuso un cambio en la forma de entender la Educación de las personas con discapacidad </w:t>
      </w:r>
      <w:r w:rsidRPr="005E1103">
        <w:rPr>
          <w:rFonts w:cstheme="minorHAnsi"/>
          <w:bCs/>
          <w:sz w:val="28"/>
          <w:szCs w:val="28"/>
        </w:rPr>
        <w:t xml:space="preserve">(Forteza Forteza D,2003). Este cambio de actitud del sistema, constituye su mayor logro; pero no es menos cierto, que su efectividad es mejorable dado que </w:t>
      </w:r>
      <w:r w:rsidRPr="005E1103">
        <w:rPr>
          <w:rFonts w:cstheme="minorHAnsi"/>
          <w:sz w:val="28"/>
          <w:szCs w:val="28"/>
        </w:rPr>
        <w:t xml:space="preserve">los </w:t>
      </w:r>
      <w:r w:rsidRPr="005E1103">
        <w:rPr>
          <w:rFonts w:cstheme="minorHAnsi"/>
          <w:i/>
          <w:sz w:val="28"/>
          <w:szCs w:val="28"/>
        </w:rPr>
        <w:t xml:space="preserve">alumnos con discapacidad (AcD) </w:t>
      </w:r>
      <w:r w:rsidRPr="005E1103">
        <w:rPr>
          <w:rFonts w:cstheme="minorHAnsi"/>
          <w:sz w:val="28"/>
          <w:szCs w:val="28"/>
        </w:rPr>
        <w:t xml:space="preserve">que llegan a la universidad son menos de 1%. Resultados que obligan a reflexionar y articular medidas que permitan la igualdad de oportunidades de manera efectiva para que los escasos universitarios con discapacidad que llegan logren su objetivo. Actualmente, aquello que en los años 70-80 se vivía como una excepción, hoy es una realidad cada vez más frecuente. Además, el proceso de convergencia europea a través del Espacio Europeo de Educación Superior (EEES) supuso una </w:t>
      </w:r>
      <w:r w:rsidRPr="005E1103">
        <w:rPr>
          <w:rFonts w:cstheme="minorHAnsi"/>
          <w:bCs/>
          <w:sz w:val="28"/>
          <w:szCs w:val="28"/>
        </w:rPr>
        <w:t>oportunidad</w:t>
      </w:r>
      <w:r w:rsidRPr="005E1103">
        <w:rPr>
          <w:rFonts w:cstheme="minorHAnsi"/>
          <w:sz w:val="28"/>
          <w:szCs w:val="28"/>
        </w:rPr>
        <w:t xml:space="preserve"> para introducir mejoras en el proceso </w:t>
      </w:r>
      <w:r w:rsidRPr="005E1103">
        <w:rPr>
          <w:rFonts w:cstheme="minorHAnsi"/>
          <w:i/>
          <w:sz w:val="28"/>
          <w:szCs w:val="28"/>
        </w:rPr>
        <w:t>enseñanza-aprendizaje</w:t>
      </w:r>
      <w:r w:rsidRPr="005E1103">
        <w:rPr>
          <w:rFonts w:cstheme="minorHAnsi"/>
          <w:sz w:val="28"/>
          <w:szCs w:val="28"/>
        </w:rPr>
        <w:t xml:space="preserve"> </w:t>
      </w:r>
      <w:r w:rsidRPr="005E1103">
        <w:rPr>
          <w:rFonts w:cstheme="minorHAnsi"/>
          <w:b/>
          <w:bCs/>
          <w:sz w:val="28"/>
          <w:szCs w:val="28"/>
        </w:rPr>
        <w:t>(</w:t>
      </w:r>
      <w:r w:rsidRPr="005E1103">
        <w:rPr>
          <w:rFonts w:cstheme="minorHAnsi"/>
          <w:bCs/>
          <w:sz w:val="28"/>
          <w:szCs w:val="28"/>
        </w:rPr>
        <w:t>De Miguel Díaz M, 2004 y 2006)</w:t>
      </w:r>
      <w:r w:rsidRPr="005E1103">
        <w:rPr>
          <w:rFonts w:cstheme="minorHAnsi"/>
          <w:sz w:val="28"/>
          <w:szCs w:val="28"/>
        </w:rPr>
        <w:t xml:space="preserve">, al introducir intervenciones educativas de actuación individualizada para que el alumno obtenga mejores resultados de aprendizaje con apoyos del profesor. Elemento relevante en relación con las alumnos con discapacidad </w:t>
      </w:r>
      <w:r w:rsidRPr="005E1103">
        <w:rPr>
          <w:rFonts w:cstheme="minorHAnsi"/>
          <w:b/>
          <w:bCs/>
          <w:sz w:val="28"/>
          <w:szCs w:val="28"/>
        </w:rPr>
        <w:t>(</w:t>
      </w:r>
      <w:r w:rsidRPr="005E1103">
        <w:rPr>
          <w:rFonts w:cstheme="minorHAnsi"/>
          <w:bCs/>
          <w:sz w:val="28"/>
          <w:szCs w:val="28"/>
        </w:rPr>
        <w:t>González J, 2005)</w:t>
      </w:r>
      <w:r w:rsidRPr="005E1103">
        <w:rPr>
          <w:rFonts w:cstheme="minorHAnsi"/>
          <w:sz w:val="28"/>
          <w:szCs w:val="28"/>
        </w:rPr>
        <w:t xml:space="preserve">. También supone un marco adecuado para cambios a valorar por el Sistema de Garantía de Calidad los planes de estudios, con indicadores que valoren los resultados en materia de integración y efectividad en relación con los graduados </w:t>
      </w:r>
      <w:r w:rsidRPr="005E1103">
        <w:rPr>
          <w:rFonts w:cstheme="minorHAnsi"/>
          <w:bCs/>
          <w:sz w:val="28"/>
          <w:szCs w:val="28"/>
        </w:rPr>
        <w:t>(Diez E, 2001, Alonso A, 2008)</w:t>
      </w:r>
      <w:r w:rsidRPr="005E1103">
        <w:rPr>
          <w:rFonts w:cstheme="minorHAnsi"/>
          <w:sz w:val="28"/>
          <w:szCs w:val="28"/>
        </w:rPr>
        <w:t xml:space="preserve">.  La ordenación de las enseñanzas universitarias </w:t>
      </w:r>
      <w:r w:rsidRPr="005E1103">
        <w:rPr>
          <w:rFonts w:cstheme="minorHAnsi"/>
          <w:sz w:val="28"/>
          <w:szCs w:val="28"/>
        </w:rPr>
        <w:lastRenderedPageBreak/>
        <w:t xml:space="preserve">promulgada en el RD 1393/2007 de 29 de octubre en su artículo 14, establece la necesidad de tener presente a las personas con discapacidad (PcD), lo que permite mejoras en el desarrollo curricular a través de la reforma de los planes de estudio con la introducción de asignaturas específicas sobre discapacidad, obligatorias u optativas, según los perfiles profesionales actuales </w:t>
      </w:r>
      <w:r w:rsidRPr="005E1103">
        <w:rPr>
          <w:rFonts w:cstheme="minorHAnsi"/>
          <w:bCs/>
          <w:sz w:val="28"/>
          <w:szCs w:val="28"/>
        </w:rPr>
        <w:t>(Ortego Hernando JL, 2000 y Peiró F, 2004)</w:t>
      </w:r>
      <w:r w:rsidRPr="005E1103">
        <w:rPr>
          <w:rFonts w:cstheme="minorHAnsi"/>
          <w:sz w:val="28"/>
          <w:szCs w:val="28"/>
        </w:rPr>
        <w:t xml:space="preserve">. Este marco legal supone una oportunidad para los AcD porque permite una mayor flexibilidad en el ritmo de aprendizaje y una menor actividad presencial en las aulas. Además, se pueden establecer </w:t>
      </w:r>
      <w:r w:rsidRPr="005E1103">
        <w:rPr>
          <w:rFonts w:cstheme="minorHAnsi"/>
          <w:i/>
          <w:sz w:val="28"/>
          <w:szCs w:val="28"/>
        </w:rPr>
        <w:t>adaptaciones curriculares específicas</w:t>
      </w:r>
      <w:r w:rsidRPr="005E1103">
        <w:rPr>
          <w:rFonts w:cstheme="minorHAnsi"/>
          <w:sz w:val="28"/>
          <w:szCs w:val="28"/>
        </w:rPr>
        <w:t xml:space="preserve"> para AcD como respuesta a las necesidades especiales de las PcD y establecer programas de apoyo y seguimiento </w:t>
      </w:r>
      <w:r w:rsidRPr="005E1103">
        <w:rPr>
          <w:rFonts w:cstheme="minorHAnsi"/>
          <w:bCs/>
          <w:sz w:val="28"/>
          <w:szCs w:val="28"/>
        </w:rPr>
        <w:t>(Ortego Hernando JL, 2000 y Forteza Forteza D, 2003)</w:t>
      </w:r>
      <w:r w:rsidRPr="005E1103">
        <w:rPr>
          <w:rFonts w:cstheme="minorHAnsi"/>
          <w:sz w:val="28"/>
          <w:szCs w:val="28"/>
        </w:rPr>
        <w:t>. En consecuencia, se deben renovar las metodologías educativas (MEC, 2009), mejorar las actitudes e implementar</w:t>
      </w:r>
      <w:r w:rsidRPr="005E1103">
        <w:rPr>
          <w:rFonts w:cstheme="minorHAnsi"/>
          <w:i/>
          <w:sz w:val="28"/>
          <w:szCs w:val="28"/>
        </w:rPr>
        <w:t xml:space="preserve"> </w:t>
      </w:r>
      <w:r w:rsidRPr="005E1103">
        <w:rPr>
          <w:rFonts w:cstheme="minorHAnsi"/>
          <w:sz w:val="28"/>
          <w:szCs w:val="28"/>
        </w:rPr>
        <w:t>estrategias educativas por parte del profesorado con el fin de individualizar el proceso de enseñanza-aprendizaje para que los estudiantes que presentan dificultades pueden beneficiarse, mientras llegan las estrategias globales como el Diseño Universal o Diseño para Todos (Sánchez Palomino A, 2011 y Mirón-Canelo JA, 2014).</w:t>
      </w:r>
    </w:p>
    <w:p w:rsidR="009B60AB" w:rsidRPr="005E1103" w:rsidRDefault="009B60AB" w:rsidP="009B60AB">
      <w:pPr>
        <w:spacing w:line="360" w:lineRule="auto"/>
        <w:jc w:val="both"/>
        <w:rPr>
          <w:rFonts w:cstheme="minorHAnsi"/>
          <w:sz w:val="28"/>
          <w:szCs w:val="28"/>
        </w:rPr>
      </w:pPr>
      <w:r w:rsidRPr="005E1103">
        <w:rPr>
          <w:rFonts w:cstheme="minorHAnsi"/>
          <w:sz w:val="28"/>
          <w:szCs w:val="28"/>
        </w:rPr>
        <w:t xml:space="preserve">En este contexto social, se presenta una experiencia formativa que tuvo como </w:t>
      </w:r>
      <w:r w:rsidRPr="005E1103">
        <w:rPr>
          <w:rFonts w:cstheme="minorHAnsi"/>
          <w:b/>
          <w:sz w:val="28"/>
          <w:szCs w:val="28"/>
        </w:rPr>
        <w:t>objetivo</w:t>
      </w:r>
      <w:r w:rsidRPr="005E1103">
        <w:rPr>
          <w:rFonts w:cstheme="minorHAnsi"/>
          <w:sz w:val="28"/>
          <w:szCs w:val="28"/>
        </w:rPr>
        <w:t xml:space="preserve"> valorar la </w:t>
      </w:r>
      <w:r w:rsidRPr="005E1103">
        <w:rPr>
          <w:rFonts w:cstheme="minorHAnsi"/>
          <w:i/>
          <w:sz w:val="28"/>
          <w:szCs w:val="28"/>
        </w:rPr>
        <w:t>satisfacción del profesorado</w:t>
      </w:r>
      <w:r w:rsidRPr="005E1103">
        <w:rPr>
          <w:rFonts w:cstheme="minorHAnsi"/>
          <w:sz w:val="28"/>
          <w:szCs w:val="28"/>
        </w:rPr>
        <w:t xml:space="preserve"> por la formación recibida a través de una intervención educativa relacionada con alumnos con discapacidad.</w:t>
      </w:r>
    </w:p>
    <w:p w:rsidR="009B60AB" w:rsidRPr="005E1103" w:rsidRDefault="009B60AB" w:rsidP="009B60AB">
      <w:pPr>
        <w:spacing w:line="360" w:lineRule="auto"/>
        <w:jc w:val="both"/>
        <w:rPr>
          <w:rFonts w:cstheme="minorHAnsi"/>
          <w:b/>
          <w:caps/>
          <w:color w:val="000000" w:themeColor="text1"/>
          <w:sz w:val="28"/>
          <w:szCs w:val="28"/>
        </w:rPr>
      </w:pPr>
    </w:p>
    <w:p w:rsidR="009B60AB" w:rsidRPr="005E1103" w:rsidRDefault="009B60AB" w:rsidP="009B60AB">
      <w:pPr>
        <w:spacing w:line="360" w:lineRule="auto"/>
        <w:jc w:val="both"/>
        <w:rPr>
          <w:rFonts w:cstheme="minorHAnsi"/>
          <w:b/>
          <w:caps/>
          <w:color w:val="000000" w:themeColor="text1"/>
          <w:sz w:val="28"/>
          <w:szCs w:val="28"/>
        </w:rPr>
      </w:pPr>
      <w:r w:rsidRPr="005E1103">
        <w:rPr>
          <w:rFonts w:cstheme="minorHAnsi"/>
          <w:b/>
          <w:caps/>
          <w:color w:val="000000" w:themeColor="text1"/>
          <w:sz w:val="28"/>
          <w:szCs w:val="28"/>
        </w:rPr>
        <w:t>2.- Material y Métodos</w:t>
      </w:r>
    </w:p>
    <w:p w:rsidR="009B60AB" w:rsidRPr="005E1103" w:rsidRDefault="009B60AB" w:rsidP="009B60AB">
      <w:pPr>
        <w:spacing w:line="360" w:lineRule="auto"/>
        <w:jc w:val="both"/>
        <w:rPr>
          <w:rFonts w:cstheme="minorHAnsi"/>
          <w:sz w:val="28"/>
          <w:szCs w:val="28"/>
        </w:rPr>
      </w:pPr>
    </w:p>
    <w:p w:rsidR="009B60AB" w:rsidRPr="005E1103" w:rsidRDefault="009B60AB" w:rsidP="009B60AB">
      <w:pPr>
        <w:spacing w:line="360" w:lineRule="auto"/>
        <w:jc w:val="both"/>
        <w:rPr>
          <w:rFonts w:cstheme="minorHAnsi"/>
          <w:sz w:val="28"/>
          <w:szCs w:val="28"/>
        </w:rPr>
      </w:pPr>
      <w:r w:rsidRPr="005E1103">
        <w:rPr>
          <w:rFonts w:cstheme="minorHAnsi"/>
          <w:sz w:val="28"/>
          <w:szCs w:val="28"/>
        </w:rPr>
        <w:t>Para conseguir el objetivo propuesto se realizó una valoración de la satisfacción del profesorado</w:t>
      </w:r>
      <w:r w:rsidRPr="005E1103">
        <w:rPr>
          <w:rFonts w:cstheme="minorHAnsi"/>
          <w:b/>
          <w:sz w:val="28"/>
          <w:szCs w:val="28"/>
        </w:rPr>
        <w:t xml:space="preserve"> </w:t>
      </w:r>
      <w:r w:rsidRPr="005E1103">
        <w:rPr>
          <w:rFonts w:cstheme="minorHAnsi"/>
          <w:sz w:val="28"/>
          <w:szCs w:val="28"/>
        </w:rPr>
        <w:t xml:space="preserve">participante en un curso de Formación Continua como indicador de resultados. La </w:t>
      </w:r>
      <w:r w:rsidRPr="005E1103">
        <w:rPr>
          <w:rFonts w:cstheme="minorHAnsi"/>
          <w:b/>
          <w:sz w:val="28"/>
          <w:szCs w:val="28"/>
        </w:rPr>
        <w:t xml:space="preserve">intervención educativa </w:t>
      </w:r>
      <w:r w:rsidRPr="005E1103">
        <w:rPr>
          <w:rFonts w:cstheme="minorHAnsi"/>
          <w:sz w:val="28"/>
          <w:szCs w:val="28"/>
        </w:rPr>
        <w:t xml:space="preserve">se realiza a través de un curso ofrecido al profesorado de la Universidad de Salamanca (USAL) y que hacen voluntariamente. Dicha </w:t>
      </w:r>
      <w:r w:rsidRPr="005E1103">
        <w:rPr>
          <w:rFonts w:cstheme="minorHAnsi"/>
          <w:sz w:val="28"/>
          <w:szCs w:val="28"/>
        </w:rPr>
        <w:lastRenderedPageBreak/>
        <w:t xml:space="preserve">actividad se encuadra en el Desarrollo Profesional Continuo y consiste en un proceso de enseñanza-aprendizaje sobre los fundamentos de la calidad docente en general y las competencias a desarrollar en relación con la docencia a implementar en los AcD a través de dos talleres, uno sobre </w:t>
      </w:r>
      <w:r w:rsidRPr="005E1103">
        <w:rPr>
          <w:rFonts w:cstheme="minorHAnsi"/>
          <w:i/>
          <w:sz w:val="28"/>
          <w:szCs w:val="28"/>
        </w:rPr>
        <w:t>habilidades sociales y de comunicación</w:t>
      </w:r>
      <w:r w:rsidRPr="005E1103">
        <w:rPr>
          <w:rFonts w:cstheme="minorHAnsi"/>
          <w:sz w:val="28"/>
          <w:szCs w:val="28"/>
        </w:rPr>
        <w:t xml:space="preserve"> y otro de </w:t>
      </w:r>
      <w:r w:rsidRPr="005E1103">
        <w:rPr>
          <w:rFonts w:cstheme="minorHAnsi"/>
          <w:i/>
          <w:sz w:val="28"/>
          <w:szCs w:val="28"/>
        </w:rPr>
        <w:t>adaptaciones curriculares no significativas</w:t>
      </w:r>
      <w:r w:rsidRPr="005E1103">
        <w:rPr>
          <w:rFonts w:cstheme="minorHAnsi"/>
          <w:sz w:val="28"/>
          <w:szCs w:val="28"/>
        </w:rPr>
        <w:t>, sin reducir los objetivos, contenidos y competencias, a conseguir en los alumnos con las distintas discapacidades físicas, sensoriales y/o mixtas. Dicha intervención se lleva realizando desde el 2010 hasta la actualidad dentro del Programa de Formación Continua del profesorado que se realiza en la USAL a través del Instituto Universitario de Ciencias de la Educación (IUCE).</w:t>
      </w:r>
    </w:p>
    <w:p w:rsidR="009B60AB" w:rsidRPr="005E1103" w:rsidRDefault="009B60AB" w:rsidP="009B60AB">
      <w:pPr>
        <w:spacing w:line="360" w:lineRule="auto"/>
        <w:jc w:val="both"/>
        <w:rPr>
          <w:rFonts w:cstheme="minorHAnsi"/>
          <w:sz w:val="28"/>
          <w:szCs w:val="28"/>
        </w:rPr>
      </w:pPr>
      <w:r w:rsidRPr="005E1103">
        <w:rPr>
          <w:rFonts w:cstheme="minorHAnsi"/>
          <w:sz w:val="28"/>
          <w:szCs w:val="28"/>
        </w:rPr>
        <w:t xml:space="preserve">Como </w:t>
      </w:r>
      <w:r w:rsidRPr="005E1103">
        <w:rPr>
          <w:rFonts w:cstheme="minorHAnsi"/>
          <w:b/>
          <w:sz w:val="28"/>
          <w:szCs w:val="28"/>
        </w:rPr>
        <w:t>instrumento de medida</w:t>
      </w:r>
      <w:r w:rsidRPr="005E1103">
        <w:rPr>
          <w:rFonts w:cstheme="minorHAnsi"/>
          <w:sz w:val="28"/>
          <w:szCs w:val="28"/>
        </w:rPr>
        <w:t xml:space="preserve"> se utilizó un cuestionario de 18 ítems que fue aplicado previamente a 355 profesores para valorar la consistencia y fiabilidad mediante el índice de fiabilidad alfa de Cronbach que resulto ser de 0,87, adecuado para este tipo de pruebas. Por otra parte la validez de su contenido fue analizada través del Análisis Factorial exploratorio con rotación varimax que proporciono unos resultados de la varianza total de 68,17% agrupados los ítems en las siguientes dimensiones (1: Satisfacción global, 2: Infraestructura, 3: Inscripción y 4: Docentes). El cuestionario incluye datos demográficos como el género, la edad y rama del conocimiento del profesorado. Y otros aspectos como el motivo de asistencia, la valoración del proceso de enseñanza-aprendizaje y su satisfacción general. La valoración de los resultados se realiza en base a medidas de frecuencia y porcentajes y la satisfacción global mediante una escala tipo Likert de 1 a 5, totalmente en desacuerdo a totalmente de acuerdo (Ver Anexo 1).</w:t>
      </w:r>
    </w:p>
    <w:p w:rsidR="009B60AB" w:rsidRPr="005E1103" w:rsidRDefault="009B60AB" w:rsidP="009B60AB">
      <w:pPr>
        <w:spacing w:line="360" w:lineRule="auto"/>
        <w:jc w:val="both"/>
        <w:rPr>
          <w:rFonts w:cstheme="minorHAnsi"/>
          <w:sz w:val="28"/>
          <w:szCs w:val="28"/>
        </w:rPr>
      </w:pPr>
      <w:r w:rsidRPr="005E1103">
        <w:rPr>
          <w:rFonts w:cstheme="minorHAnsi"/>
          <w:sz w:val="28"/>
          <w:szCs w:val="28"/>
        </w:rPr>
        <w:t xml:space="preserve">La </w:t>
      </w:r>
      <w:r w:rsidRPr="005E1103">
        <w:rPr>
          <w:rFonts w:cstheme="minorHAnsi"/>
          <w:b/>
          <w:sz w:val="28"/>
          <w:szCs w:val="28"/>
        </w:rPr>
        <w:t>intervención formativa</w:t>
      </w:r>
      <w:r w:rsidRPr="005E1103">
        <w:rPr>
          <w:rFonts w:cstheme="minorHAnsi"/>
          <w:sz w:val="28"/>
          <w:szCs w:val="28"/>
        </w:rPr>
        <w:t xml:space="preserve"> se realizó a 74 profesores voluntarios que participaron en el curso denominado </w:t>
      </w:r>
      <w:r w:rsidRPr="005E1103">
        <w:rPr>
          <w:rFonts w:cstheme="minorHAnsi"/>
          <w:i/>
          <w:sz w:val="28"/>
          <w:szCs w:val="28"/>
        </w:rPr>
        <w:t>Calidad Docente en la atención a alumnos con discapacidad durante 5 años, de 2011-15</w:t>
      </w:r>
      <w:r w:rsidRPr="005E1103">
        <w:rPr>
          <w:rFonts w:cstheme="minorHAnsi"/>
          <w:sz w:val="28"/>
          <w:szCs w:val="28"/>
        </w:rPr>
        <w:t xml:space="preserve">. El curso tiene una duración de 10h y se realiza en dos días alternos. El primer día se dedica a los fundamentos de la calidad, modelos y competencias necesarias </w:t>
      </w:r>
      <w:r w:rsidRPr="005E1103">
        <w:rPr>
          <w:rFonts w:cstheme="minorHAnsi"/>
          <w:sz w:val="28"/>
          <w:szCs w:val="28"/>
        </w:rPr>
        <w:lastRenderedPageBreak/>
        <w:t xml:space="preserve">para una atención docente de calidad y, el segundo día, es eminentemente práctico consistente en dos talleres, uno sobre habilidades sociales y de comunicación (Fernández Martín LC, 2013) y otro sobre casos prácticos reales de </w:t>
      </w:r>
      <w:r w:rsidRPr="005E1103">
        <w:rPr>
          <w:rFonts w:cstheme="minorHAnsi"/>
          <w:i/>
          <w:sz w:val="28"/>
          <w:szCs w:val="28"/>
        </w:rPr>
        <w:t xml:space="preserve">adaptaciones curriculares no significativas </w:t>
      </w:r>
      <w:r w:rsidRPr="005E1103">
        <w:rPr>
          <w:rFonts w:cstheme="minorHAnsi"/>
          <w:bCs/>
          <w:sz w:val="28"/>
          <w:szCs w:val="28"/>
        </w:rPr>
        <w:t>(Arnaiz p, 1977, Ruiz R, 1988</w:t>
      </w:r>
      <w:r w:rsidRPr="005E1103">
        <w:rPr>
          <w:rFonts w:cstheme="minorHAnsi"/>
          <w:b/>
          <w:bCs/>
          <w:sz w:val="28"/>
          <w:szCs w:val="28"/>
        </w:rPr>
        <w:t xml:space="preserve">, </w:t>
      </w:r>
      <w:r w:rsidRPr="005E1103">
        <w:rPr>
          <w:rFonts w:cstheme="minorHAnsi"/>
          <w:bCs/>
          <w:sz w:val="28"/>
          <w:szCs w:val="28"/>
        </w:rPr>
        <w:t>Grau R, 2008 y González Gil F, 2009).</w:t>
      </w:r>
      <w:r w:rsidRPr="005E1103">
        <w:rPr>
          <w:rFonts w:cstheme="minorHAnsi"/>
          <w:sz w:val="28"/>
          <w:szCs w:val="28"/>
        </w:rPr>
        <w:t xml:space="preserve"> El curso es impartido por dos profesores de la Universidad de Salamanca con amplia experiencia docente y profesional en el ámbito de la Discapacidad.</w:t>
      </w:r>
    </w:p>
    <w:p w:rsidR="009B60AB" w:rsidRPr="005E1103" w:rsidRDefault="009B60AB" w:rsidP="009B60AB">
      <w:pPr>
        <w:spacing w:line="360" w:lineRule="auto"/>
        <w:jc w:val="both"/>
        <w:rPr>
          <w:rFonts w:cstheme="minorHAnsi"/>
          <w:b/>
          <w:caps/>
          <w:color w:val="000000" w:themeColor="text1"/>
          <w:sz w:val="28"/>
          <w:szCs w:val="28"/>
        </w:rPr>
      </w:pPr>
    </w:p>
    <w:p w:rsidR="009B60AB" w:rsidRPr="005E1103" w:rsidRDefault="009B60AB" w:rsidP="009B60AB">
      <w:pPr>
        <w:spacing w:line="360" w:lineRule="auto"/>
        <w:jc w:val="both"/>
        <w:rPr>
          <w:rFonts w:cstheme="minorHAnsi"/>
          <w:b/>
          <w:caps/>
          <w:color w:val="000000" w:themeColor="text1"/>
          <w:sz w:val="28"/>
          <w:szCs w:val="28"/>
        </w:rPr>
      </w:pPr>
      <w:r w:rsidRPr="005E1103">
        <w:rPr>
          <w:rFonts w:cstheme="minorHAnsi"/>
          <w:b/>
          <w:caps/>
          <w:color w:val="000000" w:themeColor="text1"/>
          <w:sz w:val="28"/>
          <w:szCs w:val="28"/>
        </w:rPr>
        <w:t xml:space="preserve">3.- Resultados </w:t>
      </w:r>
    </w:p>
    <w:p w:rsidR="009B60AB" w:rsidRPr="005E1103" w:rsidRDefault="009B60AB" w:rsidP="009B60AB">
      <w:pPr>
        <w:spacing w:line="360" w:lineRule="auto"/>
        <w:jc w:val="both"/>
        <w:rPr>
          <w:rFonts w:cstheme="minorHAnsi"/>
          <w:sz w:val="28"/>
          <w:szCs w:val="28"/>
        </w:rPr>
      </w:pPr>
    </w:p>
    <w:p w:rsidR="009B60AB" w:rsidRPr="005E1103" w:rsidRDefault="009B60AB" w:rsidP="009B60AB">
      <w:pPr>
        <w:spacing w:line="360" w:lineRule="auto"/>
        <w:jc w:val="both"/>
        <w:rPr>
          <w:rFonts w:cstheme="minorHAnsi"/>
          <w:sz w:val="28"/>
          <w:szCs w:val="28"/>
        </w:rPr>
      </w:pPr>
      <w:r w:rsidRPr="005E1103">
        <w:rPr>
          <w:rFonts w:cstheme="minorHAnsi"/>
          <w:sz w:val="28"/>
          <w:szCs w:val="28"/>
        </w:rPr>
        <w:t xml:space="preserve">Se trata de una experiencia educativa que se lleva realizando desde el curso 2009-10 y cuyos resultados de los últimos cinco años son los siguientes: asistieron al curso en estos 5 años, 74 profesores con una media de edad de 44 años, 26 (35%) hombres y 48 (65%) mujeres. El profesorado pertenece a la mayoría de las áreas a excepción de la de Arquitectura e Ingenierías a la que sólo pertenecen dos. Destacan los participantes de las áreas de Ciencias de la Salud con 27 (36,5%), Artes y Humanidades con 21 (28%) y en un segundo escalón las áreas de Ciencias con 13 (17,5%) y Ciencias Sociales y Jurídicas con 11 (15%). En relación con la </w:t>
      </w:r>
      <w:r w:rsidRPr="005E1103">
        <w:rPr>
          <w:rFonts w:cstheme="minorHAnsi"/>
          <w:i/>
          <w:sz w:val="28"/>
          <w:szCs w:val="28"/>
        </w:rPr>
        <w:t>motivación</w:t>
      </w:r>
      <w:r w:rsidRPr="005E1103">
        <w:rPr>
          <w:rFonts w:cstheme="minorHAnsi"/>
          <w:sz w:val="28"/>
          <w:szCs w:val="28"/>
        </w:rPr>
        <w:t xml:space="preserve"> que les lleva a los profesores a participar voluntariamente en este curso destacan, en primer lugar, mejorar de la práctica docente 51 (69%), mejorar su </w:t>
      </w:r>
      <w:r w:rsidRPr="005E1103">
        <w:rPr>
          <w:rFonts w:cstheme="minorHAnsi"/>
          <w:i/>
          <w:sz w:val="28"/>
          <w:szCs w:val="28"/>
        </w:rPr>
        <w:t>curriculum vitae</w:t>
      </w:r>
      <w:r w:rsidRPr="005E1103">
        <w:rPr>
          <w:rFonts w:cstheme="minorHAnsi"/>
          <w:sz w:val="28"/>
          <w:szCs w:val="28"/>
        </w:rPr>
        <w:t xml:space="preserve"> 39 (53%) y, en segundo lugar, innovar en la docencia 23 (31%) y la actualización de la misma en relación con el proceso del Espacio Europeo de Educación Superior (EEES) 21 (28%). Por último, la búsqueda de intereses profesionales como las acreditaciones del profesorado en los programas ANECA y/o DOCENTIA. Con respecto a la valoración que los participantes realizan sobre el </w:t>
      </w:r>
      <w:r w:rsidRPr="005E1103">
        <w:rPr>
          <w:rFonts w:cstheme="minorHAnsi"/>
          <w:i/>
          <w:sz w:val="28"/>
          <w:szCs w:val="28"/>
        </w:rPr>
        <w:t>proceso-aprendizaje</w:t>
      </w:r>
      <w:r w:rsidRPr="005E1103">
        <w:rPr>
          <w:rFonts w:cstheme="minorHAnsi"/>
          <w:sz w:val="28"/>
          <w:szCs w:val="28"/>
        </w:rPr>
        <w:t xml:space="preserve"> del curso, destacar que todas las posibles respuestas y/o valoraciones realizadas por los docentes superan el 4 en la escala de Likert (1-5). Además, consideran que dicha actividad formativa como </w:t>
      </w:r>
      <w:r w:rsidRPr="005E1103">
        <w:rPr>
          <w:rFonts w:cstheme="minorHAnsi"/>
          <w:i/>
          <w:sz w:val="28"/>
          <w:szCs w:val="28"/>
        </w:rPr>
        <w:t>importante desde el punto de vista de la docencia</w:t>
      </w:r>
      <w:r w:rsidRPr="005E1103">
        <w:rPr>
          <w:rFonts w:cstheme="minorHAnsi"/>
          <w:sz w:val="28"/>
          <w:szCs w:val="28"/>
        </w:rPr>
        <w:t xml:space="preserve"> </w:t>
      </w:r>
      <w:r w:rsidRPr="005E1103">
        <w:rPr>
          <w:rFonts w:cstheme="minorHAnsi"/>
          <w:sz w:val="28"/>
          <w:szCs w:val="28"/>
        </w:rPr>
        <w:lastRenderedPageBreak/>
        <w:t xml:space="preserve">con una media de 4,5, también se muestran satisfechos con su participación en la misma, 4,4 y refieren que facilita su renovación 4,4 y que la misma supone innovación y mejora para su docencia 4,35. Como </w:t>
      </w:r>
      <w:r w:rsidRPr="005E1103">
        <w:rPr>
          <w:rFonts w:cstheme="minorHAnsi"/>
          <w:i/>
          <w:sz w:val="28"/>
          <w:szCs w:val="28"/>
        </w:rPr>
        <w:t>indicador de resultados se utiliza la satisfacción</w:t>
      </w:r>
      <w:r w:rsidRPr="005E1103">
        <w:rPr>
          <w:rFonts w:cstheme="minorHAnsi"/>
          <w:sz w:val="28"/>
          <w:szCs w:val="28"/>
        </w:rPr>
        <w:t xml:space="preserve"> del profesorado con la experiencia de dicho curso, se puede observar que su evolución ha sido positiva y que los profesores se sienten satisfechos con una media de 4,5 y recomendarían dicha actividad, con una media de 4,4 sobre 5. </w:t>
      </w:r>
    </w:p>
    <w:p w:rsidR="009B60AB" w:rsidRPr="005E1103" w:rsidRDefault="009B60AB" w:rsidP="009B60AB">
      <w:pPr>
        <w:spacing w:line="360" w:lineRule="auto"/>
        <w:jc w:val="both"/>
        <w:rPr>
          <w:rFonts w:cstheme="minorHAnsi"/>
          <w:b/>
          <w:caps/>
          <w:color w:val="000000" w:themeColor="text1"/>
          <w:sz w:val="28"/>
          <w:szCs w:val="28"/>
        </w:rPr>
      </w:pPr>
    </w:p>
    <w:p w:rsidR="009B60AB" w:rsidRPr="005E1103" w:rsidRDefault="009B60AB" w:rsidP="009B60AB">
      <w:pPr>
        <w:spacing w:line="360" w:lineRule="auto"/>
        <w:jc w:val="both"/>
        <w:rPr>
          <w:rFonts w:cstheme="minorHAnsi"/>
          <w:b/>
          <w:caps/>
          <w:color w:val="000000" w:themeColor="text1"/>
          <w:sz w:val="28"/>
          <w:szCs w:val="28"/>
        </w:rPr>
      </w:pPr>
      <w:r w:rsidRPr="005E1103">
        <w:rPr>
          <w:rFonts w:cstheme="minorHAnsi"/>
          <w:b/>
          <w:caps/>
          <w:color w:val="000000" w:themeColor="text1"/>
          <w:sz w:val="28"/>
          <w:szCs w:val="28"/>
        </w:rPr>
        <w:t xml:space="preserve">4.- DISCUSIÓN </w:t>
      </w:r>
    </w:p>
    <w:p w:rsidR="009B60AB" w:rsidRPr="005E1103" w:rsidRDefault="009B60AB" w:rsidP="009B60AB">
      <w:pPr>
        <w:spacing w:line="360" w:lineRule="auto"/>
        <w:jc w:val="both"/>
        <w:rPr>
          <w:rFonts w:cstheme="minorHAnsi"/>
          <w:sz w:val="28"/>
          <w:szCs w:val="28"/>
        </w:rPr>
      </w:pPr>
    </w:p>
    <w:p w:rsidR="009B60AB" w:rsidRPr="005E1103" w:rsidRDefault="009B60AB" w:rsidP="009B60AB">
      <w:pPr>
        <w:spacing w:line="360" w:lineRule="auto"/>
        <w:jc w:val="both"/>
        <w:rPr>
          <w:rFonts w:cstheme="minorHAnsi"/>
          <w:sz w:val="28"/>
          <w:szCs w:val="28"/>
        </w:rPr>
      </w:pPr>
      <w:r w:rsidRPr="005E1103">
        <w:rPr>
          <w:rFonts w:cstheme="minorHAnsi"/>
          <w:sz w:val="28"/>
          <w:szCs w:val="28"/>
        </w:rPr>
        <w:t>La experiencia formativa llevada a cabo es original e innovadora en el campo de la educación inclusiva y se considera importante para mejorar la</w:t>
      </w:r>
      <w:r w:rsidRPr="005E1103">
        <w:rPr>
          <w:rFonts w:cstheme="minorHAnsi"/>
          <w:b/>
          <w:color w:val="C00000"/>
          <w:sz w:val="28"/>
          <w:szCs w:val="28"/>
        </w:rPr>
        <w:t xml:space="preserve"> </w:t>
      </w:r>
      <w:r w:rsidRPr="005E1103">
        <w:rPr>
          <w:rFonts w:cstheme="minorHAnsi"/>
          <w:sz w:val="28"/>
          <w:szCs w:val="28"/>
        </w:rPr>
        <w:t xml:space="preserve">calidad de la docencia, la equidad y la igualdad de oportunidades con los alumnos con discapacidad. En relación con la participación del profesorado llama la atención la media de edad, 44 años, la mayoría cuando llevan ya más de una década como docentes por este motivo se propuso al IUCE que se incluyera como obligatoria en la formación del profesorado joven y, se hace desde hace dos cursos. Con respecto al género, la mayor parte del profesorado es femenino, probablemente por su mayor sensibilidad social ante las necesidades de los alumnos. También porque cada vez hay más paridad en el profesorado universitario y, sobretodo, en las áreas relacionadas con la atención profesional a las PcD. En relación con la adscripción a las distintas áreas del conocimiento del profesorado se observa una alta variabilidad si bien más de la mitad, el 64,5%, pertenecen a áreas que tradicionalmente forman a graduandos con competencias profesionales para la atención sanitaria y/o social de las PcD. Aspecto que puede explicar su mayor frecuencia. </w:t>
      </w:r>
    </w:p>
    <w:p w:rsidR="009B60AB" w:rsidRPr="005E1103" w:rsidRDefault="009B60AB" w:rsidP="009B60AB">
      <w:pPr>
        <w:spacing w:line="360" w:lineRule="auto"/>
        <w:jc w:val="both"/>
        <w:rPr>
          <w:rFonts w:cstheme="minorHAnsi"/>
          <w:sz w:val="28"/>
          <w:szCs w:val="28"/>
        </w:rPr>
      </w:pPr>
    </w:p>
    <w:p w:rsidR="009B60AB" w:rsidRPr="005E1103" w:rsidRDefault="009B60AB" w:rsidP="009B60AB">
      <w:pPr>
        <w:spacing w:line="360" w:lineRule="auto"/>
        <w:jc w:val="both"/>
        <w:rPr>
          <w:rFonts w:cstheme="minorHAnsi"/>
          <w:sz w:val="28"/>
          <w:szCs w:val="28"/>
        </w:rPr>
      </w:pPr>
      <w:r w:rsidRPr="005E1103">
        <w:rPr>
          <w:rFonts w:cstheme="minorHAnsi"/>
          <w:sz w:val="28"/>
          <w:szCs w:val="28"/>
        </w:rPr>
        <w:lastRenderedPageBreak/>
        <w:t xml:space="preserve">En relación con la motivación que les ha llevado a realizar esta formación, destaca el </w:t>
      </w:r>
      <w:r w:rsidRPr="005E1103">
        <w:rPr>
          <w:rFonts w:cstheme="minorHAnsi"/>
          <w:i/>
          <w:sz w:val="28"/>
          <w:szCs w:val="28"/>
        </w:rPr>
        <w:t xml:space="preserve">querer mejorar su práctica docente, </w:t>
      </w:r>
      <w:r w:rsidRPr="005E1103">
        <w:rPr>
          <w:rFonts w:cstheme="minorHAnsi"/>
          <w:sz w:val="28"/>
          <w:szCs w:val="28"/>
        </w:rPr>
        <w:t xml:space="preserve">51 (69%); pero también por su </w:t>
      </w:r>
      <w:r w:rsidRPr="005E1103">
        <w:rPr>
          <w:rFonts w:cstheme="minorHAnsi"/>
          <w:i/>
          <w:sz w:val="28"/>
          <w:szCs w:val="28"/>
        </w:rPr>
        <w:t>curriculum vitae</w:t>
      </w:r>
      <w:r w:rsidRPr="005E1103">
        <w:rPr>
          <w:rFonts w:cstheme="minorHAnsi"/>
          <w:sz w:val="28"/>
          <w:szCs w:val="28"/>
        </w:rPr>
        <w:t xml:space="preserve"> 28 (38%) y por </w:t>
      </w:r>
      <w:r w:rsidRPr="005E1103">
        <w:rPr>
          <w:rFonts w:cstheme="minorHAnsi"/>
          <w:i/>
          <w:sz w:val="28"/>
          <w:szCs w:val="28"/>
        </w:rPr>
        <w:t xml:space="preserve">innovar </w:t>
      </w:r>
      <w:r w:rsidRPr="005E1103">
        <w:rPr>
          <w:rFonts w:cstheme="minorHAnsi"/>
          <w:sz w:val="28"/>
          <w:szCs w:val="28"/>
        </w:rPr>
        <w:t xml:space="preserve">20 (27%). Ambas observaciones, nos parecen positivas dada la coyuntura actual universitaria en la que existe poca motivación por la paralización de los procesos de mejora en la carrera docente. Además, actualmente se valora más la investigación, </w:t>
      </w:r>
      <w:r w:rsidRPr="005E1103">
        <w:rPr>
          <w:rFonts w:cstheme="minorHAnsi"/>
          <w:i/>
          <w:sz w:val="28"/>
          <w:szCs w:val="28"/>
        </w:rPr>
        <w:t>tramos de investigación</w:t>
      </w:r>
      <w:r w:rsidRPr="005E1103">
        <w:rPr>
          <w:rFonts w:cstheme="minorHAnsi"/>
          <w:sz w:val="28"/>
          <w:szCs w:val="28"/>
        </w:rPr>
        <w:t xml:space="preserve">, que la calidad de la docencia a través de evaluaciones como el Programa </w:t>
      </w:r>
      <w:r w:rsidRPr="005E1103">
        <w:rPr>
          <w:rFonts w:cstheme="minorHAnsi"/>
          <w:i/>
          <w:sz w:val="28"/>
          <w:szCs w:val="28"/>
        </w:rPr>
        <w:t>DOCENTIA</w:t>
      </w:r>
      <w:r w:rsidRPr="005E1103">
        <w:rPr>
          <w:rFonts w:cstheme="minorHAnsi"/>
          <w:sz w:val="28"/>
          <w:szCs w:val="28"/>
        </w:rPr>
        <w:t>. Sólo 6 profesores realizaron el curso por este motivo y 10 por su acreditación como profesorado. La valoración del proceso de enseñanza-aprendizaje obtiene una media general, superior a 4,34. Llama la atención que la mejor media la obtiene la consideración realizada por el profesorado respecto a la importancia de esta actividad para su formación como docente. Estas observaciones se explican por el contexto en que se está moviendo la Universidad actualmente, desarrollo del proceso de convergencia europea que conlleva cambios en los planes y una mayor sensibilización sobre la Calidad de la Docencia.</w:t>
      </w:r>
    </w:p>
    <w:p w:rsidR="009B60AB" w:rsidRPr="005E1103" w:rsidRDefault="009B60AB" w:rsidP="009B60AB">
      <w:pPr>
        <w:spacing w:line="360" w:lineRule="auto"/>
        <w:jc w:val="both"/>
        <w:rPr>
          <w:rFonts w:cstheme="minorHAnsi"/>
          <w:sz w:val="28"/>
          <w:szCs w:val="28"/>
        </w:rPr>
      </w:pPr>
      <w:r w:rsidRPr="005E1103">
        <w:rPr>
          <w:rFonts w:cstheme="minorHAnsi"/>
          <w:sz w:val="28"/>
          <w:szCs w:val="28"/>
        </w:rPr>
        <w:t xml:space="preserve">En relación con la </w:t>
      </w:r>
      <w:r w:rsidRPr="005E1103">
        <w:rPr>
          <w:rFonts w:cstheme="minorHAnsi"/>
          <w:i/>
          <w:sz w:val="28"/>
          <w:szCs w:val="28"/>
        </w:rPr>
        <w:t>satisfacción</w:t>
      </w:r>
      <w:r w:rsidRPr="005E1103">
        <w:rPr>
          <w:rFonts w:cstheme="minorHAnsi"/>
          <w:sz w:val="28"/>
          <w:szCs w:val="28"/>
        </w:rPr>
        <w:t xml:space="preserve"> del docente medida como resultado de calidad global de dicha actividad, destacar que se encuentran muy satisfechos con el curso y, por tanto, la recomendarían a otros compañeros. También, un aspecto destacado por los docentes es su satisfacción con el grado de participación logrado en dichas actividades. Aspecto positivo dado que ésta debe ser una de las características de la Educación Inclusiva.</w:t>
      </w:r>
    </w:p>
    <w:p w:rsidR="009B60AB" w:rsidRPr="005E1103" w:rsidRDefault="009B60AB" w:rsidP="009B60AB">
      <w:pPr>
        <w:spacing w:line="360" w:lineRule="auto"/>
        <w:jc w:val="both"/>
        <w:rPr>
          <w:rFonts w:cstheme="minorHAnsi"/>
          <w:sz w:val="28"/>
          <w:szCs w:val="28"/>
        </w:rPr>
      </w:pPr>
      <w:r w:rsidRPr="005E1103">
        <w:rPr>
          <w:rFonts w:cstheme="minorHAnsi"/>
          <w:sz w:val="28"/>
          <w:szCs w:val="28"/>
        </w:rPr>
        <w:t xml:space="preserve">Las </w:t>
      </w:r>
      <w:r w:rsidRPr="005E1103">
        <w:rPr>
          <w:rFonts w:cstheme="minorHAnsi"/>
          <w:i/>
          <w:sz w:val="28"/>
          <w:szCs w:val="28"/>
        </w:rPr>
        <w:t>limitaciones</w:t>
      </w:r>
      <w:r w:rsidRPr="005E1103">
        <w:rPr>
          <w:rFonts w:cstheme="minorHAnsi"/>
          <w:sz w:val="28"/>
          <w:szCs w:val="28"/>
        </w:rPr>
        <w:t xml:space="preserve"> de este estudio pueden estar motivadas por el instrumento utilizado dado que se trata de respuestas cerradas al reducir la diversidad de respuestas. También porque la valoración tipo Likert no es muy precisa y puede ocasionar problemas de decisión e interpretación. Pero esta dificultad se ha reducido porque los resultados han estado mayoritariamente por encima del valor intermedio, el 3. Otra limitación metodológica tiene que ver con que los participantes no han sido seleccionados aleatoriamente por lo que pueden ser profesores motivados y sensibilizados, aunque </w:t>
      </w:r>
      <w:r w:rsidRPr="005E1103">
        <w:rPr>
          <w:rFonts w:cstheme="minorHAnsi"/>
          <w:sz w:val="28"/>
          <w:szCs w:val="28"/>
        </w:rPr>
        <w:lastRenderedPageBreak/>
        <w:t>suelen ser éstos los que demandan mayores contenidos formativos y, por tanto, son más exigentes (Mirón-Canelo JA</w:t>
      </w:r>
      <w:r w:rsidRPr="005E1103">
        <w:rPr>
          <w:rFonts w:cstheme="minorHAnsi"/>
          <w:b/>
          <w:sz w:val="28"/>
          <w:szCs w:val="28"/>
        </w:rPr>
        <w:t>,</w:t>
      </w:r>
      <w:r w:rsidRPr="005E1103">
        <w:rPr>
          <w:rFonts w:cstheme="minorHAnsi"/>
          <w:sz w:val="28"/>
          <w:szCs w:val="28"/>
        </w:rPr>
        <w:t xml:space="preserve"> 2013).</w:t>
      </w:r>
    </w:p>
    <w:p w:rsidR="009B60AB" w:rsidRPr="005E1103" w:rsidRDefault="009B60AB" w:rsidP="009B60AB">
      <w:pPr>
        <w:spacing w:line="360" w:lineRule="auto"/>
        <w:jc w:val="both"/>
        <w:rPr>
          <w:rFonts w:cstheme="minorHAnsi"/>
          <w:sz w:val="28"/>
          <w:szCs w:val="28"/>
          <w:lang w:val="es-ES_tradnl"/>
        </w:rPr>
      </w:pPr>
      <w:r w:rsidRPr="005E1103">
        <w:rPr>
          <w:rFonts w:cstheme="minorHAnsi"/>
          <w:color w:val="000000" w:themeColor="text1"/>
          <w:sz w:val="28"/>
          <w:szCs w:val="28"/>
          <w:lang w:val="es-ES_tradnl"/>
        </w:rPr>
        <w:t>Mientras llega el</w:t>
      </w:r>
      <w:r w:rsidRPr="005E1103">
        <w:rPr>
          <w:rFonts w:cstheme="minorHAnsi"/>
          <w:color w:val="000000" w:themeColor="text1"/>
          <w:sz w:val="28"/>
          <w:szCs w:val="28"/>
        </w:rPr>
        <w:t xml:space="preserve"> futuro, esto es que el Sistema Educativo Español sea un sistema inclusivo universal a través del Diseño para Todas las Personas en los Planes del Grado </w:t>
      </w:r>
      <w:r w:rsidRPr="005E1103">
        <w:rPr>
          <w:rFonts w:cstheme="minorHAnsi"/>
          <w:sz w:val="28"/>
          <w:szCs w:val="28"/>
        </w:rPr>
        <w:t>(Mirón-Canelo JA</w:t>
      </w:r>
      <w:r w:rsidRPr="005E1103">
        <w:rPr>
          <w:rFonts w:cstheme="minorHAnsi"/>
          <w:b/>
          <w:sz w:val="28"/>
          <w:szCs w:val="28"/>
        </w:rPr>
        <w:t>,</w:t>
      </w:r>
      <w:r w:rsidRPr="005E1103">
        <w:rPr>
          <w:rFonts w:cstheme="minorHAnsi"/>
          <w:sz w:val="28"/>
          <w:szCs w:val="28"/>
        </w:rPr>
        <w:t xml:space="preserve"> 2014).</w:t>
      </w:r>
      <w:r w:rsidRPr="005E1103">
        <w:rPr>
          <w:rFonts w:cstheme="minorHAnsi"/>
          <w:color w:val="000000" w:themeColor="text1"/>
          <w:sz w:val="28"/>
          <w:szCs w:val="28"/>
        </w:rPr>
        <w:t xml:space="preserve"> Estas intervenciones basadas en una </w:t>
      </w:r>
      <w:r w:rsidRPr="005E1103">
        <w:rPr>
          <w:rFonts w:cstheme="minorHAnsi"/>
          <w:i/>
          <w:color w:val="000000" w:themeColor="text1"/>
          <w:sz w:val="28"/>
          <w:szCs w:val="28"/>
        </w:rPr>
        <w:t>estrategia oportunista</w:t>
      </w:r>
      <w:r w:rsidRPr="005E1103">
        <w:rPr>
          <w:rFonts w:cstheme="minorHAnsi"/>
          <w:color w:val="000000" w:themeColor="text1"/>
          <w:sz w:val="28"/>
          <w:szCs w:val="28"/>
        </w:rPr>
        <w:t>, constituyen un elemento dinamizador del profesorado en relación con el proceso de enseñanza-aprendizaje de los Alumnos con Discapacidad dado que la formación del profesorado es un elemento determinante en la sensibilización y transmisión de actitudes y, por tanto, se pone en valor la diversidad funcional y social.</w:t>
      </w:r>
      <w:r w:rsidRPr="005E1103">
        <w:rPr>
          <w:rFonts w:cstheme="minorHAnsi"/>
          <w:sz w:val="28"/>
          <w:szCs w:val="28"/>
          <w:lang w:val="es-ES_tradnl"/>
        </w:rPr>
        <w:t xml:space="preserve"> </w:t>
      </w:r>
    </w:p>
    <w:p w:rsidR="009B60AB" w:rsidRPr="005E1103" w:rsidRDefault="009B60AB" w:rsidP="009B60AB">
      <w:pPr>
        <w:spacing w:line="360" w:lineRule="auto"/>
        <w:jc w:val="both"/>
        <w:rPr>
          <w:rFonts w:cstheme="minorHAnsi"/>
          <w:sz w:val="28"/>
          <w:szCs w:val="28"/>
          <w:lang w:val="es-ES_tradnl"/>
        </w:rPr>
      </w:pPr>
    </w:p>
    <w:p w:rsidR="009B60AB" w:rsidRPr="005E1103" w:rsidRDefault="009B60AB" w:rsidP="009B60AB">
      <w:pPr>
        <w:spacing w:line="360" w:lineRule="auto"/>
        <w:jc w:val="both"/>
        <w:rPr>
          <w:rFonts w:cstheme="minorHAnsi"/>
          <w:color w:val="000000" w:themeColor="text1"/>
          <w:sz w:val="28"/>
          <w:szCs w:val="28"/>
        </w:rPr>
      </w:pPr>
      <w:r w:rsidRPr="005E1103">
        <w:rPr>
          <w:rFonts w:cstheme="minorHAnsi"/>
          <w:sz w:val="28"/>
          <w:szCs w:val="28"/>
          <w:lang w:val="es-ES_tradnl"/>
        </w:rPr>
        <w:t xml:space="preserve">A manera de </w:t>
      </w:r>
      <w:r w:rsidRPr="005E1103">
        <w:rPr>
          <w:rFonts w:cstheme="minorHAnsi"/>
          <w:b/>
          <w:i/>
          <w:sz w:val="28"/>
          <w:szCs w:val="28"/>
          <w:lang w:val="es-ES_tradnl"/>
        </w:rPr>
        <w:t>conclusión</w:t>
      </w:r>
      <w:r w:rsidRPr="005E1103">
        <w:rPr>
          <w:rFonts w:cstheme="minorHAnsi"/>
          <w:sz w:val="28"/>
          <w:szCs w:val="28"/>
          <w:lang w:val="es-ES_tradnl"/>
        </w:rPr>
        <w:t>, se puede afirmar que esta experiencia formativa ha demostrado ser efectiva por la satisfacción percibida por el profesorado en relación con las competencias docentes –</w:t>
      </w:r>
      <w:r w:rsidRPr="005E1103">
        <w:rPr>
          <w:rFonts w:cstheme="minorHAnsi"/>
          <w:i/>
          <w:sz w:val="28"/>
          <w:szCs w:val="28"/>
          <w:lang w:val="es-ES_tradnl"/>
        </w:rPr>
        <w:t>conocimientos y habilidades profesionales</w:t>
      </w:r>
      <w:r w:rsidRPr="005E1103">
        <w:rPr>
          <w:rFonts w:cstheme="minorHAnsi"/>
          <w:sz w:val="28"/>
          <w:szCs w:val="28"/>
          <w:lang w:val="es-ES_tradnl"/>
        </w:rPr>
        <w:t>-. Por lo que puede mejorar su Calidad como docentes en el ámbito de la Educación inclusiva, la igualdad de oportunidades y la equidad para con los Alumnos con Discapacidad.</w:t>
      </w:r>
    </w:p>
    <w:p w:rsidR="009B60AB" w:rsidRPr="005E1103" w:rsidRDefault="009B60AB" w:rsidP="009B60AB">
      <w:pPr>
        <w:jc w:val="both"/>
        <w:rPr>
          <w:rFonts w:cstheme="minorHAnsi"/>
          <w:b/>
          <w:color w:val="000000" w:themeColor="text1"/>
          <w:sz w:val="28"/>
          <w:szCs w:val="28"/>
        </w:rPr>
      </w:pPr>
    </w:p>
    <w:p w:rsidR="009B60AB" w:rsidRPr="005E1103" w:rsidRDefault="009B60AB" w:rsidP="009B60AB">
      <w:pPr>
        <w:jc w:val="both"/>
        <w:rPr>
          <w:rFonts w:cstheme="minorHAnsi"/>
          <w:b/>
          <w:color w:val="000000" w:themeColor="text1"/>
          <w:sz w:val="28"/>
          <w:szCs w:val="28"/>
        </w:rPr>
      </w:pPr>
      <w:r w:rsidRPr="005E1103">
        <w:rPr>
          <w:rFonts w:cstheme="minorHAnsi"/>
          <w:b/>
          <w:color w:val="000000" w:themeColor="text1"/>
          <w:sz w:val="28"/>
          <w:szCs w:val="28"/>
        </w:rPr>
        <w:t>BIBLIOGRAFÍA.-</w:t>
      </w:r>
    </w:p>
    <w:p w:rsidR="009B60AB" w:rsidRPr="005E1103" w:rsidRDefault="009B60AB" w:rsidP="009B60AB">
      <w:pPr>
        <w:jc w:val="both"/>
        <w:rPr>
          <w:rFonts w:cstheme="minorHAnsi"/>
          <w:b/>
          <w:color w:val="000000" w:themeColor="text1"/>
          <w:sz w:val="28"/>
          <w:szCs w:val="28"/>
        </w:rPr>
      </w:pPr>
    </w:p>
    <w:p w:rsidR="009B60AB" w:rsidRPr="005E1103" w:rsidRDefault="009B60AB" w:rsidP="009B60AB">
      <w:pPr>
        <w:tabs>
          <w:tab w:val="left" w:pos="1140"/>
          <w:tab w:val="left" w:pos="2160"/>
          <w:tab w:val="left" w:pos="2880"/>
          <w:tab w:val="left" w:pos="3600"/>
          <w:tab w:val="left" w:pos="4320"/>
          <w:tab w:val="left" w:pos="5040"/>
          <w:tab w:val="left" w:pos="5760"/>
          <w:tab w:val="left" w:pos="6480"/>
          <w:tab w:val="left" w:pos="7200"/>
          <w:tab w:val="left" w:pos="7920"/>
          <w:tab w:val="left" w:pos="8640"/>
          <w:tab w:val="left" w:pos="9000"/>
        </w:tabs>
        <w:spacing w:before="100" w:beforeAutospacing="1" w:after="100" w:afterAutospacing="1" w:line="240" w:lineRule="auto"/>
        <w:jc w:val="both"/>
        <w:rPr>
          <w:rFonts w:cstheme="minorHAnsi"/>
          <w:b/>
          <w:sz w:val="28"/>
          <w:szCs w:val="28"/>
          <w:lang w:val="es-ES_tradnl"/>
        </w:rPr>
      </w:pPr>
      <w:r w:rsidRPr="005E1103">
        <w:rPr>
          <w:rFonts w:cstheme="minorHAnsi"/>
          <w:sz w:val="28"/>
          <w:szCs w:val="28"/>
          <w:lang w:val="es-ES_tradnl"/>
        </w:rPr>
        <w:t>-.</w:t>
      </w:r>
      <w:r w:rsidRPr="005E1103">
        <w:rPr>
          <w:rFonts w:cstheme="minorHAnsi"/>
          <w:caps/>
          <w:sz w:val="28"/>
          <w:szCs w:val="28"/>
          <w:lang w:val="es-ES_tradnl"/>
        </w:rPr>
        <w:t xml:space="preserve">Alonso A, Diez E. </w:t>
      </w:r>
      <w:r w:rsidRPr="005E1103">
        <w:rPr>
          <w:rFonts w:cstheme="minorHAnsi"/>
          <w:caps/>
          <w:sz w:val="28"/>
          <w:szCs w:val="28"/>
        </w:rPr>
        <w:t xml:space="preserve">(2008). </w:t>
      </w:r>
      <w:r w:rsidRPr="005E1103">
        <w:rPr>
          <w:rFonts w:cstheme="minorHAnsi"/>
          <w:sz w:val="28"/>
          <w:szCs w:val="28"/>
          <w:lang w:val="es-ES_tradnl"/>
        </w:rPr>
        <w:t>Universidad y Discapacidad: indicadores de buenas prácticas y estándares de actuación para programas y servicios. Siglo Cero; 39:82-98</w:t>
      </w:r>
      <w:r w:rsidRPr="005E1103">
        <w:rPr>
          <w:rFonts w:cstheme="minorHAnsi"/>
          <w:b/>
          <w:sz w:val="28"/>
          <w:szCs w:val="28"/>
          <w:lang w:val="es-ES_tradnl"/>
        </w:rPr>
        <w:t>.</w:t>
      </w:r>
    </w:p>
    <w:p w:rsidR="009B60AB" w:rsidRPr="005E1103" w:rsidRDefault="009B60AB" w:rsidP="009B60AB">
      <w:pPr>
        <w:pStyle w:val="Textoindependiente"/>
        <w:spacing w:before="100" w:beforeAutospacing="1" w:after="100" w:afterAutospacing="1"/>
        <w:jc w:val="both"/>
        <w:rPr>
          <w:rFonts w:asciiTheme="minorHAnsi" w:hAnsiTheme="minorHAnsi" w:cstheme="minorHAnsi"/>
          <w:sz w:val="28"/>
          <w:szCs w:val="28"/>
        </w:rPr>
      </w:pPr>
      <w:r w:rsidRPr="00BF6455">
        <w:rPr>
          <w:rFonts w:asciiTheme="minorHAnsi" w:hAnsiTheme="minorHAnsi" w:cstheme="minorHAnsi"/>
          <w:caps/>
          <w:sz w:val="28"/>
          <w:szCs w:val="28"/>
        </w:rPr>
        <w:t>-.Arnaiz Sánchez P, Grau Company S (1977)</w:t>
      </w:r>
      <w:r w:rsidRPr="00BF6455">
        <w:rPr>
          <w:rFonts w:asciiTheme="minorHAnsi" w:hAnsiTheme="minorHAnsi" w:cstheme="minorHAnsi"/>
          <w:sz w:val="28"/>
          <w:szCs w:val="28"/>
        </w:rPr>
        <w:t xml:space="preserve">. </w:t>
      </w:r>
      <w:r w:rsidRPr="005E1103">
        <w:rPr>
          <w:rFonts w:asciiTheme="minorHAnsi" w:hAnsiTheme="minorHAnsi" w:cstheme="minorHAnsi"/>
          <w:sz w:val="28"/>
          <w:szCs w:val="28"/>
        </w:rPr>
        <w:t>Las adaptaciones curriculares en Secundaria. En: Sánchez Palomino A, Torres González JA. Educación Especial. Madrid: Ed. Pirámide.</w:t>
      </w:r>
    </w:p>
    <w:p w:rsidR="009B60AB" w:rsidRPr="005E1103" w:rsidRDefault="009B60AB" w:rsidP="009B60AB">
      <w:pPr>
        <w:autoSpaceDE w:val="0"/>
        <w:autoSpaceDN w:val="0"/>
        <w:adjustRightInd w:val="0"/>
        <w:spacing w:before="100" w:beforeAutospacing="1" w:after="100" w:afterAutospacing="1" w:line="240" w:lineRule="auto"/>
        <w:jc w:val="both"/>
        <w:rPr>
          <w:rFonts w:cstheme="minorHAnsi"/>
          <w:sz w:val="28"/>
          <w:szCs w:val="28"/>
        </w:rPr>
      </w:pPr>
      <w:r w:rsidRPr="005E1103">
        <w:rPr>
          <w:rFonts w:cstheme="minorHAnsi"/>
          <w:caps/>
          <w:sz w:val="28"/>
          <w:szCs w:val="28"/>
        </w:rPr>
        <w:t>-.De Miguel Díaz M.</w:t>
      </w:r>
      <w:r w:rsidRPr="005E1103">
        <w:rPr>
          <w:rFonts w:cstheme="minorHAnsi"/>
          <w:sz w:val="28"/>
          <w:szCs w:val="28"/>
        </w:rPr>
        <w:t xml:space="preserve"> (2004). Adaptación de los planes de estudio al proceso de convergencia europea. Proyecto EA 2004-0024. Madrid.</w:t>
      </w:r>
    </w:p>
    <w:p w:rsidR="009B60AB" w:rsidRPr="005E1103" w:rsidRDefault="009B60AB" w:rsidP="009B60AB">
      <w:pPr>
        <w:autoSpaceDE w:val="0"/>
        <w:autoSpaceDN w:val="0"/>
        <w:adjustRightInd w:val="0"/>
        <w:spacing w:before="100" w:beforeAutospacing="1" w:after="100" w:afterAutospacing="1" w:line="240" w:lineRule="auto"/>
        <w:jc w:val="both"/>
        <w:rPr>
          <w:rFonts w:cstheme="minorHAnsi"/>
          <w:sz w:val="28"/>
          <w:szCs w:val="28"/>
          <w:lang w:val="es-ES_tradnl"/>
        </w:rPr>
      </w:pPr>
      <w:r w:rsidRPr="005E1103">
        <w:rPr>
          <w:rFonts w:cstheme="minorHAnsi"/>
          <w:caps/>
          <w:sz w:val="28"/>
          <w:szCs w:val="28"/>
        </w:rPr>
        <w:lastRenderedPageBreak/>
        <w:t>-.De Miguel Díaz M</w:t>
      </w:r>
      <w:r w:rsidRPr="005E1103">
        <w:rPr>
          <w:rFonts w:cstheme="minorHAnsi"/>
          <w:sz w:val="28"/>
          <w:szCs w:val="28"/>
        </w:rPr>
        <w:t xml:space="preserve">. (2006). </w:t>
      </w:r>
      <w:r w:rsidRPr="005E1103">
        <w:rPr>
          <w:rFonts w:cstheme="minorHAnsi"/>
          <w:iCs/>
          <w:sz w:val="28"/>
          <w:szCs w:val="28"/>
        </w:rPr>
        <w:t xml:space="preserve">Metodologías de enseñanza y aprendizaje para el desarrollo de competencias. </w:t>
      </w:r>
      <w:r w:rsidRPr="005E1103">
        <w:rPr>
          <w:rFonts w:cstheme="minorHAnsi"/>
          <w:iCs/>
          <w:sz w:val="28"/>
          <w:szCs w:val="28"/>
          <w:lang w:val="es-ES_tradnl"/>
        </w:rPr>
        <w:t>Orientaciones para el profesorado universitario ante el EEES</w:t>
      </w:r>
      <w:r w:rsidRPr="005E1103">
        <w:rPr>
          <w:rFonts w:cstheme="minorHAnsi"/>
          <w:sz w:val="28"/>
          <w:szCs w:val="28"/>
          <w:lang w:val="es-ES_tradnl"/>
        </w:rPr>
        <w:t>. Madrid: Ed. Alianza.</w:t>
      </w:r>
    </w:p>
    <w:p w:rsidR="009B60AB" w:rsidRPr="005E1103" w:rsidRDefault="009B60AB" w:rsidP="009B60AB">
      <w:pPr>
        <w:spacing w:line="240" w:lineRule="auto"/>
        <w:jc w:val="both"/>
        <w:rPr>
          <w:rFonts w:eastAsia="Times New Roman" w:cstheme="minorHAnsi"/>
          <w:sz w:val="28"/>
          <w:szCs w:val="28"/>
        </w:rPr>
      </w:pPr>
      <w:r w:rsidRPr="005E1103">
        <w:rPr>
          <w:rFonts w:eastAsia="Times New Roman" w:cstheme="minorHAnsi"/>
          <w:sz w:val="28"/>
          <w:szCs w:val="28"/>
        </w:rPr>
        <w:t>-.</w:t>
      </w:r>
      <w:r w:rsidRPr="005E1103">
        <w:rPr>
          <w:rFonts w:eastAsia="Times New Roman" w:cstheme="minorHAnsi"/>
          <w:caps/>
          <w:sz w:val="28"/>
          <w:szCs w:val="28"/>
        </w:rPr>
        <w:t>Díez, E., Alonso, A., Verdugo, M.A., et al</w:t>
      </w:r>
      <w:r w:rsidRPr="005E1103">
        <w:rPr>
          <w:rFonts w:eastAsia="Times New Roman" w:cstheme="minorHAnsi"/>
          <w:sz w:val="28"/>
          <w:szCs w:val="28"/>
        </w:rPr>
        <w:t>. (2001)..</w:t>
      </w:r>
      <w:r w:rsidRPr="005E1103">
        <w:rPr>
          <w:rFonts w:eastAsia="Times New Roman" w:cstheme="minorHAnsi"/>
          <w:i/>
          <w:iCs/>
          <w:sz w:val="28"/>
          <w:szCs w:val="28"/>
        </w:rPr>
        <w:t>Espacio Europeo de Educación Superior: estándares e indicadores de buenas prácticas para la atención a estudiantes universitarios con discapacidad</w:t>
      </w:r>
      <w:r w:rsidRPr="005E1103">
        <w:rPr>
          <w:rFonts w:eastAsia="Times New Roman" w:cstheme="minorHAnsi"/>
          <w:sz w:val="28"/>
          <w:szCs w:val="28"/>
        </w:rPr>
        <w:t xml:space="preserve"> (INICO.). Salamanca: INICO, Universidad de Salamanca.</w:t>
      </w:r>
    </w:p>
    <w:p w:rsidR="009B60AB" w:rsidRPr="005E1103" w:rsidRDefault="009B60AB" w:rsidP="009B60AB">
      <w:pPr>
        <w:pStyle w:val="Textoindependiente"/>
        <w:spacing w:before="100" w:beforeAutospacing="1" w:after="100" w:afterAutospacing="1"/>
        <w:jc w:val="both"/>
        <w:rPr>
          <w:rFonts w:asciiTheme="minorHAnsi" w:hAnsiTheme="minorHAnsi" w:cstheme="minorHAnsi"/>
          <w:sz w:val="28"/>
          <w:szCs w:val="28"/>
        </w:rPr>
      </w:pPr>
      <w:r w:rsidRPr="005E1103">
        <w:rPr>
          <w:rFonts w:asciiTheme="minorHAnsi" w:hAnsiTheme="minorHAnsi" w:cstheme="minorHAnsi"/>
          <w:caps/>
          <w:sz w:val="28"/>
          <w:szCs w:val="28"/>
        </w:rPr>
        <w:t>-.Echeita Sarrionandia G, Verdugo Alonso MA.</w:t>
      </w:r>
      <w:r w:rsidRPr="005E1103">
        <w:rPr>
          <w:rFonts w:asciiTheme="minorHAnsi" w:hAnsiTheme="minorHAnsi" w:cstheme="minorHAnsi"/>
          <w:sz w:val="28"/>
          <w:szCs w:val="28"/>
        </w:rPr>
        <w:t xml:space="preserve"> (2004).  La Declaración de Salamanca sobre necesidades educativas especiales 10 años después. Valoración y perspectiva. Salamanca: Instituto Integración en la Comunidad (INICO).</w:t>
      </w:r>
    </w:p>
    <w:p w:rsidR="009B60AB" w:rsidRPr="005E1103" w:rsidRDefault="009B60AB" w:rsidP="009B60AB">
      <w:pPr>
        <w:pStyle w:val="Textoindependiente"/>
        <w:jc w:val="both"/>
        <w:rPr>
          <w:rFonts w:asciiTheme="minorHAnsi" w:hAnsiTheme="minorHAnsi" w:cstheme="minorHAnsi"/>
          <w:sz w:val="28"/>
          <w:szCs w:val="28"/>
        </w:rPr>
      </w:pPr>
      <w:r w:rsidRPr="005E1103">
        <w:rPr>
          <w:rFonts w:asciiTheme="minorHAnsi" w:hAnsiTheme="minorHAnsi" w:cstheme="minorHAnsi"/>
          <w:sz w:val="28"/>
          <w:szCs w:val="28"/>
        </w:rPr>
        <w:t>-.FERNANDEZ MARTÍN LC (2013). Habilidades Sociales y de Comunicación. En: MIRÓN-CANELO JA, ED. Guía para la elaboración de Trabajos Científicos. Salamanca: Gráficas Lope, 175-184.</w:t>
      </w:r>
    </w:p>
    <w:p w:rsidR="009B60AB" w:rsidRPr="005E1103" w:rsidRDefault="009B60AB" w:rsidP="009B60AB">
      <w:pPr>
        <w:pStyle w:val="Textoindependiente"/>
        <w:spacing w:before="100" w:beforeAutospacing="1" w:after="100" w:afterAutospacing="1"/>
        <w:jc w:val="both"/>
        <w:rPr>
          <w:rFonts w:asciiTheme="minorHAnsi" w:hAnsiTheme="minorHAnsi" w:cstheme="minorHAnsi"/>
          <w:sz w:val="28"/>
          <w:szCs w:val="28"/>
          <w:lang w:val="en-US"/>
        </w:rPr>
      </w:pPr>
      <w:r w:rsidRPr="005E1103">
        <w:rPr>
          <w:rFonts w:asciiTheme="minorHAnsi" w:hAnsiTheme="minorHAnsi" w:cstheme="minorHAnsi"/>
          <w:caps/>
          <w:sz w:val="28"/>
          <w:szCs w:val="28"/>
          <w:lang w:val="es-ES_tradnl"/>
        </w:rPr>
        <w:t xml:space="preserve">-.Forteza Forteza D, Ortego Hernando JL. </w:t>
      </w:r>
      <w:r w:rsidRPr="005E1103">
        <w:rPr>
          <w:rFonts w:asciiTheme="minorHAnsi" w:hAnsiTheme="minorHAnsi" w:cstheme="minorHAnsi"/>
          <w:sz w:val="28"/>
          <w:szCs w:val="28"/>
        </w:rPr>
        <w:t xml:space="preserve">(2003). </w:t>
      </w:r>
      <w:r w:rsidRPr="005E1103">
        <w:rPr>
          <w:rFonts w:asciiTheme="minorHAnsi" w:hAnsiTheme="minorHAnsi" w:cstheme="minorHAnsi"/>
          <w:sz w:val="28"/>
          <w:szCs w:val="28"/>
          <w:lang w:val="es-ES_tradnl"/>
        </w:rPr>
        <w:t xml:space="preserve"> Universidad y Discapacidad: Estado de la cuestión y temas pendientes. </w:t>
      </w:r>
      <w:r w:rsidRPr="005E1103">
        <w:rPr>
          <w:rFonts w:asciiTheme="minorHAnsi" w:hAnsiTheme="minorHAnsi" w:cstheme="minorHAnsi"/>
          <w:sz w:val="28"/>
          <w:szCs w:val="28"/>
          <w:lang w:val="en-US"/>
        </w:rPr>
        <w:t>Bordon; 55: 103-113.</w:t>
      </w:r>
    </w:p>
    <w:p w:rsidR="009B60AB" w:rsidRPr="005E1103" w:rsidRDefault="009B60AB" w:rsidP="009B60AB">
      <w:pPr>
        <w:autoSpaceDE w:val="0"/>
        <w:autoSpaceDN w:val="0"/>
        <w:adjustRightInd w:val="0"/>
        <w:spacing w:before="100" w:beforeAutospacing="1" w:after="100" w:afterAutospacing="1" w:line="240" w:lineRule="auto"/>
        <w:jc w:val="both"/>
        <w:rPr>
          <w:rFonts w:cstheme="minorHAnsi"/>
          <w:sz w:val="28"/>
          <w:szCs w:val="28"/>
        </w:rPr>
      </w:pPr>
      <w:r w:rsidRPr="005E1103">
        <w:rPr>
          <w:rFonts w:cstheme="minorHAnsi"/>
          <w:caps/>
          <w:sz w:val="28"/>
          <w:szCs w:val="28"/>
          <w:lang w:val="en-US"/>
        </w:rPr>
        <w:t>-.González J, Wagennar R</w:t>
      </w:r>
      <w:r w:rsidRPr="005E1103">
        <w:rPr>
          <w:rFonts w:cstheme="minorHAnsi"/>
          <w:sz w:val="28"/>
          <w:szCs w:val="28"/>
          <w:lang w:val="en-US"/>
        </w:rPr>
        <w:t xml:space="preserve">. (2005). </w:t>
      </w:r>
      <w:r w:rsidRPr="005E1103">
        <w:rPr>
          <w:rFonts w:cstheme="minorHAnsi"/>
          <w:iCs/>
          <w:sz w:val="28"/>
          <w:szCs w:val="28"/>
          <w:lang w:val="en-US"/>
        </w:rPr>
        <w:t>Tuning Educational Structures in Europe, Final Report Phase II</w:t>
      </w:r>
      <w:r w:rsidRPr="005E1103">
        <w:rPr>
          <w:rFonts w:cstheme="minorHAnsi"/>
          <w:sz w:val="28"/>
          <w:szCs w:val="28"/>
          <w:lang w:val="en-US"/>
        </w:rPr>
        <w:t xml:space="preserve">. </w:t>
      </w:r>
      <w:r w:rsidRPr="005E1103">
        <w:rPr>
          <w:rFonts w:cstheme="minorHAnsi"/>
          <w:sz w:val="28"/>
          <w:szCs w:val="28"/>
          <w:lang w:val="es-ES_tradnl"/>
        </w:rPr>
        <w:t xml:space="preserve">Bilbao: </w:t>
      </w:r>
      <w:r w:rsidRPr="005E1103">
        <w:rPr>
          <w:rFonts w:cstheme="minorHAnsi"/>
          <w:sz w:val="28"/>
          <w:szCs w:val="28"/>
        </w:rPr>
        <w:t>Universidad de Deusto.</w:t>
      </w:r>
    </w:p>
    <w:p w:rsidR="009B60AB" w:rsidRPr="005E1103" w:rsidRDefault="009B60AB" w:rsidP="009B60AB">
      <w:pPr>
        <w:pStyle w:val="Textoindependiente"/>
        <w:jc w:val="both"/>
        <w:rPr>
          <w:rStyle w:val="Hipervnculo"/>
          <w:rFonts w:asciiTheme="minorHAnsi" w:hAnsiTheme="minorHAnsi" w:cstheme="minorHAnsi"/>
          <w:sz w:val="28"/>
          <w:szCs w:val="28"/>
        </w:rPr>
      </w:pPr>
      <w:r w:rsidRPr="005E1103">
        <w:rPr>
          <w:rStyle w:val="Hipervnculo"/>
          <w:rFonts w:asciiTheme="minorHAnsi" w:hAnsiTheme="minorHAnsi" w:cstheme="minorHAnsi"/>
          <w:sz w:val="28"/>
          <w:szCs w:val="28"/>
        </w:rPr>
        <w:t>-.GONZALEZ–GIL F (2009). Formación del profesorado y ayudas. En: Sarto Martín MP y Venegas Renauld ME. Aspectos clave de la Educación inclusiva. Salamanca: Publicaciones INICO.</w:t>
      </w:r>
    </w:p>
    <w:p w:rsidR="009B60AB" w:rsidRPr="005E1103" w:rsidRDefault="009B60AB" w:rsidP="009B60AB">
      <w:pPr>
        <w:tabs>
          <w:tab w:val="left" w:pos="1140"/>
          <w:tab w:val="left" w:pos="2160"/>
          <w:tab w:val="left" w:pos="2880"/>
          <w:tab w:val="left" w:pos="3600"/>
          <w:tab w:val="left" w:pos="4320"/>
          <w:tab w:val="left" w:pos="5040"/>
          <w:tab w:val="left" w:pos="5760"/>
          <w:tab w:val="left" w:pos="6480"/>
          <w:tab w:val="left" w:pos="7200"/>
          <w:tab w:val="left" w:pos="7920"/>
          <w:tab w:val="left" w:pos="8640"/>
          <w:tab w:val="left" w:pos="9000"/>
        </w:tabs>
        <w:spacing w:before="100" w:beforeAutospacing="1" w:after="100" w:afterAutospacing="1" w:line="240" w:lineRule="auto"/>
        <w:jc w:val="both"/>
        <w:rPr>
          <w:rFonts w:cstheme="minorHAnsi"/>
          <w:sz w:val="28"/>
          <w:szCs w:val="28"/>
          <w:lang w:val="en-US"/>
        </w:rPr>
      </w:pPr>
      <w:r w:rsidRPr="005E1103">
        <w:rPr>
          <w:rFonts w:cstheme="minorHAnsi"/>
          <w:caps/>
          <w:sz w:val="28"/>
          <w:szCs w:val="28"/>
          <w:lang w:val="es-ES_tradnl"/>
        </w:rPr>
        <w:t xml:space="preserve">-.Grau Rubio C, Fernández Hawrylak M. </w:t>
      </w:r>
      <w:r w:rsidRPr="005E1103">
        <w:rPr>
          <w:rFonts w:cstheme="minorHAnsi"/>
          <w:caps/>
          <w:sz w:val="28"/>
          <w:szCs w:val="28"/>
        </w:rPr>
        <w:t>(2008).</w:t>
      </w:r>
      <w:r w:rsidRPr="005E1103">
        <w:rPr>
          <w:rFonts w:cstheme="minorHAnsi"/>
          <w:sz w:val="28"/>
          <w:szCs w:val="28"/>
        </w:rPr>
        <w:t xml:space="preserve"> </w:t>
      </w:r>
      <w:r w:rsidRPr="005E1103">
        <w:rPr>
          <w:rFonts w:cstheme="minorHAnsi"/>
          <w:sz w:val="28"/>
          <w:szCs w:val="28"/>
          <w:lang w:val="es-ES_tradnl"/>
        </w:rPr>
        <w:t xml:space="preserve">La atención a la diversidad y las adaptaciones curriculares en la normativa española. </w:t>
      </w:r>
      <w:r w:rsidRPr="005E1103">
        <w:rPr>
          <w:rFonts w:cstheme="minorHAnsi"/>
          <w:sz w:val="28"/>
          <w:szCs w:val="28"/>
          <w:lang w:val="en-US"/>
        </w:rPr>
        <w:t>Rev Iberoamericana de Educación; 46: 1-16.</w:t>
      </w:r>
    </w:p>
    <w:p w:rsidR="009B60AB" w:rsidRPr="005E1103" w:rsidRDefault="009B60AB" w:rsidP="009B60AB">
      <w:pPr>
        <w:pStyle w:val="Textoindependiente"/>
        <w:rPr>
          <w:rFonts w:asciiTheme="minorHAnsi" w:hAnsiTheme="minorHAnsi" w:cstheme="minorHAnsi"/>
          <w:sz w:val="28"/>
          <w:szCs w:val="28"/>
        </w:rPr>
      </w:pPr>
      <w:r w:rsidRPr="005E1103">
        <w:rPr>
          <w:rStyle w:val="Hipervnculo"/>
          <w:rFonts w:asciiTheme="minorHAnsi" w:hAnsiTheme="minorHAnsi" w:cstheme="minorHAnsi"/>
          <w:sz w:val="28"/>
          <w:szCs w:val="28"/>
          <w:lang w:val="en-US"/>
        </w:rPr>
        <w:t xml:space="preserve">-.IMPROVEMENT THROUGH RESEARCH IN THE INCLUSIVE SCHOOL, IRIS (2006). </w:t>
      </w:r>
      <w:r w:rsidRPr="005E1103">
        <w:rPr>
          <w:rStyle w:val="Hipervnculo"/>
          <w:rFonts w:asciiTheme="minorHAnsi" w:hAnsiTheme="minorHAnsi" w:cstheme="minorHAnsi"/>
          <w:sz w:val="28"/>
          <w:szCs w:val="28"/>
        </w:rPr>
        <w:t xml:space="preserve">Estrategias y prácticas en las aulas inclusivas. </w:t>
      </w:r>
      <w:r w:rsidRPr="005E1103">
        <w:rPr>
          <w:rFonts w:asciiTheme="minorHAnsi" w:hAnsiTheme="minorHAnsi" w:cstheme="minorHAnsi"/>
          <w:sz w:val="28"/>
          <w:szCs w:val="28"/>
        </w:rPr>
        <w:t xml:space="preserve">Disponible en: </w:t>
      </w:r>
      <w:hyperlink r:id="rId93" w:history="1">
        <w:r w:rsidRPr="005E1103">
          <w:rPr>
            <w:rStyle w:val="Hipervnculo"/>
            <w:rFonts w:asciiTheme="minorHAnsi" w:hAnsiTheme="minorHAnsi" w:cstheme="minorHAnsi"/>
            <w:sz w:val="28"/>
            <w:szCs w:val="28"/>
          </w:rPr>
          <w:t>http://www.irisprojet.eu/teachersweb/ES/docs/</w:t>
        </w:r>
      </w:hyperlink>
    </w:p>
    <w:p w:rsidR="009B60AB" w:rsidRPr="005E1103" w:rsidRDefault="009B60AB" w:rsidP="009B60AB">
      <w:pPr>
        <w:tabs>
          <w:tab w:val="left" w:pos="-1440"/>
          <w:tab w:val="left" w:pos="180"/>
        </w:tabs>
        <w:spacing w:before="100" w:beforeAutospacing="1" w:after="100" w:afterAutospacing="1" w:line="240" w:lineRule="auto"/>
        <w:jc w:val="both"/>
        <w:rPr>
          <w:rFonts w:cstheme="minorHAnsi"/>
          <w:color w:val="0070C0"/>
          <w:sz w:val="28"/>
          <w:szCs w:val="28"/>
          <w:u w:val="single"/>
        </w:rPr>
      </w:pPr>
      <w:r w:rsidRPr="005E1103">
        <w:rPr>
          <w:rFonts w:cstheme="minorHAnsi"/>
          <w:caps/>
          <w:sz w:val="28"/>
          <w:szCs w:val="28"/>
        </w:rPr>
        <w:t>-.Ministerio de Educación y Ciencia.</w:t>
      </w:r>
      <w:r w:rsidRPr="005E1103">
        <w:rPr>
          <w:rFonts w:cstheme="minorHAnsi"/>
          <w:sz w:val="28"/>
          <w:szCs w:val="28"/>
        </w:rPr>
        <w:t xml:space="preserve"> (2009). Educación inclusiva. Iguales en la diversidad. Disponible en: </w:t>
      </w:r>
      <w:r w:rsidRPr="005E1103">
        <w:rPr>
          <w:rFonts w:cstheme="minorHAnsi"/>
          <w:color w:val="0070C0"/>
          <w:sz w:val="28"/>
          <w:szCs w:val="28"/>
          <w:u w:val="single"/>
        </w:rPr>
        <w:t>htpp://www.ite.educacion.es/formación/materiales/126/cd/glosario.htm</w:t>
      </w:r>
    </w:p>
    <w:p w:rsidR="009B60AB" w:rsidRPr="005E1103" w:rsidRDefault="009B60AB" w:rsidP="009B60AB">
      <w:pPr>
        <w:pStyle w:val="Textoindependiente"/>
        <w:jc w:val="both"/>
        <w:rPr>
          <w:rFonts w:asciiTheme="minorHAnsi" w:hAnsiTheme="minorHAnsi" w:cstheme="minorHAnsi"/>
          <w:sz w:val="28"/>
          <w:szCs w:val="28"/>
        </w:rPr>
      </w:pPr>
      <w:r w:rsidRPr="005E1103">
        <w:rPr>
          <w:rFonts w:asciiTheme="minorHAnsi" w:hAnsiTheme="minorHAnsi" w:cstheme="minorHAnsi"/>
          <w:sz w:val="28"/>
          <w:szCs w:val="28"/>
        </w:rPr>
        <w:t>-.MIRÓN-CANELO JA, ED (2013). Guía para la elaboración de Trabajos Científicos. Salamanca: Gráficas Lope.</w:t>
      </w:r>
    </w:p>
    <w:p w:rsidR="009B60AB" w:rsidRPr="005E1103" w:rsidRDefault="009B60AB" w:rsidP="009B60AB">
      <w:pPr>
        <w:pStyle w:val="Textoindependiente"/>
        <w:jc w:val="both"/>
        <w:rPr>
          <w:rFonts w:asciiTheme="minorHAnsi" w:hAnsiTheme="minorHAnsi" w:cstheme="minorHAnsi"/>
          <w:sz w:val="28"/>
          <w:szCs w:val="28"/>
        </w:rPr>
      </w:pPr>
    </w:p>
    <w:p w:rsidR="009B60AB" w:rsidRPr="005E1103" w:rsidRDefault="009B60AB" w:rsidP="009B60AB">
      <w:pPr>
        <w:pStyle w:val="Textoindependiente"/>
        <w:jc w:val="both"/>
        <w:rPr>
          <w:rFonts w:asciiTheme="minorHAnsi" w:hAnsiTheme="minorHAnsi" w:cstheme="minorHAnsi"/>
          <w:sz w:val="28"/>
          <w:szCs w:val="28"/>
        </w:rPr>
      </w:pPr>
      <w:r w:rsidRPr="005E1103">
        <w:rPr>
          <w:rFonts w:asciiTheme="minorHAnsi" w:hAnsiTheme="minorHAnsi" w:cstheme="minorHAnsi"/>
          <w:sz w:val="28"/>
          <w:szCs w:val="28"/>
        </w:rPr>
        <w:lastRenderedPageBreak/>
        <w:t>-.MIRÓN-CANELO JA, ED (2014). Formación Curricular en Diseño para Todas las Personas en Medicina. Madrid: Conferencia de Rectores de las Universidades españolas CRUE.</w:t>
      </w:r>
    </w:p>
    <w:p w:rsidR="009B60AB" w:rsidRPr="005E1103" w:rsidRDefault="009B60AB" w:rsidP="009B60AB">
      <w:pPr>
        <w:pStyle w:val="Textoindependiente"/>
        <w:spacing w:before="100" w:beforeAutospacing="1" w:after="100" w:afterAutospacing="1"/>
        <w:jc w:val="both"/>
        <w:rPr>
          <w:rFonts w:asciiTheme="minorHAnsi" w:hAnsiTheme="minorHAnsi" w:cstheme="minorHAnsi"/>
          <w:sz w:val="28"/>
          <w:szCs w:val="28"/>
        </w:rPr>
      </w:pPr>
      <w:r w:rsidRPr="005E1103">
        <w:rPr>
          <w:rFonts w:asciiTheme="minorHAnsi" w:hAnsiTheme="minorHAnsi" w:cstheme="minorHAnsi"/>
          <w:caps/>
          <w:sz w:val="28"/>
          <w:szCs w:val="28"/>
        </w:rPr>
        <w:t>-.Ortego Hernando JL.</w:t>
      </w:r>
      <w:r w:rsidRPr="005E1103">
        <w:rPr>
          <w:rFonts w:asciiTheme="minorHAnsi" w:hAnsiTheme="minorHAnsi" w:cstheme="minorHAnsi"/>
          <w:sz w:val="28"/>
          <w:szCs w:val="28"/>
        </w:rPr>
        <w:t xml:space="preserve"> (2000). Estudiantes con discapacidad y adaptaciones curriculares en los estudios superiores. Revista Mallorquina de Pedagogía; 13: 207-218.</w:t>
      </w:r>
    </w:p>
    <w:p w:rsidR="009B60AB" w:rsidRPr="005E1103" w:rsidRDefault="009B60AB" w:rsidP="009B60AB">
      <w:pPr>
        <w:tabs>
          <w:tab w:val="left" w:pos="-1440"/>
          <w:tab w:val="left" w:pos="180"/>
        </w:tabs>
        <w:spacing w:before="100" w:beforeAutospacing="1" w:after="100" w:afterAutospacing="1" w:line="240" w:lineRule="auto"/>
        <w:jc w:val="both"/>
        <w:rPr>
          <w:rFonts w:cstheme="minorHAnsi"/>
          <w:sz w:val="28"/>
          <w:szCs w:val="28"/>
        </w:rPr>
      </w:pPr>
      <w:r w:rsidRPr="005E1103">
        <w:rPr>
          <w:rFonts w:cstheme="minorHAnsi"/>
          <w:caps/>
          <w:sz w:val="28"/>
          <w:szCs w:val="28"/>
        </w:rPr>
        <w:t>-.Peiró F (coord.)</w:t>
      </w:r>
      <w:r w:rsidRPr="005E1103">
        <w:rPr>
          <w:rFonts w:cstheme="minorHAnsi"/>
          <w:sz w:val="28"/>
          <w:szCs w:val="28"/>
        </w:rPr>
        <w:t>(2004). El proceso de convergencia y la transformación de la docencia universitaria en los países de la Unión Europea. Barcelona: Universitat Pompeu Fabra.</w:t>
      </w:r>
    </w:p>
    <w:p w:rsidR="009B60AB" w:rsidRPr="005E1103" w:rsidRDefault="009B60AB" w:rsidP="009B60AB">
      <w:pPr>
        <w:widowControl w:val="0"/>
        <w:autoSpaceDE w:val="0"/>
        <w:autoSpaceDN w:val="0"/>
        <w:spacing w:before="100" w:beforeAutospacing="1" w:after="100" w:afterAutospacing="1" w:line="240" w:lineRule="auto"/>
        <w:jc w:val="both"/>
        <w:rPr>
          <w:rFonts w:cstheme="minorHAnsi"/>
          <w:sz w:val="28"/>
          <w:szCs w:val="28"/>
        </w:rPr>
      </w:pPr>
      <w:r w:rsidRPr="005E1103">
        <w:rPr>
          <w:rFonts w:cstheme="minorHAnsi"/>
          <w:caps/>
          <w:sz w:val="28"/>
          <w:szCs w:val="28"/>
        </w:rPr>
        <w:t>-.Ruiz R.</w:t>
      </w:r>
      <w:r w:rsidRPr="005E1103">
        <w:rPr>
          <w:rFonts w:cstheme="minorHAnsi"/>
          <w:sz w:val="28"/>
          <w:szCs w:val="28"/>
        </w:rPr>
        <w:t xml:space="preserve"> (1988). Técnicas de individualización didáctica. Adecuaciones curriculares individualizadas (ACI) para alumnos con necesidades educa</w:t>
      </w:r>
      <w:r w:rsidRPr="005E1103">
        <w:rPr>
          <w:rFonts w:cstheme="minorHAnsi"/>
          <w:sz w:val="28"/>
          <w:szCs w:val="28"/>
        </w:rPr>
        <w:softHyphen/>
        <w:t>tivas especiales. (Col. Educación y Futuro). Madrid: Ed. Cincel.</w:t>
      </w:r>
    </w:p>
    <w:p w:rsidR="009B60AB" w:rsidRPr="005E1103" w:rsidRDefault="009B60AB" w:rsidP="009B60AB">
      <w:pPr>
        <w:tabs>
          <w:tab w:val="left" w:pos="1140"/>
          <w:tab w:val="left" w:pos="2160"/>
          <w:tab w:val="left" w:pos="2880"/>
          <w:tab w:val="left" w:pos="3600"/>
          <w:tab w:val="left" w:pos="4320"/>
          <w:tab w:val="left" w:pos="5040"/>
          <w:tab w:val="left" w:pos="5760"/>
          <w:tab w:val="left" w:pos="6480"/>
          <w:tab w:val="left" w:pos="7200"/>
          <w:tab w:val="left" w:pos="7920"/>
          <w:tab w:val="left" w:pos="8640"/>
          <w:tab w:val="left" w:pos="9000"/>
        </w:tabs>
        <w:spacing w:before="100" w:beforeAutospacing="1" w:after="100" w:afterAutospacing="1" w:line="240" w:lineRule="auto"/>
        <w:jc w:val="both"/>
        <w:rPr>
          <w:rFonts w:cstheme="minorHAnsi"/>
          <w:sz w:val="28"/>
          <w:szCs w:val="28"/>
          <w:lang w:val="es-ES_tradnl"/>
        </w:rPr>
      </w:pPr>
      <w:r w:rsidRPr="005E1103">
        <w:rPr>
          <w:rFonts w:cstheme="minorHAnsi"/>
          <w:caps/>
          <w:sz w:val="28"/>
          <w:szCs w:val="28"/>
          <w:lang w:val="es-ES_tradnl"/>
        </w:rPr>
        <w:t>-.Sánchez Palomino A.</w:t>
      </w:r>
      <w:r w:rsidRPr="005E1103">
        <w:rPr>
          <w:rFonts w:cstheme="minorHAnsi"/>
          <w:sz w:val="28"/>
          <w:szCs w:val="28"/>
          <w:lang w:val="es-ES_tradnl"/>
        </w:rPr>
        <w:t xml:space="preserve"> </w:t>
      </w:r>
      <w:r w:rsidRPr="005E1103">
        <w:rPr>
          <w:rFonts w:cstheme="minorHAnsi"/>
          <w:sz w:val="28"/>
          <w:szCs w:val="28"/>
        </w:rPr>
        <w:t xml:space="preserve">(2011). </w:t>
      </w:r>
      <w:r w:rsidRPr="005E1103">
        <w:rPr>
          <w:rFonts w:cstheme="minorHAnsi"/>
          <w:sz w:val="28"/>
          <w:szCs w:val="28"/>
          <w:lang w:val="es-ES_tradnl"/>
        </w:rPr>
        <w:t xml:space="preserve"> La universidad de Almería ante la integración educativa y social de los estudiantes con discapacidad: Ideas y actitudes del personal docente e investigador. Rev Educación; 354: 575-603.</w:t>
      </w:r>
    </w:p>
    <w:p w:rsidR="009B60AB" w:rsidRPr="005E1103" w:rsidRDefault="009B60AB">
      <w:pPr>
        <w:rPr>
          <w:rFonts w:cstheme="minorHAnsi"/>
          <w:b/>
          <w:color w:val="C00000"/>
          <w:sz w:val="28"/>
          <w:szCs w:val="28"/>
        </w:rPr>
      </w:pPr>
      <w:r w:rsidRPr="005E1103">
        <w:rPr>
          <w:rFonts w:cstheme="minorHAnsi"/>
          <w:b/>
          <w:color w:val="C00000"/>
          <w:sz w:val="28"/>
          <w:szCs w:val="28"/>
        </w:rPr>
        <w:br w:type="page"/>
      </w:r>
    </w:p>
    <w:p w:rsidR="009B60AB" w:rsidRPr="005E1103" w:rsidRDefault="009B60AB" w:rsidP="009B60AB">
      <w:pPr>
        <w:tabs>
          <w:tab w:val="left" w:pos="1140"/>
          <w:tab w:val="left" w:pos="2160"/>
          <w:tab w:val="left" w:pos="2880"/>
          <w:tab w:val="left" w:pos="3600"/>
          <w:tab w:val="left" w:pos="4320"/>
          <w:tab w:val="left" w:pos="5040"/>
          <w:tab w:val="left" w:pos="5760"/>
          <w:tab w:val="left" w:pos="6480"/>
          <w:tab w:val="left" w:pos="7200"/>
          <w:tab w:val="left" w:pos="7920"/>
          <w:tab w:val="left" w:pos="8640"/>
          <w:tab w:val="left" w:pos="9000"/>
        </w:tabs>
        <w:spacing w:before="100" w:beforeAutospacing="1" w:after="100" w:afterAutospacing="1" w:line="240" w:lineRule="auto"/>
        <w:jc w:val="both"/>
        <w:rPr>
          <w:rFonts w:cstheme="minorHAnsi"/>
          <w:b/>
          <w:color w:val="C00000"/>
          <w:sz w:val="28"/>
          <w:szCs w:val="28"/>
        </w:rPr>
      </w:pPr>
      <w:r w:rsidRPr="005E1103">
        <w:rPr>
          <w:rFonts w:cstheme="minorHAnsi"/>
          <w:b/>
          <w:color w:val="C00000"/>
          <w:sz w:val="28"/>
          <w:szCs w:val="28"/>
        </w:rPr>
        <w:lastRenderedPageBreak/>
        <w:t>ANEXO 1.- CUESTIONARIO DE EVALUACIÓN</w:t>
      </w:r>
    </w:p>
    <w:p w:rsidR="00DF59FF" w:rsidRPr="005E1103" w:rsidRDefault="009B60AB" w:rsidP="00DF59FF">
      <w:pPr>
        <w:spacing w:before="175" w:line="256" w:lineRule="auto"/>
        <w:ind w:left="102" w:right="121"/>
        <w:jc w:val="both"/>
        <w:rPr>
          <w:rFonts w:cstheme="minorHAnsi"/>
          <w:sz w:val="28"/>
          <w:szCs w:val="28"/>
        </w:rPr>
      </w:pPr>
      <w:r w:rsidRPr="005E1103">
        <w:rPr>
          <w:rFonts w:cstheme="minorHAnsi"/>
          <w:noProof/>
          <w:sz w:val="28"/>
          <w:szCs w:val="28"/>
          <w:lang w:eastAsia="es-ES"/>
        </w:rPr>
        <w:drawing>
          <wp:inline distT="0" distB="0" distL="0" distR="0" wp14:anchorId="0CBE4EDC" wp14:editId="7BE41660">
            <wp:extent cx="5400040" cy="7633970"/>
            <wp:effectExtent l="0" t="0" r="0" b="508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uestionario del iuce.tif"/>
                    <pic:cNvPicPr/>
                  </pic:nvPicPr>
                  <pic:blipFill>
                    <a:blip r:embed="rId94">
                      <a:extLst>
                        <a:ext uri="{28A0092B-C50C-407E-A947-70E740481C1C}">
                          <a14:useLocalDpi xmlns:a14="http://schemas.microsoft.com/office/drawing/2010/main" val="0"/>
                        </a:ext>
                      </a:extLst>
                    </a:blip>
                    <a:stretch>
                      <a:fillRect/>
                    </a:stretch>
                  </pic:blipFill>
                  <pic:spPr>
                    <a:xfrm>
                      <a:off x="0" y="0"/>
                      <a:ext cx="5400040" cy="7633970"/>
                    </a:xfrm>
                    <a:prstGeom prst="rect">
                      <a:avLst/>
                    </a:prstGeom>
                  </pic:spPr>
                </pic:pic>
              </a:graphicData>
            </a:graphic>
          </wp:inline>
        </w:drawing>
      </w:r>
    </w:p>
    <w:p w:rsidR="00DF59FF" w:rsidRPr="005E1103" w:rsidRDefault="00DF59FF" w:rsidP="00DF59FF">
      <w:pPr>
        <w:pStyle w:val="Prrafodelista"/>
        <w:tabs>
          <w:tab w:val="left" w:pos="7932"/>
        </w:tabs>
        <w:spacing w:line="360" w:lineRule="auto"/>
        <w:ind w:left="567" w:hanging="567"/>
        <w:contextualSpacing w:val="0"/>
        <w:jc w:val="both"/>
        <w:rPr>
          <w:rFonts w:asciiTheme="minorHAnsi" w:hAnsiTheme="minorHAnsi" w:cstheme="minorHAnsi"/>
          <w:sz w:val="28"/>
          <w:szCs w:val="28"/>
        </w:rPr>
      </w:pPr>
    </w:p>
    <w:p w:rsidR="005B72C1" w:rsidRPr="005E1103" w:rsidRDefault="005B72C1" w:rsidP="005B72C1">
      <w:pPr>
        <w:spacing w:line="360" w:lineRule="auto"/>
        <w:rPr>
          <w:rFonts w:cstheme="minorHAnsi"/>
          <w:b/>
          <w:sz w:val="28"/>
          <w:szCs w:val="28"/>
        </w:rPr>
      </w:pPr>
    </w:p>
    <w:p w:rsidR="009B60AB" w:rsidRPr="005E1103" w:rsidRDefault="009B60AB" w:rsidP="009B60AB">
      <w:pPr>
        <w:spacing w:line="360" w:lineRule="auto"/>
        <w:jc w:val="center"/>
        <w:rPr>
          <w:rFonts w:cstheme="minorHAnsi"/>
          <w:b/>
          <w:sz w:val="28"/>
          <w:szCs w:val="28"/>
        </w:rPr>
      </w:pPr>
      <w:r w:rsidRPr="005E1103">
        <w:rPr>
          <w:rFonts w:cstheme="minorHAnsi"/>
          <w:b/>
          <w:sz w:val="28"/>
          <w:szCs w:val="28"/>
        </w:rPr>
        <w:lastRenderedPageBreak/>
        <w:t>COMUNICACIÓN 9</w:t>
      </w:r>
    </w:p>
    <w:p w:rsidR="009B60AB" w:rsidRPr="005E1103" w:rsidRDefault="009B60AB" w:rsidP="009B60AB">
      <w:pPr>
        <w:pBdr>
          <w:top w:val="single" w:sz="4" w:space="1" w:color="auto"/>
          <w:left w:val="single" w:sz="4" w:space="4" w:color="auto"/>
          <w:bottom w:val="single" w:sz="4" w:space="1" w:color="auto"/>
          <w:right w:val="single" w:sz="4" w:space="4" w:color="auto"/>
        </w:pBdr>
        <w:spacing w:before="120" w:after="120" w:line="240" w:lineRule="auto"/>
        <w:jc w:val="center"/>
        <w:rPr>
          <w:rFonts w:cstheme="minorHAnsi"/>
          <w:sz w:val="28"/>
          <w:szCs w:val="28"/>
        </w:rPr>
      </w:pPr>
      <w:r w:rsidRPr="005E1103">
        <w:rPr>
          <w:rFonts w:cstheme="minorHAnsi"/>
          <w:sz w:val="28"/>
          <w:szCs w:val="28"/>
        </w:rPr>
        <w:t>Incluye-T: Programa de formación de profesores de educación física para la mejora de su percepción de autoeficacia para con la inclusión de alumnos con discapacidad</w:t>
      </w:r>
    </w:p>
    <w:p w:rsidR="009B60AB" w:rsidRPr="005E1103" w:rsidRDefault="009B60AB" w:rsidP="009B60AB">
      <w:pPr>
        <w:spacing w:line="360" w:lineRule="auto"/>
        <w:jc w:val="center"/>
        <w:rPr>
          <w:rFonts w:cstheme="minorHAnsi"/>
          <w:b/>
          <w:sz w:val="28"/>
          <w:szCs w:val="28"/>
        </w:rPr>
      </w:pPr>
    </w:p>
    <w:p w:rsidR="009B60AB" w:rsidRPr="005E1103" w:rsidRDefault="009B60AB" w:rsidP="009B60AB">
      <w:pPr>
        <w:spacing w:before="120" w:after="120" w:line="240" w:lineRule="auto"/>
        <w:jc w:val="right"/>
        <w:rPr>
          <w:rFonts w:cstheme="minorHAnsi"/>
          <w:sz w:val="28"/>
          <w:szCs w:val="28"/>
        </w:rPr>
      </w:pPr>
      <w:r w:rsidRPr="005E1103">
        <w:rPr>
          <w:rFonts w:cstheme="minorHAnsi"/>
          <w:sz w:val="28"/>
          <w:szCs w:val="28"/>
        </w:rPr>
        <w:t>Dr. Raúl Reina</w:t>
      </w:r>
    </w:p>
    <w:p w:rsidR="009B60AB" w:rsidRPr="005E1103" w:rsidRDefault="009B60AB" w:rsidP="009B60AB">
      <w:pPr>
        <w:spacing w:before="120" w:after="120" w:line="240" w:lineRule="auto"/>
        <w:jc w:val="right"/>
        <w:rPr>
          <w:rFonts w:cstheme="minorHAnsi"/>
          <w:sz w:val="28"/>
          <w:szCs w:val="28"/>
        </w:rPr>
      </w:pPr>
      <w:r w:rsidRPr="005E1103">
        <w:rPr>
          <w:rFonts w:cstheme="minorHAnsi"/>
          <w:sz w:val="28"/>
          <w:szCs w:val="28"/>
        </w:rPr>
        <w:t>Profesor Titular en Actividades Físicas y Deportes Adaptados</w:t>
      </w:r>
    </w:p>
    <w:p w:rsidR="009B60AB" w:rsidRPr="005E1103" w:rsidRDefault="009B60AB" w:rsidP="009B60AB">
      <w:pPr>
        <w:spacing w:before="120" w:after="120" w:line="240" w:lineRule="auto"/>
        <w:jc w:val="right"/>
        <w:rPr>
          <w:rFonts w:cstheme="minorHAnsi"/>
          <w:sz w:val="28"/>
          <w:szCs w:val="28"/>
        </w:rPr>
      </w:pPr>
      <w:r w:rsidRPr="005E1103">
        <w:rPr>
          <w:rFonts w:cstheme="minorHAnsi"/>
          <w:sz w:val="28"/>
          <w:szCs w:val="28"/>
        </w:rPr>
        <w:t>Universidad Miguel Hernández de Elche</w:t>
      </w:r>
    </w:p>
    <w:p w:rsidR="009B60AB" w:rsidRPr="005E1103" w:rsidRDefault="009B60AB" w:rsidP="009B60AB">
      <w:pPr>
        <w:spacing w:before="120" w:after="120" w:line="360" w:lineRule="auto"/>
        <w:jc w:val="both"/>
        <w:rPr>
          <w:rFonts w:cstheme="minorHAnsi"/>
          <w:b/>
          <w:sz w:val="28"/>
          <w:szCs w:val="28"/>
        </w:rPr>
      </w:pPr>
    </w:p>
    <w:p w:rsidR="009B60AB" w:rsidRPr="005E1103" w:rsidRDefault="009B60AB" w:rsidP="009B60AB">
      <w:pPr>
        <w:spacing w:before="120" w:after="120" w:line="360" w:lineRule="auto"/>
        <w:jc w:val="both"/>
        <w:rPr>
          <w:rFonts w:cstheme="minorHAnsi"/>
          <w:b/>
          <w:sz w:val="28"/>
          <w:szCs w:val="28"/>
        </w:rPr>
      </w:pPr>
      <w:r w:rsidRPr="005E1103">
        <w:rPr>
          <w:rFonts w:cstheme="minorHAnsi"/>
          <w:b/>
          <w:sz w:val="28"/>
          <w:szCs w:val="28"/>
        </w:rPr>
        <w:t>Introducción</w:t>
      </w:r>
    </w:p>
    <w:p w:rsidR="009B60AB" w:rsidRPr="005E1103" w:rsidRDefault="009B60AB" w:rsidP="009B60AB">
      <w:pPr>
        <w:spacing w:before="120" w:after="120" w:line="360" w:lineRule="auto"/>
        <w:ind w:firstLine="708"/>
        <w:jc w:val="both"/>
        <w:rPr>
          <w:rFonts w:cstheme="minorHAnsi"/>
          <w:sz w:val="28"/>
          <w:szCs w:val="28"/>
        </w:rPr>
      </w:pPr>
      <w:r w:rsidRPr="005E1103">
        <w:rPr>
          <w:rFonts w:cstheme="minorHAnsi"/>
          <w:sz w:val="28"/>
          <w:szCs w:val="28"/>
        </w:rPr>
        <w:t xml:space="preserve">España ratificó la Convención de las Naciones Unidas (ONU, 2006) acerca de los derechos de las Personas con Discapacidad en 2007, cuyo artículo 24 establece que la inclusión de alumnos con discapacidad en el sistema educativo debería ser la norma y no una excepción (United Nations, 2015). En el curso 2015-2016, la Ley Orgánica para la Mejora de la Calidad Educativa (LOMCE, 2013) comenzó a implantarse en España, postulando que la adquisición de competencias y conocimientos debe basarse en un modelo educativo que estimule la autonomía de los estudiantes, con un énfasis en metodologías cooperativas y sociales, que incluya la promoción de valores. Sin embargo, muchos de los programas formativos para profesores de educación física en España carecen de una formación específica en educación física inclusiva -EFI- (Reina, Hutzler, Iniguez-Santiago, y Moreno-Murcia, 2016), con una especial preocupación en aquellos profesores que están en el sistema educativo y no tienen oportunidades para poder actualizar sus conocimientos o competencias en materia de inclusión. </w:t>
      </w:r>
    </w:p>
    <w:p w:rsidR="009B60AB" w:rsidRPr="005E1103" w:rsidRDefault="009B60AB" w:rsidP="009B60AB">
      <w:pPr>
        <w:spacing w:before="120" w:after="120" w:line="360" w:lineRule="auto"/>
        <w:ind w:firstLine="708"/>
        <w:jc w:val="both"/>
        <w:rPr>
          <w:rFonts w:cstheme="minorHAnsi"/>
          <w:sz w:val="28"/>
          <w:szCs w:val="28"/>
        </w:rPr>
      </w:pPr>
      <w:r w:rsidRPr="005E1103">
        <w:rPr>
          <w:rFonts w:cstheme="minorHAnsi"/>
          <w:sz w:val="28"/>
          <w:szCs w:val="28"/>
        </w:rPr>
        <w:t xml:space="preserve">La inclusión en entornos deportivos o que incluyan el movimiento, tales como la educación física, conlleva numerosos beneficios, con una mejor aceptación de las personas con diferentes capacidades en actividades de la vida diaria, mejora de la calidad de vida y aumento de su competencia social (Block, 1994; Reina, 2014). La inclusión </w:t>
      </w:r>
      <w:r w:rsidRPr="005E1103">
        <w:rPr>
          <w:rFonts w:cstheme="minorHAnsi"/>
          <w:sz w:val="28"/>
          <w:szCs w:val="28"/>
        </w:rPr>
        <w:lastRenderedPageBreak/>
        <w:t xml:space="preserve">permite interacciones entre alumnos de edades similares, reduciendo los sentimientos de aislamiento, incrementando las expectativas de las personas, cambiando actitudes o ayudando a la aceptación de diferencias, incrementando así los derechos de las personas con discapacidad y la igualdad de oportunidades (DePauw, y Doll-Tepper, 2000; Ocete-Calvo, 2016). </w:t>
      </w:r>
    </w:p>
    <w:p w:rsidR="009B60AB" w:rsidRPr="005E1103" w:rsidRDefault="009B60AB" w:rsidP="009B60AB">
      <w:pPr>
        <w:spacing w:before="120" w:after="120" w:line="360" w:lineRule="auto"/>
        <w:ind w:firstLine="708"/>
        <w:jc w:val="both"/>
        <w:rPr>
          <w:rFonts w:cstheme="minorHAnsi"/>
          <w:sz w:val="28"/>
          <w:szCs w:val="28"/>
        </w:rPr>
      </w:pPr>
      <w:r w:rsidRPr="005E1103">
        <w:rPr>
          <w:rFonts w:cstheme="minorHAnsi"/>
          <w:sz w:val="28"/>
          <w:szCs w:val="28"/>
        </w:rPr>
        <w:t>A pesar de todos los beneficios que la EFI reporta, encontramos en ocasiones que la implementación de la misma no es efectiva, cuando los profesores y profesoras de educación física son los responsables de realizar las adaptaciones necesarias para una participación exitosa, segura y, sobre todo, inclusiva. Así, varios trabajos de la literatura evidencian que una inadecuada formación o desarrollo profesional de los profesores es una de las barreras para una inclusión efectiva, unido a otros aspectos como el limitado apoyo a los profesores, las clases sobredimensionadas en cuanto al número de alumnos, el tiempo disponible para organizar y realizar la actividad educativa, la falta de competencia y/o la confianza percibida por parte de los profesores (Kodish, Kulinna, Martin, Pangrazi, y Darst; Konza, 2008; Block, y Obrushnikova, 2007; Block, Hutzler, Barak, y Klavina, 2013), aspecto éste último sobre el que centraremos el presente trabajo.</w:t>
      </w:r>
    </w:p>
    <w:p w:rsidR="009B60AB" w:rsidRPr="005E1103" w:rsidRDefault="009B60AB" w:rsidP="009B60AB">
      <w:pPr>
        <w:spacing w:before="120" w:after="120" w:line="360" w:lineRule="auto"/>
        <w:ind w:firstLine="708"/>
        <w:jc w:val="both"/>
        <w:rPr>
          <w:rFonts w:cstheme="minorHAnsi"/>
          <w:sz w:val="28"/>
          <w:szCs w:val="28"/>
        </w:rPr>
      </w:pPr>
      <w:r w:rsidRPr="005E1103">
        <w:rPr>
          <w:rFonts w:cstheme="minorHAnsi"/>
          <w:sz w:val="28"/>
          <w:szCs w:val="28"/>
        </w:rPr>
        <w:t>Así, una inadecuada preparación de los profesores conlleva un efecto negativo en la percepción de competencia, confianza y actitudes para con el proceso inclusivo (Ammah, y Hodge, 2005; Hutzler, Zach, y Gafni, 2005; Ocete-Calvo, 2016), por lo que la formación orientada para la mejora del sentimiento de autoeficacia se convierte en un aspecto fundamental. Y dado que una inadecuada preparación de los profesores conllevaría un efecto negativo en la percepción de competencia, confianza y actitudes para con el proceso inclusivo, este trabajo aplica un proceso formativo a profesores en activo de educación física para la mejora de su percepción de autoeficacia, concretamente para resolver situaciones de inclusión de alumnos con discapacidad física, visual e intelectual.</w:t>
      </w:r>
    </w:p>
    <w:p w:rsidR="009B60AB" w:rsidRPr="005E1103" w:rsidRDefault="009B60AB" w:rsidP="009B60AB">
      <w:pPr>
        <w:spacing w:before="120" w:after="120" w:line="360" w:lineRule="auto"/>
        <w:jc w:val="both"/>
        <w:rPr>
          <w:rFonts w:cstheme="minorHAnsi"/>
          <w:b/>
          <w:sz w:val="28"/>
          <w:szCs w:val="28"/>
        </w:rPr>
      </w:pPr>
    </w:p>
    <w:p w:rsidR="009B60AB" w:rsidRPr="005E1103" w:rsidRDefault="009B60AB" w:rsidP="009B60AB">
      <w:pPr>
        <w:spacing w:before="120" w:after="120" w:line="360" w:lineRule="auto"/>
        <w:jc w:val="both"/>
        <w:rPr>
          <w:rFonts w:cstheme="minorHAnsi"/>
          <w:b/>
          <w:sz w:val="28"/>
          <w:szCs w:val="28"/>
        </w:rPr>
      </w:pPr>
      <w:r w:rsidRPr="005E1103">
        <w:rPr>
          <w:rFonts w:cstheme="minorHAnsi"/>
          <w:b/>
          <w:sz w:val="28"/>
          <w:szCs w:val="28"/>
        </w:rPr>
        <w:t>Método</w:t>
      </w:r>
    </w:p>
    <w:p w:rsidR="009B60AB" w:rsidRPr="005E1103" w:rsidRDefault="009B60AB" w:rsidP="009B60AB">
      <w:pPr>
        <w:spacing w:before="120" w:after="120" w:line="360" w:lineRule="auto"/>
        <w:jc w:val="both"/>
        <w:rPr>
          <w:rFonts w:cstheme="minorHAnsi"/>
          <w:i/>
          <w:sz w:val="28"/>
          <w:szCs w:val="28"/>
        </w:rPr>
      </w:pPr>
      <w:r w:rsidRPr="005E1103">
        <w:rPr>
          <w:rFonts w:cstheme="minorHAnsi"/>
          <w:i/>
          <w:sz w:val="28"/>
          <w:szCs w:val="28"/>
        </w:rPr>
        <w:t>Participantes</w:t>
      </w:r>
    </w:p>
    <w:p w:rsidR="009B60AB" w:rsidRPr="005E1103" w:rsidRDefault="009B60AB" w:rsidP="009B60AB">
      <w:pPr>
        <w:spacing w:before="120" w:after="120" w:line="360" w:lineRule="auto"/>
        <w:ind w:firstLine="708"/>
        <w:jc w:val="both"/>
        <w:rPr>
          <w:rFonts w:cstheme="minorHAnsi"/>
          <w:sz w:val="28"/>
          <w:szCs w:val="28"/>
        </w:rPr>
      </w:pPr>
      <w:r w:rsidRPr="005E1103">
        <w:rPr>
          <w:rFonts w:cstheme="minorHAnsi"/>
          <w:sz w:val="28"/>
          <w:szCs w:val="28"/>
        </w:rPr>
        <w:t xml:space="preserve">Ciento y dos (n = 102)  profesores y profesoras en activo de educación física han realizado un programa formativo de 18 horas presenciales, realizado en 7 sedes de la Comunitat Valenciana, completándose con 12 horas que debían aplicar las competencias adquiridas en su centro educativo. En cuanto al sexo, 61 eran hombres (59.8%) y 42 mujeres (41.2%), con una edad promedio de 40.47 ± 9.02 años (hombres = 41.34 ± 8.89, mujeres = 39.17 ± 9.18). La experiencia docente de los profesores y profesoras incluidos en el estudio era de 14.87 ± 9.02 años (hombres = 15.02 ± 9.13, mujeres = 14.63 ± 8.96). </w:t>
      </w:r>
    </w:p>
    <w:p w:rsidR="009B60AB" w:rsidRPr="005E1103" w:rsidRDefault="009B60AB" w:rsidP="009B60AB">
      <w:pPr>
        <w:spacing w:before="120" w:after="120" w:line="360" w:lineRule="auto"/>
        <w:ind w:firstLine="708"/>
        <w:jc w:val="both"/>
        <w:rPr>
          <w:rFonts w:cstheme="minorHAnsi"/>
          <w:sz w:val="28"/>
          <w:szCs w:val="28"/>
        </w:rPr>
      </w:pPr>
      <w:r w:rsidRPr="005E1103">
        <w:rPr>
          <w:rFonts w:cstheme="minorHAnsi"/>
          <w:sz w:val="28"/>
          <w:szCs w:val="28"/>
        </w:rPr>
        <w:t xml:space="preserve">En lo que se refiere a los datos de experiencias previas de formación en actividades físicas y/o deportes para personas con discapacidad, sólo 38 de los profesores y profesoras participantes habían tenido experiencia formativa previa (37.3%; hombres = 68.4%, mujeres = 31.6%). Y en lo que respecta al contacto previo con personas con discapacidad en el ámbito profesional, encontramos experiencias de contacto en 64 de los profesores participantes (63.4%; hombres = 56.3%, mujeres = 43.8%). </w:t>
      </w:r>
    </w:p>
    <w:p w:rsidR="009B60AB" w:rsidRPr="005E1103" w:rsidRDefault="009B60AB" w:rsidP="009B60AB">
      <w:pPr>
        <w:spacing w:before="120" w:after="120" w:line="360" w:lineRule="auto"/>
        <w:ind w:firstLine="708"/>
        <w:jc w:val="both"/>
        <w:rPr>
          <w:rFonts w:cstheme="minorHAnsi"/>
          <w:sz w:val="28"/>
          <w:szCs w:val="28"/>
        </w:rPr>
      </w:pPr>
      <w:r w:rsidRPr="005E1103">
        <w:rPr>
          <w:rFonts w:cstheme="minorHAnsi"/>
          <w:sz w:val="28"/>
          <w:szCs w:val="28"/>
        </w:rPr>
        <w:t>Dicho programa se realizó al amparo del contrato suscrito entre la Universidad Miguel Hernández y El Comité Paralímpico Español, gracias a la financiación de la Fundación Trinidad Alfonso. El contacto con el profesorado se hizo a través de la oferta de la formación a través de los CEFIREs de la Comunitat Valenciana, responsables de la formación continua del profeorado, y dependientes de la Consellería de Educació, Cultura i Esports. Todos los profesores firmaron un consentimiento previo a la toma de datos, avalado por el Órgano Evaluador de Proyectos de la Universidad Miguel Hernández de Elche (Referencia DPS.RRV.01.15).</w:t>
      </w:r>
    </w:p>
    <w:p w:rsidR="009B60AB" w:rsidRPr="005E1103" w:rsidRDefault="009B60AB" w:rsidP="009B60AB">
      <w:pPr>
        <w:spacing w:before="120" w:after="120" w:line="360" w:lineRule="auto"/>
        <w:jc w:val="both"/>
        <w:rPr>
          <w:rFonts w:cstheme="minorHAnsi"/>
          <w:i/>
          <w:sz w:val="28"/>
          <w:szCs w:val="28"/>
        </w:rPr>
      </w:pPr>
      <w:r w:rsidRPr="005E1103">
        <w:rPr>
          <w:rFonts w:cstheme="minorHAnsi"/>
          <w:i/>
          <w:sz w:val="28"/>
          <w:szCs w:val="28"/>
        </w:rPr>
        <w:t>Instrumentos</w:t>
      </w:r>
    </w:p>
    <w:p w:rsidR="009B60AB" w:rsidRPr="005E1103" w:rsidRDefault="009B60AB" w:rsidP="009B60AB">
      <w:pPr>
        <w:pStyle w:val="Default"/>
        <w:spacing w:before="120" w:after="120" w:line="360" w:lineRule="auto"/>
        <w:ind w:firstLine="709"/>
        <w:jc w:val="both"/>
        <w:rPr>
          <w:rFonts w:asciiTheme="minorHAnsi" w:hAnsiTheme="minorHAnsi" w:cstheme="minorHAnsi"/>
          <w:sz w:val="28"/>
          <w:szCs w:val="28"/>
        </w:rPr>
      </w:pPr>
      <w:r w:rsidRPr="005E1103">
        <w:rPr>
          <w:rFonts w:asciiTheme="minorHAnsi" w:hAnsiTheme="minorHAnsi" w:cstheme="minorHAnsi"/>
          <w:sz w:val="28"/>
          <w:szCs w:val="28"/>
        </w:rPr>
        <w:lastRenderedPageBreak/>
        <w:t xml:space="preserve">Se ha utilizado la versión española del </w:t>
      </w:r>
      <w:r w:rsidRPr="005E1103">
        <w:rPr>
          <w:rFonts w:asciiTheme="minorHAnsi" w:hAnsiTheme="minorHAnsi" w:cstheme="minorHAnsi"/>
          <w:i/>
          <w:sz w:val="28"/>
          <w:szCs w:val="28"/>
        </w:rPr>
        <w:t>Self-Efficacy Scale for Physical Education Teacher Education Majors towards Children with Disabilities</w:t>
      </w:r>
      <w:r w:rsidRPr="005E1103">
        <w:rPr>
          <w:rFonts w:asciiTheme="minorHAnsi" w:hAnsiTheme="minorHAnsi" w:cstheme="minorHAnsi"/>
          <w:sz w:val="28"/>
          <w:szCs w:val="28"/>
        </w:rPr>
        <w:t xml:space="preserve"> (SE-PETE-D), creado y validado por Block et al. (2013) en inglés, y adaptada al español por Reina, Hemmelmayr y Sierra (2016) bajo la denominación de </w:t>
      </w:r>
      <w:r w:rsidRPr="005E1103">
        <w:rPr>
          <w:rFonts w:asciiTheme="minorHAnsi" w:hAnsiTheme="minorHAnsi" w:cstheme="minorHAnsi"/>
          <w:i/>
          <w:sz w:val="28"/>
          <w:szCs w:val="28"/>
        </w:rPr>
        <w:t>Escala de Autoeficacia en Profesores de Educación Física hacia Alumnos con Discapacidad</w:t>
      </w:r>
      <w:r w:rsidRPr="005E1103">
        <w:rPr>
          <w:rFonts w:asciiTheme="minorHAnsi" w:hAnsiTheme="minorHAnsi" w:cstheme="minorHAnsi"/>
          <w:sz w:val="28"/>
          <w:szCs w:val="28"/>
        </w:rPr>
        <w:t xml:space="preserve"> (EA-PEF-AD). Se trata de una escala que consta de 4 partes y 3 sub-escalas. Comienza con unas instrucciones acerca de cómo cumplimentar la escala, incluyendo una breve explicación de la teoría de la autoeficacia (Bandura, 1994) y un ejemplo acerca de cómo es la ratio de evaluación de la escala tipo Likert, donde 1 significa </w:t>
      </w:r>
      <w:r w:rsidRPr="005E1103">
        <w:rPr>
          <w:rFonts w:asciiTheme="minorHAnsi" w:hAnsiTheme="minorHAnsi" w:cstheme="minorHAnsi"/>
          <w:i/>
          <w:sz w:val="28"/>
          <w:szCs w:val="28"/>
        </w:rPr>
        <w:t>“sin confianza”</w:t>
      </w:r>
      <w:r w:rsidRPr="005E1103">
        <w:rPr>
          <w:rFonts w:asciiTheme="minorHAnsi" w:hAnsiTheme="minorHAnsi" w:cstheme="minorHAnsi"/>
          <w:sz w:val="28"/>
          <w:szCs w:val="28"/>
        </w:rPr>
        <w:t xml:space="preserve"> y 5 significa </w:t>
      </w:r>
      <w:r w:rsidRPr="005E1103">
        <w:rPr>
          <w:rFonts w:asciiTheme="minorHAnsi" w:hAnsiTheme="minorHAnsi" w:cstheme="minorHAnsi"/>
          <w:i/>
          <w:sz w:val="28"/>
          <w:szCs w:val="28"/>
        </w:rPr>
        <w:t>“confío completamente”</w:t>
      </w:r>
      <w:r w:rsidRPr="005E1103">
        <w:rPr>
          <w:rFonts w:asciiTheme="minorHAnsi" w:hAnsiTheme="minorHAnsi" w:cstheme="minorHAnsi"/>
          <w:sz w:val="28"/>
          <w:szCs w:val="28"/>
        </w:rPr>
        <w:t xml:space="preserve"> antes las situaciones planteadas. Las preguntas formuladas se agrupan en situaciones donde el profesor debe atender a la inclusión de un alumno con discapacidad intelectual, física y visual, concretamente acerca de la evaluación de capacidades físicas, enseñanza de habilidades motrices, y organización de juegos deportivos colectivos. La primera parte comienza con una descripción de un estudiante con discapacidad intelectual que los profesores deben incluir en sus clases de EF, debiendo contestar 11 preguntas al respecto. La segunda parte es referida a la inclusión de un alumno con discapacidad física, sobre el que deben contestar a 12 preguntas acerca de cómo se sienten de capaces y confiados para su inclusión en clase; y se finaliza con una tercera situación para con un alumno con discapacidad visual, acerca de quien se deben contestar 10 preguntas. La cuarta y última parte del cuestionario recoge datos demográficos de los participantes tales como edad, sexo o años de experiencia laboral en EF. Para evaluar las experiencias previas de formación en relación al objeto de estudio, se incluyó la pregunta: “</w:t>
      </w:r>
      <w:r w:rsidRPr="005E1103">
        <w:rPr>
          <w:rFonts w:asciiTheme="minorHAnsi" w:hAnsiTheme="minorHAnsi" w:cstheme="minorHAnsi"/>
          <w:i/>
          <w:sz w:val="28"/>
          <w:szCs w:val="28"/>
        </w:rPr>
        <w:t>¿Has cursado antes algún curso o formación en actividad/educación física adaptada/inclusiva?</w:t>
      </w:r>
      <w:r w:rsidRPr="005E1103">
        <w:rPr>
          <w:rFonts w:asciiTheme="minorHAnsi" w:hAnsiTheme="minorHAnsi" w:cstheme="minorHAnsi"/>
          <w:sz w:val="28"/>
          <w:szCs w:val="28"/>
        </w:rPr>
        <w:t>”, debiendo contestar “si” o “no”. Además, para conocer el grado de experiencia previa o contacto con personas con discapacidad, se incluyó la pregunta “</w:t>
      </w:r>
      <w:r w:rsidRPr="005E1103">
        <w:rPr>
          <w:rFonts w:asciiTheme="minorHAnsi" w:hAnsiTheme="minorHAnsi" w:cstheme="minorHAnsi"/>
          <w:i/>
          <w:sz w:val="28"/>
          <w:szCs w:val="28"/>
        </w:rPr>
        <w:t>¿Has estado involucrado previamente en alguna situación de deporte/educación física adaptada/inclusiva?</w:t>
      </w:r>
      <w:r w:rsidRPr="005E1103">
        <w:rPr>
          <w:rFonts w:asciiTheme="minorHAnsi" w:hAnsiTheme="minorHAnsi" w:cstheme="minorHAnsi"/>
          <w:sz w:val="28"/>
          <w:szCs w:val="28"/>
        </w:rPr>
        <w:t>”, debiendo ser también contestada como “si” o “no”</w:t>
      </w:r>
    </w:p>
    <w:p w:rsidR="009B60AB" w:rsidRPr="005E1103" w:rsidRDefault="009B60AB" w:rsidP="009B60AB">
      <w:pPr>
        <w:pStyle w:val="Default"/>
        <w:spacing w:before="120" w:after="120" w:line="360" w:lineRule="auto"/>
        <w:jc w:val="both"/>
        <w:rPr>
          <w:rFonts w:asciiTheme="minorHAnsi" w:hAnsiTheme="minorHAnsi" w:cstheme="minorHAnsi"/>
          <w:i/>
          <w:sz w:val="28"/>
          <w:szCs w:val="28"/>
        </w:rPr>
      </w:pPr>
      <w:r w:rsidRPr="005E1103">
        <w:rPr>
          <w:rFonts w:asciiTheme="minorHAnsi" w:hAnsiTheme="minorHAnsi" w:cstheme="minorHAnsi"/>
          <w:i/>
          <w:sz w:val="28"/>
          <w:szCs w:val="28"/>
        </w:rPr>
        <w:lastRenderedPageBreak/>
        <w:t>Procedimiento</w:t>
      </w:r>
    </w:p>
    <w:p w:rsidR="009B60AB" w:rsidRPr="005E1103" w:rsidRDefault="009B60AB" w:rsidP="009B60AB">
      <w:pPr>
        <w:spacing w:before="120" w:after="120" w:line="360" w:lineRule="auto"/>
        <w:ind w:firstLine="708"/>
        <w:jc w:val="both"/>
        <w:rPr>
          <w:rFonts w:cstheme="minorHAnsi"/>
          <w:sz w:val="28"/>
          <w:szCs w:val="28"/>
        </w:rPr>
      </w:pPr>
      <w:r w:rsidRPr="005E1103">
        <w:rPr>
          <w:rFonts w:cstheme="minorHAnsi"/>
          <w:sz w:val="28"/>
          <w:szCs w:val="28"/>
        </w:rPr>
        <w:t xml:space="preserve">Siguiendo las conclusiones de Lindsay y Edwards (2013), la formación incluye estrategias de simulación, material audiovisual, diseño curricular y contacto con paradeportistas. En la primera sesión se realizaba la toma inicial (pre-test) del cuestionario de autoeficacia, seguida de una charla por parte del director del proyecto acerca de los objetivos del programa formativa, su base científica y las bondades de las políticas educativas inclusivas. Seguidamente se realiza una sesión en el aula de educación física, compuesta por juegos cooperativos donde se simulaban diferentes impedimentos: deficiencia visual, amputación, déficit de rango de movimiento, usuario en silla de ruedas, entre otras. La segunda sesión incluye contenidos de juegos de simulación para conocer cómo incluir a personas con discapacidad sensorial, tanto visual como auditiva. La siguiente abordaba los deportes de goalball o fútbol para personas con ceguera (dependiendo disponibilidad de espacio y última sesión), así como juegos para la inclusión de alumnos con discapacidad intelectual. La cuarta sesión se basaba en el manejo de la silla de ruedas para potenciar la movilidad en el aula, junto con la simulación de otras situaciones de movilidad reducida; para continuar en una quinta sesión con los deportes de boccia y voleibol sentados. La sexta y última sesión incluía una charla y práctica interactiva con un para-deportista, utilizando en 5 ocasiones jugadores de fútbol con ceguera, un campeón paralímpico de lanzamientos en atletismo con ceguera y el campeón de España de slalom en silla de ruedas en la categoría WS2. A la finalización de la sexta sesión, los profesores realizaban de nuevo el EA-PEF-AD (post-test).        </w:t>
      </w:r>
    </w:p>
    <w:p w:rsidR="009B60AB" w:rsidRPr="005E1103" w:rsidRDefault="009B60AB" w:rsidP="009B60AB">
      <w:pPr>
        <w:spacing w:before="120" w:after="120" w:line="360" w:lineRule="auto"/>
        <w:jc w:val="both"/>
        <w:rPr>
          <w:rFonts w:cstheme="minorHAnsi"/>
          <w:i/>
          <w:sz w:val="28"/>
          <w:szCs w:val="28"/>
        </w:rPr>
      </w:pPr>
      <w:r w:rsidRPr="005E1103">
        <w:rPr>
          <w:rFonts w:cstheme="minorHAnsi"/>
          <w:i/>
          <w:sz w:val="28"/>
          <w:szCs w:val="28"/>
        </w:rPr>
        <w:t>Análisis de resultados</w:t>
      </w:r>
    </w:p>
    <w:p w:rsidR="009B60AB" w:rsidRPr="005E1103" w:rsidRDefault="009B60AB" w:rsidP="009B60AB">
      <w:pPr>
        <w:spacing w:before="120" w:after="120" w:line="360" w:lineRule="auto"/>
        <w:ind w:firstLine="708"/>
        <w:jc w:val="both"/>
        <w:rPr>
          <w:rFonts w:cstheme="minorHAnsi"/>
          <w:sz w:val="28"/>
          <w:szCs w:val="28"/>
        </w:rPr>
      </w:pPr>
      <w:r w:rsidRPr="005E1103">
        <w:rPr>
          <w:rFonts w:cstheme="minorHAnsi"/>
          <w:sz w:val="28"/>
          <w:szCs w:val="28"/>
        </w:rPr>
        <w:t xml:space="preserve">Los resultados son presentados en términos de valores medios (M) y desviación estándar (DT). Se procedió a la realización de un análisis de normalidad de Kolmogorov-Smirnov para determinar la distribución normal de los valores de la escala EA-PEF-AD, y </w:t>
      </w:r>
      <w:r w:rsidRPr="005E1103">
        <w:rPr>
          <w:rFonts w:cstheme="minorHAnsi"/>
          <w:sz w:val="28"/>
          <w:szCs w:val="28"/>
        </w:rPr>
        <w:lastRenderedPageBreak/>
        <w:t>sus tres sub-escalas de discapacidad intelectual, física y visual. La fiabilidad de la escala se testó mediante un análisis de fiabilidad de Cronbach. Con la finalidad de analizar el efecto del programa formativo en la percepción de autoeficacia del profesorado se ha realizado un análisis de varianza de medidas repetidas, reportando los valores de eta al cuadrado parcial (</w:t>
      </w:r>
      <w:r w:rsidRPr="005E1103">
        <w:rPr>
          <w:rFonts w:cstheme="minorHAnsi"/>
          <w:sz w:val="28"/>
          <w:szCs w:val="28"/>
        </w:rPr>
        <w:sym w:font="Symbol" w:char="F068"/>
      </w:r>
      <w:r w:rsidRPr="005E1103">
        <w:rPr>
          <w:rFonts w:cstheme="minorHAnsi"/>
          <w:sz w:val="28"/>
          <w:szCs w:val="28"/>
        </w:rPr>
        <w:t>p2) de acuerdo a la siguiente interpretación: por encima de .26, entre 0.26 y 0.02, y menor que 0.02 como alto, medio y bajo respectivamente (Pierce, Block, y Aguinis, 2004).</w:t>
      </w:r>
    </w:p>
    <w:p w:rsidR="009B60AB" w:rsidRPr="005E1103" w:rsidRDefault="009B60AB" w:rsidP="009B60AB">
      <w:pPr>
        <w:spacing w:before="120" w:after="120" w:line="360" w:lineRule="auto"/>
        <w:ind w:firstLine="708"/>
        <w:jc w:val="both"/>
        <w:rPr>
          <w:rFonts w:cstheme="minorHAnsi"/>
          <w:sz w:val="28"/>
          <w:szCs w:val="28"/>
        </w:rPr>
      </w:pPr>
      <w:r w:rsidRPr="005E1103">
        <w:rPr>
          <w:rFonts w:cstheme="minorHAnsi"/>
          <w:sz w:val="28"/>
          <w:szCs w:val="28"/>
        </w:rPr>
        <w:t>Para analizar el efecto diferencial de la participación previa en actividades formativas o de contacto en el ámbito de la actividad física y del deporte, se utilizó un análisis de varianza de un factor. Se reportan los valores de estimación de tamaño del efecto siguiendo las recomendaciones de Cohen (1988): &gt; 0.8, excelente; &lt; 0.8 – 0.5 &gt;, moderado; &lt; 0.5 – 0.25 &gt;, bajo; &lt; 0.25, trivial. Todos los datos fueron analizados mediante el Statistical Package for Social Sciences (version 21.0 para Windows, SPSS Inc, Chicago, IL, USA), y el nivel de significación fue establecido en p &lt; 0.05.</w:t>
      </w:r>
    </w:p>
    <w:p w:rsidR="009B60AB" w:rsidRPr="005E1103" w:rsidRDefault="009B60AB" w:rsidP="009B60AB">
      <w:pPr>
        <w:spacing w:before="120" w:after="120" w:line="360" w:lineRule="auto"/>
        <w:jc w:val="both"/>
        <w:rPr>
          <w:rFonts w:cstheme="minorHAnsi"/>
          <w:b/>
          <w:sz w:val="28"/>
          <w:szCs w:val="28"/>
        </w:rPr>
      </w:pPr>
    </w:p>
    <w:p w:rsidR="009B60AB" w:rsidRPr="005E1103" w:rsidRDefault="009B60AB" w:rsidP="009B60AB">
      <w:pPr>
        <w:spacing w:before="120" w:after="120" w:line="360" w:lineRule="auto"/>
        <w:jc w:val="both"/>
        <w:rPr>
          <w:rFonts w:cstheme="minorHAnsi"/>
          <w:b/>
          <w:sz w:val="28"/>
          <w:szCs w:val="28"/>
        </w:rPr>
      </w:pPr>
      <w:r w:rsidRPr="005E1103">
        <w:rPr>
          <w:rFonts w:cstheme="minorHAnsi"/>
          <w:b/>
          <w:sz w:val="28"/>
          <w:szCs w:val="28"/>
        </w:rPr>
        <w:t>Resultados</w:t>
      </w:r>
    </w:p>
    <w:p w:rsidR="009B60AB" w:rsidRPr="005E1103" w:rsidRDefault="009B60AB" w:rsidP="009B60AB">
      <w:pPr>
        <w:spacing w:before="120" w:after="120" w:line="360" w:lineRule="auto"/>
        <w:ind w:firstLine="708"/>
        <w:jc w:val="both"/>
        <w:rPr>
          <w:rFonts w:cstheme="minorHAnsi"/>
          <w:sz w:val="28"/>
          <w:szCs w:val="28"/>
        </w:rPr>
      </w:pPr>
      <w:r w:rsidRPr="005E1103">
        <w:rPr>
          <w:rFonts w:cstheme="minorHAnsi"/>
          <w:sz w:val="28"/>
          <w:szCs w:val="28"/>
        </w:rPr>
        <w:t xml:space="preserve">El análisis de fiabilidad de Cronbach mostró una fiabilidad total de 0.964 si incluimos en el modelo todos los ítems de la escala, siendo de 0.975 para la sub-escala de discapacidad intelectual, 0.935 para la de discapacidad física, y 0.935 para la de discapacidad visual. El análisis de fiabilidad con los valores de cada sub-escala (discapacidad intelectual, física y visual) muestra una fiabilidad de α = 0.917. </w:t>
      </w:r>
    </w:p>
    <w:p w:rsidR="009B60AB" w:rsidRPr="005E1103" w:rsidRDefault="009B60AB" w:rsidP="009B60AB">
      <w:pPr>
        <w:spacing w:before="120" w:after="120" w:line="360" w:lineRule="auto"/>
        <w:ind w:firstLine="708"/>
        <w:jc w:val="both"/>
        <w:rPr>
          <w:rFonts w:cstheme="minorHAnsi"/>
          <w:sz w:val="28"/>
          <w:szCs w:val="28"/>
        </w:rPr>
      </w:pPr>
      <w:r w:rsidRPr="005E1103">
        <w:rPr>
          <w:rFonts w:cstheme="minorHAnsi"/>
          <w:sz w:val="28"/>
          <w:szCs w:val="28"/>
        </w:rPr>
        <w:t>Por su parte, el análisis de varianza de medidas repetidas muestra que se han obtenido diferencias significativas, y tamaños del efecto grandes, para las dimensiones de autoeficacia de intervención hacia la discapacidad visual [F(1,78) = 302.93; p &lt; 0.001; ŋp2 = 0.80], física [F(1,78) = 264.87; p &lt; 0.001; ŋp2 = 0.77], e intelectual [F(1,78) = 181.88; p &lt; 0.001; ŋp2 = 0.70]</w:t>
      </w:r>
    </w:p>
    <w:p w:rsidR="009B60AB" w:rsidRPr="005E1103" w:rsidRDefault="009B60AB" w:rsidP="009B60AB">
      <w:pPr>
        <w:spacing w:before="120" w:after="120" w:line="360" w:lineRule="auto"/>
        <w:ind w:firstLine="708"/>
        <w:jc w:val="both"/>
        <w:rPr>
          <w:rFonts w:cstheme="minorHAnsi"/>
          <w:sz w:val="28"/>
          <w:szCs w:val="28"/>
        </w:rPr>
      </w:pPr>
      <w:r w:rsidRPr="005E1103">
        <w:rPr>
          <w:rFonts w:cstheme="minorHAnsi"/>
          <w:sz w:val="28"/>
          <w:szCs w:val="28"/>
        </w:rPr>
        <w:lastRenderedPageBreak/>
        <w:t>El análisis de varianza para los factores formación y contacto previo muestra diferencias significativas en las tres sub-escalas y el valor global de la escala EA-PEF-AD, con tamaños del efecto altos en la formación previa para las sub-escalas de discapacidad intelectual (0.83), física (0.80) y total (0.83), siendo bajo para la de discapacidad visual (0.37). Algo similar ocurre para el contacto previo, pero en esta ocasión con tamaños de efecto moderados para las sub-escalas de discapacidad intelectual (0.50), física (0.53) y total (0.67), y bajo para la de discapacidad visual (0.40). No se ha obtenido diferencia alguna para el factor sexo.</w:t>
      </w:r>
    </w:p>
    <w:p w:rsidR="009B60AB" w:rsidRPr="005E1103" w:rsidRDefault="009B60AB" w:rsidP="009B60AB">
      <w:pPr>
        <w:spacing w:before="120" w:after="120" w:line="360" w:lineRule="auto"/>
        <w:jc w:val="both"/>
        <w:rPr>
          <w:rFonts w:cstheme="minorHAnsi"/>
          <w:b/>
          <w:sz w:val="28"/>
          <w:szCs w:val="28"/>
        </w:rPr>
      </w:pPr>
    </w:p>
    <w:p w:rsidR="009B60AB" w:rsidRPr="005E1103" w:rsidRDefault="009B60AB" w:rsidP="009B60AB">
      <w:pPr>
        <w:spacing w:before="120" w:after="120" w:line="360" w:lineRule="auto"/>
        <w:jc w:val="both"/>
        <w:rPr>
          <w:rFonts w:cstheme="minorHAnsi"/>
          <w:b/>
          <w:sz w:val="28"/>
          <w:szCs w:val="28"/>
        </w:rPr>
      </w:pPr>
      <w:r w:rsidRPr="005E1103">
        <w:rPr>
          <w:rFonts w:cstheme="minorHAnsi"/>
          <w:b/>
          <w:sz w:val="28"/>
          <w:szCs w:val="28"/>
        </w:rPr>
        <w:t>Discusión y Conclusiones</w:t>
      </w:r>
    </w:p>
    <w:p w:rsidR="009B60AB" w:rsidRPr="005E1103" w:rsidRDefault="009B60AB" w:rsidP="009B60AB">
      <w:pPr>
        <w:spacing w:before="120" w:after="120" w:line="360" w:lineRule="auto"/>
        <w:ind w:firstLine="708"/>
        <w:jc w:val="both"/>
        <w:rPr>
          <w:rFonts w:cstheme="minorHAnsi"/>
          <w:sz w:val="28"/>
          <w:szCs w:val="28"/>
        </w:rPr>
      </w:pPr>
      <w:r w:rsidRPr="005E1103">
        <w:rPr>
          <w:rFonts w:cstheme="minorHAnsi"/>
          <w:sz w:val="28"/>
          <w:szCs w:val="28"/>
        </w:rPr>
        <w:t>La Escala EA-PEF-AD ha mostrado una alta consistencia interna a tenor de los valores de alpha de Cronbach, mostrándose fiable para evaluar la autoeficacia de profesores de educación física para con la inclusión de alumnos con discapacidad intelectual, física y visual, al igual que han mostrado recientes estudios (Block et al., 2013; Reina et al., 2016). Así, Reina et al. (2016), demostraron que las altas correlaciones obtenidas entre las diferentes sub-escalas muestran que ésta puede ser un instrumento fiable para evaluar el grado de autoeficacia que el profesor tendría a nivel global.</w:t>
      </w:r>
    </w:p>
    <w:p w:rsidR="009B60AB" w:rsidRPr="005E1103" w:rsidRDefault="009B60AB" w:rsidP="009B60AB">
      <w:pPr>
        <w:spacing w:before="120" w:after="120" w:line="360" w:lineRule="auto"/>
        <w:ind w:firstLine="708"/>
        <w:jc w:val="both"/>
        <w:rPr>
          <w:rFonts w:cstheme="minorHAnsi"/>
          <w:sz w:val="28"/>
          <w:szCs w:val="28"/>
        </w:rPr>
      </w:pPr>
      <w:r w:rsidRPr="005E1103">
        <w:rPr>
          <w:rFonts w:cstheme="minorHAnsi"/>
          <w:sz w:val="28"/>
          <w:szCs w:val="28"/>
        </w:rPr>
        <w:t xml:space="preserve">El programa formativo se ha mostrado efectivo para la mejora de la percepción de autoeficacia hacia la inclusión en educación física pudiendo así mejorar las competencias del profesorado al respecto, y poder aplicar contenidos inclusivos en el aula. Cabe indicar aquí que la diferenciación entre diferentes situaciones o tipos de discapacidad ha sido considerado en ocasiones como un elemento mediador a la hora de evaluar las actitudes hacia la inclusión y la autoeficacia percibida (Block, y Rizzo, 1995; Kowalski, y Rizzo, 1996), habiendo sido sugerido como un factor a controlar o incluir en el diseño de escalas de evaluación (Hutzler et al., 2005), y siendo las de discapacidad física, intelectual y visual </w:t>
      </w:r>
      <w:r w:rsidRPr="005E1103">
        <w:rPr>
          <w:rFonts w:cstheme="minorHAnsi"/>
          <w:sz w:val="28"/>
          <w:szCs w:val="28"/>
        </w:rPr>
        <w:lastRenderedPageBreak/>
        <w:t xml:space="preserve">las que suponen un mayor reto a la hora de llevar a cabo la inclusión en clases de educación física (Hutzler, 2003). </w:t>
      </w:r>
    </w:p>
    <w:p w:rsidR="009B60AB" w:rsidRPr="005E1103" w:rsidRDefault="009B60AB" w:rsidP="009B60AB">
      <w:pPr>
        <w:spacing w:before="120" w:after="120" w:line="360" w:lineRule="auto"/>
        <w:ind w:firstLine="708"/>
        <w:jc w:val="both"/>
        <w:rPr>
          <w:rFonts w:cstheme="minorHAnsi"/>
          <w:sz w:val="28"/>
          <w:szCs w:val="28"/>
        </w:rPr>
      </w:pPr>
      <w:r w:rsidRPr="005E1103">
        <w:rPr>
          <w:rFonts w:cstheme="minorHAnsi"/>
          <w:sz w:val="28"/>
          <w:szCs w:val="28"/>
        </w:rPr>
        <w:t>El efecto diferencial que puede suponer atender a cada una de las diferentes situaciones o grupos de discapacidad se ve avalado por las diferencias obtenidas en los tamaños del efecto de las diferentes sub-escalas del EA-PEF-AD, siendo la visual la que tiene un mayor tamaño del efecto y la intelectual la menor. Estos resultados creemos que se debe a la mayor limitación que provoca la simulación de la discapacidad visual (especialmente la ceguera total), debido al carácter integrador de la visión y su rol principal en la orientación espacial. A ello se uniría que la discapacidad intelectual es más compleja de simular, en tanto en cuanto que requiere una abstracción mayor, o el hecho de que la última sesión se hizo en todos los grupos, excepto en uno, con el contacto con un para-deportista con ceguera.</w:t>
      </w:r>
    </w:p>
    <w:p w:rsidR="009B60AB" w:rsidRPr="005E1103" w:rsidRDefault="009B60AB" w:rsidP="009B60AB">
      <w:pPr>
        <w:spacing w:before="120" w:after="120" w:line="360" w:lineRule="auto"/>
        <w:ind w:firstLine="708"/>
        <w:jc w:val="both"/>
        <w:rPr>
          <w:rFonts w:cstheme="minorHAnsi"/>
          <w:sz w:val="28"/>
          <w:szCs w:val="28"/>
        </w:rPr>
      </w:pPr>
      <w:r w:rsidRPr="005E1103">
        <w:rPr>
          <w:rFonts w:cstheme="minorHAnsi"/>
          <w:sz w:val="28"/>
          <w:szCs w:val="28"/>
        </w:rPr>
        <w:t xml:space="preserve">En cualquier caso, sigue sin haber un consenso claro en la literatura acerca de qué tipo de discapacidad es percibida como una mayor barrera para su inclusión en EF (Lijuan, Jing, y Lin, 2015), aunque el estudio de la UNESCO denominado </w:t>
      </w:r>
      <w:r w:rsidRPr="005E1103">
        <w:rPr>
          <w:rFonts w:cstheme="minorHAnsi"/>
          <w:i/>
          <w:sz w:val="28"/>
          <w:szCs w:val="28"/>
        </w:rPr>
        <w:t>United Nations Educational, Scientific and Cultural Organization</w:t>
      </w:r>
      <w:r w:rsidRPr="005E1103">
        <w:rPr>
          <w:rFonts w:cstheme="minorHAnsi"/>
          <w:sz w:val="28"/>
          <w:szCs w:val="28"/>
        </w:rPr>
        <w:t xml:space="preserve"> (Avramidis, y Norwich, 2012) indica que la discapacidad considerada más fácil de incluir es la física, seguida de las dificultades de aprendizaje y del habla, las dificultades conductuales y emocionales severas, la discapacidad visual y auditiva, y por último, la discapacidad intelectual. Cabe indicar que una de las principales barreras para la inclusión de alumnos con discapacidad en educación física radica precisamente en cómo se sienten de competentes los profesores para poder llevar a cabo ese proceso de una forma satisfactoria (Ammah, y Hodge, 2006; Hardin, 2005; Hodge, 1998; Kowalski, y Rizzo, 1996; LaMaster, Gall, Kinchin, y Siedentop, 1998; Lienert, Sherrill, y Myers, 2001). </w:t>
      </w:r>
    </w:p>
    <w:p w:rsidR="009B60AB" w:rsidRPr="005E1103" w:rsidRDefault="009B60AB" w:rsidP="009B60AB">
      <w:pPr>
        <w:spacing w:before="120" w:after="120" w:line="360" w:lineRule="auto"/>
        <w:ind w:firstLine="708"/>
        <w:jc w:val="both"/>
        <w:rPr>
          <w:rFonts w:cstheme="minorHAnsi"/>
          <w:sz w:val="28"/>
          <w:szCs w:val="28"/>
        </w:rPr>
      </w:pPr>
      <w:r w:rsidRPr="005E1103">
        <w:rPr>
          <w:rFonts w:cstheme="minorHAnsi"/>
          <w:sz w:val="28"/>
          <w:szCs w:val="28"/>
        </w:rPr>
        <w:t xml:space="preserve">Existe pues una relación entre la percepción de competencia y las actitudes hacia la inclusión de alumnos con discapacidad en clases de educación física, de manera que </w:t>
      </w:r>
      <w:r w:rsidRPr="005E1103">
        <w:rPr>
          <w:rFonts w:cstheme="minorHAnsi"/>
          <w:sz w:val="28"/>
          <w:szCs w:val="28"/>
        </w:rPr>
        <w:lastRenderedPageBreak/>
        <w:t>aquellos con mayores valores en ambos constructos mostrarían una mejor actitud hacia la puesta en práctica de actividades inclusivas</w:t>
      </w:r>
      <w:r w:rsidRPr="005E1103">
        <w:rPr>
          <w:rFonts w:cstheme="minorHAnsi"/>
          <w:sz w:val="28"/>
          <w:szCs w:val="28"/>
          <w:lang w:eastAsia="es-ES"/>
        </w:rPr>
        <w:t xml:space="preserve">. Si consideramos la autoeficacia como los sentimientos que las personas tienen sobre su capacidad para desempeñar sus funciones en un entorno que requiere una determinadas demandas (Bandura, 1994), aquellos profesores que perciban una alta autoeficacia de sí mismos no sentirán cuestionada su capacidad para atenderlas y podrían percibir dicha situación como un reto ante el que responder. Por el contrario, los profesores con un bajo nivel de autoeficacia percibida podrían tener incongruencias entre su capacidad y las demandas de la tarea (Hutzler et al., 2005). </w:t>
      </w:r>
    </w:p>
    <w:p w:rsidR="009B60AB" w:rsidRPr="005E1103" w:rsidRDefault="009B60AB" w:rsidP="009B60AB">
      <w:pPr>
        <w:spacing w:before="120" w:after="120" w:line="360" w:lineRule="auto"/>
        <w:ind w:firstLine="708"/>
        <w:jc w:val="both"/>
        <w:rPr>
          <w:rFonts w:cstheme="minorHAnsi"/>
          <w:sz w:val="28"/>
          <w:szCs w:val="28"/>
          <w:lang w:eastAsia="es-ES"/>
        </w:rPr>
      </w:pPr>
      <w:r w:rsidRPr="005E1103">
        <w:rPr>
          <w:rFonts w:cstheme="minorHAnsi"/>
          <w:sz w:val="28"/>
          <w:szCs w:val="28"/>
          <w:lang w:eastAsia="es-ES"/>
        </w:rPr>
        <w:t>Así, una formación específica y conocimientos acerca de la discapacidad son determinantes para la inclusión (Avramidis, Bayliss, y Burden, 2000; Vickerman, y Coates, 2009), de manera que aquellos profesores que no hayan tenido una formación previa adecuada no se verán preparados para atender a la diversidad en el aula (Davis, Kotecki, y Oliver, 2007; Rust, y Sinelnikov, 2010), siendo este trabajo un medio potencialmente adecuado para ello en docentes de educación física.</w:t>
      </w:r>
    </w:p>
    <w:p w:rsidR="009B60AB" w:rsidRPr="005E1103" w:rsidRDefault="009B60AB" w:rsidP="009B60AB">
      <w:pPr>
        <w:spacing w:before="120" w:after="120" w:line="360" w:lineRule="auto"/>
        <w:jc w:val="both"/>
        <w:rPr>
          <w:rFonts w:cstheme="minorHAnsi"/>
          <w:sz w:val="28"/>
          <w:szCs w:val="28"/>
        </w:rPr>
      </w:pPr>
    </w:p>
    <w:p w:rsidR="009B60AB" w:rsidRPr="005E1103" w:rsidRDefault="009B60AB" w:rsidP="009B60AB">
      <w:pPr>
        <w:spacing w:before="120" w:after="120" w:line="360" w:lineRule="auto"/>
        <w:jc w:val="both"/>
        <w:rPr>
          <w:rFonts w:cstheme="minorHAnsi"/>
          <w:sz w:val="28"/>
          <w:szCs w:val="28"/>
        </w:rPr>
      </w:pPr>
      <w:r w:rsidRPr="005E1103">
        <w:rPr>
          <w:rFonts w:cstheme="minorHAnsi"/>
          <w:b/>
          <w:sz w:val="28"/>
          <w:szCs w:val="28"/>
        </w:rPr>
        <w:t>Palabras Clave:</w:t>
      </w:r>
      <w:r w:rsidRPr="005E1103">
        <w:rPr>
          <w:rFonts w:cstheme="minorHAnsi"/>
          <w:sz w:val="28"/>
          <w:szCs w:val="28"/>
        </w:rPr>
        <w:t xml:space="preserve"> inclusión, educación física, autoeficacia, percepción de competencia</w:t>
      </w:r>
    </w:p>
    <w:p w:rsidR="009B60AB" w:rsidRPr="005E1103" w:rsidRDefault="009B60AB" w:rsidP="009B60AB">
      <w:pPr>
        <w:spacing w:before="120" w:after="120" w:line="360" w:lineRule="auto"/>
        <w:jc w:val="both"/>
        <w:rPr>
          <w:rFonts w:cstheme="minorHAnsi"/>
          <w:b/>
          <w:sz w:val="28"/>
          <w:szCs w:val="28"/>
        </w:rPr>
      </w:pPr>
    </w:p>
    <w:p w:rsidR="009B60AB" w:rsidRPr="005E1103" w:rsidRDefault="009B60AB" w:rsidP="009B60AB">
      <w:pPr>
        <w:spacing w:before="120" w:after="120" w:line="360" w:lineRule="auto"/>
        <w:jc w:val="both"/>
        <w:rPr>
          <w:rFonts w:cstheme="minorHAnsi"/>
          <w:sz w:val="28"/>
          <w:szCs w:val="28"/>
        </w:rPr>
      </w:pPr>
      <w:r w:rsidRPr="005E1103">
        <w:rPr>
          <w:rFonts w:cstheme="minorHAnsi"/>
          <w:b/>
          <w:sz w:val="28"/>
          <w:szCs w:val="28"/>
        </w:rPr>
        <w:t>Más información:</w:t>
      </w:r>
      <w:r w:rsidRPr="005E1103">
        <w:rPr>
          <w:rFonts w:cstheme="minorHAnsi"/>
          <w:sz w:val="28"/>
          <w:szCs w:val="28"/>
        </w:rPr>
        <w:t xml:space="preserve"> </w:t>
      </w:r>
      <w:hyperlink r:id="rId95" w:history="1">
        <w:r w:rsidRPr="005E1103">
          <w:rPr>
            <w:rStyle w:val="Hipervnculo"/>
            <w:rFonts w:cstheme="minorHAnsi"/>
            <w:sz w:val="28"/>
            <w:szCs w:val="28"/>
          </w:rPr>
          <w:t>https://incluyeteblog.wordpress.com/</w:t>
        </w:r>
      </w:hyperlink>
      <w:r w:rsidRPr="005E1103">
        <w:rPr>
          <w:rFonts w:cstheme="minorHAnsi"/>
          <w:sz w:val="28"/>
          <w:szCs w:val="28"/>
        </w:rPr>
        <w:t xml:space="preserve"> </w:t>
      </w:r>
    </w:p>
    <w:p w:rsidR="009B60AB" w:rsidRPr="005E1103" w:rsidRDefault="009B60AB" w:rsidP="009B60AB">
      <w:pPr>
        <w:spacing w:before="120" w:after="120" w:line="360" w:lineRule="auto"/>
        <w:jc w:val="both"/>
        <w:rPr>
          <w:rFonts w:cstheme="minorHAnsi"/>
          <w:b/>
          <w:sz w:val="28"/>
          <w:szCs w:val="28"/>
        </w:rPr>
      </w:pPr>
    </w:p>
    <w:p w:rsidR="009B60AB" w:rsidRPr="005E1103" w:rsidRDefault="009B60AB" w:rsidP="009B60AB">
      <w:pPr>
        <w:spacing w:before="120" w:after="120" w:line="360" w:lineRule="auto"/>
        <w:jc w:val="both"/>
        <w:rPr>
          <w:rFonts w:cstheme="minorHAnsi"/>
          <w:b/>
          <w:sz w:val="28"/>
          <w:szCs w:val="28"/>
          <w:lang w:val="en-US"/>
        </w:rPr>
      </w:pPr>
      <w:r w:rsidRPr="005E1103">
        <w:rPr>
          <w:rFonts w:cstheme="minorHAnsi"/>
          <w:b/>
          <w:sz w:val="28"/>
          <w:szCs w:val="28"/>
          <w:lang w:val="en-US"/>
        </w:rPr>
        <w:t xml:space="preserve">Referencias </w:t>
      </w:r>
    </w:p>
    <w:p w:rsidR="009B60AB" w:rsidRPr="005E1103" w:rsidRDefault="009B60AB" w:rsidP="009B60AB">
      <w:pPr>
        <w:spacing w:before="60" w:after="60" w:line="360" w:lineRule="auto"/>
        <w:ind w:left="284" w:hanging="284"/>
        <w:jc w:val="both"/>
        <w:rPr>
          <w:rFonts w:cstheme="minorHAnsi"/>
          <w:sz w:val="28"/>
          <w:szCs w:val="28"/>
          <w:lang w:val="en-US"/>
        </w:rPr>
      </w:pPr>
      <w:r w:rsidRPr="005E1103">
        <w:rPr>
          <w:rFonts w:cstheme="minorHAnsi"/>
          <w:sz w:val="28"/>
          <w:szCs w:val="28"/>
          <w:lang w:val="en-GB"/>
        </w:rPr>
        <w:t>Ammah, J. O., y Hodge, S. R, «</w:t>
      </w:r>
      <w:r w:rsidRPr="005E1103">
        <w:rPr>
          <w:rFonts w:cstheme="minorHAnsi"/>
          <w:sz w:val="28"/>
          <w:szCs w:val="28"/>
          <w:lang w:val="en-US"/>
        </w:rPr>
        <w:t>Secondary physical education teachers’ beliefs and practices in teaching students with severe disabilities: A descriptive analysis</w:t>
      </w:r>
      <w:r w:rsidRPr="005E1103">
        <w:rPr>
          <w:rFonts w:cstheme="minorHAnsi"/>
          <w:sz w:val="28"/>
          <w:szCs w:val="28"/>
          <w:lang w:val="en-GB"/>
        </w:rPr>
        <w:t>»,</w:t>
      </w:r>
      <w:r w:rsidRPr="005E1103">
        <w:rPr>
          <w:rFonts w:cstheme="minorHAnsi"/>
          <w:sz w:val="28"/>
          <w:szCs w:val="28"/>
          <w:lang w:val="en-US"/>
        </w:rPr>
        <w:t xml:space="preserve"> </w:t>
      </w:r>
      <w:r w:rsidRPr="005E1103">
        <w:rPr>
          <w:rFonts w:cstheme="minorHAnsi"/>
          <w:i/>
          <w:iCs/>
          <w:sz w:val="28"/>
          <w:szCs w:val="28"/>
          <w:lang w:val="en-US"/>
        </w:rPr>
        <w:t>High School Journal</w:t>
      </w:r>
      <w:r w:rsidRPr="005E1103">
        <w:rPr>
          <w:rFonts w:cstheme="minorHAnsi"/>
          <w:sz w:val="28"/>
          <w:szCs w:val="28"/>
          <w:lang w:val="en-US"/>
        </w:rPr>
        <w:t xml:space="preserve">, n.º 89 </w:t>
      </w:r>
      <w:r w:rsidRPr="005E1103">
        <w:rPr>
          <w:rFonts w:cstheme="minorHAnsi"/>
          <w:sz w:val="28"/>
          <w:szCs w:val="28"/>
          <w:lang w:val="en-GB"/>
        </w:rPr>
        <w:t>(2005)</w:t>
      </w:r>
      <w:r w:rsidRPr="005E1103">
        <w:rPr>
          <w:rFonts w:cstheme="minorHAnsi"/>
          <w:sz w:val="28"/>
          <w:szCs w:val="28"/>
          <w:lang w:val="en-US"/>
        </w:rPr>
        <w:t xml:space="preserve">, págs. 40-54. </w:t>
      </w:r>
    </w:p>
    <w:p w:rsidR="009B60AB" w:rsidRPr="005E1103" w:rsidRDefault="009B60AB" w:rsidP="009B60AB">
      <w:pPr>
        <w:spacing w:before="60" w:after="60" w:line="360" w:lineRule="auto"/>
        <w:ind w:left="284" w:hanging="284"/>
        <w:jc w:val="both"/>
        <w:rPr>
          <w:rFonts w:cstheme="minorHAnsi"/>
          <w:sz w:val="28"/>
          <w:szCs w:val="28"/>
          <w:lang w:val="en-US"/>
        </w:rPr>
      </w:pPr>
      <w:r w:rsidRPr="005E1103">
        <w:rPr>
          <w:rFonts w:cstheme="minorHAnsi"/>
          <w:sz w:val="28"/>
          <w:szCs w:val="28"/>
          <w:lang w:val="en-GB" w:eastAsia="es-ES"/>
        </w:rPr>
        <w:lastRenderedPageBreak/>
        <w:t xml:space="preserve">Avramidis, E., Bayliss, P., y Burden, R, </w:t>
      </w:r>
      <w:r w:rsidRPr="005E1103">
        <w:rPr>
          <w:rFonts w:cstheme="minorHAnsi"/>
          <w:sz w:val="28"/>
          <w:szCs w:val="28"/>
          <w:lang w:val="en-GB"/>
        </w:rPr>
        <w:t>«</w:t>
      </w:r>
      <w:r w:rsidRPr="005E1103">
        <w:rPr>
          <w:rFonts w:cstheme="minorHAnsi"/>
          <w:sz w:val="28"/>
          <w:szCs w:val="28"/>
          <w:lang w:val="en-GB" w:eastAsia="es-ES"/>
        </w:rPr>
        <w:t>A survey into mainstream teachers´ attitudes towards the inclusion of children with special educational needs in the ordinary school</w:t>
      </w:r>
      <w:r w:rsidRPr="005E1103">
        <w:rPr>
          <w:rFonts w:cstheme="minorHAnsi"/>
          <w:sz w:val="28"/>
          <w:szCs w:val="28"/>
          <w:lang w:val="en-GB"/>
        </w:rPr>
        <w:t>»</w:t>
      </w:r>
      <w:r w:rsidRPr="005E1103">
        <w:rPr>
          <w:rFonts w:cstheme="minorHAnsi"/>
          <w:sz w:val="28"/>
          <w:szCs w:val="28"/>
          <w:lang w:val="en-GB" w:eastAsia="es-ES"/>
        </w:rPr>
        <w:t xml:space="preserve">, </w:t>
      </w:r>
      <w:r w:rsidRPr="005E1103">
        <w:rPr>
          <w:rFonts w:cstheme="minorHAnsi"/>
          <w:i/>
          <w:sz w:val="28"/>
          <w:szCs w:val="28"/>
          <w:lang w:val="en-GB" w:eastAsia="es-ES"/>
        </w:rPr>
        <w:t>Teaching and Teacher Education</w:t>
      </w:r>
      <w:r w:rsidRPr="005E1103">
        <w:rPr>
          <w:rFonts w:cstheme="minorHAnsi"/>
          <w:sz w:val="28"/>
          <w:szCs w:val="28"/>
          <w:lang w:val="en-GB" w:eastAsia="es-ES"/>
        </w:rPr>
        <w:t xml:space="preserve">, n.º 16 (2000), págs. 277-293. </w:t>
      </w:r>
    </w:p>
    <w:p w:rsidR="009B60AB" w:rsidRPr="005E1103" w:rsidRDefault="009B60AB" w:rsidP="009B60AB">
      <w:pPr>
        <w:spacing w:before="60" w:after="60" w:line="360" w:lineRule="auto"/>
        <w:ind w:left="284" w:hanging="284"/>
        <w:jc w:val="both"/>
        <w:rPr>
          <w:rFonts w:cstheme="minorHAnsi"/>
          <w:sz w:val="28"/>
          <w:szCs w:val="28"/>
          <w:lang w:val="en-US"/>
        </w:rPr>
      </w:pPr>
      <w:r w:rsidRPr="005E1103">
        <w:rPr>
          <w:rFonts w:cstheme="minorHAnsi"/>
          <w:sz w:val="28"/>
          <w:szCs w:val="28"/>
          <w:lang w:val="en-US"/>
        </w:rPr>
        <w:t xml:space="preserve">Bandura, A. (1994). </w:t>
      </w:r>
      <w:r w:rsidRPr="005E1103">
        <w:rPr>
          <w:rFonts w:cstheme="minorHAnsi"/>
          <w:i/>
          <w:sz w:val="28"/>
          <w:szCs w:val="28"/>
          <w:lang w:val="en-US"/>
        </w:rPr>
        <w:t>Self-efficacy.</w:t>
      </w:r>
      <w:r w:rsidRPr="005E1103">
        <w:rPr>
          <w:rFonts w:cstheme="minorHAnsi"/>
          <w:sz w:val="28"/>
          <w:szCs w:val="28"/>
          <w:lang w:val="en-US"/>
        </w:rPr>
        <w:t xml:space="preserve"> En V. S. Ramachaudran (Ed.), </w:t>
      </w:r>
      <w:r w:rsidRPr="005E1103">
        <w:rPr>
          <w:rFonts w:cstheme="minorHAnsi"/>
          <w:i/>
          <w:sz w:val="28"/>
          <w:szCs w:val="28"/>
          <w:lang w:val="en-US"/>
        </w:rPr>
        <w:t>Encyclopedia of human behavior</w:t>
      </w:r>
      <w:r w:rsidRPr="005E1103">
        <w:rPr>
          <w:rFonts w:cstheme="minorHAnsi"/>
          <w:sz w:val="28"/>
          <w:szCs w:val="28"/>
          <w:lang w:val="en-US"/>
        </w:rPr>
        <w:t xml:space="preserve"> (n.º 4, págs. 71-81). New York: Academic Press.</w:t>
      </w:r>
    </w:p>
    <w:p w:rsidR="009B60AB" w:rsidRPr="005E1103" w:rsidRDefault="009B60AB" w:rsidP="009B60AB">
      <w:pPr>
        <w:spacing w:before="60" w:after="60" w:line="360" w:lineRule="auto"/>
        <w:ind w:left="284" w:hanging="284"/>
        <w:jc w:val="both"/>
        <w:rPr>
          <w:rFonts w:cstheme="minorHAnsi"/>
          <w:sz w:val="28"/>
          <w:szCs w:val="28"/>
          <w:lang w:val="en-US"/>
        </w:rPr>
      </w:pPr>
      <w:r w:rsidRPr="005E1103">
        <w:rPr>
          <w:rFonts w:cstheme="minorHAnsi"/>
          <w:sz w:val="28"/>
          <w:szCs w:val="28"/>
          <w:lang w:val="en-US"/>
        </w:rPr>
        <w:t>Block, M. E,</w:t>
      </w:r>
      <w:r w:rsidRPr="005E1103">
        <w:rPr>
          <w:rFonts w:cstheme="minorHAnsi"/>
          <w:sz w:val="28"/>
          <w:szCs w:val="28"/>
          <w:lang w:val="en-GB"/>
        </w:rPr>
        <w:t xml:space="preserve"> «Why all students with disabilities should be included in regular Physical Education», </w:t>
      </w:r>
      <w:r w:rsidRPr="005E1103">
        <w:rPr>
          <w:rFonts w:cstheme="minorHAnsi"/>
          <w:i/>
          <w:iCs/>
          <w:sz w:val="28"/>
          <w:szCs w:val="28"/>
          <w:lang w:val="en-GB"/>
        </w:rPr>
        <w:t>Palaestra</w:t>
      </w:r>
      <w:r w:rsidRPr="005E1103">
        <w:rPr>
          <w:rFonts w:cstheme="minorHAnsi"/>
          <w:sz w:val="28"/>
          <w:szCs w:val="28"/>
          <w:lang w:val="en-GB"/>
        </w:rPr>
        <w:t xml:space="preserve">, n.º </w:t>
      </w:r>
      <w:r w:rsidRPr="005E1103">
        <w:rPr>
          <w:rFonts w:cstheme="minorHAnsi"/>
          <w:iCs/>
          <w:sz w:val="28"/>
          <w:szCs w:val="28"/>
          <w:lang w:val="en-GB"/>
        </w:rPr>
        <w:t>10</w:t>
      </w:r>
      <w:r w:rsidRPr="005E1103">
        <w:rPr>
          <w:rFonts w:cstheme="minorHAnsi"/>
          <w:sz w:val="28"/>
          <w:szCs w:val="28"/>
          <w:lang w:val="en-GB"/>
        </w:rPr>
        <w:t xml:space="preserve"> </w:t>
      </w:r>
      <w:r w:rsidRPr="005E1103">
        <w:rPr>
          <w:rFonts w:cstheme="minorHAnsi"/>
          <w:sz w:val="28"/>
          <w:szCs w:val="28"/>
          <w:lang w:val="en-US"/>
        </w:rPr>
        <w:t>(1994)</w:t>
      </w:r>
      <w:r w:rsidRPr="005E1103">
        <w:rPr>
          <w:rFonts w:cstheme="minorHAnsi"/>
          <w:sz w:val="28"/>
          <w:szCs w:val="28"/>
          <w:lang w:val="en-GB"/>
        </w:rPr>
        <w:t>, págs 17-24.</w:t>
      </w:r>
    </w:p>
    <w:p w:rsidR="009B60AB" w:rsidRPr="005E1103" w:rsidRDefault="009B60AB" w:rsidP="009B60AB">
      <w:pPr>
        <w:spacing w:before="60" w:after="60" w:line="360" w:lineRule="auto"/>
        <w:ind w:left="284" w:hanging="284"/>
        <w:jc w:val="both"/>
        <w:rPr>
          <w:rFonts w:cstheme="minorHAnsi"/>
          <w:sz w:val="28"/>
          <w:szCs w:val="28"/>
          <w:lang w:val="en-US"/>
        </w:rPr>
      </w:pPr>
      <w:r w:rsidRPr="005E1103">
        <w:rPr>
          <w:rFonts w:cstheme="minorHAnsi"/>
          <w:sz w:val="28"/>
          <w:szCs w:val="28"/>
          <w:lang w:val="en-US"/>
        </w:rPr>
        <w:t xml:space="preserve">Block, M. E., y Obrusnikova, I, </w:t>
      </w:r>
      <w:r w:rsidRPr="005E1103">
        <w:rPr>
          <w:rFonts w:cstheme="minorHAnsi"/>
          <w:sz w:val="28"/>
          <w:szCs w:val="28"/>
          <w:lang w:val="en-GB"/>
        </w:rPr>
        <w:t>«</w:t>
      </w:r>
      <w:r w:rsidRPr="005E1103">
        <w:rPr>
          <w:rFonts w:cstheme="minorHAnsi"/>
          <w:sz w:val="28"/>
          <w:szCs w:val="28"/>
          <w:lang w:val="en-US"/>
        </w:rPr>
        <w:t>Inclusion in Physical Education: A review of the literature from 1995-2005</w:t>
      </w:r>
      <w:r w:rsidRPr="005E1103">
        <w:rPr>
          <w:rFonts w:cstheme="minorHAnsi"/>
          <w:sz w:val="28"/>
          <w:szCs w:val="28"/>
          <w:lang w:val="en-GB"/>
        </w:rPr>
        <w:t>»</w:t>
      </w:r>
      <w:r w:rsidRPr="005E1103">
        <w:rPr>
          <w:rFonts w:cstheme="minorHAnsi"/>
          <w:sz w:val="28"/>
          <w:szCs w:val="28"/>
          <w:lang w:val="en-US"/>
        </w:rPr>
        <w:t xml:space="preserve">, </w:t>
      </w:r>
      <w:r w:rsidRPr="005E1103">
        <w:rPr>
          <w:rFonts w:cstheme="minorHAnsi"/>
          <w:i/>
          <w:iCs/>
          <w:sz w:val="28"/>
          <w:szCs w:val="28"/>
          <w:lang w:val="en-US"/>
        </w:rPr>
        <w:t>Adapted Physical Activity Quarterly</w:t>
      </w:r>
      <w:r w:rsidRPr="005E1103">
        <w:rPr>
          <w:rFonts w:cstheme="minorHAnsi"/>
          <w:sz w:val="28"/>
          <w:szCs w:val="28"/>
          <w:lang w:val="en-US"/>
        </w:rPr>
        <w:t>, n.º 24 (2007), págs 103-124.</w:t>
      </w:r>
    </w:p>
    <w:p w:rsidR="009B60AB" w:rsidRPr="005E1103" w:rsidRDefault="009B60AB" w:rsidP="009B60AB">
      <w:pPr>
        <w:spacing w:before="60" w:after="60" w:line="360" w:lineRule="auto"/>
        <w:ind w:left="284" w:hanging="284"/>
        <w:jc w:val="both"/>
        <w:rPr>
          <w:rFonts w:cstheme="minorHAnsi"/>
          <w:sz w:val="28"/>
          <w:szCs w:val="28"/>
          <w:lang w:val="en-US"/>
        </w:rPr>
      </w:pPr>
      <w:r w:rsidRPr="005E1103">
        <w:rPr>
          <w:rFonts w:cstheme="minorHAnsi"/>
          <w:sz w:val="28"/>
          <w:szCs w:val="28"/>
          <w:lang w:val="en-GB"/>
        </w:rPr>
        <w:t xml:space="preserve">Block, M. E., y Rizzo, T, «Attitudes and attributes of physical educators associated with teaching individuals with severe and profound disabilities», </w:t>
      </w:r>
      <w:r w:rsidRPr="005E1103">
        <w:rPr>
          <w:rFonts w:cstheme="minorHAnsi"/>
          <w:i/>
          <w:sz w:val="28"/>
          <w:szCs w:val="28"/>
          <w:lang w:val="en-GB"/>
        </w:rPr>
        <w:t>Journal of Association for Persons with Severe Handicaps</w:t>
      </w:r>
      <w:r w:rsidRPr="005E1103">
        <w:rPr>
          <w:rFonts w:cstheme="minorHAnsi"/>
          <w:sz w:val="28"/>
          <w:szCs w:val="28"/>
          <w:lang w:val="en-GB"/>
        </w:rPr>
        <w:t>, n.º 20 (1995), págs. 80-87.</w:t>
      </w:r>
    </w:p>
    <w:p w:rsidR="009B60AB" w:rsidRPr="005E1103" w:rsidRDefault="009B60AB" w:rsidP="009B60AB">
      <w:pPr>
        <w:spacing w:before="60" w:after="60" w:line="360" w:lineRule="auto"/>
        <w:ind w:left="284" w:hanging="284"/>
        <w:jc w:val="both"/>
        <w:rPr>
          <w:rFonts w:cstheme="minorHAnsi"/>
          <w:i/>
          <w:iCs/>
          <w:sz w:val="28"/>
          <w:szCs w:val="28"/>
          <w:lang w:val="en-US"/>
        </w:rPr>
      </w:pPr>
      <w:r w:rsidRPr="005E1103">
        <w:rPr>
          <w:rFonts w:cstheme="minorHAnsi"/>
          <w:sz w:val="28"/>
          <w:szCs w:val="28"/>
          <w:lang w:val="en-US"/>
        </w:rPr>
        <w:t xml:space="preserve">Block, M. E., Hutzler, Y., Barak, S., y Klavina, A, </w:t>
      </w:r>
      <w:r w:rsidRPr="005E1103">
        <w:rPr>
          <w:rFonts w:cstheme="minorHAnsi"/>
          <w:sz w:val="28"/>
          <w:szCs w:val="28"/>
          <w:lang w:val="en-GB"/>
        </w:rPr>
        <w:t>«</w:t>
      </w:r>
      <w:r w:rsidRPr="005E1103">
        <w:rPr>
          <w:rFonts w:cstheme="minorHAnsi"/>
          <w:sz w:val="28"/>
          <w:szCs w:val="28"/>
          <w:lang w:val="en-US"/>
        </w:rPr>
        <w:t>Creation and validation of the self-efficacy instrument for physical education teacher education majors toward inclusion</w:t>
      </w:r>
      <w:r w:rsidRPr="005E1103">
        <w:rPr>
          <w:rFonts w:cstheme="minorHAnsi"/>
          <w:sz w:val="28"/>
          <w:szCs w:val="28"/>
          <w:lang w:val="en-GB"/>
        </w:rPr>
        <w:t>»</w:t>
      </w:r>
      <w:r w:rsidRPr="005E1103">
        <w:rPr>
          <w:rFonts w:cstheme="minorHAnsi"/>
          <w:sz w:val="28"/>
          <w:szCs w:val="28"/>
          <w:lang w:val="en-US"/>
        </w:rPr>
        <w:t xml:space="preserve">, </w:t>
      </w:r>
      <w:r w:rsidRPr="005E1103">
        <w:rPr>
          <w:rFonts w:cstheme="minorHAnsi"/>
          <w:i/>
          <w:iCs/>
          <w:sz w:val="28"/>
          <w:szCs w:val="28"/>
          <w:lang w:val="en-US"/>
        </w:rPr>
        <w:t>Adapted Physical Activity Quarterly,</w:t>
      </w:r>
      <w:r w:rsidRPr="005E1103">
        <w:rPr>
          <w:rFonts w:cstheme="minorHAnsi"/>
          <w:iCs/>
          <w:sz w:val="28"/>
          <w:szCs w:val="28"/>
          <w:lang w:val="en-US"/>
        </w:rPr>
        <w:t xml:space="preserve"> n.º 29 </w:t>
      </w:r>
      <w:r w:rsidRPr="005E1103">
        <w:rPr>
          <w:rFonts w:cstheme="minorHAnsi"/>
          <w:sz w:val="28"/>
          <w:szCs w:val="28"/>
          <w:lang w:val="en-US"/>
        </w:rPr>
        <w:t>(2013)</w:t>
      </w:r>
      <w:r w:rsidRPr="005E1103">
        <w:rPr>
          <w:rFonts w:cstheme="minorHAnsi"/>
          <w:iCs/>
          <w:sz w:val="28"/>
          <w:szCs w:val="28"/>
          <w:lang w:val="en-US"/>
        </w:rPr>
        <w:t xml:space="preserve">, </w:t>
      </w:r>
      <w:r w:rsidRPr="005E1103">
        <w:rPr>
          <w:rFonts w:cstheme="minorHAnsi"/>
          <w:i/>
          <w:iCs/>
          <w:sz w:val="28"/>
          <w:szCs w:val="28"/>
          <w:lang w:val="en-US"/>
        </w:rPr>
        <w:t xml:space="preserve">págs. </w:t>
      </w:r>
      <w:r w:rsidRPr="005E1103">
        <w:rPr>
          <w:rFonts w:cstheme="minorHAnsi"/>
          <w:iCs/>
          <w:sz w:val="28"/>
          <w:szCs w:val="28"/>
          <w:lang w:val="en-US"/>
        </w:rPr>
        <w:t>184-205.</w:t>
      </w:r>
    </w:p>
    <w:p w:rsidR="009B60AB" w:rsidRPr="005E1103" w:rsidRDefault="009B60AB" w:rsidP="009B60AB">
      <w:pPr>
        <w:spacing w:before="60" w:after="60" w:line="360" w:lineRule="auto"/>
        <w:ind w:left="284" w:hanging="284"/>
        <w:jc w:val="both"/>
        <w:rPr>
          <w:rFonts w:cstheme="minorHAnsi"/>
          <w:i/>
          <w:iCs/>
          <w:sz w:val="28"/>
          <w:szCs w:val="28"/>
          <w:lang w:val="en-US"/>
        </w:rPr>
      </w:pPr>
      <w:r w:rsidRPr="005E1103">
        <w:rPr>
          <w:rFonts w:cstheme="minorHAnsi"/>
          <w:sz w:val="28"/>
          <w:szCs w:val="28"/>
          <w:lang w:val="en-GB" w:eastAsia="es-ES"/>
        </w:rPr>
        <w:t xml:space="preserve">Davis, R., Kotecki, J. M. H., y Oliver, A, </w:t>
      </w:r>
      <w:r w:rsidRPr="005E1103">
        <w:rPr>
          <w:rFonts w:cstheme="minorHAnsi"/>
          <w:sz w:val="28"/>
          <w:szCs w:val="28"/>
          <w:lang w:val="en-GB"/>
        </w:rPr>
        <w:t>«</w:t>
      </w:r>
      <w:r w:rsidRPr="005E1103">
        <w:rPr>
          <w:rFonts w:cstheme="minorHAnsi"/>
          <w:sz w:val="28"/>
          <w:szCs w:val="28"/>
          <w:lang w:val="en-GB" w:eastAsia="es-ES"/>
        </w:rPr>
        <w:t>Responsibilities and training needs of paraeducators in physical education</w:t>
      </w:r>
      <w:r w:rsidRPr="005E1103">
        <w:rPr>
          <w:rFonts w:cstheme="minorHAnsi"/>
          <w:sz w:val="28"/>
          <w:szCs w:val="28"/>
          <w:lang w:val="en-GB"/>
        </w:rPr>
        <w:t>»,</w:t>
      </w:r>
      <w:r w:rsidRPr="005E1103">
        <w:rPr>
          <w:rFonts w:cstheme="minorHAnsi"/>
          <w:sz w:val="28"/>
          <w:szCs w:val="28"/>
          <w:lang w:val="en-GB" w:eastAsia="es-ES"/>
        </w:rPr>
        <w:t xml:space="preserve"> </w:t>
      </w:r>
      <w:r w:rsidRPr="005E1103">
        <w:rPr>
          <w:rFonts w:cstheme="minorHAnsi"/>
          <w:i/>
          <w:sz w:val="28"/>
          <w:szCs w:val="28"/>
          <w:lang w:val="en-GB" w:eastAsia="es-ES"/>
        </w:rPr>
        <w:t>Adapted Physical Activity Quarterly</w:t>
      </w:r>
      <w:r w:rsidRPr="005E1103">
        <w:rPr>
          <w:rFonts w:cstheme="minorHAnsi"/>
          <w:sz w:val="28"/>
          <w:szCs w:val="28"/>
          <w:lang w:val="en-GB" w:eastAsia="es-ES"/>
        </w:rPr>
        <w:t>, n.º 24 (2007), págs. 70-83.</w:t>
      </w:r>
    </w:p>
    <w:p w:rsidR="009B60AB" w:rsidRPr="005E1103" w:rsidRDefault="009B60AB" w:rsidP="009B60AB">
      <w:pPr>
        <w:spacing w:before="60" w:after="60" w:line="360" w:lineRule="auto"/>
        <w:ind w:left="284" w:hanging="284"/>
        <w:jc w:val="both"/>
        <w:rPr>
          <w:rFonts w:cstheme="minorHAnsi"/>
          <w:i/>
          <w:iCs/>
          <w:sz w:val="28"/>
          <w:szCs w:val="28"/>
          <w:lang w:val="en-US"/>
        </w:rPr>
      </w:pPr>
      <w:r w:rsidRPr="005E1103">
        <w:rPr>
          <w:rFonts w:cstheme="minorHAnsi"/>
          <w:sz w:val="28"/>
          <w:szCs w:val="28"/>
          <w:lang w:val="en-GB"/>
        </w:rPr>
        <w:t xml:space="preserve">DePauw, K. P., y Doll-Tepper, G, «Toward progressive inclusion and acceptance: Myth or reality? The inclusion debate and bandwagon discourse», </w:t>
      </w:r>
      <w:r w:rsidRPr="005E1103">
        <w:rPr>
          <w:rFonts w:cstheme="minorHAnsi"/>
          <w:i/>
          <w:iCs/>
          <w:sz w:val="28"/>
          <w:szCs w:val="28"/>
          <w:lang w:val="en-GB"/>
        </w:rPr>
        <w:t>Adapted Physical Activity Quarterly</w:t>
      </w:r>
      <w:r w:rsidRPr="005E1103">
        <w:rPr>
          <w:rFonts w:cstheme="minorHAnsi"/>
          <w:sz w:val="28"/>
          <w:szCs w:val="28"/>
          <w:lang w:val="en-GB"/>
        </w:rPr>
        <w:t xml:space="preserve">, n.º </w:t>
      </w:r>
      <w:r w:rsidRPr="005E1103">
        <w:rPr>
          <w:rFonts w:cstheme="minorHAnsi"/>
          <w:iCs/>
          <w:sz w:val="28"/>
          <w:szCs w:val="28"/>
          <w:lang w:val="en-GB"/>
        </w:rPr>
        <w:t xml:space="preserve">17 </w:t>
      </w:r>
      <w:r w:rsidRPr="005E1103">
        <w:rPr>
          <w:rFonts w:cstheme="minorHAnsi"/>
          <w:sz w:val="28"/>
          <w:szCs w:val="28"/>
          <w:lang w:val="en-GB"/>
        </w:rPr>
        <w:t>(2000), págs. 135-143.</w:t>
      </w:r>
    </w:p>
    <w:p w:rsidR="009B60AB" w:rsidRPr="005E1103" w:rsidRDefault="009B60AB" w:rsidP="009B60AB">
      <w:pPr>
        <w:spacing w:before="60" w:after="60" w:line="360" w:lineRule="auto"/>
        <w:ind w:left="567" w:hanging="567"/>
        <w:jc w:val="both"/>
        <w:rPr>
          <w:rFonts w:cstheme="minorHAnsi"/>
          <w:sz w:val="28"/>
          <w:szCs w:val="28"/>
          <w:lang w:val="en-GB"/>
        </w:rPr>
      </w:pPr>
      <w:r w:rsidRPr="005E1103">
        <w:rPr>
          <w:rFonts w:cstheme="minorHAnsi"/>
          <w:sz w:val="28"/>
          <w:szCs w:val="28"/>
          <w:lang w:val="en-GB"/>
        </w:rPr>
        <w:t xml:space="preserve">Hardin, B. (2005). Physical education teacher´s reflections on preparation for inclusion. </w:t>
      </w:r>
      <w:r w:rsidRPr="005E1103">
        <w:rPr>
          <w:rFonts w:cstheme="minorHAnsi"/>
          <w:i/>
          <w:sz w:val="28"/>
          <w:szCs w:val="28"/>
          <w:lang w:val="en-GB"/>
        </w:rPr>
        <w:t>Physical Educator</w:t>
      </w:r>
      <w:r w:rsidRPr="005E1103">
        <w:rPr>
          <w:rFonts w:cstheme="minorHAnsi"/>
          <w:sz w:val="28"/>
          <w:szCs w:val="28"/>
          <w:lang w:val="en-GB"/>
        </w:rPr>
        <w:t>, n.º 62, págs. 44-56.</w:t>
      </w:r>
    </w:p>
    <w:p w:rsidR="009B60AB" w:rsidRPr="005E1103" w:rsidRDefault="009B60AB" w:rsidP="009B60AB">
      <w:pPr>
        <w:spacing w:before="60" w:after="60" w:line="360" w:lineRule="auto"/>
        <w:ind w:left="567" w:hanging="567"/>
        <w:jc w:val="both"/>
        <w:rPr>
          <w:rFonts w:cstheme="minorHAnsi"/>
          <w:sz w:val="28"/>
          <w:szCs w:val="28"/>
          <w:lang w:val="en-GB"/>
        </w:rPr>
      </w:pPr>
      <w:r w:rsidRPr="005E1103">
        <w:rPr>
          <w:rFonts w:cstheme="minorHAnsi"/>
          <w:sz w:val="28"/>
          <w:szCs w:val="28"/>
          <w:lang w:val="en-GB"/>
        </w:rPr>
        <w:t xml:space="preserve">Hodge, S, «Prospective physical education teacher´s attitudes». </w:t>
      </w:r>
      <w:r w:rsidRPr="005E1103">
        <w:rPr>
          <w:rFonts w:cstheme="minorHAnsi"/>
          <w:i/>
          <w:sz w:val="28"/>
          <w:szCs w:val="28"/>
          <w:lang w:val="en-GB"/>
        </w:rPr>
        <w:t>Physical Educator</w:t>
      </w:r>
      <w:r w:rsidRPr="005E1103">
        <w:rPr>
          <w:rFonts w:cstheme="minorHAnsi"/>
          <w:sz w:val="28"/>
          <w:szCs w:val="28"/>
          <w:lang w:val="en-GB"/>
        </w:rPr>
        <w:t>, n.º 55 (1998), págs. 68-77.</w:t>
      </w:r>
    </w:p>
    <w:p w:rsidR="009B60AB" w:rsidRPr="005E1103" w:rsidRDefault="009B60AB" w:rsidP="009B60AB">
      <w:pPr>
        <w:spacing w:before="60" w:after="60" w:line="360" w:lineRule="auto"/>
        <w:ind w:left="284" w:hanging="284"/>
        <w:jc w:val="both"/>
        <w:rPr>
          <w:rFonts w:cstheme="minorHAnsi"/>
          <w:sz w:val="28"/>
          <w:szCs w:val="28"/>
          <w:lang w:val="en-GB"/>
        </w:rPr>
      </w:pPr>
      <w:r w:rsidRPr="005E1103">
        <w:rPr>
          <w:rFonts w:cstheme="minorHAnsi"/>
          <w:sz w:val="28"/>
          <w:szCs w:val="28"/>
          <w:lang w:val="en-GB"/>
        </w:rPr>
        <w:lastRenderedPageBreak/>
        <w:t>Hutzler, Y, «Attitudes toward the participation of individuals with disabilities in physical activity: A review», </w:t>
      </w:r>
      <w:r w:rsidRPr="005E1103">
        <w:rPr>
          <w:rFonts w:cstheme="minorHAnsi"/>
          <w:i/>
          <w:sz w:val="28"/>
          <w:szCs w:val="28"/>
          <w:lang w:val="en-GB"/>
        </w:rPr>
        <w:t>Quest</w:t>
      </w:r>
      <w:r w:rsidRPr="005E1103">
        <w:rPr>
          <w:rFonts w:cstheme="minorHAnsi"/>
          <w:sz w:val="28"/>
          <w:szCs w:val="28"/>
          <w:lang w:val="en-GB"/>
        </w:rPr>
        <w:t>, n.º 55 (2003), págs. 347-373.</w:t>
      </w:r>
    </w:p>
    <w:p w:rsidR="009B60AB" w:rsidRPr="005E1103" w:rsidRDefault="009B60AB" w:rsidP="009B60AB">
      <w:pPr>
        <w:spacing w:before="60" w:after="60" w:line="360" w:lineRule="auto"/>
        <w:ind w:left="284" w:hanging="284"/>
        <w:jc w:val="both"/>
        <w:rPr>
          <w:rFonts w:cstheme="minorHAnsi"/>
          <w:sz w:val="28"/>
          <w:szCs w:val="28"/>
          <w:lang w:val="en-US"/>
        </w:rPr>
      </w:pPr>
      <w:r w:rsidRPr="005E1103">
        <w:rPr>
          <w:rFonts w:cstheme="minorHAnsi"/>
          <w:sz w:val="28"/>
          <w:szCs w:val="28"/>
          <w:lang w:val="en-GB"/>
        </w:rPr>
        <w:t>Hutzler, Y., Zach, S., y Gafni, O, «</w:t>
      </w:r>
      <w:r w:rsidRPr="005E1103">
        <w:rPr>
          <w:rFonts w:cstheme="minorHAnsi"/>
          <w:sz w:val="28"/>
          <w:szCs w:val="28"/>
          <w:lang w:val="en-US"/>
        </w:rPr>
        <w:t>Physical education students’ attitudes and self-efficacy towards the participation of children with special needs in regular classes</w:t>
      </w:r>
      <w:r w:rsidRPr="005E1103">
        <w:rPr>
          <w:rFonts w:cstheme="minorHAnsi"/>
          <w:sz w:val="28"/>
          <w:szCs w:val="28"/>
          <w:lang w:val="en-GB"/>
        </w:rPr>
        <w:t>»,</w:t>
      </w:r>
      <w:r w:rsidRPr="005E1103">
        <w:rPr>
          <w:rFonts w:cstheme="minorHAnsi"/>
          <w:sz w:val="28"/>
          <w:szCs w:val="28"/>
          <w:lang w:val="en-US"/>
        </w:rPr>
        <w:t xml:space="preserve"> European </w:t>
      </w:r>
      <w:r w:rsidRPr="005E1103">
        <w:rPr>
          <w:rFonts w:cstheme="minorHAnsi"/>
          <w:i/>
          <w:iCs/>
          <w:sz w:val="28"/>
          <w:szCs w:val="28"/>
          <w:lang w:val="en-US"/>
        </w:rPr>
        <w:t>Journal of Special Needs Education</w:t>
      </w:r>
      <w:r w:rsidRPr="005E1103">
        <w:rPr>
          <w:rFonts w:cstheme="minorHAnsi"/>
          <w:sz w:val="28"/>
          <w:szCs w:val="28"/>
          <w:lang w:val="en-US"/>
        </w:rPr>
        <w:t xml:space="preserve">, n.º20 </w:t>
      </w:r>
      <w:r w:rsidRPr="005E1103">
        <w:rPr>
          <w:rFonts w:cstheme="minorHAnsi"/>
          <w:sz w:val="28"/>
          <w:szCs w:val="28"/>
          <w:lang w:val="en-GB"/>
        </w:rPr>
        <w:t>(2005)</w:t>
      </w:r>
      <w:r w:rsidRPr="005E1103">
        <w:rPr>
          <w:rFonts w:cstheme="minorHAnsi"/>
          <w:sz w:val="28"/>
          <w:szCs w:val="28"/>
          <w:lang w:val="en-US"/>
        </w:rPr>
        <w:t>, págs. 309-327.</w:t>
      </w:r>
    </w:p>
    <w:p w:rsidR="009B60AB" w:rsidRPr="005E1103" w:rsidRDefault="009B60AB" w:rsidP="009B60AB">
      <w:pPr>
        <w:spacing w:before="60" w:after="60" w:line="360" w:lineRule="auto"/>
        <w:ind w:left="284" w:hanging="284"/>
        <w:jc w:val="both"/>
        <w:rPr>
          <w:rFonts w:cstheme="minorHAnsi"/>
          <w:sz w:val="28"/>
          <w:szCs w:val="28"/>
          <w:lang w:val="en-US"/>
        </w:rPr>
      </w:pPr>
      <w:r w:rsidRPr="005E1103">
        <w:rPr>
          <w:rFonts w:cstheme="minorHAnsi"/>
          <w:sz w:val="28"/>
          <w:szCs w:val="28"/>
          <w:lang w:val="en-US"/>
        </w:rPr>
        <w:t xml:space="preserve">Kodish, S., Kulinna, P. H., Martin, J., Pangrazi, R., y Darst, P, </w:t>
      </w:r>
      <w:r w:rsidRPr="005E1103">
        <w:rPr>
          <w:rFonts w:cstheme="minorHAnsi"/>
          <w:sz w:val="28"/>
          <w:szCs w:val="28"/>
          <w:lang w:val="en-GB"/>
        </w:rPr>
        <w:t>«</w:t>
      </w:r>
      <w:r w:rsidRPr="005E1103">
        <w:rPr>
          <w:rFonts w:cstheme="minorHAnsi"/>
          <w:sz w:val="28"/>
          <w:szCs w:val="28"/>
          <w:lang w:val="en-US"/>
        </w:rPr>
        <w:t>Determinants of physical activity in an inclusive setting</w:t>
      </w:r>
      <w:r w:rsidRPr="005E1103">
        <w:rPr>
          <w:rFonts w:cstheme="minorHAnsi"/>
          <w:sz w:val="28"/>
          <w:szCs w:val="28"/>
          <w:lang w:val="en-GB"/>
        </w:rPr>
        <w:t>»,</w:t>
      </w:r>
      <w:r w:rsidRPr="005E1103">
        <w:rPr>
          <w:rFonts w:cstheme="minorHAnsi"/>
          <w:sz w:val="28"/>
          <w:szCs w:val="28"/>
          <w:lang w:val="en-US"/>
        </w:rPr>
        <w:t xml:space="preserve"> </w:t>
      </w:r>
      <w:r w:rsidRPr="005E1103">
        <w:rPr>
          <w:rFonts w:cstheme="minorHAnsi"/>
          <w:i/>
          <w:iCs/>
          <w:sz w:val="28"/>
          <w:szCs w:val="28"/>
          <w:lang w:val="en-US"/>
        </w:rPr>
        <w:t>Adapted Physical Activity Quarterly</w:t>
      </w:r>
      <w:r w:rsidRPr="005E1103">
        <w:rPr>
          <w:rFonts w:cstheme="minorHAnsi"/>
          <w:sz w:val="28"/>
          <w:szCs w:val="28"/>
          <w:lang w:val="en-US"/>
        </w:rPr>
        <w:t xml:space="preserve">, n.º 23 (2006), págs. 390-409. </w:t>
      </w:r>
    </w:p>
    <w:p w:rsidR="009B60AB" w:rsidRPr="005E1103" w:rsidRDefault="009B60AB" w:rsidP="009B60AB">
      <w:pPr>
        <w:spacing w:before="60" w:after="60" w:line="360" w:lineRule="auto"/>
        <w:ind w:left="284" w:hanging="284"/>
        <w:jc w:val="both"/>
        <w:rPr>
          <w:rFonts w:cstheme="minorHAnsi"/>
          <w:sz w:val="28"/>
          <w:szCs w:val="28"/>
          <w:lang w:val="en-US"/>
        </w:rPr>
      </w:pPr>
      <w:r w:rsidRPr="005E1103">
        <w:rPr>
          <w:rFonts w:cstheme="minorHAnsi"/>
          <w:sz w:val="28"/>
          <w:szCs w:val="28"/>
          <w:lang w:val="en-US"/>
        </w:rPr>
        <w:t xml:space="preserve">Konza, D. (2008). Inclusion of students with disabilities in new times: responding to the </w:t>
      </w:r>
      <w:r w:rsidRPr="005E1103">
        <w:rPr>
          <w:rFonts w:cstheme="minorHAnsi"/>
          <w:sz w:val="28"/>
          <w:szCs w:val="28"/>
          <w:lang w:val="en-US"/>
        </w:rPr>
        <w:br/>
        <w:t xml:space="preserve"> challenge. En P. Kell, W. Vialle, D. Konza, y G. Vogl (Eds), </w:t>
      </w:r>
      <w:r w:rsidRPr="005E1103">
        <w:rPr>
          <w:rFonts w:cstheme="minorHAnsi"/>
          <w:i/>
          <w:sz w:val="28"/>
          <w:szCs w:val="28"/>
          <w:lang w:val="en-US"/>
        </w:rPr>
        <w:t>Learning and the learner: exploring learning for new times</w:t>
      </w:r>
      <w:r w:rsidRPr="005E1103">
        <w:rPr>
          <w:rFonts w:cstheme="minorHAnsi"/>
          <w:sz w:val="28"/>
          <w:szCs w:val="28"/>
          <w:lang w:val="en-US"/>
        </w:rPr>
        <w:t xml:space="preserve"> (pags. 38-65). Wollongong: University of Wollongong. </w:t>
      </w:r>
    </w:p>
    <w:p w:rsidR="009B60AB" w:rsidRPr="005E1103" w:rsidRDefault="009B60AB" w:rsidP="009B60AB">
      <w:pPr>
        <w:spacing w:before="60" w:after="60" w:line="360" w:lineRule="auto"/>
        <w:ind w:left="567" w:hanging="567"/>
        <w:jc w:val="both"/>
        <w:rPr>
          <w:rFonts w:cstheme="minorHAnsi"/>
          <w:sz w:val="28"/>
          <w:szCs w:val="28"/>
          <w:lang w:val="en-GB"/>
        </w:rPr>
      </w:pPr>
      <w:r w:rsidRPr="005E1103">
        <w:rPr>
          <w:rFonts w:cstheme="minorHAnsi"/>
          <w:sz w:val="28"/>
          <w:szCs w:val="28"/>
          <w:lang w:val="en-GB"/>
        </w:rPr>
        <w:t xml:space="preserve">Kowalski, E. M., y Rizzo, T. L, «Factors influencing preservice student attitudes toward individuals with disabilities», </w:t>
      </w:r>
      <w:r w:rsidRPr="005E1103">
        <w:rPr>
          <w:rFonts w:cstheme="minorHAnsi"/>
          <w:i/>
          <w:sz w:val="28"/>
          <w:szCs w:val="28"/>
          <w:lang w:val="en-GB"/>
        </w:rPr>
        <w:t>Adapted Physical Activity Quarterly</w:t>
      </w:r>
      <w:r w:rsidRPr="005E1103">
        <w:rPr>
          <w:rFonts w:cstheme="minorHAnsi"/>
          <w:sz w:val="28"/>
          <w:szCs w:val="28"/>
          <w:lang w:val="en-GB"/>
        </w:rPr>
        <w:t>, n.º 13 (1996), págs. 180-196.</w:t>
      </w:r>
    </w:p>
    <w:p w:rsidR="009B60AB" w:rsidRPr="005E1103" w:rsidRDefault="009B60AB" w:rsidP="009B60AB">
      <w:pPr>
        <w:spacing w:before="60" w:after="60" w:line="360" w:lineRule="auto"/>
        <w:ind w:left="284" w:hanging="284"/>
        <w:jc w:val="both"/>
        <w:rPr>
          <w:rFonts w:cstheme="minorHAnsi"/>
          <w:sz w:val="28"/>
          <w:szCs w:val="28"/>
        </w:rPr>
      </w:pPr>
      <w:r w:rsidRPr="005E1103">
        <w:rPr>
          <w:rFonts w:cstheme="minorHAnsi"/>
          <w:sz w:val="28"/>
          <w:szCs w:val="28"/>
          <w:lang w:val="en-GB"/>
        </w:rPr>
        <w:t xml:space="preserve">LaMaster, K., Kinchin, G., Gall, K., y Siedentop, D, «Inclusion practices of effective elementary specialists», </w:t>
      </w:r>
      <w:r w:rsidRPr="005E1103">
        <w:rPr>
          <w:rFonts w:cstheme="minorHAnsi"/>
          <w:i/>
          <w:sz w:val="28"/>
          <w:szCs w:val="28"/>
          <w:lang w:val="en-GB"/>
        </w:rPr>
        <w:t>Adapted Physical Activity Quarterly</w:t>
      </w:r>
      <w:r w:rsidRPr="005E1103">
        <w:rPr>
          <w:rFonts w:cstheme="minorHAnsi"/>
          <w:sz w:val="28"/>
          <w:szCs w:val="28"/>
          <w:lang w:val="en-GB"/>
        </w:rPr>
        <w:t xml:space="preserve">, n.º 15 (1998), págs. </w:t>
      </w:r>
      <w:r w:rsidRPr="005E1103">
        <w:rPr>
          <w:rFonts w:cstheme="minorHAnsi"/>
          <w:sz w:val="28"/>
          <w:szCs w:val="28"/>
        </w:rPr>
        <w:t>64-81.</w:t>
      </w:r>
    </w:p>
    <w:p w:rsidR="009B60AB" w:rsidRPr="005E1103" w:rsidRDefault="009B60AB" w:rsidP="009B60AB">
      <w:pPr>
        <w:spacing w:before="60" w:after="60" w:line="360" w:lineRule="auto"/>
        <w:ind w:left="284" w:hanging="284"/>
        <w:jc w:val="both"/>
        <w:rPr>
          <w:rFonts w:cstheme="minorHAnsi"/>
          <w:sz w:val="28"/>
          <w:szCs w:val="28"/>
          <w:lang w:val="en-US"/>
        </w:rPr>
      </w:pPr>
      <w:r w:rsidRPr="005E1103">
        <w:rPr>
          <w:rFonts w:cstheme="minorHAnsi"/>
          <w:sz w:val="28"/>
          <w:szCs w:val="28"/>
        </w:rPr>
        <w:t xml:space="preserve">LOMCE, L. O. 8/2013, de 9 de diciembre, para la mejora de la calidad educativa (2013). </w:t>
      </w:r>
      <w:r w:rsidRPr="005E1103">
        <w:rPr>
          <w:rFonts w:cstheme="minorHAnsi"/>
          <w:sz w:val="28"/>
          <w:szCs w:val="28"/>
          <w:lang w:val="en-US"/>
        </w:rPr>
        <w:t xml:space="preserve">Consultada en el BOE, 295. </w:t>
      </w:r>
    </w:p>
    <w:p w:rsidR="009B60AB" w:rsidRPr="005E1103" w:rsidRDefault="009B60AB" w:rsidP="009B60AB">
      <w:pPr>
        <w:spacing w:before="60" w:after="60" w:line="360" w:lineRule="auto"/>
        <w:ind w:left="284" w:hanging="284"/>
        <w:jc w:val="both"/>
        <w:rPr>
          <w:rFonts w:cstheme="minorHAnsi"/>
          <w:sz w:val="28"/>
          <w:szCs w:val="28"/>
          <w:lang w:val="en-GB"/>
        </w:rPr>
      </w:pPr>
      <w:r w:rsidRPr="005E1103">
        <w:rPr>
          <w:rFonts w:cstheme="minorHAnsi"/>
          <w:sz w:val="28"/>
          <w:szCs w:val="28"/>
          <w:lang w:val="en-GB"/>
        </w:rPr>
        <w:t xml:space="preserve">Lienert, C., Sherrill, C., y Myers, B, «Physical educators' concerns about integrating children with disabilities: A cross-cultural comparison», </w:t>
      </w:r>
      <w:r w:rsidRPr="005E1103">
        <w:rPr>
          <w:rFonts w:cstheme="minorHAnsi"/>
          <w:i/>
          <w:sz w:val="28"/>
          <w:szCs w:val="28"/>
          <w:lang w:val="en-GB"/>
        </w:rPr>
        <w:t>Adapted Physical Activity Quarterly</w:t>
      </w:r>
      <w:r w:rsidRPr="005E1103">
        <w:rPr>
          <w:rFonts w:cstheme="minorHAnsi"/>
          <w:sz w:val="28"/>
          <w:szCs w:val="28"/>
          <w:lang w:val="en-GB"/>
        </w:rPr>
        <w:t>, n.º 18 (2001), págs. 1-17.</w:t>
      </w:r>
    </w:p>
    <w:p w:rsidR="009B60AB" w:rsidRPr="005E1103" w:rsidRDefault="009B60AB" w:rsidP="009B60AB">
      <w:pPr>
        <w:spacing w:before="60" w:after="60" w:line="360" w:lineRule="auto"/>
        <w:ind w:left="284" w:hanging="284"/>
        <w:jc w:val="both"/>
        <w:rPr>
          <w:rFonts w:cstheme="minorHAnsi"/>
          <w:sz w:val="28"/>
          <w:szCs w:val="28"/>
          <w:lang w:val="en-GB"/>
        </w:rPr>
      </w:pPr>
      <w:r w:rsidRPr="005E1103">
        <w:rPr>
          <w:rFonts w:cstheme="minorHAnsi"/>
          <w:sz w:val="28"/>
          <w:szCs w:val="28"/>
          <w:lang w:val="en-GB"/>
        </w:rPr>
        <w:t xml:space="preserve">Lijuan, W., Jing, Q., y Lin, W, «Beliefs of Chinese physical educators on teaching students with disabilities in general physical education classes», </w:t>
      </w:r>
      <w:r w:rsidRPr="005E1103">
        <w:rPr>
          <w:rFonts w:cstheme="minorHAnsi"/>
          <w:i/>
          <w:sz w:val="28"/>
          <w:szCs w:val="28"/>
          <w:lang w:val="en-GB"/>
        </w:rPr>
        <w:t>Adapted Physical Activity Quarterly</w:t>
      </w:r>
      <w:r w:rsidRPr="005E1103">
        <w:rPr>
          <w:rFonts w:cstheme="minorHAnsi"/>
          <w:sz w:val="28"/>
          <w:szCs w:val="28"/>
          <w:lang w:val="en-GB"/>
        </w:rPr>
        <w:t>, n.º 32 (2015), págs. 137-155.</w:t>
      </w:r>
    </w:p>
    <w:p w:rsidR="009B60AB" w:rsidRPr="005E1103" w:rsidRDefault="009B60AB" w:rsidP="009B60AB">
      <w:pPr>
        <w:spacing w:before="60" w:after="60" w:line="360" w:lineRule="auto"/>
        <w:ind w:left="284" w:hanging="284"/>
        <w:jc w:val="both"/>
        <w:rPr>
          <w:rFonts w:cstheme="minorHAnsi"/>
          <w:sz w:val="28"/>
          <w:szCs w:val="28"/>
        </w:rPr>
      </w:pPr>
      <w:r w:rsidRPr="005E1103">
        <w:rPr>
          <w:rFonts w:cstheme="minorHAnsi"/>
          <w:sz w:val="28"/>
          <w:szCs w:val="28"/>
          <w:lang w:val="en-GB"/>
        </w:rPr>
        <w:lastRenderedPageBreak/>
        <w:t xml:space="preserve">Lindsay, S., y Edwards, A, «A systematic review of disability awareness interventions for children and youth», </w:t>
      </w:r>
      <w:r w:rsidRPr="005E1103">
        <w:rPr>
          <w:rFonts w:cstheme="minorHAnsi"/>
          <w:i/>
          <w:sz w:val="28"/>
          <w:szCs w:val="28"/>
          <w:lang w:val="en-GB"/>
        </w:rPr>
        <w:t>Disability and Rehabilitation</w:t>
      </w:r>
      <w:r w:rsidRPr="005E1103">
        <w:rPr>
          <w:rFonts w:cstheme="minorHAnsi"/>
          <w:sz w:val="28"/>
          <w:szCs w:val="28"/>
          <w:lang w:val="en-GB"/>
        </w:rPr>
        <w:t xml:space="preserve">, n.º 35 (2013), págs. </w:t>
      </w:r>
      <w:r w:rsidRPr="005E1103">
        <w:rPr>
          <w:rFonts w:cstheme="minorHAnsi"/>
          <w:sz w:val="28"/>
          <w:szCs w:val="28"/>
        </w:rPr>
        <w:t>623-646.</w:t>
      </w:r>
    </w:p>
    <w:p w:rsidR="009B60AB" w:rsidRPr="005E1103" w:rsidRDefault="009B60AB" w:rsidP="009B60AB">
      <w:pPr>
        <w:spacing w:before="60" w:after="60" w:line="360" w:lineRule="auto"/>
        <w:ind w:left="284" w:hanging="284"/>
        <w:jc w:val="both"/>
        <w:rPr>
          <w:rFonts w:cstheme="minorHAnsi"/>
          <w:sz w:val="28"/>
          <w:szCs w:val="28"/>
        </w:rPr>
      </w:pPr>
      <w:r w:rsidRPr="005E1103">
        <w:rPr>
          <w:rFonts w:cstheme="minorHAnsi"/>
          <w:sz w:val="28"/>
          <w:szCs w:val="28"/>
        </w:rPr>
        <w:t>Ocete-Calvo, C. (2016). «Deporte inclusivo en la escuela. Diseño y análisis de un programa de intervención para promover la inclusión del alumnado con discapacidad en educación física». Tesis doctoral no publicada, INEF, Universidad Politécnica de Madrid, Madrid, España.</w:t>
      </w:r>
    </w:p>
    <w:p w:rsidR="009B60AB" w:rsidRPr="005E1103" w:rsidRDefault="009B60AB" w:rsidP="009B60AB">
      <w:pPr>
        <w:spacing w:before="60" w:after="60" w:line="360" w:lineRule="auto"/>
        <w:ind w:left="284" w:hanging="284"/>
        <w:jc w:val="both"/>
        <w:rPr>
          <w:rFonts w:cstheme="minorHAnsi"/>
          <w:sz w:val="28"/>
          <w:szCs w:val="28"/>
        </w:rPr>
      </w:pPr>
      <w:r w:rsidRPr="005E1103">
        <w:rPr>
          <w:rFonts w:cstheme="minorHAnsi"/>
          <w:sz w:val="28"/>
          <w:szCs w:val="28"/>
          <w:lang w:val="en-GB"/>
        </w:rPr>
        <w:t xml:space="preserve">ONU (2006). </w:t>
      </w:r>
      <w:r w:rsidRPr="005E1103">
        <w:rPr>
          <w:rFonts w:cstheme="minorHAnsi"/>
          <w:i/>
          <w:sz w:val="28"/>
          <w:szCs w:val="28"/>
          <w:lang w:val="en-GB"/>
        </w:rPr>
        <w:t>United Nations Convention on the Rights of Persons with Disabilities</w:t>
      </w:r>
      <w:r w:rsidRPr="005E1103">
        <w:rPr>
          <w:rFonts w:cstheme="minorHAnsi"/>
          <w:sz w:val="28"/>
          <w:szCs w:val="28"/>
          <w:lang w:val="en-GB"/>
        </w:rPr>
        <w:t xml:space="preserve"> (2006). </w:t>
      </w:r>
      <w:r w:rsidRPr="005E1103">
        <w:rPr>
          <w:rFonts w:cstheme="minorHAnsi"/>
          <w:sz w:val="28"/>
          <w:szCs w:val="28"/>
        </w:rPr>
        <w:t>Extraído el 15 de junio de 2016 desde http://www.un.org/disabilities/convention/conventionfull.</w:t>
      </w:r>
    </w:p>
    <w:p w:rsidR="009B60AB" w:rsidRPr="005E1103" w:rsidRDefault="009B60AB" w:rsidP="009B60AB">
      <w:pPr>
        <w:spacing w:before="60" w:after="60" w:line="360" w:lineRule="auto"/>
        <w:ind w:left="284" w:hanging="284"/>
        <w:jc w:val="both"/>
        <w:rPr>
          <w:rFonts w:cstheme="minorHAnsi"/>
          <w:sz w:val="28"/>
          <w:szCs w:val="28"/>
          <w:lang w:eastAsia="es-ES"/>
        </w:rPr>
      </w:pPr>
      <w:bookmarkStart w:id="52" w:name="_ENREF_40"/>
      <w:r w:rsidRPr="005E1103">
        <w:rPr>
          <w:rFonts w:cstheme="minorHAnsi"/>
          <w:sz w:val="28"/>
          <w:szCs w:val="28"/>
          <w:lang w:val="en-GB"/>
        </w:rPr>
        <w:t xml:space="preserve">Pierce, C. A., Block, R. A., y Aguinis, H, «Cautionary note on reporting eta-squared values from multifactor ANOVA designs», </w:t>
      </w:r>
      <w:r w:rsidRPr="005E1103">
        <w:rPr>
          <w:rFonts w:cstheme="minorHAnsi"/>
          <w:i/>
          <w:sz w:val="28"/>
          <w:szCs w:val="28"/>
          <w:lang w:val="en-GB"/>
        </w:rPr>
        <w:t>Educational and Psychological Measurement</w:t>
      </w:r>
      <w:r w:rsidRPr="005E1103">
        <w:rPr>
          <w:rFonts w:cstheme="minorHAnsi"/>
          <w:sz w:val="28"/>
          <w:szCs w:val="28"/>
          <w:lang w:val="en-GB"/>
        </w:rPr>
        <w:t>, n.º 64</w:t>
      </w:r>
      <w:r w:rsidRPr="005E1103">
        <w:rPr>
          <w:rFonts w:cstheme="minorHAnsi"/>
          <w:i/>
          <w:sz w:val="28"/>
          <w:szCs w:val="28"/>
          <w:lang w:val="en-GB"/>
        </w:rPr>
        <w:t xml:space="preserve"> </w:t>
      </w:r>
      <w:r w:rsidRPr="005E1103">
        <w:rPr>
          <w:rFonts w:cstheme="minorHAnsi"/>
          <w:sz w:val="28"/>
          <w:szCs w:val="28"/>
          <w:lang w:val="en-GB"/>
        </w:rPr>
        <w:t xml:space="preserve">(2004), págs. </w:t>
      </w:r>
      <w:r w:rsidRPr="005E1103">
        <w:rPr>
          <w:rFonts w:cstheme="minorHAnsi"/>
          <w:sz w:val="28"/>
          <w:szCs w:val="28"/>
        </w:rPr>
        <w:t>916-924</w:t>
      </w:r>
      <w:bookmarkEnd w:id="52"/>
      <w:r w:rsidRPr="005E1103">
        <w:rPr>
          <w:rFonts w:cstheme="minorHAnsi"/>
          <w:sz w:val="28"/>
          <w:szCs w:val="28"/>
        </w:rPr>
        <w:t>.</w:t>
      </w:r>
    </w:p>
    <w:p w:rsidR="009B60AB" w:rsidRPr="005E1103" w:rsidRDefault="009B60AB" w:rsidP="009B60AB">
      <w:pPr>
        <w:spacing w:before="60" w:after="60" w:line="360" w:lineRule="auto"/>
        <w:ind w:left="284" w:hanging="284"/>
        <w:jc w:val="both"/>
        <w:rPr>
          <w:rFonts w:cstheme="minorHAnsi"/>
          <w:sz w:val="28"/>
          <w:szCs w:val="28"/>
        </w:rPr>
      </w:pPr>
      <w:r w:rsidRPr="005E1103">
        <w:rPr>
          <w:rFonts w:cstheme="minorHAnsi"/>
          <w:sz w:val="28"/>
          <w:szCs w:val="28"/>
        </w:rPr>
        <w:t xml:space="preserve">Reina, R, «Inclusión en deporte adaptado: dos caras de una misma moneda», </w:t>
      </w:r>
      <w:r w:rsidRPr="005E1103">
        <w:rPr>
          <w:rFonts w:cstheme="minorHAnsi"/>
          <w:i/>
          <w:sz w:val="28"/>
          <w:szCs w:val="28"/>
        </w:rPr>
        <w:t>Psychology, Society, &amp; Education</w:t>
      </w:r>
      <w:r w:rsidRPr="005E1103">
        <w:rPr>
          <w:rFonts w:cstheme="minorHAnsi"/>
          <w:sz w:val="28"/>
          <w:szCs w:val="28"/>
        </w:rPr>
        <w:t>, n.º 6 (2014), págs. 55-67.</w:t>
      </w:r>
    </w:p>
    <w:p w:rsidR="009B60AB" w:rsidRPr="005E1103" w:rsidRDefault="009B60AB" w:rsidP="009B60AB">
      <w:pPr>
        <w:spacing w:before="60" w:after="60" w:line="360" w:lineRule="auto"/>
        <w:ind w:left="284" w:hanging="284"/>
        <w:jc w:val="both"/>
        <w:rPr>
          <w:rFonts w:cstheme="minorHAnsi"/>
          <w:sz w:val="28"/>
          <w:szCs w:val="28"/>
        </w:rPr>
      </w:pPr>
      <w:r w:rsidRPr="005E1103">
        <w:rPr>
          <w:rFonts w:cstheme="minorHAnsi"/>
          <w:sz w:val="28"/>
          <w:szCs w:val="28"/>
        </w:rPr>
        <w:t xml:space="preserve">Reina, R., Hemmelmayr, I., y Sierra-Marroquín, B, «Autoeficacia de profesores de educación física para la inclusión de alumnos con discapacidad y su relación con la formación y el contacto previo», </w:t>
      </w:r>
      <w:r w:rsidRPr="005E1103">
        <w:rPr>
          <w:rFonts w:cstheme="minorHAnsi"/>
          <w:i/>
          <w:sz w:val="28"/>
          <w:szCs w:val="28"/>
        </w:rPr>
        <w:t>Psychology, Society, &amp; Education</w:t>
      </w:r>
      <w:r w:rsidRPr="005E1103">
        <w:rPr>
          <w:rFonts w:cstheme="minorHAnsi"/>
          <w:sz w:val="28"/>
          <w:szCs w:val="28"/>
        </w:rPr>
        <w:t xml:space="preserve">, n.º 8  (2016), págs. 93-103. </w:t>
      </w:r>
    </w:p>
    <w:p w:rsidR="009B60AB" w:rsidRPr="005E1103" w:rsidRDefault="009B60AB" w:rsidP="009B60AB">
      <w:pPr>
        <w:spacing w:before="60" w:after="60" w:line="360" w:lineRule="auto"/>
        <w:ind w:left="284" w:hanging="284"/>
        <w:jc w:val="both"/>
        <w:rPr>
          <w:rFonts w:cstheme="minorHAnsi"/>
          <w:sz w:val="28"/>
          <w:szCs w:val="28"/>
          <w:lang w:val="en-GB" w:eastAsia="es-ES"/>
        </w:rPr>
      </w:pPr>
      <w:r w:rsidRPr="005E1103">
        <w:rPr>
          <w:rFonts w:cstheme="minorHAnsi"/>
          <w:sz w:val="28"/>
          <w:szCs w:val="28"/>
        </w:rPr>
        <w:t xml:space="preserve">Reina, R., Hutzler, Y., Iniguez-Santiago, M. C., y Moreno-Murcia, J. A. (2016). </w:t>
      </w:r>
      <w:r w:rsidRPr="005E1103">
        <w:rPr>
          <w:rFonts w:cstheme="minorHAnsi"/>
          <w:sz w:val="28"/>
          <w:szCs w:val="28"/>
          <w:lang w:val="en-GB"/>
        </w:rPr>
        <w:t>[Attitudes towards inclusion of Spanish physical education students: Relationship with ability beliefs, gender, and previous experiences] Manuscript submitted for publication.</w:t>
      </w:r>
    </w:p>
    <w:p w:rsidR="009B60AB" w:rsidRPr="005E1103" w:rsidRDefault="009B60AB" w:rsidP="009B60AB">
      <w:pPr>
        <w:autoSpaceDE w:val="0"/>
        <w:autoSpaceDN w:val="0"/>
        <w:adjustRightInd w:val="0"/>
        <w:spacing w:before="60" w:after="60" w:line="360" w:lineRule="auto"/>
        <w:ind w:left="284" w:hanging="284"/>
        <w:jc w:val="both"/>
        <w:rPr>
          <w:rFonts w:cstheme="minorHAnsi"/>
          <w:sz w:val="28"/>
          <w:szCs w:val="28"/>
          <w:lang w:val="en-GB"/>
        </w:rPr>
      </w:pPr>
      <w:r w:rsidRPr="005E1103">
        <w:rPr>
          <w:rFonts w:cstheme="minorHAnsi"/>
          <w:sz w:val="28"/>
          <w:szCs w:val="28"/>
        </w:rPr>
        <w:t xml:space="preserve">Reina, R., Sierra–Marroquín, B., Garcia–Gómez, B., Fernández–Pacheco, Y., Hemmelmayr, I., García–Vaquero, M. P., Campayo–Piernas, M., y Roldán, A. (2016). </w:t>
      </w:r>
      <w:r w:rsidRPr="005E1103">
        <w:rPr>
          <w:rFonts w:cstheme="minorHAnsi"/>
          <w:sz w:val="28"/>
          <w:szCs w:val="28"/>
          <w:lang w:val="en-GB"/>
        </w:rPr>
        <w:t>“</w:t>
      </w:r>
      <w:r w:rsidRPr="005E1103">
        <w:rPr>
          <w:rFonts w:cstheme="minorHAnsi"/>
          <w:i/>
          <w:sz w:val="28"/>
          <w:szCs w:val="28"/>
          <w:lang w:val="en-GB"/>
        </w:rPr>
        <w:t>Incluye-T”.</w:t>
      </w:r>
      <w:r w:rsidRPr="005E1103">
        <w:rPr>
          <w:rFonts w:cstheme="minorHAnsi"/>
          <w:sz w:val="28"/>
          <w:szCs w:val="28"/>
          <w:lang w:val="en-GB"/>
        </w:rPr>
        <w:t xml:space="preserve"> </w:t>
      </w:r>
      <w:r w:rsidRPr="005E1103">
        <w:rPr>
          <w:rFonts w:cstheme="minorHAnsi"/>
          <w:i/>
          <w:sz w:val="28"/>
          <w:szCs w:val="28"/>
          <w:lang w:val="en-GB"/>
        </w:rPr>
        <w:t>Educación física y deporte inclusivo</w:t>
      </w:r>
      <w:r w:rsidRPr="005E1103">
        <w:rPr>
          <w:rFonts w:cstheme="minorHAnsi"/>
          <w:sz w:val="28"/>
          <w:szCs w:val="28"/>
          <w:lang w:val="en-GB"/>
        </w:rPr>
        <w:t xml:space="preserve">. Elche: Limencop. </w:t>
      </w:r>
    </w:p>
    <w:p w:rsidR="009B60AB" w:rsidRPr="005E1103" w:rsidRDefault="009B60AB" w:rsidP="009B60AB">
      <w:pPr>
        <w:autoSpaceDE w:val="0"/>
        <w:autoSpaceDN w:val="0"/>
        <w:adjustRightInd w:val="0"/>
        <w:spacing w:before="60" w:after="60" w:line="360" w:lineRule="auto"/>
        <w:ind w:left="284" w:hanging="284"/>
        <w:jc w:val="both"/>
        <w:rPr>
          <w:rFonts w:cstheme="minorHAnsi"/>
          <w:sz w:val="28"/>
          <w:szCs w:val="28"/>
          <w:lang w:val="en-GB"/>
        </w:rPr>
      </w:pPr>
      <w:r w:rsidRPr="005E1103">
        <w:rPr>
          <w:rFonts w:cstheme="minorHAnsi"/>
          <w:sz w:val="28"/>
          <w:szCs w:val="28"/>
          <w:lang w:val="en-GB" w:eastAsia="es-ES"/>
        </w:rPr>
        <w:lastRenderedPageBreak/>
        <w:t xml:space="preserve">Rust, R., y Sinelnikov, O, </w:t>
      </w:r>
      <w:r w:rsidRPr="005E1103">
        <w:rPr>
          <w:rFonts w:cstheme="minorHAnsi"/>
          <w:sz w:val="28"/>
          <w:szCs w:val="28"/>
          <w:lang w:val="en-GB"/>
        </w:rPr>
        <w:t>«</w:t>
      </w:r>
      <w:r w:rsidRPr="005E1103">
        <w:rPr>
          <w:rFonts w:cstheme="minorHAnsi"/>
          <w:sz w:val="28"/>
          <w:szCs w:val="28"/>
          <w:lang w:val="en-GB" w:eastAsia="es-ES"/>
        </w:rPr>
        <w:t>Practicum in self-contained environment: Pre-service teacher perceptions of teaching students with disabilities</w:t>
      </w:r>
      <w:r w:rsidRPr="005E1103">
        <w:rPr>
          <w:rFonts w:cstheme="minorHAnsi"/>
          <w:sz w:val="28"/>
          <w:szCs w:val="28"/>
          <w:lang w:val="en-GB"/>
        </w:rPr>
        <w:t>»,</w:t>
      </w:r>
      <w:r w:rsidRPr="005E1103">
        <w:rPr>
          <w:rFonts w:cstheme="minorHAnsi"/>
          <w:sz w:val="28"/>
          <w:szCs w:val="28"/>
          <w:lang w:val="en-GB" w:eastAsia="es-ES"/>
        </w:rPr>
        <w:t xml:space="preserve"> </w:t>
      </w:r>
      <w:r w:rsidRPr="005E1103">
        <w:rPr>
          <w:rFonts w:cstheme="minorHAnsi"/>
          <w:i/>
          <w:sz w:val="28"/>
          <w:szCs w:val="28"/>
          <w:lang w:val="en-GB" w:eastAsia="es-ES"/>
        </w:rPr>
        <w:t>Physical Educator</w:t>
      </w:r>
      <w:r w:rsidRPr="005E1103">
        <w:rPr>
          <w:rFonts w:cstheme="minorHAnsi"/>
          <w:sz w:val="28"/>
          <w:szCs w:val="28"/>
          <w:lang w:val="en-GB" w:eastAsia="es-ES"/>
        </w:rPr>
        <w:t>, n.º 67 (2010), págs. 33-46.</w:t>
      </w:r>
    </w:p>
    <w:p w:rsidR="009B60AB" w:rsidRPr="005E1103" w:rsidRDefault="009B60AB" w:rsidP="009B60AB">
      <w:pPr>
        <w:autoSpaceDE w:val="0"/>
        <w:autoSpaceDN w:val="0"/>
        <w:adjustRightInd w:val="0"/>
        <w:spacing w:before="60" w:after="60" w:line="360" w:lineRule="auto"/>
        <w:ind w:left="284" w:hanging="284"/>
        <w:jc w:val="both"/>
        <w:rPr>
          <w:rFonts w:cstheme="minorHAnsi"/>
          <w:sz w:val="28"/>
          <w:szCs w:val="28"/>
        </w:rPr>
      </w:pPr>
      <w:r w:rsidRPr="005E1103">
        <w:rPr>
          <w:rFonts w:cstheme="minorHAnsi"/>
          <w:sz w:val="28"/>
          <w:szCs w:val="28"/>
          <w:lang w:val="en-GB"/>
        </w:rPr>
        <w:t xml:space="preserve">United Nations (2015). Treaty Series: Convention on the Rights of Persons with Disabilities. </w:t>
      </w:r>
      <w:r w:rsidRPr="005E1103">
        <w:rPr>
          <w:rFonts w:cstheme="minorHAnsi"/>
          <w:sz w:val="28"/>
          <w:szCs w:val="28"/>
        </w:rPr>
        <w:t xml:space="preserve">13 de diciembre de 2006, n.º 2515, pág. 3. Extraído el 15 de junio de 2016 desde: </w:t>
      </w:r>
      <w:hyperlink r:id="rId96" w:history="1">
        <w:r w:rsidRPr="005E1103">
          <w:rPr>
            <w:rStyle w:val="Hipervnculo"/>
            <w:rFonts w:cstheme="minorHAnsi"/>
            <w:sz w:val="28"/>
            <w:szCs w:val="28"/>
          </w:rPr>
          <w:t>https://treaties.un.org/doc/Publication/MTDSG/Volume%20I/Chapter%20IV/IV-15.en.pdf</w:t>
        </w:r>
      </w:hyperlink>
      <w:r w:rsidRPr="005E1103">
        <w:rPr>
          <w:rFonts w:cstheme="minorHAnsi"/>
          <w:sz w:val="28"/>
          <w:szCs w:val="28"/>
        </w:rPr>
        <w:t>.</w:t>
      </w:r>
    </w:p>
    <w:p w:rsidR="009B60AB" w:rsidRPr="005E1103" w:rsidRDefault="009B60AB" w:rsidP="009B60AB">
      <w:pPr>
        <w:spacing w:before="60" w:after="60" w:line="360" w:lineRule="auto"/>
        <w:ind w:left="284" w:hanging="284"/>
        <w:jc w:val="both"/>
        <w:rPr>
          <w:rFonts w:cstheme="minorHAnsi"/>
          <w:sz w:val="28"/>
          <w:szCs w:val="28"/>
          <w:lang w:eastAsia="es-ES"/>
        </w:rPr>
      </w:pPr>
      <w:r w:rsidRPr="005E1103">
        <w:rPr>
          <w:rFonts w:cstheme="minorHAnsi"/>
          <w:sz w:val="28"/>
          <w:szCs w:val="28"/>
          <w:lang w:val="en-GB" w:eastAsia="es-ES"/>
        </w:rPr>
        <w:t xml:space="preserve">Vickerman, P., y Coates, J. </w:t>
      </w:r>
      <w:r w:rsidRPr="005E1103">
        <w:rPr>
          <w:rFonts w:cstheme="minorHAnsi"/>
          <w:sz w:val="28"/>
          <w:szCs w:val="28"/>
          <w:lang w:val="en-GB"/>
        </w:rPr>
        <w:t>«</w:t>
      </w:r>
      <w:r w:rsidRPr="005E1103">
        <w:rPr>
          <w:rFonts w:cstheme="minorHAnsi"/>
          <w:sz w:val="28"/>
          <w:szCs w:val="28"/>
          <w:lang w:val="en-GB" w:eastAsia="es-ES"/>
        </w:rPr>
        <w:t>Trainee and recently qualified physical education teachers´ perspectives on including children with special education needs</w:t>
      </w:r>
      <w:r w:rsidRPr="005E1103">
        <w:rPr>
          <w:rFonts w:cstheme="minorHAnsi"/>
          <w:sz w:val="28"/>
          <w:szCs w:val="28"/>
          <w:lang w:val="en-GB"/>
        </w:rPr>
        <w:t>»,</w:t>
      </w:r>
      <w:r w:rsidRPr="005E1103">
        <w:rPr>
          <w:rFonts w:cstheme="minorHAnsi"/>
          <w:sz w:val="28"/>
          <w:szCs w:val="28"/>
          <w:lang w:val="en-GB" w:eastAsia="es-ES"/>
        </w:rPr>
        <w:t xml:space="preserve"> </w:t>
      </w:r>
      <w:r w:rsidRPr="005E1103">
        <w:rPr>
          <w:rFonts w:cstheme="minorHAnsi"/>
          <w:i/>
          <w:sz w:val="28"/>
          <w:szCs w:val="28"/>
          <w:lang w:val="en-GB" w:eastAsia="es-ES"/>
        </w:rPr>
        <w:t>Physical Education and Sport Pedagogy</w:t>
      </w:r>
      <w:r w:rsidRPr="005E1103">
        <w:rPr>
          <w:rFonts w:cstheme="minorHAnsi"/>
          <w:sz w:val="28"/>
          <w:szCs w:val="28"/>
          <w:lang w:val="en-GB" w:eastAsia="es-ES"/>
        </w:rPr>
        <w:t xml:space="preserve">, n.º 14 (2009), págs. </w:t>
      </w:r>
      <w:r w:rsidRPr="005E1103">
        <w:rPr>
          <w:rFonts w:cstheme="minorHAnsi"/>
          <w:sz w:val="28"/>
          <w:szCs w:val="28"/>
          <w:lang w:eastAsia="es-ES"/>
        </w:rPr>
        <w:t>137-153.</w:t>
      </w:r>
    </w:p>
    <w:p w:rsidR="005B72C1" w:rsidRPr="005E1103" w:rsidRDefault="005B72C1" w:rsidP="005B72C1">
      <w:pPr>
        <w:widowControl w:val="0"/>
        <w:tabs>
          <w:tab w:val="left" w:pos="3848"/>
        </w:tabs>
        <w:spacing w:before="84" w:line="664" w:lineRule="exact"/>
        <w:ind w:right="-1"/>
        <w:jc w:val="both"/>
        <w:rPr>
          <w:rFonts w:cstheme="minorHAnsi"/>
          <w:sz w:val="28"/>
          <w:szCs w:val="28"/>
        </w:rPr>
      </w:pPr>
    </w:p>
    <w:p w:rsidR="009B60AB" w:rsidRPr="005E1103" w:rsidRDefault="009B60AB">
      <w:pPr>
        <w:rPr>
          <w:rFonts w:cstheme="minorHAnsi"/>
          <w:b/>
          <w:sz w:val="28"/>
          <w:szCs w:val="28"/>
        </w:rPr>
      </w:pPr>
      <w:r w:rsidRPr="005E1103">
        <w:rPr>
          <w:rFonts w:cstheme="minorHAnsi"/>
          <w:b/>
          <w:sz w:val="28"/>
          <w:szCs w:val="28"/>
        </w:rPr>
        <w:br w:type="page"/>
      </w:r>
    </w:p>
    <w:p w:rsidR="009B60AB" w:rsidRPr="005E1103" w:rsidRDefault="009B60AB" w:rsidP="009B60AB">
      <w:pPr>
        <w:spacing w:line="360" w:lineRule="auto"/>
        <w:jc w:val="center"/>
        <w:rPr>
          <w:rFonts w:cstheme="minorHAnsi"/>
          <w:b/>
          <w:sz w:val="28"/>
          <w:szCs w:val="28"/>
        </w:rPr>
      </w:pPr>
      <w:r w:rsidRPr="005E1103">
        <w:rPr>
          <w:rFonts w:cstheme="minorHAnsi"/>
          <w:b/>
          <w:sz w:val="28"/>
          <w:szCs w:val="28"/>
        </w:rPr>
        <w:lastRenderedPageBreak/>
        <w:t>COMUNICACIÓN 10</w:t>
      </w:r>
    </w:p>
    <w:p w:rsidR="009B60AB" w:rsidRPr="005E1103" w:rsidRDefault="009B60AB" w:rsidP="009B60AB">
      <w:pPr>
        <w:pStyle w:val="Ttulo1"/>
        <w:pBdr>
          <w:top w:val="single" w:sz="4" w:space="1" w:color="auto"/>
          <w:left w:val="single" w:sz="4" w:space="4" w:color="auto"/>
          <w:bottom w:val="single" w:sz="4" w:space="1" w:color="auto"/>
          <w:right w:val="single" w:sz="4" w:space="4" w:color="auto"/>
        </w:pBdr>
        <w:jc w:val="center"/>
        <w:rPr>
          <w:rFonts w:asciiTheme="minorHAnsi" w:hAnsiTheme="minorHAnsi" w:cstheme="minorHAnsi"/>
          <w:color w:val="auto"/>
        </w:rPr>
      </w:pPr>
      <w:r w:rsidRPr="005E1103">
        <w:rPr>
          <w:rFonts w:asciiTheme="minorHAnsi" w:hAnsiTheme="minorHAnsi" w:cstheme="minorHAnsi"/>
          <w:color w:val="auto"/>
        </w:rPr>
        <w:t>Inclusión-Actitudes de los profesores de educación fisica</w:t>
      </w:r>
    </w:p>
    <w:p w:rsidR="009B60AB" w:rsidRPr="005E1103" w:rsidRDefault="009B60AB" w:rsidP="009B60AB">
      <w:pPr>
        <w:spacing w:line="360" w:lineRule="auto"/>
        <w:jc w:val="center"/>
        <w:rPr>
          <w:rFonts w:cstheme="minorHAnsi"/>
          <w:b/>
          <w:sz w:val="28"/>
          <w:szCs w:val="28"/>
        </w:rPr>
      </w:pPr>
    </w:p>
    <w:p w:rsidR="009B60AB" w:rsidRPr="005E1103" w:rsidRDefault="009B60AB" w:rsidP="009B60AB">
      <w:pPr>
        <w:pStyle w:val="Ttulo1"/>
        <w:spacing w:before="69"/>
        <w:ind w:left="2084" w:right="2088"/>
        <w:jc w:val="center"/>
        <w:rPr>
          <w:rFonts w:asciiTheme="minorHAnsi" w:hAnsiTheme="minorHAnsi" w:cstheme="minorHAnsi"/>
        </w:rPr>
      </w:pPr>
    </w:p>
    <w:p w:rsidR="009B60AB" w:rsidRPr="005E1103" w:rsidRDefault="009B60AB" w:rsidP="009B60AB">
      <w:pPr>
        <w:pStyle w:val="Textoindependiente"/>
        <w:spacing w:before="6"/>
        <w:rPr>
          <w:rFonts w:asciiTheme="minorHAnsi" w:hAnsiTheme="minorHAnsi" w:cstheme="minorHAnsi"/>
          <w:b/>
          <w:sz w:val="28"/>
          <w:szCs w:val="28"/>
        </w:rPr>
      </w:pPr>
    </w:p>
    <w:p w:rsidR="009B60AB" w:rsidRPr="005E1103" w:rsidRDefault="009B60AB" w:rsidP="009B60AB">
      <w:pPr>
        <w:pStyle w:val="Prrafodelista"/>
        <w:widowControl w:val="0"/>
        <w:numPr>
          <w:ilvl w:val="1"/>
          <w:numId w:val="54"/>
        </w:numPr>
        <w:tabs>
          <w:tab w:val="left" w:pos="3551"/>
          <w:tab w:val="left" w:pos="7797"/>
        </w:tabs>
        <w:autoSpaceDE w:val="0"/>
        <w:autoSpaceDN w:val="0"/>
        <w:spacing w:before="0"/>
        <w:ind w:right="2142" w:firstLine="62"/>
        <w:contextualSpacing w:val="0"/>
        <w:rPr>
          <w:rFonts w:asciiTheme="minorHAnsi" w:hAnsiTheme="minorHAnsi" w:cstheme="minorHAnsi"/>
          <w:sz w:val="28"/>
          <w:szCs w:val="28"/>
        </w:rPr>
      </w:pPr>
      <w:r w:rsidRPr="005E1103">
        <w:rPr>
          <w:rFonts w:asciiTheme="minorHAnsi" w:hAnsiTheme="minorHAnsi" w:cstheme="minorHAnsi"/>
          <w:sz w:val="28"/>
          <w:szCs w:val="28"/>
        </w:rPr>
        <w:t xml:space="preserve">C. Mª Antonieta Corrales Araya (1)      Dra Mª Antonieta Ozols Rosales (1 y 2) </w:t>
      </w:r>
    </w:p>
    <w:p w:rsidR="009B60AB" w:rsidRPr="005E1103" w:rsidRDefault="009B60AB" w:rsidP="009B60AB">
      <w:pPr>
        <w:pStyle w:val="Prrafodelista"/>
        <w:widowControl w:val="0"/>
        <w:numPr>
          <w:ilvl w:val="2"/>
          <w:numId w:val="54"/>
        </w:numPr>
        <w:tabs>
          <w:tab w:val="left" w:pos="3647"/>
        </w:tabs>
        <w:autoSpaceDE w:val="0"/>
        <w:autoSpaceDN w:val="0"/>
        <w:spacing w:before="0"/>
        <w:ind w:hanging="754"/>
        <w:contextualSpacing w:val="0"/>
        <w:jc w:val="left"/>
        <w:rPr>
          <w:rFonts w:asciiTheme="minorHAnsi" w:hAnsiTheme="minorHAnsi" w:cstheme="minorHAnsi"/>
          <w:sz w:val="28"/>
          <w:szCs w:val="28"/>
        </w:rPr>
      </w:pPr>
      <w:r w:rsidRPr="005E1103">
        <w:rPr>
          <w:rFonts w:asciiTheme="minorHAnsi" w:hAnsiTheme="minorHAnsi" w:cstheme="minorHAnsi"/>
          <w:sz w:val="28"/>
          <w:szCs w:val="28"/>
        </w:rPr>
        <w:t xml:space="preserve">  Universidad Nacional de Costa</w:t>
      </w:r>
      <w:r w:rsidRPr="005E1103">
        <w:rPr>
          <w:rFonts w:asciiTheme="minorHAnsi" w:hAnsiTheme="minorHAnsi" w:cstheme="minorHAnsi"/>
          <w:spacing w:val="-5"/>
          <w:sz w:val="28"/>
          <w:szCs w:val="28"/>
        </w:rPr>
        <w:t xml:space="preserve"> </w:t>
      </w:r>
      <w:r w:rsidRPr="005E1103">
        <w:rPr>
          <w:rFonts w:asciiTheme="minorHAnsi" w:hAnsiTheme="minorHAnsi" w:cstheme="minorHAnsi"/>
          <w:sz w:val="28"/>
          <w:szCs w:val="28"/>
        </w:rPr>
        <w:t>Rica</w:t>
      </w:r>
    </w:p>
    <w:p w:rsidR="009B60AB" w:rsidRPr="005E1103" w:rsidRDefault="009B60AB" w:rsidP="009B60AB">
      <w:pPr>
        <w:pStyle w:val="Prrafodelista"/>
        <w:widowControl w:val="0"/>
        <w:numPr>
          <w:ilvl w:val="2"/>
          <w:numId w:val="54"/>
        </w:numPr>
        <w:tabs>
          <w:tab w:val="left" w:pos="4110"/>
          <w:tab w:val="left" w:pos="7088"/>
          <w:tab w:val="left" w:pos="8080"/>
          <w:tab w:val="left" w:pos="8364"/>
        </w:tabs>
        <w:autoSpaceDE w:val="0"/>
        <w:autoSpaceDN w:val="0"/>
        <w:spacing w:before="4" w:line="276" w:lineRule="exact"/>
        <w:ind w:right="2000" w:hanging="291"/>
        <w:contextualSpacing w:val="0"/>
        <w:jc w:val="left"/>
        <w:rPr>
          <w:rFonts w:asciiTheme="minorHAnsi" w:hAnsiTheme="minorHAnsi" w:cstheme="minorHAnsi"/>
          <w:sz w:val="28"/>
          <w:szCs w:val="28"/>
        </w:rPr>
      </w:pPr>
      <w:r w:rsidRPr="005E1103">
        <w:rPr>
          <w:rFonts w:asciiTheme="minorHAnsi" w:hAnsiTheme="minorHAnsi" w:cstheme="minorHAnsi"/>
          <w:sz w:val="28"/>
          <w:szCs w:val="28"/>
        </w:rPr>
        <w:t xml:space="preserve">Universidad de Costa </w:t>
      </w:r>
      <w:r w:rsidRPr="005E1103">
        <w:rPr>
          <w:rFonts w:asciiTheme="minorHAnsi" w:hAnsiTheme="minorHAnsi" w:cstheme="minorHAnsi"/>
          <w:spacing w:val="-4"/>
          <w:sz w:val="28"/>
          <w:szCs w:val="28"/>
        </w:rPr>
        <w:t xml:space="preserve"> </w:t>
      </w:r>
      <w:r w:rsidRPr="005E1103">
        <w:rPr>
          <w:rFonts w:asciiTheme="minorHAnsi" w:hAnsiTheme="minorHAnsi" w:cstheme="minorHAnsi"/>
          <w:sz w:val="28"/>
          <w:szCs w:val="28"/>
        </w:rPr>
        <w:t xml:space="preserve">Rica </w:t>
      </w:r>
      <w:hyperlink r:id="rId97">
        <w:r w:rsidRPr="005E1103">
          <w:rPr>
            <w:rFonts w:asciiTheme="minorHAnsi" w:hAnsiTheme="minorHAnsi" w:cstheme="minorHAnsi"/>
            <w:color w:val="000080"/>
            <w:sz w:val="28"/>
            <w:szCs w:val="28"/>
            <w:u w:val="single" w:color="000080"/>
          </w:rPr>
          <w:t>afisadis@gmail.com</w:t>
        </w:r>
      </w:hyperlink>
    </w:p>
    <w:p w:rsidR="009B60AB" w:rsidRPr="005E1103" w:rsidRDefault="009B60AB" w:rsidP="009B60AB">
      <w:pPr>
        <w:pStyle w:val="Textoindependiente"/>
        <w:spacing w:before="3"/>
        <w:rPr>
          <w:rFonts w:asciiTheme="minorHAnsi" w:hAnsiTheme="minorHAnsi" w:cstheme="minorHAnsi"/>
          <w:sz w:val="28"/>
          <w:szCs w:val="28"/>
        </w:rPr>
      </w:pPr>
    </w:p>
    <w:p w:rsidR="009B60AB" w:rsidRPr="005E1103" w:rsidRDefault="009B60AB" w:rsidP="009B60AB">
      <w:pPr>
        <w:pStyle w:val="Ttulo1"/>
        <w:spacing w:before="90"/>
        <w:ind w:left="2037" w:right="2088"/>
        <w:jc w:val="center"/>
        <w:rPr>
          <w:rFonts w:asciiTheme="minorHAnsi" w:hAnsiTheme="minorHAnsi" w:cstheme="minorHAnsi"/>
          <w:color w:val="auto"/>
        </w:rPr>
      </w:pPr>
      <w:r w:rsidRPr="005E1103">
        <w:rPr>
          <w:rFonts w:asciiTheme="minorHAnsi" w:hAnsiTheme="minorHAnsi" w:cstheme="minorHAnsi"/>
          <w:color w:val="auto"/>
        </w:rPr>
        <w:t>Resumen</w:t>
      </w:r>
    </w:p>
    <w:p w:rsidR="009B60AB" w:rsidRPr="005E1103" w:rsidRDefault="009B60AB" w:rsidP="009B60AB">
      <w:pPr>
        <w:pStyle w:val="Textoindependiente"/>
        <w:spacing w:before="6"/>
        <w:rPr>
          <w:rFonts w:asciiTheme="minorHAnsi" w:hAnsiTheme="minorHAnsi" w:cstheme="minorHAnsi"/>
          <w:b/>
          <w:sz w:val="28"/>
          <w:szCs w:val="28"/>
        </w:rPr>
      </w:pPr>
    </w:p>
    <w:p w:rsidR="009B60AB" w:rsidRPr="005E1103" w:rsidRDefault="009B60AB" w:rsidP="009B60AB">
      <w:pPr>
        <w:pStyle w:val="Textoindependiente"/>
        <w:ind w:left="110" w:right="114"/>
        <w:jc w:val="both"/>
        <w:rPr>
          <w:rFonts w:asciiTheme="minorHAnsi" w:hAnsiTheme="minorHAnsi" w:cstheme="minorHAnsi"/>
          <w:sz w:val="28"/>
          <w:szCs w:val="28"/>
        </w:rPr>
      </w:pPr>
      <w:r w:rsidRPr="005E1103">
        <w:rPr>
          <w:rFonts w:asciiTheme="minorHAnsi" w:hAnsiTheme="minorHAnsi" w:cstheme="minorHAnsi"/>
          <w:sz w:val="28"/>
          <w:szCs w:val="28"/>
        </w:rPr>
        <w:t>El propósito del estudio fue identificar cuáles son las actitudes de los profesores de Educación Física que laboran en la Dirección Regional de Educación San Carlos, del Ministerio de Educación Pública de Costa Rica hacia la inclusión de estudiantes con discapacidad en sus clases.</w:t>
      </w:r>
    </w:p>
    <w:p w:rsidR="009B60AB" w:rsidRPr="005E1103" w:rsidRDefault="009B60AB" w:rsidP="009B60AB">
      <w:pPr>
        <w:pStyle w:val="Textoindependiente"/>
        <w:ind w:left="110" w:right="111"/>
        <w:jc w:val="both"/>
        <w:rPr>
          <w:rFonts w:asciiTheme="minorHAnsi" w:hAnsiTheme="minorHAnsi" w:cstheme="minorHAnsi"/>
          <w:sz w:val="28"/>
          <w:szCs w:val="28"/>
        </w:rPr>
      </w:pPr>
      <w:r w:rsidRPr="005E1103">
        <w:rPr>
          <w:rFonts w:asciiTheme="minorHAnsi" w:hAnsiTheme="minorHAnsi" w:cstheme="minorHAnsi"/>
          <w:sz w:val="28"/>
          <w:szCs w:val="28"/>
        </w:rPr>
        <w:t>El estudio es de tipo descriptivo. Para el desarrollo del mismo se contó con la participación del 47% de los (las) educadores (as) físicos (as) (N=55) que laboraban activamente en centros educativos públicos y privado en la Dirección Regional de Educación San Carlos, del Ministerio de Educación Pública</w:t>
      </w:r>
      <w:r w:rsidRPr="005E1103">
        <w:rPr>
          <w:rFonts w:asciiTheme="minorHAnsi" w:hAnsiTheme="minorHAnsi" w:cstheme="minorHAnsi"/>
          <w:spacing w:val="14"/>
          <w:sz w:val="28"/>
          <w:szCs w:val="28"/>
        </w:rPr>
        <w:t xml:space="preserve"> </w:t>
      </w:r>
      <w:r w:rsidRPr="005E1103">
        <w:rPr>
          <w:rFonts w:asciiTheme="minorHAnsi" w:hAnsiTheme="minorHAnsi" w:cstheme="minorHAnsi"/>
          <w:sz w:val="28"/>
          <w:szCs w:val="28"/>
        </w:rPr>
        <w:t>de</w:t>
      </w:r>
      <w:r w:rsidRPr="005E1103">
        <w:rPr>
          <w:rFonts w:asciiTheme="minorHAnsi" w:hAnsiTheme="minorHAnsi" w:cstheme="minorHAnsi"/>
          <w:spacing w:val="14"/>
          <w:sz w:val="28"/>
          <w:szCs w:val="28"/>
        </w:rPr>
        <w:t xml:space="preserve"> </w:t>
      </w:r>
      <w:r w:rsidRPr="005E1103">
        <w:rPr>
          <w:rFonts w:asciiTheme="minorHAnsi" w:hAnsiTheme="minorHAnsi" w:cstheme="minorHAnsi"/>
          <w:sz w:val="28"/>
          <w:szCs w:val="28"/>
        </w:rPr>
        <w:t>Costa</w:t>
      </w:r>
      <w:r w:rsidRPr="005E1103">
        <w:rPr>
          <w:rFonts w:asciiTheme="minorHAnsi" w:hAnsiTheme="minorHAnsi" w:cstheme="minorHAnsi"/>
          <w:spacing w:val="15"/>
          <w:sz w:val="28"/>
          <w:szCs w:val="28"/>
        </w:rPr>
        <w:t xml:space="preserve"> </w:t>
      </w:r>
      <w:r w:rsidRPr="005E1103">
        <w:rPr>
          <w:rFonts w:asciiTheme="minorHAnsi" w:hAnsiTheme="minorHAnsi" w:cstheme="minorHAnsi"/>
          <w:sz w:val="28"/>
          <w:szCs w:val="28"/>
        </w:rPr>
        <w:t>Rica,</w:t>
      </w:r>
      <w:r w:rsidRPr="005E1103">
        <w:rPr>
          <w:rFonts w:asciiTheme="minorHAnsi" w:hAnsiTheme="minorHAnsi" w:cstheme="minorHAnsi"/>
          <w:spacing w:val="15"/>
          <w:sz w:val="28"/>
          <w:szCs w:val="28"/>
        </w:rPr>
        <w:t xml:space="preserve"> </w:t>
      </w:r>
      <w:r w:rsidRPr="005E1103">
        <w:rPr>
          <w:rFonts w:asciiTheme="minorHAnsi" w:hAnsiTheme="minorHAnsi" w:cstheme="minorHAnsi"/>
          <w:sz w:val="28"/>
          <w:szCs w:val="28"/>
        </w:rPr>
        <w:t>(n=44</w:t>
      </w:r>
      <w:r w:rsidRPr="005E1103">
        <w:rPr>
          <w:rFonts w:asciiTheme="minorHAnsi" w:hAnsiTheme="minorHAnsi" w:cstheme="minorHAnsi"/>
          <w:spacing w:val="15"/>
          <w:sz w:val="28"/>
          <w:szCs w:val="28"/>
        </w:rPr>
        <w:t xml:space="preserve"> </w:t>
      </w:r>
      <w:r w:rsidRPr="005E1103">
        <w:rPr>
          <w:rFonts w:asciiTheme="minorHAnsi" w:hAnsiTheme="minorHAnsi" w:cstheme="minorHAnsi"/>
          <w:sz w:val="28"/>
          <w:szCs w:val="28"/>
        </w:rPr>
        <w:t>hombres</w:t>
      </w:r>
      <w:r w:rsidRPr="005E1103">
        <w:rPr>
          <w:rFonts w:asciiTheme="minorHAnsi" w:hAnsiTheme="minorHAnsi" w:cstheme="minorHAnsi"/>
          <w:spacing w:val="20"/>
          <w:sz w:val="28"/>
          <w:szCs w:val="28"/>
        </w:rPr>
        <w:t xml:space="preserve"> </w:t>
      </w:r>
      <w:r w:rsidRPr="005E1103">
        <w:rPr>
          <w:rFonts w:asciiTheme="minorHAnsi" w:hAnsiTheme="minorHAnsi" w:cstheme="minorHAnsi"/>
          <w:sz w:val="28"/>
          <w:szCs w:val="28"/>
        </w:rPr>
        <w:t>y</w:t>
      </w:r>
      <w:r w:rsidRPr="005E1103">
        <w:rPr>
          <w:rFonts w:asciiTheme="minorHAnsi" w:hAnsiTheme="minorHAnsi" w:cstheme="minorHAnsi"/>
          <w:spacing w:val="10"/>
          <w:sz w:val="28"/>
          <w:szCs w:val="28"/>
        </w:rPr>
        <w:t xml:space="preserve"> </w:t>
      </w:r>
      <w:r w:rsidRPr="005E1103">
        <w:rPr>
          <w:rFonts w:asciiTheme="minorHAnsi" w:hAnsiTheme="minorHAnsi" w:cstheme="minorHAnsi"/>
          <w:spacing w:val="-3"/>
          <w:sz w:val="28"/>
          <w:szCs w:val="28"/>
        </w:rPr>
        <w:t>n=11</w:t>
      </w:r>
      <w:r w:rsidRPr="005E1103">
        <w:rPr>
          <w:rFonts w:asciiTheme="minorHAnsi" w:hAnsiTheme="minorHAnsi" w:cstheme="minorHAnsi"/>
          <w:spacing w:val="15"/>
          <w:sz w:val="28"/>
          <w:szCs w:val="28"/>
        </w:rPr>
        <w:t xml:space="preserve"> </w:t>
      </w:r>
      <w:r w:rsidRPr="005E1103">
        <w:rPr>
          <w:rFonts w:asciiTheme="minorHAnsi" w:hAnsiTheme="minorHAnsi" w:cstheme="minorHAnsi"/>
          <w:sz w:val="28"/>
          <w:szCs w:val="28"/>
        </w:rPr>
        <w:t>mujeres),</w:t>
      </w:r>
      <w:r w:rsidRPr="005E1103">
        <w:rPr>
          <w:rFonts w:asciiTheme="minorHAnsi" w:hAnsiTheme="minorHAnsi" w:cstheme="minorHAnsi"/>
          <w:spacing w:val="15"/>
          <w:sz w:val="28"/>
          <w:szCs w:val="28"/>
        </w:rPr>
        <w:t xml:space="preserve"> </w:t>
      </w:r>
      <w:r w:rsidRPr="005E1103">
        <w:rPr>
          <w:rFonts w:asciiTheme="minorHAnsi" w:hAnsiTheme="minorHAnsi" w:cstheme="minorHAnsi"/>
          <w:sz w:val="28"/>
          <w:szCs w:val="28"/>
        </w:rPr>
        <w:t>con</w:t>
      </w:r>
      <w:r w:rsidRPr="005E1103">
        <w:rPr>
          <w:rFonts w:asciiTheme="minorHAnsi" w:hAnsiTheme="minorHAnsi" w:cstheme="minorHAnsi"/>
          <w:spacing w:val="17"/>
          <w:sz w:val="28"/>
          <w:szCs w:val="28"/>
        </w:rPr>
        <w:t xml:space="preserve"> </w:t>
      </w:r>
      <w:r w:rsidRPr="005E1103">
        <w:rPr>
          <w:rFonts w:asciiTheme="minorHAnsi" w:hAnsiTheme="minorHAnsi" w:cstheme="minorHAnsi"/>
          <w:sz w:val="28"/>
          <w:szCs w:val="28"/>
        </w:rPr>
        <w:t>edades</w:t>
      </w:r>
      <w:r w:rsidRPr="005E1103">
        <w:rPr>
          <w:rFonts w:asciiTheme="minorHAnsi" w:hAnsiTheme="minorHAnsi" w:cstheme="minorHAnsi"/>
          <w:spacing w:val="18"/>
          <w:sz w:val="28"/>
          <w:szCs w:val="28"/>
        </w:rPr>
        <w:t xml:space="preserve"> </w:t>
      </w:r>
      <w:r w:rsidRPr="005E1103">
        <w:rPr>
          <w:rFonts w:asciiTheme="minorHAnsi" w:hAnsiTheme="minorHAnsi" w:cstheme="minorHAnsi"/>
          <w:sz w:val="28"/>
          <w:szCs w:val="28"/>
        </w:rPr>
        <w:t>comprendidas</w:t>
      </w:r>
      <w:r w:rsidRPr="005E1103">
        <w:rPr>
          <w:rFonts w:asciiTheme="minorHAnsi" w:hAnsiTheme="minorHAnsi" w:cstheme="minorHAnsi"/>
          <w:spacing w:val="15"/>
          <w:sz w:val="28"/>
          <w:szCs w:val="28"/>
        </w:rPr>
        <w:t xml:space="preserve"> </w:t>
      </w:r>
      <w:r w:rsidRPr="005E1103">
        <w:rPr>
          <w:rFonts w:asciiTheme="minorHAnsi" w:hAnsiTheme="minorHAnsi" w:cstheme="minorHAnsi"/>
          <w:sz w:val="28"/>
          <w:szCs w:val="28"/>
        </w:rPr>
        <w:t>entre</w:t>
      </w:r>
      <w:r w:rsidRPr="005E1103">
        <w:rPr>
          <w:rFonts w:asciiTheme="minorHAnsi" w:hAnsiTheme="minorHAnsi" w:cstheme="minorHAnsi"/>
          <w:spacing w:val="14"/>
          <w:sz w:val="28"/>
          <w:szCs w:val="28"/>
        </w:rPr>
        <w:t xml:space="preserve"> </w:t>
      </w:r>
      <w:r w:rsidRPr="005E1103">
        <w:rPr>
          <w:rFonts w:asciiTheme="minorHAnsi" w:hAnsiTheme="minorHAnsi" w:cstheme="minorHAnsi"/>
          <w:sz w:val="28"/>
          <w:szCs w:val="28"/>
        </w:rPr>
        <w:t>los</w:t>
      </w:r>
      <w:r w:rsidRPr="005E1103">
        <w:rPr>
          <w:rFonts w:asciiTheme="minorHAnsi" w:hAnsiTheme="minorHAnsi" w:cstheme="minorHAnsi"/>
          <w:spacing w:val="16"/>
          <w:sz w:val="28"/>
          <w:szCs w:val="28"/>
        </w:rPr>
        <w:t xml:space="preserve"> </w:t>
      </w:r>
      <w:r w:rsidRPr="005E1103">
        <w:rPr>
          <w:rFonts w:asciiTheme="minorHAnsi" w:hAnsiTheme="minorHAnsi" w:cstheme="minorHAnsi"/>
          <w:sz w:val="28"/>
          <w:szCs w:val="28"/>
        </w:rPr>
        <w:t>23</w:t>
      </w:r>
      <w:r w:rsidRPr="005E1103">
        <w:rPr>
          <w:rFonts w:asciiTheme="minorHAnsi" w:hAnsiTheme="minorHAnsi" w:cstheme="minorHAnsi"/>
          <w:spacing w:val="15"/>
          <w:sz w:val="28"/>
          <w:szCs w:val="28"/>
        </w:rPr>
        <w:t xml:space="preserve"> </w:t>
      </w:r>
      <w:r w:rsidRPr="005E1103">
        <w:rPr>
          <w:rFonts w:asciiTheme="minorHAnsi" w:hAnsiTheme="minorHAnsi" w:cstheme="minorHAnsi"/>
          <w:sz w:val="28"/>
          <w:szCs w:val="28"/>
        </w:rPr>
        <w:t>a</w:t>
      </w:r>
      <w:r w:rsidRPr="005E1103">
        <w:rPr>
          <w:rFonts w:asciiTheme="minorHAnsi" w:hAnsiTheme="minorHAnsi" w:cstheme="minorHAnsi"/>
          <w:spacing w:val="14"/>
          <w:sz w:val="28"/>
          <w:szCs w:val="28"/>
        </w:rPr>
        <w:t xml:space="preserve"> </w:t>
      </w:r>
      <w:r w:rsidRPr="005E1103">
        <w:rPr>
          <w:rFonts w:asciiTheme="minorHAnsi" w:hAnsiTheme="minorHAnsi" w:cstheme="minorHAnsi"/>
          <w:sz w:val="28"/>
          <w:szCs w:val="28"/>
        </w:rPr>
        <w:t>los</w:t>
      </w:r>
    </w:p>
    <w:p w:rsidR="009B60AB" w:rsidRPr="005E1103" w:rsidRDefault="009B60AB" w:rsidP="009B60AB">
      <w:pPr>
        <w:pStyle w:val="Textoindependiente"/>
        <w:ind w:left="110" w:right="106"/>
        <w:jc w:val="both"/>
        <w:rPr>
          <w:rFonts w:asciiTheme="minorHAnsi" w:hAnsiTheme="minorHAnsi" w:cstheme="minorHAnsi"/>
          <w:sz w:val="28"/>
          <w:szCs w:val="28"/>
        </w:rPr>
      </w:pPr>
      <w:r w:rsidRPr="005E1103">
        <w:rPr>
          <w:rFonts w:asciiTheme="minorHAnsi" w:hAnsiTheme="minorHAnsi" w:cstheme="minorHAnsi"/>
          <w:sz w:val="28"/>
          <w:szCs w:val="28"/>
        </w:rPr>
        <w:t>56 años. La muestra se seleccionó por conveniencia, contando con los educadores físicos que atendieron una convocatoria del Asesor Regional del Ministerio de Educación Pública, facilitando la aplicación del instrumento.</w:t>
      </w:r>
    </w:p>
    <w:p w:rsidR="009B60AB" w:rsidRPr="005E1103" w:rsidRDefault="009B60AB" w:rsidP="009B60AB">
      <w:pPr>
        <w:pStyle w:val="Textoindependiente"/>
        <w:ind w:left="110" w:right="106"/>
        <w:jc w:val="both"/>
        <w:rPr>
          <w:rFonts w:asciiTheme="minorHAnsi" w:hAnsiTheme="minorHAnsi" w:cstheme="minorHAnsi"/>
          <w:sz w:val="28"/>
          <w:szCs w:val="28"/>
        </w:rPr>
      </w:pPr>
      <w:r w:rsidRPr="005E1103">
        <w:rPr>
          <w:rFonts w:asciiTheme="minorHAnsi" w:hAnsiTheme="minorHAnsi" w:cstheme="minorHAnsi"/>
          <w:sz w:val="28"/>
          <w:szCs w:val="28"/>
        </w:rPr>
        <w:t xml:space="preserve">Para la compilación de los datos se utilizó el cuestionario traducido al español PEITID-III (Physical Educators Intention toward teaching individuals with disabilities) con una confiabilidad de 0,88 para  la puntuación total y 0.71 para cada una de las sub-escalas (Rizzo, 1993). Para el procesamiento de la información se utilizó el programa “Statistics Package for Social Science” (SPSS 15.0) para Windows PC. A la información se le aplicó un tratamiento estadístico descriptivo (frecuencia absoluta, frecuencia relativa, media y desviación estándar típica) y se realizó el análisis estadístico t-student  para determinar cuál de las variables independientes (género, años de experiencia y número de cursos tomados) pueden incidir en las variables dependientes: “Creencias del profesor sobre sus conductas”, “Actitudes del profesor hacia su trabajo”, “Creencias del profesor sobre </w:t>
      </w:r>
      <w:r w:rsidRPr="005E1103">
        <w:rPr>
          <w:rFonts w:asciiTheme="minorHAnsi" w:hAnsiTheme="minorHAnsi" w:cstheme="minorHAnsi"/>
          <w:sz w:val="28"/>
          <w:szCs w:val="28"/>
        </w:rPr>
        <w:lastRenderedPageBreak/>
        <w:t>lo que piensan otros de su trabajo, Creencias del profesor de lo que piensan sus jefes de su trabajo”, “Creencias de sus habilidades para la enseñanza”, “Percepción sobre sus habilidades para la enseñanza”, “Propósitos relacionados con la</w:t>
      </w:r>
      <w:r w:rsidRPr="005E1103">
        <w:rPr>
          <w:rFonts w:asciiTheme="minorHAnsi" w:hAnsiTheme="minorHAnsi" w:cstheme="minorHAnsi"/>
          <w:spacing w:val="-5"/>
          <w:sz w:val="28"/>
          <w:szCs w:val="28"/>
        </w:rPr>
        <w:t xml:space="preserve"> </w:t>
      </w:r>
      <w:r w:rsidRPr="005E1103">
        <w:rPr>
          <w:rFonts w:asciiTheme="minorHAnsi" w:hAnsiTheme="minorHAnsi" w:cstheme="minorHAnsi"/>
          <w:sz w:val="28"/>
          <w:szCs w:val="28"/>
        </w:rPr>
        <w:t>enseñanza”.</w:t>
      </w:r>
    </w:p>
    <w:p w:rsidR="009B60AB" w:rsidRPr="005E1103" w:rsidRDefault="009B60AB" w:rsidP="009B60AB">
      <w:pPr>
        <w:pStyle w:val="Textoindependiente"/>
        <w:ind w:left="165" w:right="112"/>
        <w:jc w:val="both"/>
        <w:rPr>
          <w:rFonts w:asciiTheme="minorHAnsi" w:hAnsiTheme="minorHAnsi" w:cstheme="minorHAnsi"/>
          <w:sz w:val="28"/>
          <w:szCs w:val="28"/>
        </w:rPr>
      </w:pPr>
      <w:r w:rsidRPr="005E1103">
        <w:rPr>
          <w:rFonts w:asciiTheme="minorHAnsi" w:hAnsiTheme="minorHAnsi" w:cstheme="minorHAnsi"/>
          <w:sz w:val="28"/>
          <w:szCs w:val="28"/>
        </w:rPr>
        <w:t>Se pudo conclusiones que los Educadores físicos no poseen la capacitación requerida para atender a  la población con discapacidad (en Educación Física Adaptada el 56.4% y en Educación Especial el 74.5%). Se presentaron diferencias significativas entre el factor “Creencias del profesor de lo que piensan sus jefes de su trabajo” con la capacitación recibida sobre Educación Física Adaptada; asimismo, existen diferencias significativas entre el factor “Propósitos relacionados con la  enseñanza” y la capacitación recibida en Educación Especial, por lo que a menor capacitación recibida mayor la creencia de los educadores de lo que piensan sus jefes de su trabajo y el propósito relacionado con la enseñanza. La mayoría de los encuestados consideran que las “Actitudes del profesor hacia su trabajo”, “Creencias del profesor sobre lo que piensan otros de su trabajo”, las “Creencias del profesor de lo que piensan sus jefes de su trabajo” y los “Propósitos relacionados con la enseñanza”, son positivas o satisfactorias, no así sobre las “Creencias del profesor sobre sus conductas”, las “Creencias de sus habilidades para la enseñanza” y sobre la “Percepción sobre sus habilidades para la enseñanza”, lo que indica la necesidad de capacitación orientada a la atención de personas con discapacidad dentro del</w:t>
      </w:r>
      <w:r w:rsidRPr="005E1103">
        <w:rPr>
          <w:rFonts w:asciiTheme="minorHAnsi" w:hAnsiTheme="minorHAnsi" w:cstheme="minorHAnsi"/>
          <w:spacing w:val="-6"/>
          <w:sz w:val="28"/>
          <w:szCs w:val="28"/>
        </w:rPr>
        <w:t xml:space="preserve"> </w:t>
      </w:r>
      <w:r w:rsidRPr="005E1103">
        <w:rPr>
          <w:rFonts w:asciiTheme="minorHAnsi" w:hAnsiTheme="minorHAnsi" w:cstheme="minorHAnsi"/>
          <w:sz w:val="28"/>
          <w:szCs w:val="28"/>
        </w:rPr>
        <w:t>aula.</w:t>
      </w:r>
    </w:p>
    <w:p w:rsidR="009B60AB" w:rsidRPr="005E1103" w:rsidRDefault="009B60AB" w:rsidP="009B60AB">
      <w:pPr>
        <w:pStyle w:val="Textoindependiente"/>
        <w:spacing w:before="11"/>
        <w:rPr>
          <w:rFonts w:asciiTheme="minorHAnsi" w:hAnsiTheme="minorHAnsi" w:cstheme="minorHAnsi"/>
          <w:sz w:val="28"/>
          <w:szCs w:val="28"/>
        </w:rPr>
      </w:pPr>
    </w:p>
    <w:p w:rsidR="009B60AB" w:rsidRPr="005E1103" w:rsidRDefault="009B60AB" w:rsidP="009B60AB">
      <w:pPr>
        <w:ind w:left="165"/>
        <w:jc w:val="both"/>
        <w:rPr>
          <w:rFonts w:cstheme="minorHAnsi"/>
          <w:sz w:val="28"/>
          <w:szCs w:val="28"/>
        </w:rPr>
      </w:pPr>
      <w:r w:rsidRPr="005E1103">
        <w:rPr>
          <w:rFonts w:cstheme="minorHAnsi"/>
          <w:b/>
          <w:sz w:val="28"/>
          <w:szCs w:val="28"/>
        </w:rPr>
        <w:t>Palabras claves</w:t>
      </w:r>
      <w:r w:rsidRPr="005E1103">
        <w:rPr>
          <w:rFonts w:cstheme="minorHAnsi"/>
          <w:sz w:val="28"/>
          <w:szCs w:val="28"/>
        </w:rPr>
        <w:t>: Inclusión, Educación física adaptada, actitudes. INTRODUCCIÓN</w:t>
      </w:r>
    </w:p>
    <w:p w:rsidR="009B60AB" w:rsidRPr="005E1103" w:rsidRDefault="009B60AB" w:rsidP="009B60AB">
      <w:pPr>
        <w:pStyle w:val="Textoindependiente"/>
        <w:rPr>
          <w:rFonts w:asciiTheme="minorHAnsi" w:hAnsiTheme="minorHAnsi" w:cstheme="minorHAnsi"/>
          <w:b/>
          <w:sz w:val="28"/>
          <w:szCs w:val="28"/>
        </w:rPr>
      </w:pPr>
    </w:p>
    <w:p w:rsidR="009B60AB" w:rsidRPr="005E1103" w:rsidRDefault="009B60AB" w:rsidP="009B60AB">
      <w:pPr>
        <w:pStyle w:val="Textoindependiente"/>
        <w:spacing w:before="6"/>
        <w:rPr>
          <w:rFonts w:asciiTheme="minorHAnsi" w:hAnsiTheme="minorHAnsi" w:cstheme="minorHAnsi"/>
          <w:b/>
          <w:sz w:val="28"/>
          <w:szCs w:val="28"/>
        </w:rPr>
      </w:pPr>
    </w:p>
    <w:p w:rsidR="009B60AB" w:rsidRPr="005E1103" w:rsidRDefault="009B60AB" w:rsidP="009B60AB">
      <w:pPr>
        <w:pStyle w:val="Textoindependiente"/>
        <w:spacing w:line="360" w:lineRule="auto"/>
        <w:ind w:left="112" w:right="112" w:firstLine="708"/>
        <w:jc w:val="both"/>
        <w:rPr>
          <w:rFonts w:asciiTheme="minorHAnsi" w:hAnsiTheme="minorHAnsi" w:cstheme="minorHAnsi"/>
          <w:sz w:val="28"/>
          <w:szCs w:val="28"/>
        </w:rPr>
      </w:pPr>
      <w:r w:rsidRPr="005E1103">
        <w:rPr>
          <w:rFonts w:asciiTheme="minorHAnsi" w:hAnsiTheme="minorHAnsi" w:cstheme="minorHAnsi"/>
          <w:sz w:val="28"/>
          <w:szCs w:val="28"/>
        </w:rPr>
        <w:t xml:space="preserve">La inclusión es el desarrollo de estrategias que permiten satisfacer las necesidades, intereses y habilidades de todos y todas las personas que potencien su crecimiento, satisfacción y bienestar como seres humanos, en este sentido, Hironaka-Juetau y Crawford (2010) definen la inclusión como un proceso que facilita las oportunidades para decidir según sus intereses, así como el tener el apoyo requerido para asegurar el disfrute pleno y contar con las destrezas necesarias para alcanzar sus metas. Al ser un proceso que conlleva aprendizaje, éste será en todas las direcciones, tanto para la persona con discapacidad como para la familia y el entorno. Asimismo La inclusión ha sido definida como la práctica de educar a todos los y las estudiantes, incluyendo aquellos que presentan alguna capacidad diferente en la educación regular </w:t>
      </w:r>
      <w:r w:rsidRPr="005E1103">
        <w:rPr>
          <w:rFonts w:asciiTheme="minorHAnsi" w:hAnsiTheme="minorHAnsi" w:cstheme="minorHAnsi"/>
          <w:sz w:val="28"/>
          <w:szCs w:val="28"/>
        </w:rPr>
        <w:lastRenderedPageBreak/>
        <w:t>(Forest y Lusthaus 1989; Stainback y Stainback , 1990). Este término ha sido usado para describir “un sentido de pertenencia, valor y respeto. (Hironaka-Juteau y Crawford, 2010).</w:t>
      </w:r>
    </w:p>
    <w:p w:rsidR="009B60AB" w:rsidRPr="005E1103" w:rsidRDefault="009B60AB" w:rsidP="009B60AB">
      <w:pPr>
        <w:pStyle w:val="Textoindependiente"/>
        <w:spacing w:before="4"/>
        <w:rPr>
          <w:rFonts w:asciiTheme="minorHAnsi" w:hAnsiTheme="minorHAnsi" w:cstheme="minorHAnsi"/>
          <w:sz w:val="28"/>
          <w:szCs w:val="28"/>
        </w:rPr>
      </w:pPr>
    </w:p>
    <w:p w:rsidR="009B60AB" w:rsidRPr="005E1103" w:rsidRDefault="009B60AB" w:rsidP="009B60AB">
      <w:pPr>
        <w:pStyle w:val="Textoindependiente"/>
        <w:spacing w:before="1" w:line="360" w:lineRule="auto"/>
        <w:ind w:left="112" w:right="111" w:firstLine="708"/>
        <w:jc w:val="both"/>
        <w:rPr>
          <w:rFonts w:asciiTheme="minorHAnsi" w:hAnsiTheme="minorHAnsi" w:cstheme="minorHAnsi"/>
          <w:sz w:val="28"/>
          <w:szCs w:val="28"/>
        </w:rPr>
      </w:pPr>
      <w:r w:rsidRPr="005E1103">
        <w:rPr>
          <w:rFonts w:asciiTheme="minorHAnsi" w:hAnsiTheme="minorHAnsi" w:cstheme="minorHAnsi"/>
          <w:sz w:val="28"/>
          <w:szCs w:val="28"/>
        </w:rPr>
        <w:t>En los últimos tiempos los modelos y paradigmas de abordaje de la discapacidad han cambiado, de uno médico a uno social, donde el sujeto se abordaba atado al déficit o limitación física o cognitiva, para pasar a ser visto como una persona vinculada e integrada a la sociedad (Sosa, 2009). Costa Rica  no ha pasado inadvertida a estas tendencias, por lo que el enfoque sobre la discapacidad se ha venido transformando a través del tiempo y ha pasado de un perspectiva estrictamente asistencialista, a uno más integral, fundamentado en la promoción de los derechos humanos y la participación ciudadana de las personas con discapacidad (Organización Panamericana de la Salud</w:t>
      </w:r>
      <w:r w:rsidRPr="005E1103">
        <w:rPr>
          <w:rFonts w:asciiTheme="minorHAnsi" w:hAnsiTheme="minorHAnsi" w:cstheme="minorHAnsi"/>
          <w:spacing w:val="-16"/>
          <w:sz w:val="28"/>
          <w:szCs w:val="28"/>
        </w:rPr>
        <w:t xml:space="preserve"> </w:t>
      </w:r>
      <w:r w:rsidRPr="005E1103">
        <w:rPr>
          <w:rFonts w:asciiTheme="minorHAnsi" w:hAnsiTheme="minorHAnsi" w:cstheme="minorHAnsi"/>
          <w:sz w:val="28"/>
          <w:szCs w:val="28"/>
        </w:rPr>
        <w:t>2004).</w:t>
      </w:r>
    </w:p>
    <w:p w:rsidR="009B60AB" w:rsidRPr="005E1103" w:rsidRDefault="009B60AB" w:rsidP="009B60AB">
      <w:pPr>
        <w:pStyle w:val="Textoindependiente"/>
        <w:spacing w:before="5"/>
        <w:rPr>
          <w:rFonts w:asciiTheme="minorHAnsi" w:hAnsiTheme="minorHAnsi" w:cstheme="minorHAnsi"/>
          <w:sz w:val="28"/>
          <w:szCs w:val="28"/>
        </w:rPr>
      </w:pPr>
    </w:p>
    <w:p w:rsidR="009B60AB" w:rsidRPr="005E1103" w:rsidRDefault="009B60AB" w:rsidP="009B60AB">
      <w:pPr>
        <w:pStyle w:val="Textoindependiente"/>
        <w:spacing w:line="360" w:lineRule="auto"/>
        <w:ind w:left="112" w:right="109" w:firstLine="708"/>
        <w:jc w:val="both"/>
        <w:rPr>
          <w:rFonts w:asciiTheme="minorHAnsi" w:hAnsiTheme="minorHAnsi" w:cstheme="minorHAnsi"/>
          <w:sz w:val="28"/>
          <w:szCs w:val="28"/>
        </w:rPr>
      </w:pPr>
      <w:r w:rsidRPr="005E1103">
        <w:rPr>
          <w:rFonts w:asciiTheme="minorHAnsi" w:hAnsiTheme="minorHAnsi" w:cstheme="minorHAnsi"/>
          <w:sz w:val="28"/>
          <w:szCs w:val="28"/>
        </w:rPr>
        <w:t xml:space="preserve">La definición que se acerca a estos postulados es la expuesta por </w:t>
      </w:r>
      <w:r w:rsidRPr="005E1103">
        <w:rPr>
          <w:rFonts w:asciiTheme="minorHAnsi" w:hAnsiTheme="minorHAnsi" w:cstheme="minorHAnsi"/>
          <w:color w:val="221F1F"/>
          <w:sz w:val="28"/>
          <w:szCs w:val="28"/>
        </w:rPr>
        <w:t xml:space="preserve">Joly (2002) </w:t>
      </w:r>
      <w:r w:rsidRPr="005E1103">
        <w:rPr>
          <w:rFonts w:asciiTheme="minorHAnsi" w:hAnsiTheme="minorHAnsi" w:cstheme="minorHAnsi"/>
          <w:sz w:val="28"/>
          <w:szCs w:val="28"/>
        </w:rPr>
        <w:t>citado por Sosa (2009) y que indica: “La discapacidad es una construcción social, es algo que se construye a diario en las relaciones sociales entre las personas, entre los grupos sociales, en el tejido social. Se construye en las decisiones que tomamos, en las actitudes que asumimos, en la manera que estructuramos el entorno físico, social, cultural e ideológico en el que nos desenvolvemos”.</w:t>
      </w:r>
    </w:p>
    <w:p w:rsidR="009B60AB" w:rsidRPr="005E1103" w:rsidRDefault="009B60AB" w:rsidP="009B60AB">
      <w:pPr>
        <w:pStyle w:val="Textoindependiente"/>
        <w:spacing w:before="4"/>
        <w:rPr>
          <w:rFonts w:asciiTheme="minorHAnsi" w:hAnsiTheme="minorHAnsi" w:cstheme="minorHAnsi"/>
          <w:sz w:val="28"/>
          <w:szCs w:val="28"/>
        </w:rPr>
      </w:pPr>
    </w:p>
    <w:p w:rsidR="009B60AB" w:rsidRPr="005E1103" w:rsidRDefault="009B60AB" w:rsidP="009B60AB">
      <w:pPr>
        <w:pStyle w:val="Textoindependiente"/>
        <w:spacing w:before="1" w:line="360" w:lineRule="auto"/>
        <w:ind w:left="112" w:right="114" w:firstLine="708"/>
        <w:jc w:val="both"/>
        <w:rPr>
          <w:rFonts w:asciiTheme="minorHAnsi" w:hAnsiTheme="minorHAnsi" w:cstheme="minorHAnsi"/>
          <w:sz w:val="28"/>
          <w:szCs w:val="28"/>
        </w:rPr>
      </w:pPr>
      <w:r w:rsidRPr="005E1103">
        <w:rPr>
          <w:rFonts w:asciiTheme="minorHAnsi" w:hAnsiTheme="minorHAnsi" w:cstheme="minorHAnsi"/>
          <w:sz w:val="28"/>
          <w:szCs w:val="28"/>
        </w:rPr>
        <w:t xml:space="preserve">Para la atención integral de las persona con limitaciones físicas o intelectuales a partir de una perspectiva social, se debe abordar desde la inclusión, tal como lo han propuestos los diferentes tratos y convenios internacionales. Por lo que la educación Física es el área de la educación que permite aplicar la inclusión en el aula de una forma explícita.En lo que respecta a la Educación Física regular, la inclusión se pone en práctica cuando se  toma cuenta al alumno como un miembro de la clase, el cual puede </w:t>
      </w:r>
      <w:r w:rsidRPr="005E1103">
        <w:rPr>
          <w:rFonts w:asciiTheme="minorHAnsi" w:hAnsiTheme="minorHAnsi" w:cstheme="minorHAnsi"/>
          <w:sz w:val="28"/>
          <w:szCs w:val="28"/>
        </w:rPr>
        <w:lastRenderedPageBreak/>
        <w:t>moverse y aprender en forma diferente que sus compañeros (as). Y en el cual, además de ello, reafirma su compromiso de inclusión  al promover dentro del resto del grupo la puesta en práctica del respeto hacia las limitaciones y habilidades únicas (Block,</w:t>
      </w:r>
      <w:r w:rsidRPr="005E1103">
        <w:rPr>
          <w:rFonts w:asciiTheme="minorHAnsi" w:hAnsiTheme="minorHAnsi" w:cstheme="minorHAnsi"/>
          <w:spacing w:val="-7"/>
          <w:sz w:val="28"/>
          <w:szCs w:val="28"/>
        </w:rPr>
        <w:t xml:space="preserve"> </w:t>
      </w:r>
      <w:r w:rsidRPr="005E1103">
        <w:rPr>
          <w:rFonts w:asciiTheme="minorHAnsi" w:hAnsiTheme="minorHAnsi" w:cstheme="minorHAnsi"/>
          <w:sz w:val="28"/>
          <w:szCs w:val="28"/>
        </w:rPr>
        <w:t>2000).</w:t>
      </w:r>
    </w:p>
    <w:p w:rsidR="009B60AB" w:rsidRPr="005E1103" w:rsidRDefault="009B60AB" w:rsidP="009B60AB">
      <w:pPr>
        <w:pStyle w:val="Textoindependiente"/>
        <w:spacing w:before="4"/>
        <w:rPr>
          <w:rFonts w:asciiTheme="minorHAnsi" w:hAnsiTheme="minorHAnsi" w:cstheme="minorHAnsi"/>
          <w:sz w:val="28"/>
          <w:szCs w:val="28"/>
        </w:rPr>
      </w:pPr>
    </w:p>
    <w:p w:rsidR="009B60AB" w:rsidRPr="005E1103" w:rsidRDefault="009B60AB" w:rsidP="009B60AB">
      <w:pPr>
        <w:pStyle w:val="Textoindependiente"/>
        <w:spacing w:line="360" w:lineRule="auto"/>
        <w:ind w:left="112" w:right="117" w:firstLine="708"/>
        <w:jc w:val="both"/>
        <w:rPr>
          <w:rFonts w:asciiTheme="minorHAnsi" w:hAnsiTheme="minorHAnsi" w:cstheme="minorHAnsi"/>
          <w:sz w:val="28"/>
          <w:szCs w:val="28"/>
        </w:rPr>
      </w:pPr>
      <w:r w:rsidRPr="005E1103">
        <w:rPr>
          <w:rFonts w:asciiTheme="minorHAnsi" w:hAnsiTheme="minorHAnsi" w:cstheme="minorHAnsi"/>
          <w:sz w:val="28"/>
          <w:szCs w:val="28"/>
        </w:rPr>
        <w:t>El proceso de inclusión establece ciertas claves para su logro de forma asertiva, entre ellos se reconocen los siguientes: la adaptación del currículo; la integración del personal y recursos adecuados; la distribución equilibrada en los grupos de las personas con y sin capacidades diferentes; el planeamiento de la clase debe tener como punto de partida las habilidades y destrezas de los y las estudiantes con capacidades diferentes y no menos importante la capacitación del personal que atienden las personas con necesidades diferentes (Block, 2000).</w:t>
      </w:r>
    </w:p>
    <w:p w:rsidR="009B60AB" w:rsidRPr="005E1103" w:rsidRDefault="009B60AB" w:rsidP="009B60AB">
      <w:pPr>
        <w:pStyle w:val="Textoindependiente"/>
        <w:spacing w:before="4"/>
        <w:rPr>
          <w:rFonts w:asciiTheme="minorHAnsi" w:hAnsiTheme="minorHAnsi" w:cstheme="minorHAnsi"/>
          <w:sz w:val="28"/>
          <w:szCs w:val="28"/>
        </w:rPr>
      </w:pPr>
    </w:p>
    <w:p w:rsidR="009B60AB" w:rsidRPr="005E1103" w:rsidRDefault="009B60AB" w:rsidP="009B60AB">
      <w:pPr>
        <w:pStyle w:val="Textoindependiente"/>
        <w:spacing w:line="360" w:lineRule="auto"/>
        <w:ind w:left="112" w:right="115" w:firstLine="708"/>
        <w:jc w:val="both"/>
        <w:rPr>
          <w:rFonts w:asciiTheme="minorHAnsi" w:hAnsiTheme="minorHAnsi" w:cstheme="minorHAnsi"/>
          <w:sz w:val="28"/>
          <w:szCs w:val="28"/>
        </w:rPr>
      </w:pPr>
      <w:r w:rsidRPr="005E1103">
        <w:rPr>
          <w:rFonts w:asciiTheme="minorHAnsi" w:hAnsiTheme="minorHAnsi" w:cstheme="minorHAnsi"/>
          <w:sz w:val="28"/>
          <w:szCs w:val="28"/>
        </w:rPr>
        <w:t>La educación física inclusiva para Ríos (2009), es cuando todos los estudiantes comparten el mismo espacio, sin ninguna desigualdad, tanto en la enseñanza como en la organización, sin dejar de lado el apoyo pedagógico y social para aquellos estudiantes que lo necesiten y siempre manteniendo una alta expectativa de aprendizaje. Por tanto, se deben fortalecer las oportunidades de un aprendizaje diversificado para todo el</w:t>
      </w:r>
      <w:r w:rsidRPr="005E1103">
        <w:rPr>
          <w:rFonts w:asciiTheme="minorHAnsi" w:hAnsiTheme="minorHAnsi" w:cstheme="minorHAnsi"/>
          <w:spacing w:val="-5"/>
          <w:sz w:val="28"/>
          <w:szCs w:val="28"/>
        </w:rPr>
        <w:t xml:space="preserve"> </w:t>
      </w:r>
      <w:r w:rsidRPr="005E1103">
        <w:rPr>
          <w:rFonts w:asciiTheme="minorHAnsi" w:hAnsiTheme="minorHAnsi" w:cstheme="minorHAnsi"/>
          <w:sz w:val="28"/>
          <w:szCs w:val="28"/>
        </w:rPr>
        <w:t>estudiantado.</w:t>
      </w:r>
    </w:p>
    <w:p w:rsidR="009B60AB" w:rsidRPr="005E1103" w:rsidRDefault="009B60AB" w:rsidP="009B60AB">
      <w:pPr>
        <w:pStyle w:val="Textoindependiente"/>
        <w:spacing w:before="4"/>
        <w:rPr>
          <w:rFonts w:asciiTheme="minorHAnsi" w:hAnsiTheme="minorHAnsi" w:cstheme="minorHAnsi"/>
          <w:sz w:val="28"/>
          <w:szCs w:val="28"/>
        </w:rPr>
      </w:pPr>
    </w:p>
    <w:p w:rsidR="009B60AB" w:rsidRPr="005E1103" w:rsidRDefault="009B60AB" w:rsidP="009B60AB">
      <w:pPr>
        <w:pStyle w:val="Textoindependiente"/>
        <w:spacing w:line="360" w:lineRule="auto"/>
        <w:ind w:left="112" w:right="111" w:firstLine="708"/>
        <w:jc w:val="both"/>
        <w:rPr>
          <w:rFonts w:asciiTheme="minorHAnsi" w:hAnsiTheme="minorHAnsi" w:cstheme="minorHAnsi"/>
          <w:sz w:val="28"/>
          <w:szCs w:val="28"/>
        </w:rPr>
      </w:pPr>
      <w:r w:rsidRPr="005E1103">
        <w:rPr>
          <w:rFonts w:asciiTheme="minorHAnsi" w:hAnsiTheme="minorHAnsi" w:cstheme="minorHAnsi"/>
          <w:sz w:val="28"/>
          <w:szCs w:val="28"/>
        </w:rPr>
        <w:t xml:space="preserve">Snell y Eichner. (1989) y Stainback (1990) hacen énfasis en que los beneficios de incluir a los estudiantes con capacidades diferentes a los Programas de Educación regular, que posibiliten: la adquisición de habilidades para la vida o destrezas sociales (vestimenta de ropa apropiada a la edad, puesta en práctica de conductas apropiadas a cada ambiente en el que se encuentre), la participación en las distintas actividades escolares dirigidas a niños de su misma edad, su integración en la comunidad educativa (padres, estudiantes, profesores y demás entes administrativos), permitiendo con ello nuevas experiencias, relaciones y menos aislamiento, el profesorado de Educación </w:t>
      </w:r>
      <w:r w:rsidRPr="005E1103">
        <w:rPr>
          <w:rFonts w:asciiTheme="minorHAnsi" w:hAnsiTheme="minorHAnsi" w:cstheme="minorHAnsi"/>
          <w:sz w:val="28"/>
          <w:szCs w:val="28"/>
        </w:rPr>
        <w:lastRenderedPageBreak/>
        <w:t>Física adaptada tienen mejores y mayores expectativas con su alumnos con capacidades diferentes cuando estos son integrados.</w:t>
      </w:r>
    </w:p>
    <w:p w:rsidR="009B60AB" w:rsidRPr="005E1103" w:rsidRDefault="009B60AB" w:rsidP="009B60AB">
      <w:pPr>
        <w:pStyle w:val="Textoindependiente"/>
        <w:spacing w:before="4"/>
        <w:rPr>
          <w:rFonts w:asciiTheme="minorHAnsi" w:hAnsiTheme="minorHAnsi" w:cstheme="minorHAnsi"/>
          <w:sz w:val="28"/>
          <w:szCs w:val="28"/>
        </w:rPr>
      </w:pPr>
    </w:p>
    <w:p w:rsidR="009B60AB" w:rsidRPr="005E1103" w:rsidRDefault="009B60AB" w:rsidP="009B60AB">
      <w:pPr>
        <w:pStyle w:val="Textoindependiente"/>
        <w:spacing w:line="360" w:lineRule="auto"/>
        <w:ind w:left="112" w:right="112" w:firstLine="708"/>
        <w:jc w:val="both"/>
        <w:rPr>
          <w:rFonts w:asciiTheme="minorHAnsi" w:hAnsiTheme="minorHAnsi" w:cstheme="minorHAnsi"/>
          <w:sz w:val="28"/>
          <w:szCs w:val="28"/>
        </w:rPr>
      </w:pPr>
      <w:r w:rsidRPr="005E1103">
        <w:rPr>
          <w:rFonts w:asciiTheme="minorHAnsi" w:hAnsiTheme="minorHAnsi" w:cstheme="minorHAnsi"/>
          <w:sz w:val="28"/>
          <w:szCs w:val="28"/>
        </w:rPr>
        <w:t>Block y Zeman (1996) consideran fundamental que los centros educativos cuenten con un educador físico que posea conocimientos en materia de inclusión. En su estudio Hernández (2010) menciona que una mayoría de los centros educativos no tienen la posibilidad,ni los recursos   humanos suficientes para una adecuada planificación e intervención  en materia de inclusión educativa. Por  tanto, una posible solución es que el profesor tenga la mayor cantidad de experiencias previas y capacitaciones en el tema de inclusión. Kowalski y Rizzo (1996) refirieron que el ser humano entre  más experiencias de inclusión mayor será la disposición de actitudes. Claramente, el profesorado con mayor experiencia y capacitación pone en práctica una adecuada inclusión e integración en la clase educación</w:t>
      </w:r>
      <w:r w:rsidRPr="005E1103">
        <w:rPr>
          <w:rFonts w:asciiTheme="minorHAnsi" w:hAnsiTheme="minorHAnsi" w:cstheme="minorHAnsi"/>
          <w:spacing w:val="-6"/>
          <w:sz w:val="28"/>
          <w:szCs w:val="28"/>
        </w:rPr>
        <w:t xml:space="preserve"> </w:t>
      </w:r>
      <w:r w:rsidRPr="005E1103">
        <w:rPr>
          <w:rFonts w:asciiTheme="minorHAnsi" w:hAnsiTheme="minorHAnsi" w:cstheme="minorHAnsi"/>
          <w:sz w:val="28"/>
          <w:szCs w:val="28"/>
        </w:rPr>
        <w:t>física.</w:t>
      </w:r>
    </w:p>
    <w:p w:rsidR="009B60AB" w:rsidRPr="005E1103" w:rsidRDefault="009B60AB" w:rsidP="009B60AB">
      <w:pPr>
        <w:pStyle w:val="Textoindependiente"/>
        <w:spacing w:before="5"/>
        <w:rPr>
          <w:rFonts w:asciiTheme="minorHAnsi" w:hAnsiTheme="minorHAnsi" w:cstheme="minorHAnsi"/>
          <w:sz w:val="28"/>
          <w:szCs w:val="28"/>
        </w:rPr>
      </w:pPr>
    </w:p>
    <w:p w:rsidR="009B60AB" w:rsidRPr="005E1103" w:rsidRDefault="009B60AB" w:rsidP="009B60AB">
      <w:pPr>
        <w:pStyle w:val="Textoindependiente"/>
        <w:spacing w:line="360" w:lineRule="auto"/>
        <w:ind w:left="112" w:right="114" w:firstLine="708"/>
        <w:jc w:val="both"/>
        <w:rPr>
          <w:rFonts w:asciiTheme="minorHAnsi" w:hAnsiTheme="minorHAnsi" w:cstheme="minorHAnsi"/>
          <w:sz w:val="28"/>
          <w:szCs w:val="28"/>
        </w:rPr>
      </w:pPr>
      <w:r w:rsidRPr="005E1103">
        <w:rPr>
          <w:rFonts w:asciiTheme="minorHAnsi" w:hAnsiTheme="minorHAnsi" w:cstheme="minorHAnsi"/>
          <w:sz w:val="28"/>
          <w:szCs w:val="28"/>
        </w:rPr>
        <w:t>La educación actual enfrenta muchas dificultades, Mendoza (2008) hace referencia a que los mayores obstáculos que enfrentan los educadores para la aplicación de la educación inclusiva es la falta de recursos materiales y humanos, adicionalmente, la presencia de una amplia heterogeneidad de los estudiantes en los grupos de clase. Sin embargo, estas dificultades no tienen que afectar el buen desempeño de los actuales y de los futuros docentes, que con una adecuada preparación pueden luchar por solventar los obstáculos, e intentando hacer realidad la inclusión educativa.</w:t>
      </w:r>
    </w:p>
    <w:p w:rsidR="009B60AB" w:rsidRPr="005E1103" w:rsidRDefault="009B60AB" w:rsidP="009B60AB">
      <w:pPr>
        <w:pStyle w:val="Textoindependiente"/>
        <w:spacing w:before="5"/>
        <w:rPr>
          <w:rFonts w:asciiTheme="minorHAnsi" w:hAnsiTheme="minorHAnsi" w:cstheme="minorHAnsi"/>
          <w:sz w:val="28"/>
          <w:szCs w:val="28"/>
        </w:rPr>
      </w:pPr>
    </w:p>
    <w:p w:rsidR="009B60AB" w:rsidRPr="005E1103" w:rsidRDefault="009B60AB" w:rsidP="009B60AB">
      <w:pPr>
        <w:pStyle w:val="Textoindependiente"/>
        <w:spacing w:line="360" w:lineRule="auto"/>
        <w:ind w:left="112" w:right="120" w:firstLine="708"/>
        <w:jc w:val="both"/>
        <w:rPr>
          <w:rFonts w:asciiTheme="minorHAnsi" w:hAnsiTheme="minorHAnsi" w:cstheme="minorHAnsi"/>
          <w:sz w:val="28"/>
          <w:szCs w:val="28"/>
        </w:rPr>
      </w:pPr>
      <w:r w:rsidRPr="005E1103">
        <w:rPr>
          <w:rFonts w:asciiTheme="minorHAnsi" w:hAnsiTheme="minorHAnsi" w:cstheme="minorHAnsi"/>
          <w:sz w:val="28"/>
          <w:szCs w:val="28"/>
        </w:rPr>
        <w:t>Uno de los aspectos íntimamente relacionados con el tema de inclusión en el aula es el de actitudes, por lo que es importante pasar a definir este término.</w:t>
      </w:r>
    </w:p>
    <w:p w:rsidR="009B60AB" w:rsidRPr="005E1103" w:rsidRDefault="009B60AB" w:rsidP="009B60AB">
      <w:pPr>
        <w:pStyle w:val="Textoindependiente"/>
        <w:spacing w:before="5"/>
        <w:rPr>
          <w:rFonts w:asciiTheme="minorHAnsi" w:hAnsiTheme="minorHAnsi" w:cstheme="minorHAnsi"/>
          <w:sz w:val="28"/>
          <w:szCs w:val="28"/>
        </w:rPr>
      </w:pPr>
    </w:p>
    <w:p w:rsidR="009B60AB" w:rsidRPr="005E1103" w:rsidRDefault="009B60AB" w:rsidP="009B60AB">
      <w:pPr>
        <w:pStyle w:val="Textoindependiente"/>
        <w:spacing w:line="360" w:lineRule="auto"/>
        <w:ind w:left="112" w:right="113" w:firstLine="708"/>
        <w:jc w:val="both"/>
        <w:rPr>
          <w:rFonts w:asciiTheme="minorHAnsi" w:hAnsiTheme="minorHAnsi" w:cstheme="minorHAnsi"/>
          <w:sz w:val="28"/>
          <w:szCs w:val="28"/>
        </w:rPr>
      </w:pPr>
      <w:r w:rsidRPr="005E1103">
        <w:rPr>
          <w:rFonts w:asciiTheme="minorHAnsi" w:hAnsiTheme="minorHAnsi" w:cstheme="minorHAnsi"/>
          <w:sz w:val="28"/>
          <w:szCs w:val="28"/>
        </w:rPr>
        <w:lastRenderedPageBreak/>
        <w:t>Sherrill (1998, pág. 7) citado por Ruiz (2003) conceptualiza actitud como una variedad de creencias saturadas de emociones que influyen sobre cierto tipo de comportamientos de las personas. Por lo que, para tratar el tema de inclusión en el aula se debe trabajar primeramente con las actitudes de los profesores, en el caso de este estudio, de Educación Física, para trascender a la Educación Física Adaptada, la cual busca la inclusión y la integración de los niños con necesidades educativas especiales en el aula y con el resto de estudiantes.</w:t>
      </w:r>
    </w:p>
    <w:p w:rsidR="009B60AB" w:rsidRPr="005E1103" w:rsidRDefault="009B60AB" w:rsidP="009B60AB">
      <w:pPr>
        <w:pStyle w:val="Textoindependiente"/>
        <w:spacing w:before="5"/>
        <w:rPr>
          <w:rFonts w:asciiTheme="minorHAnsi" w:hAnsiTheme="minorHAnsi" w:cstheme="minorHAnsi"/>
          <w:sz w:val="28"/>
          <w:szCs w:val="28"/>
        </w:rPr>
      </w:pPr>
    </w:p>
    <w:p w:rsidR="009B60AB" w:rsidRPr="005E1103" w:rsidRDefault="009B60AB" w:rsidP="009B60AB">
      <w:pPr>
        <w:pStyle w:val="Textoindependiente"/>
        <w:spacing w:line="360" w:lineRule="auto"/>
        <w:ind w:left="112" w:right="115" w:firstLine="708"/>
        <w:jc w:val="both"/>
        <w:rPr>
          <w:rFonts w:asciiTheme="minorHAnsi" w:hAnsiTheme="minorHAnsi" w:cstheme="minorHAnsi"/>
          <w:sz w:val="28"/>
          <w:szCs w:val="28"/>
        </w:rPr>
      </w:pPr>
      <w:r w:rsidRPr="005E1103">
        <w:rPr>
          <w:rFonts w:asciiTheme="minorHAnsi" w:hAnsiTheme="minorHAnsi" w:cstheme="minorHAnsi"/>
          <w:sz w:val="28"/>
          <w:szCs w:val="28"/>
        </w:rPr>
        <w:t>Algunas las investigaciones, según Díaz del Cueto (2009), han determinado que el profesorado valora no estar preparado para la inclusión del estudiantado con necesidades especiales en las clases de educación física, porque no cuentan con la formación en discapacidad. Sumado a lo anterior, el estudiante con algún tipo de discapacidad tiene que realizar un esfuerzo para adaptarse al grupo, al entorno del aula, a las estrategias metodológicas y el contenido programático; así como el rol del profesor de Educación Física en el desarrollo integral de los niños y jóvenes.</w:t>
      </w:r>
    </w:p>
    <w:p w:rsidR="009B60AB" w:rsidRPr="005E1103" w:rsidRDefault="009B60AB" w:rsidP="009B60AB">
      <w:pPr>
        <w:pStyle w:val="Textoindependiente"/>
        <w:spacing w:before="4"/>
        <w:rPr>
          <w:rFonts w:asciiTheme="minorHAnsi" w:hAnsiTheme="minorHAnsi" w:cstheme="minorHAnsi"/>
          <w:sz w:val="28"/>
          <w:szCs w:val="28"/>
        </w:rPr>
      </w:pPr>
    </w:p>
    <w:p w:rsidR="009B60AB" w:rsidRPr="005E1103" w:rsidRDefault="009B60AB" w:rsidP="009B60AB">
      <w:pPr>
        <w:pStyle w:val="Textoindependiente"/>
        <w:spacing w:before="1" w:line="360" w:lineRule="auto"/>
        <w:ind w:left="112" w:right="115" w:firstLine="708"/>
        <w:jc w:val="both"/>
        <w:rPr>
          <w:rFonts w:asciiTheme="minorHAnsi" w:hAnsiTheme="minorHAnsi" w:cstheme="minorHAnsi"/>
          <w:sz w:val="28"/>
          <w:szCs w:val="28"/>
        </w:rPr>
      </w:pPr>
      <w:r w:rsidRPr="005E1103">
        <w:rPr>
          <w:rFonts w:asciiTheme="minorHAnsi" w:hAnsiTheme="minorHAnsi" w:cstheme="minorHAnsi"/>
          <w:sz w:val="28"/>
          <w:szCs w:val="28"/>
        </w:rPr>
        <w:t>Para el cambio de actitudes del profesorado de Educación física y así favorecer la inclusión de personas con discapacidad dentro del aula, se debe de considerarse que las actitudes son aprendidas,complejas, estables y a veces rígidas, pero modificables dependiendo de sus motivos e intensidad y se reflejan  en el comportamiento de la persona (Reina, 2003).</w:t>
      </w:r>
    </w:p>
    <w:p w:rsidR="009B60AB" w:rsidRPr="005E1103" w:rsidRDefault="009B60AB" w:rsidP="009B60AB">
      <w:pPr>
        <w:pStyle w:val="Textoindependiente"/>
        <w:spacing w:before="2"/>
        <w:rPr>
          <w:rFonts w:asciiTheme="minorHAnsi" w:hAnsiTheme="minorHAnsi" w:cstheme="minorHAnsi"/>
          <w:sz w:val="28"/>
          <w:szCs w:val="28"/>
        </w:rPr>
      </w:pPr>
    </w:p>
    <w:p w:rsidR="009B60AB" w:rsidRPr="005E1103" w:rsidRDefault="009B60AB" w:rsidP="009B60AB">
      <w:pPr>
        <w:pStyle w:val="Textoindependiente"/>
        <w:spacing w:line="360" w:lineRule="auto"/>
        <w:ind w:left="112" w:right="113" w:firstLine="708"/>
        <w:jc w:val="both"/>
        <w:rPr>
          <w:rFonts w:asciiTheme="minorHAnsi" w:hAnsiTheme="minorHAnsi" w:cstheme="minorHAnsi"/>
          <w:sz w:val="28"/>
          <w:szCs w:val="28"/>
        </w:rPr>
      </w:pPr>
      <w:r w:rsidRPr="005E1103">
        <w:rPr>
          <w:rFonts w:asciiTheme="minorHAnsi" w:hAnsiTheme="minorHAnsi" w:cstheme="minorHAnsi"/>
          <w:sz w:val="28"/>
          <w:szCs w:val="28"/>
        </w:rPr>
        <w:t xml:space="preserve">En una investigación realizada por Fernández y col (2009), concluyeron que la intervención docente se proporciona una disposición hacia la mejora de la opinión y actitudes hacia la inclusión y el autoconcepto del estudiantado con discapacidad motriz, la madurez del estudiantado es un indicador en el proceso de inclusión, y por últimos el compromiso del docente en adoptar estrategias inclusivas en los procesos </w:t>
      </w:r>
      <w:r w:rsidRPr="005E1103">
        <w:rPr>
          <w:rFonts w:asciiTheme="minorHAnsi" w:hAnsiTheme="minorHAnsi" w:cstheme="minorHAnsi"/>
          <w:sz w:val="28"/>
          <w:szCs w:val="28"/>
        </w:rPr>
        <w:lastRenderedPageBreak/>
        <w:t>colaborativos, que favorece la inclusión del estudiantado con discapacidad en el aula y contribuye a la formación y permanente del profesorado.</w:t>
      </w:r>
    </w:p>
    <w:p w:rsidR="009B60AB" w:rsidRPr="005E1103" w:rsidRDefault="009B60AB" w:rsidP="009B60AB">
      <w:pPr>
        <w:pStyle w:val="Textoindependiente"/>
        <w:rPr>
          <w:rFonts w:asciiTheme="minorHAnsi" w:hAnsiTheme="minorHAnsi" w:cstheme="minorHAnsi"/>
          <w:sz w:val="28"/>
          <w:szCs w:val="28"/>
        </w:rPr>
      </w:pPr>
    </w:p>
    <w:p w:rsidR="009B60AB" w:rsidRPr="005E1103" w:rsidRDefault="009B60AB" w:rsidP="009B60AB">
      <w:pPr>
        <w:pStyle w:val="Textoindependiente"/>
        <w:spacing w:before="8"/>
        <w:rPr>
          <w:rFonts w:asciiTheme="minorHAnsi" w:hAnsiTheme="minorHAnsi" w:cstheme="minorHAnsi"/>
          <w:sz w:val="28"/>
          <w:szCs w:val="28"/>
        </w:rPr>
      </w:pPr>
    </w:p>
    <w:p w:rsidR="009B60AB" w:rsidRPr="005E1103" w:rsidRDefault="009B60AB" w:rsidP="009B60AB">
      <w:pPr>
        <w:pStyle w:val="Textoindependiente"/>
        <w:spacing w:before="1" w:line="360" w:lineRule="auto"/>
        <w:ind w:left="112" w:right="115" w:firstLine="708"/>
        <w:jc w:val="both"/>
        <w:rPr>
          <w:rFonts w:asciiTheme="minorHAnsi" w:hAnsiTheme="minorHAnsi" w:cstheme="minorHAnsi"/>
          <w:sz w:val="28"/>
          <w:szCs w:val="28"/>
        </w:rPr>
      </w:pPr>
      <w:r w:rsidRPr="005E1103">
        <w:rPr>
          <w:rFonts w:asciiTheme="minorHAnsi" w:hAnsiTheme="minorHAnsi" w:cstheme="minorHAnsi"/>
          <w:sz w:val="28"/>
          <w:szCs w:val="28"/>
        </w:rPr>
        <w:t>Por lo expuesto anteriormente, se hace evidente la importancia de conocer cuáles son las actitudes del profesorado de Educación Física hacia la inclusión de los estudiantes con discapacidad dentro del aula, en la educación formal regular. Por lo que propusieron los siguientes objetivos.</w:t>
      </w:r>
    </w:p>
    <w:p w:rsidR="009B60AB" w:rsidRPr="005E1103" w:rsidRDefault="009B60AB" w:rsidP="009B60AB">
      <w:pPr>
        <w:pStyle w:val="Textoindependiente"/>
        <w:rPr>
          <w:rFonts w:asciiTheme="minorHAnsi" w:hAnsiTheme="minorHAnsi" w:cstheme="minorHAnsi"/>
          <w:sz w:val="28"/>
          <w:szCs w:val="28"/>
        </w:rPr>
      </w:pPr>
    </w:p>
    <w:p w:rsidR="009B60AB" w:rsidRPr="005E1103" w:rsidRDefault="009B60AB" w:rsidP="009B60AB">
      <w:pPr>
        <w:pStyle w:val="Textoindependiente"/>
        <w:spacing w:before="221"/>
        <w:ind w:left="112"/>
        <w:rPr>
          <w:rFonts w:asciiTheme="minorHAnsi" w:hAnsiTheme="minorHAnsi" w:cstheme="minorHAnsi"/>
          <w:sz w:val="28"/>
          <w:szCs w:val="28"/>
        </w:rPr>
      </w:pPr>
      <w:r w:rsidRPr="005E1103">
        <w:rPr>
          <w:rFonts w:asciiTheme="minorHAnsi" w:hAnsiTheme="minorHAnsi" w:cstheme="minorHAnsi"/>
          <w:sz w:val="28"/>
          <w:szCs w:val="28"/>
        </w:rPr>
        <w:t>Objetivo General:</w:t>
      </w:r>
    </w:p>
    <w:p w:rsidR="009B60AB" w:rsidRPr="005E1103" w:rsidRDefault="009B60AB" w:rsidP="009B60AB">
      <w:pPr>
        <w:pStyle w:val="Textoindependiente"/>
        <w:spacing w:before="136" w:line="360" w:lineRule="auto"/>
        <w:ind w:left="112" w:right="118" w:firstLine="708"/>
        <w:jc w:val="both"/>
        <w:rPr>
          <w:rFonts w:asciiTheme="minorHAnsi" w:hAnsiTheme="minorHAnsi" w:cstheme="minorHAnsi"/>
          <w:sz w:val="28"/>
          <w:szCs w:val="28"/>
        </w:rPr>
      </w:pPr>
      <w:r w:rsidRPr="005E1103">
        <w:rPr>
          <w:rFonts w:asciiTheme="minorHAnsi" w:hAnsiTheme="minorHAnsi" w:cstheme="minorHAnsi"/>
          <w:sz w:val="28"/>
          <w:szCs w:val="28"/>
        </w:rPr>
        <w:t>Establecer cuáles son las actitudes de los profesores de educación física frente a la posibilidad de trabajar con jóvenes en condición de discapacidad en</w:t>
      </w:r>
      <w:r w:rsidRPr="005E1103">
        <w:rPr>
          <w:rFonts w:asciiTheme="minorHAnsi" w:hAnsiTheme="minorHAnsi" w:cstheme="minorHAnsi"/>
          <w:spacing w:val="-12"/>
          <w:sz w:val="28"/>
          <w:szCs w:val="28"/>
        </w:rPr>
        <w:t xml:space="preserve"> </w:t>
      </w:r>
      <w:r w:rsidRPr="005E1103">
        <w:rPr>
          <w:rFonts w:asciiTheme="minorHAnsi" w:hAnsiTheme="minorHAnsi" w:cstheme="minorHAnsi"/>
          <w:sz w:val="28"/>
          <w:szCs w:val="28"/>
        </w:rPr>
        <w:t>secundaria.</w:t>
      </w:r>
    </w:p>
    <w:p w:rsidR="009B60AB" w:rsidRPr="005E1103" w:rsidRDefault="009B60AB" w:rsidP="009B60AB">
      <w:pPr>
        <w:pStyle w:val="Textoindependiente"/>
        <w:spacing w:before="4"/>
        <w:rPr>
          <w:rFonts w:asciiTheme="minorHAnsi" w:hAnsiTheme="minorHAnsi" w:cstheme="minorHAnsi"/>
          <w:sz w:val="28"/>
          <w:szCs w:val="28"/>
        </w:rPr>
      </w:pPr>
    </w:p>
    <w:p w:rsidR="009B60AB" w:rsidRPr="005E1103" w:rsidRDefault="009B60AB" w:rsidP="009B60AB">
      <w:pPr>
        <w:pStyle w:val="Textoindependiente"/>
        <w:spacing w:before="1"/>
        <w:ind w:left="112"/>
        <w:rPr>
          <w:rFonts w:asciiTheme="minorHAnsi" w:hAnsiTheme="minorHAnsi" w:cstheme="minorHAnsi"/>
          <w:sz w:val="28"/>
          <w:szCs w:val="28"/>
        </w:rPr>
      </w:pPr>
      <w:r w:rsidRPr="005E1103">
        <w:rPr>
          <w:rFonts w:asciiTheme="minorHAnsi" w:hAnsiTheme="minorHAnsi" w:cstheme="minorHAnsi"/>
          <w:sz w:val="28"/>
          <w:szCs w:val="28"/>
        </w:rPr>
        <w:t>Objetivos Específicos:</w:t>
      </w:r>
    </w:p>
    <w:p w:rsidR="009B60AB" w:rsidRPr="005E1103" w:rsidRDefault="009B60AB" w:rsidP="009B60AB">
      <w:pPr>
        <w:pStyle w:val="Prrafodelista"/>
        <w:widowControl w:val="0"/>
        <w:numPr>
          <w:ilvl w:val="0"/>
          <w:numId w:val="52"/>
        </w:numPr>
        <w:tabs>
          <w:tab w:val="left" w:pos="822"/>
        </w:tabs>
        <w:autoSpaceDE w:val="0"/>
        <w:autoSpaceDN w:val="0"/>
        <w:spacing w:before="137" w:line="360" w:lineRule="auto"/>
        <w:ind w:right="122" w:hanging="360"/>
        <w:contextualSpacing w:val="0"/>
        <w:jc w:val="both"/>
        <w:rPr>
          <w:rFonts w:asciiTheme="minorHAnsi" w:hAnsiTheme="minorHAnsi" w:cstheme="minorHAnsi"/>
          <w:sz w:val="28"/>
          <w:szCs w:val="28"/>
        </w:rPr>
      </w:pPr>
      <w:r w:rsidRPr="005E1103">
        <w:rPr>
          <w:rFonts w:asciiTheme="minorHAnsi" w:hAnsiTheme="minorHAnsi" w:cstheme="minorHAnsi"/>
          <w:sz w:val="28"/>
          <w:szCs w:val="28"/>
        </w:rPr>
        <w:t>Determinar las actitudes de los profesores de Educación física hacia la enseñanza del estudiantado en condición de</w:t>
      </w:r>
      <w:r w:rsidRPr="005E1103">
        <w:rPr>
          <w:rFonts w:asciiTheme="minorHAnsi" w:hAnsiTheme="minorHAnsi" w:cstheme="minorHAnsi"/>
          <w:spacing w:val="-5"/>
          <w:sz w:val="28"/>
          <w:szCs w:val="28"/>
        </w:rPr>
        <w:t xml:space="preserve"> </w:t>
      </w:r>
      <w:r w:rsidRPr="005E1103">
        <w:rPr>
          <w:rFonts w:asciiTheme="minorHAnsi" w:hAnsiTheme="minorHAnsi" w:cstheme="minorHAnsi"/>
          <w:sz w:val="28"/>
          <w:szCs w:val="28"/>
        </w:rPr>
        <w:t>discapacidad.</w:t>
      </w:r>
    </w:p>
    <w:p w:rsidR="009B60AB" w:rsidRPr="005E1103" w:rsidRDefault="009B60AB" w:rsidP="009B60AB">
      <w:pPr>
        <w:pStyle w:val="Textoindependiente"/>
        <w:spacing w:before="3"/>
        <w:rPr>
          <w:rFonts w:asciiTheme="minorHAnsi" w:hAnsiTheme="minorHAnsi" w:cstheme="minorHAnsi"/>
          <w:sz w:val="28"/>
          <w:szCs w:val="28"/>
        </w:rPr>
      </w:pPr>
    </w:p>
    <w:p w:rsidR="009B60AB" w:rsidRPr="005E1103" w:rsidRDefault="009B60AB" w:rsidP="009B60AB">
      <w:pPr>
        <w:pStyle w:val="Prrafodelista"/>
        <w:widowControl w:val="0"/>
        <w:numPr>
          <w:ilvl w:val="0"/>
          <w:numId w:val="52"/>
        </w:numPr>
        <w:tabs>
          <w:tab w:val="left" w:pos="822"/>
        </w:tabs>
        <w:autoSpaceDE w:val="0"/>
        <w:autoSpaceDN w:val="0"/>
        <w:spacing w:before="0" w:line="360" w:lineRule="auto"/>
        <w:ind w:right="116" w:hanging="360"/>
        <w:contextualSpacing w:val="0"/>
        <w:jc w:val="both"/>
        <w:rPr>
          <w:rFonts w:asciiTheme="minorHAnsi" w:hAnsiTheme="minorHAnsi" w:cstheme="minorHAnsi"/>
          <w:sz w:val="28"/>
          <w:szCs w:val="28"/>
        </w:rPr>
      </w:pPr>
      <w:r w:rsidRPr="005E1103">
        <w:rPr>
          <w:rFonts w:asciiTheme="minorHAnsi" w:hAnsiTheme="minorHAnsi" w:cstheme="minorHAnsi"/>
          <w:sz w:val="28"/>
          <w:szCs w:val="28"/>
        </w:rPr>
        <w:t>Identificar la incidencia de factores como la edad, el sexo, la formación y la ubicación de las instituciones educativas rural o urbana, con las actitudes del profesorado hacia la inclusión del estudiantado con discapacidad en el</w:t>
      </w:r>
      <w:r w:rsidRPr="005E1103">
        <w:rPr>
          <w:rFonts w:asciiTheme="minorHAnsi" w:hAnsiTheme="minorHAnsi" w:cstheme="minorHAnsi"/>
          <w:spacing w:val="-6"/>
          <w:sz w:val="28"/>
          <w:szCs w:val="28"/>
        </w:rPr>
        <w:t xml:space="preserve"> </w:t>
      </w:r>
      <w:r w:rsidRPr="005E1103">
        <w:rPr>
          <w:rFonts w:asciiTheme="minorHAnsi" w:hAnsiTheme="minorHAnsi" w:cstheme="minorHAnsi"/>
          <w:sz w:val="28"/>
          <w:szCs w:val="28"/>
        </w:rPr>
        <w:t>aula.</w:t>
      </w:r>
    </w:p>
    <w:p w:rsidR="009B60AB" w:rsidRPr="005E1103" w:rsidRDefault="009B60AB" w:rsidP="009B60AB">
      <w:pPr>
        <w:pStyle w:val="Ttulo1"/>
        <w:rPr>
          <w:rFonts w:asciiTheme="minorHAnsi" w:hAnsiTheme="minorHAnsi" w:cstheme="minorHAnsi"/>
          <w:color w:val="auto"/>
        </w:rPr>
      </w:pPr>
      <w:r w:rsidRPr="005E1103">
        <w:rPr>
          <w:rFonts w:asciiTheme="minorHAnsi" w:hAnsiTheme="minorHAnsi" w:cstheme="minorHAnsi"/>
          <w:color w:val="auto"/>
        </w:rPr>
        <w:t>METODOLOGÍA</w:t>
      </w:r>
    </w:p>
    <w:p w:rsidR="009B60AB" w:rsidRPr="005E1103" w:rsidRDefault="009B60AB" w:rsidP="009B60AB">
      <w:pPr>
        <w:pStyle w:val="Textoindependiente"/>
        <w:rPr>
          <w:rFonts w:asciiTheme="minorHAnsi" w:hAnsiTheme="minorHAnsi" w:cstheme="minorHAnsi"/>
          <w:b/>
          <w:sz w:val="28"/>
          <w:szCs w:val="28"/>
        </w:rPr>
      </w:pPr>
    </w:p>
    <w:p w:rsidR="009B60AB" w:rsidRPr="005E1103" w:rsidRDefault="009B60AB" w:rsidP="009B60AB">
      <w:pPr>
        <w:pStyle w:val="Textoindependiente"/>
        <w:spacing w:before="11"/>
        <w:rPr>
          <w:rFonts w:asciiTheme="minorHAnsi" w:hAnsiTheme="minorHAnsi" w:cstheme="minorHAnsi"/>
          <w:b/>
          <w:sz w:val="28"/>
          <w:szCs w:val="28"/>
        </w:rPr>
      </w:pPr>
    </w:p>
    <w:p w:rsidR="009B60AB" w:rsidRPr="005E1103" w:rsidRDefault="009B60AB" w:rsidP="009B60AB">
      <w:pPr>
        <w:ind w:left="112"/>
        <w:rPr>
          <w:rFonts w:cstheme="minorHAnsi"/>
          <w:b/>
          <w:sz w:val="28"/>
          <w:szCs w:val="28"/>
        </w:rPr>
      </w:pPr>
      <w:r w:rsidRPr="005E1103">
        <w:rPr>
          <w:rFonts w:cstheme="minorHAnsi"/>
          <w:b/>
          <w:sz w:val="28"/>
          <w:szCs w:val="28"/>
        </w:rPr>
        <w:t>Diseño de la investigación</w:t>
      </w:r>
    </w:p>
    <w:p w:rsidR="009B60AB" w:rsidRPr="005E1103" w:rsidRDefault="009B60AB" w:rsidP="009B60AB">
      <w:pPr>
        <w:pStyle w:val="Textoindependiente"/>
        <w:spacing w:before="132" w:line="360" w:lineRule="auto"/>
        <w:ind w:left="112"/>
        <w:rPr>
          <w:rFonts w:asciiTheme="minorHAnsi" w:hAnsiTheme="minorHAnsi" w:cstheme="minorHAnsi"/>
          <w:sz w:val="28"/>
          <w:szCs w:val="28"/>
        </w:rPr>
      </w:pPr>
      <w:r w:rsidRPr="005E1103">
        <w:rPr>
          <w:rFonts w:asciiTheme="minorHAnsi" w:hAnsiTheme="minorHAnsi" w:cstheme="minorHAnsi"/>
          <w:sz w:val="28"/>
          <w:szCs w:val="28"/>
        </w:rPr>
        <w:t xml:space="preserve">El diseño empleado en el presente estudio es de carácter descriptivo–exploratorio, el cual se consideró que era el más apropiado para la consecución de los objetivos </w:t>
      </w:r>
      <w:r w:rsidRPr="005E1103">
        <w:rPr>
          <w:rFonts w:asciiTheme="minorHAnsi" w:hAnsiTheme="minorHAnsi" w:cstheme="minorHAnsi"/>
          <w:sz w:val="28"/>
          <w:szCs w:val="28"/>
        </w:rPr>
        <w:lastRenderedPageBreak/>
        <w:t>planteados.</w:t>
      </w:r>
    </w:p>
    <w:p w:rsidR="009B60AB" w:rsidRPr="005E1103" w:rsidRDefault="009B60AB" w:rsidP="009B60AB">
      <w:pPr>
        <w:spacing w:line="360" w:lineRule="auto"/>
        <w:rPr>
          <w:rFonts w:cstheme="minorHAnsi"/>
          <w:sz w:val="28"/>
          <w:szCs w:val="28"/>
        </w:rPr>
        <w:sectPr w:rsidR="009B60AB" w:rsidRPr="005E1103">
          <w:headerReference w:type="default" r:id="rId98"/>
          <w:footerReference w:type="default" r:id="rId99"/>
          <w:pgSz w:w="12240" w:h="15840"/>
          <w:pgMar w:top="1060" w:right="1020" w:bottom="280" w:left="1020" w:header="720" w:footer="720" w:gutter="0"/>
          <w:cols w:space="720"/>
        </w:sectPr>
      </w:pPr>
    </w:p>
    <w:p w:rsidR="009B60AB" w:rsidRPr="005E1103" w:rsidRDefault="009B60AB" w:rsidP="009B60AB">
      <w:pPr>
        <w:pStyle w:val="Ttulo1"/>
        <w:spacing w:before="67"/>
        <w:jc w:val="both"/>
        <w:rPr>
          <w:rFonts w:asciiTheme="minorHAnsi" w:hAnsiTheme="minorHAnsi" w:cstheme="minorHAnsi"/>
          <w:color w:val="auto"/>
        </w:rPr>
      </w:pPr>
      <w:r w:rsidRPr="005E1103">
        <w:rPr>
          <w:rFonts w:asciiTheme="minorHAnsi" w:hAnsiTheme="minorHAnsi" w:cstheme="minorHAnsi"/>
          <w:color w:val="auto"/>
        </w:rPr>
        <w:lastRenderedPageBreak/>
        <w:t>Participantes</w:t>
      </w:r>
    </w:p>
    <w:p w:rsidR="009B60AB" w:rsidRPr="005E1103" w:rsidRDefault="009B60AB" w:rsidP="009B60AB">
      <w:pPr>
        <w:pStyle w:val="Textoindependiente"/>
        <w:spacing w:before="131" w:line="360" w:lineRule="auto"/>
        <w:ind w:left="112" w:right="112"/>
        <w:jc w:val="both"/>
        <w:rPr>
          <w:rFonts w:asciiTheme="minorHAnsi" w:hAnsiTheme="minorHAnsi" w:cstheme="minorHAnsi"/>
          <w:sz w:val="28"/>
          <w:szCs w:val="28"/>
        </w:rPr>
      </w:pPr>
      <w:r w:rsidRPr="005E1103">
        <w:rPr>
          <w:rFonts w:asciiTheme="minorHAnsi" w:hAnsiTheme="minorHAnsi" w:cstheme="minorHAnsi"/>
          <w:sz w:val="28"/>
          <w:szCs w:val="28"/>
        </w:rPr>
        <w:t>La población la conformaron los educadores físicos en servicio, que laboraban en el momento del estudio en instituciones educativas públicas o privadas de secundaria, de la Dirección Regional de Educación San Carlos, del Ministerio de Educación Pública de Costa Rica, (n=44 hombres y n=11 mujeres), con edades comprendidas entre los 23 a los 56 años, siendo la población total de 117 educadores físicos en servicio, de los cuales tal como se demuestra en la figura 1.</w:t>
      </w:r>
    </w:p>
    <w:p w:rsidR="009B60AB" w:rsidRPr="005E1103" w:rsidRDefault="009B60AB" w:rsidP="009B60AB">
      <w:pPr>
        <w:pStyle w:val="Textoindependiente"/>
        <w:rPr>
          <w:rFonts w:asciiTheme="minorHAnsi" w:hAnsiTheme="minorHAnsi" w:cstheme="minorHAnsi"/>
          <w:sz w:val="28"/>
          <w:szCs w:val="28"/>
        </w:rPr>
      </w:pPr>
      <w:r w:rsidRPr="005E1103">
        <w:rPr>
          <w:rFonts w:asciiTheme="minorHAnsi" w:hAnsiTheme="minorHAnsi" w:cstheme="minorHAnsi"/>
          <w:noProof/>
          <w:sz w:val="28"/>
          <w:szCs w:val="28"/>
          <w:lang w:eastAsia="es-ES"/>
        </w:rPr>
        <w:drawing>
          <wp:inline distT="0" distB="0" distL="0" distR="0" wp14:anchorId="783B5383" wp14:editId="16FFC580">
            <wp:extent cx="6477000" cy="2501462"/>
            <wp:effectExtent l="0" t="0" r="0" b="0"/>
            <wp:docPr id="309" name="Imagen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477000" cy="2501462"/>
                    </a:xfrm>
                    <a:prstGeom prst="rect">
                      <a:avLst/>
                    </a:prstGeom>
                    <a:noFill/>
                    <a:ln>
                      <a:noFill/>
                    </a:ln>
                  </pic:spPr>
                </pic:pic>
              </a:graphicData>
            </a:graphic>
          </wp:inline>
        </w:drawing>
      </w:r>
      <w:r w:rsidRPr="005E1103">
        <w:rPr>
          <w:rFonts w:asciiTheme="minorHAnsi" w:hAnsiTheme="minorHAnsi" w:cstheme="minorHAnsi"/>
          <w:sz w:val="28"/>
          <w:szCs w:val="28"/>
        </w:rPr>
        <w:br w:type="column"/>
      </w:r>
    </w:p>
    <w:p w:rsidR="009B60AB" w:rsidRPr="005E1103" w:rsidRDefault="009B60AB" w:rsidP="009B60AB">
      <w:pPr>
        <w:pStyle w:val="Textoindependiente"/>
        <w:spacing w:before="4"/>
        <w:rPr>
          <w:rFonts w:asciiTheme="minorHAnsi" w:hAnsiTheme="minorHAnsi" w:cstheme="minorHAnsi"/>
          <w:b/>
          <w:sz w:val="28"/>
          <w:szCs w:val="28"/>
        </w:rPr>
      </w:pPr>
    </w:p>
    <w:p w:rsidR="009B60AB" w:rsidRPr="005E1103" w:rsidRDefault="009B60AB" w:rsidP="009B60AB">
      <w:pPr>
        <w:pStyle w:val="Textoindependiente"/>
        <w:spacing w:before="90" w:line="360" w:lineRule="auto"/>
        <w:ind w:left="112" w:right="111"/>
        <w:jc w:val="both"/>
        <w:rPr>
          <w:rFonts w:asciiTheme="minorHAnsi" w:hAnsiTheme="minorHAnsi" w:cstheme="minorHAnsi"/>
          <w:sz w:val="28"/>
          <w:szCs w:val="28"/>
        </w:rPr>
      </w:pPr>
      <w:r w:rsidRPr="005E1103">
        <w:rPr>
          <w:rFonts w:asciiTheme="minorHAnsi" w:hAnsiTheme="minorHAnsi" w:cstheme="minorHAnsi"/>
          <w:sz w:val="28"/>
          <w:szCs w:val="28"/>
        </w:rPr>
        <w:t>La muestra se seleccionó por conveniencia, esto debió a que se requería que los docentes estuvieran concentrados en un solo lugar para la aplicación del instrumento, siendo un espacio de capacitación el más viable para reunir a los educadores y efectuar dicha aplicación. La muestra la configuraron 55 profesores de educación física de secundaria (47%).</w:t>
      </w:r>
    </w:p>
    <w:p w:rsidR="009B60AB" w:rsidRPr="005E1103" w:rsidRDefault="009B60AB" w:rsidP="009B60AB">
      <w:pPr>
        <w:pStyle w:val="Textoindependiente"/>
        <w:spacing w:before="9"/>
        <w:rPr>
          <w:rFonts w:asciiTheme="minorHAnsi" w:hAnsiTheme="minorHAnsi" w:cstheme="minorHAnsi"/>
          <w:sz w:val="28"/>
          <w:szCs w:val="28"/>
        </w:rPr>
      </w:pPr>
    </w:p>
    <w:p w:rsidR="009B60AB" w:rsidRPr="005E1103" w:rsidRDefault="009B60AB" w:rsidP="009B60AB">
      <w:pPr>
        <w:pStyle w:val="Ttulo1"/>
        <w:jc w:val="both"/>
        <w:rPr>
          <w:rFonts w:asciiTheme="minorHAnsi" w:hAnsiTheme="minorHAnsi" w:cstheme="minorHAnsi"/>
          <w:color w:val="auto"/>
        </w:rPr>
      </w:pPr>
      <w:r w:rsidRPr="005E1103">
        <w:rPr>
          <w:rFonts w:asciiTheme="minorHAnsi" w:hAnsiTheme="minorHAnsi" w:cstheme="minorHAnsi"/>
          <w:color w:val="auto"/>
        </w:rPr>
        <w:t>Instrumentos</w:t>
      </w:r>
    </w:p>
    <w:p w:rsidR="009B60AB" w:rsidRPr="005E1103" w:rsidRDefault="009B60AB" w:rsidP="009B60AB">
      <w:pPr>
        <w:pStyle w:val="Textoindependiente"/>
        <w:spacing w:before="131" w:line="360" w:lineRule="auto"/>
        <w:ind w:left="112" w:right="115" w:firstLine="708"/>
        <w:jc w:val="both"/>
        <w:rPr>
          <w:rFonts w:asciiTheme="minorHAnsi" w:hAnsiTheme="minorHAnsi" w:cstheme="minorHAnsi"/>
          <w:sz w:val="28"/>
          <w:szCs w:val="28"/>
        </w:rPr>
      </w:pPr>
      <w:r w:rsidRPr="005E1103">
        <w:rPr>
          <w:rFonts w:asciiTheme="minorHAnsi" w:hAnsiTheme="minorHAnsi" w:cstheme="minorHAnsi"/>
          <w:sz w:val="28"/>
          <w:szCs w:val="28"/>
        </w:rPr>
        <w:t xml:space="preserve">Para la recolección de los datos se utilizó el cuestionario PIETID-III (Physical Educators Intention toward teaching individuals with disabilities), diseñado por el profesor </w:t>
      </w:r>
      <w:r w:rsidRPr="005E1103">
        <w:rPr>
          <w:rFonts w:asciiTheme="minorHAnsi" w:hAnsiTheme="minorHAnsi" w:cstheme="minorHAnsi"/>
          <w:spacing w:val="-3"/>
          <w:sz w:val="28"/>
          <w:szCs w:val="28"/>
        </w:rPr>
        <w:t xml:space="preserve">Terry </w:t>
      </w:r>
      <w:r w:rsidRPr="005E1103">
        <w:rPr>
          <w:rFonts w:asciiTheme="minorHAnsi" w:hAnsiTheme="minorHAnsi" w:cstheme="minorHAnsi"/>
          <w:sz w:val="28"/>
          <w:szCs w:val="28"/>
        </w:rPr>
        <w:t>Rizzo de State University of California, quien autorizó la traducción al español para la utilización de éste en el  presente</w:t>
      </w:r>
      <w:r w:rsidRPr="005E1103">
        <w:rPr>
          <w:rFonts w:asciiTheme="minorHAnsi" w:hAnsiTheme="minorHAnsi" w:cstheme="minorHAnsi"/>
          <w:spacing w:val="-3"/>
          <w:sz w:val="28"/>
          <w:szCs w:val="28"/>
        </w:rPr>
        <w:t xml:space="preserve"> </w:t>
      </w:r>
      <w:r w:rsidRPr="005E1103">
        <w:rPr>
          <w:rFonts w:asciiTheme="minorHAnsi" w:hAnsiTheme="minorHAnsi" w:cstheme="minorHAnsi"/>
          <w:sz w:val="28"/>
          <w:szCs w:val="28"/>
        </w:rPr>
        <w:t>estudio.</w:t>
      </w:r>
    </w:p>
    <w:p w:rsidR="009B60AB" w:rsidRPr="005E1103" w:rsidRDefault="009B60AB" w:rsidP="009B60AB">
      <w:pPr>
        <w:pStyle w:val="Textoindependiente"/>
        <w:spacing w:before="4"/>
        <w:rPr>
          <w:rFonts w:asciiTheme="minorHAnsi" w:hAnsiTheme="minorHAnsi" w:cstheme="minorHAnsi"/>
          <w:sz w:val="28"/>
          <w:szCs w:val="28"/>
        </w:rPr>
      </w:pPr>
    </w:p>
    <w:p w:rsidR="009B60AB" w:rsidRPr="005E1103" w:rsidRDefault="009B60AB" w:rsidP="009B60AB">
      <w:pPr>
        <w:pStyle w:val="Textoindependiente"/>
        <w:spacing w:line="360" w:lineRule="auto"/>
        <w:ind w:left="112" w:right="116" w:firstLine="708"/>
        <w:jc w:val="both"/>
        <w:rPr>
          <w:rFonts w:asciiTheme="minorHAnsi" w:hAnsiTheme="minorHAnsi" w:cstheme="minorHAnsi"/>
          <w:sz w:val="28"/>
          <w:szCs w:val="28"/>
        </w:rPr>
      </w:pPr>
      <w:r w:rsidRPr="005E1103">
        <w:rPr>
          <w:rFonts w:asciiTheme="minorHAnsi" w:hAnsiTheme="minorHAnsi" w:cstheme="minorHAnsi"/>
          <w:sz w:val="28"/>
          <w:szCs w:val="28"/>
        </w:rPr>
        <w:t xml:space="preserve">El PIETID-III evalúa las actitudes de los profesores hacia la inclusión de estudiantes en las clases de Educación Física, mediante 35 ítemes agrupadas en siete factores: “Creencias del profesor sobre sus conductas” (12, 13, 14, 15, 16  y 17)       </w:t>
      </w:r>
      <w:r w:rsidRPr="005E1103">
        <w:rPr>
          <w:rFonts w:asciiTheme="minorHAnsi" w:hAnsiTheme="minorHAnsi" w:cstheme="minorHAnsi"/>
          <w:spacing w:val="50"/>
          <w:sz w:val="28"/>
          <w:szCs w:val="28"/>
        </w:rPr>
        <w:t xml:space="preserve"> </w:t>
      </w:r>
      <w:r w:rsidRPr="005E1103">
        <w:rPr>
          <w:rFonts w:asciiTheme="minorHAnsi" w:hAnsiTheme="minorHAnsi" w:cstheme="minorHAnsi"/>
          <w:sz w:val="28"/>
          <w:szCs w:val="28"/>
        </w:rPr>
        <w:t>“Actitudes del profesor hacia su trabajo” (3, 4  y 5),</w:t>
      </w:r>
    </w:p>
    <w:p w:rsidR="009B60AB" w:rsidRPr="005E1103" w:rsidRDefault="009B60AB" w:rsidP="009B60AB">
      <w:pPr>
        <w:pStyle w:val="Textoindependiente"/>
        <w:spacing w:before="67" w:line="360" w:lineRule="auto"/>
        <w:ind w:left="112" w:right="118"/>
        <w:jc w:val="both"/>
        <w:rPr>
          <w:rFonts w:asciiTheme="minorHAnsi" w:hAnsiTheme="minorHAnsi" w:cstheme="minorHAnsi"/>
          <w:sz w:val="28"/>
          <w:szCs w:val="28"/>
        </w:rPr>
      </w:pPr>
      <w:r w:rsidRPr="005E1103">
        <w:rPr>
          <w:rFonts w:asciiTheme="minorHAnsi" w:hAnsiTheme="minorHAnsi" w:cstheme="minorHAnsi"/>
          <w:sz w:val="28"/>
          <w:szCs w:val="28"/>
        </w:rPr>
        <w:t>“Creencias del profesor sobre lo que piensan otros de su trabajo (18, 19, 20, 21, 22, 23, 24, 25, 26, 27, 28 y 29), Creencias del profesor de lo que piensan sus jefes de su trabajo” (6 y 7), “Creencias de sus habilidades para la enseñanza” (30, 31, 32, 33, 34 y 35), “Percepción sobre sus habilidades para la</w:t>
      </w:r>
    </w:p>
    <w:p w:rsidR="009B60AB" w:rsidRPr="005E1103" w:rsidRDefault="009B60AB" w:rsidP="009B60AB">
      <w:pPr>
        <w:pStyle w:val="Textoindependiente"/>
        <w:spacing w:before="6" w:line="360" w:lineRule="auto"/>
        <w:ind w:left="112" w:right="111"/>
        <w:jc w:val="both"/>
        <w:rPr>
          <w:rFonts w:asciiTheme="minorHAnsi" w:hAnsiTheme="minorHAnsi" w:cstheme="minorHAnsi"/>
          <w:sz w:val="28"/>
          <w:szCs w:val="28"/>
        </w:rPr>
      </w:pPr>
      <w:r w:rsidRPr="005E1103">
        <w:rPr>
          <w:rFonts w:asciiTheme="minorHAnsi" w:hAnsiTheme="minorHAnsi" w:cstheme="minorHAnsi"/>
          <w:sz w:val="28"/>
          <w:szCs w:val="28"/>
        </w:rPr>
        <w:t xml:space="preserve">enseñanza” (8, 9, 10 y 11), “Propósitos relacionados con la enseñanza” (1 y 2). Asimismo se incluyeron las variables sexo, edad, años de experiencia laboral, número de cursos realizados sobre discapacidad, ubicación de las escuelas y colegios donde laboran (rural, urbano) y la condición socioeconómica de la población estudiantil de las </w:t>
      </w:r>
      <w:r w:rsidRPr="005E1103">
        <w:rPr>
          <w:rFonts w:asciiTheme="minorHAnsi" w:hAnsiTheme="minorHAnsi" w:cstheme="minorHAnsi"/>
          <w:sz w:val="28"/>
          <w:szCs w:val="28"/>
        </w:rPr>
        <w:lastRenderedPageBreak/>
        <w:t>mismas, (valorados de uno a seis, siendo uno pobreza extrema y seis de mayor solvencia económica), ubicadas en las preguntas de la 36 a la 51 (Ver anexo 1). La confiabilidad del instrumento PIETID-III mediante el coeficiente alfa (Cronbach, 1951) fue de 0,88 para la puntuación total, asimismo de 0,71 ó mayor para cada una de las sub-escalas de discapacidad.</w:t>
      </w:r>
    </w:p>
    <w:p w:rsidR="009B60AB" w:rsidRPr="005E1103" w:rsidRDefault="009B60AB" w:rsidP="009B60AB">
      <w:pPr>
        <w:pStyle w:val="Textoindependiente"/>
        <w:spacing w:before="5"/>
        <w:rPr>
          <w:rFonts w:asciiTheme="minorHAnsi" w:hAnsiTheme="minorHAnsi" w:cstheme="minorHAnsi"/>
          <w:sz w:val="28"/>
          <w:szCs w:val="28"/>
        </w:rPr>
      </w:pPr>
    </w:p>
    <w:p w:rsidR="009B60AB" w:rsidRPr="005E1103" w:rsidRDefault="009B60AB" w:rsidP="009B60AB">
      <w:pPr>
        <w:pStyle w:val="Textoindependiente"/>
        <w:spacing w:line="360" w:lineRule="auto"/>
        <w:ind w:left="112" w:right="110" w:firstLine="708"/>
        <w:jc w:val="both"/>
        <w:rPr>
          <w:rFonts w:asciiTheme="minorHAnsi" w:hAnsiTheme="minorHAnsi" w:cstheme="minorHAnsi"/>
          <w:sz w:val="28"/>
          <w:szCs w:val="28"/>
        </w:rPr>
      </w:pPr>
      <w:r w:rsidRPr="005E1103">
        <w:rPr>
          <w:rFonts w:asciiTheme="minorHAnsi" w:hAnsiTheme="minorHAnsi" w:cstheme="minorHAnsi"/>
          <w:sz w:val="28"/>
          <w:szCs w:val="28"/>
        </w:rPr>
        <w:t>Para el procesamiento de la información se utilizó el programa “Statistics Package for Social Science” (SPSS 15.0) para Windows PC. A la información se le aplicó un tratamiento estadístico descriptivo (frecuencia absoluta, frecuencia relativa, media y desviación estándar típica) y se realizó el análisis estadístico de regresión múltiple para determinar cuál de las variables independientes (género, años de experiencia, ubicación de la escuela y número de cursos tomados) pueden incidir en las variables dependientes: “Creencias del profesor sobre sus conductas”, “Actitudes del profesor hacia su trabajo”, “Creencias del profesor sobre lo que piensan otros de su trabajo, Creencias del profesor de lo que piensan sus jefes de su trabajo”, “Creencias de sus habilidades para la enseñanza”, “Percepción sobre sus habilidades para la enseñanza”, “Propósitos relacionados con la enseñanza”.</w:t>
      </w:r>
    </w:p>
    <w:p w:rsidR="009B60AB" w:rsidRPr="005E1103" w:rsidRDefault="009B60AB" w:rsidP="009B60AB">
      <w:pPr>
        <w:pStyle w:val="Textoindependiente"/>
        <w:spacing w:before="9"/>
        <w:rPr>
          <w:rFonts w:asciiTheme="minorHAnsi" w:hAnsiTheme="minorHAnsi" w:cstheme="minorHAnsi"/>
          <w:sz w:val="28"/>
          <w:szCs w:val="28"/>
        </w:rPr>
      </w:pPr>
    </w:p>
    <w:p w:rsidR="009B60AB" w:rsidRPr="005E1103" w:rsidRDefault="009B60AB" w:rsidP="009B60AB">
      <w:pPr>
        <w:pStyle w:val="Ttulo1"/>
        <w:jc w:val="both"/>
        <w:rPr>
          <w:rFonts w:asciiTheme="minorHAnsi" w:hAnsiTheme="minorHAnsi" w:cstheme="minorHAnsi"/>
          <w:color w:val="auto"/>
        </w:rPr>
      </w:pPr>
      <w:r w:rsidRPr="005E1103">
        <w:rPr>
          <w:rFonts w:asciiTheme="minorHAnsi" w:hAnsiTheme="minorHAnsi" w:cstheme="minorHAnsi"/>
          <w:color w:val="auto"/>
        </w:rPr>
        <w:t>RESULTADOS</w:t>
      </w:r>
    </w:p>
    <w:p w:rsidR="009B60AB" w:rsidRPr="005E1103" w:rsidRDefault="009B60AB" w:rsidP="009B60AB">
      <w:pPr>
        <w:pStyle w:val="Textoindependiente"/>
        <w:rPr>
          <w:rFonts w:asciiTheme="minorHAnsi" w:hAnsiTheme="minorHAnsi" w:cstheme="minorHAnsi"/>
          <w:b/>
          <w:sz w:val="28"/>
          <w:szCs w:val="28"/>
        </w:rPr>
      </w:pPr>
    </w:p>
    <w:p w:rsidR="009B60AB" w:rsidRPr="005E1103" w:rsidRDefault="009B60AB" w:rsidP="009B60AB">
      <w:pPr>
        <w:pStyle w:val="Textoindependiente"/>
        <w:spacing w:before="6"/>
        <w:rPr>
          <w:rFonts w:asciiTheme="minorHAnsi" w:hAnsiTheme="minorHAnsi" w:cstheme="minorHAnsi"/>
          <w:b/>
          <w:sz w:val="28"/>
          <w:szCs w:val="28"/>
        </w:rPr>
      </w:pPr>
    </w:p>
    <w:p w:rsidR="009B60AB" w:rsidRPr="005E1103" w:rsidRDefault="009B60AB" w:rsidP="009B60AB">
      <w:pPr>
        <w:pStyle w:val="Textoindependiente"/>
        <w:spacing w:line="360" w:lineRule="auto"/>
        <w:ind w:left="112" w:right="161" w:firstLine="708"/>
        <w:jc w:val="both"/>
        <w:rPr>
          <w:rFonts w:asciiTheme="minorHAnsi" w:hAnsiTheme="minorHAnsi" w:cstheme="minorHAnsi"/>
          <w:sz w:val="28"/>
          <w:szCs w:val="28"/>
        </w:rPr>
      </w:pPr>
      <w:r w:rsidRPr="005E1103">
        <w:rPr>
          <w:rFonts w:asciiTheme="minorHAnsi" w:hAnsiTheme="minorHAnsi" w:cstheme="minorHAnsi"/>
          <w:sz w:val="28"/>
          <w:szCs w:val="28"/>
        </w:rPr>
        <w:t xml:space="preserve">En las figuras 2 y 3 se puede observar que el profesorado encuestado de la zona de San Carlos de Alajuela-Costa Rica, refieren que el 54,5% (de </w:t>
      </w:r>
      <w:r w:rsidRPr="005E1103">
        <w:rPr>
          <w:rFonts w:asciiTheme="minorHAnsi" w:hAnsiTheme="minorHAnsi" w:cstheme="minorHAnsi"/>
          <w:spacing w:val="-3"/>
          <w:sz w:val="28"/>
          <w:szCs w:val="28"/>
        </w:rPr>
        <w:t xml:space="preserve">11) </w:t>
      </w:r>
      <w:r w:rsidRPr="005E1103">
        <w:rPr>
          <w:rFonts w:asciiTheme="minorHAnsi" w:hAnsiTheme="minorHAnsi" w:cstheme="minorHAnsi"/>
          <w:sz w:val="28"/>
          <w:szCs w:val="28"/>
        </w:rPr>
        <w:t>de las mujeres y el 40,9% (de 44) de los  hombres que han recibido cursos de Educación Física Adaptada. Asimismo, solamente el 9.1% de las mujeres han recibido capacitación en Educación Especial, superadas por los hombres que en un 45,5% si han</w:t>
      </w:r>
      <w:r w:rsidRPr="005E1103">
        <w:rPr>
          <w:rFonts w:asciiTheme="minorHAnsi" w:hAnsiTheme="minorHAnsi" w:cstheme="minorHAnsi"/>
          <w:spacing w:val="-4"/>
          <w:sz w:val="28"/>
          <w:szCs w:val="28"/>
        </w:rPr>
        <w:t xml:space="preserve"> </w:t>
      </w:r>
      <w:r w:rsidRPr="005E1103">
        <w:rPr>
          <w:rFonts w:asciiTheme="minorHAnsi" w:hAnsiTheme="minorHAnsi" w:cstheme="minorHAnsi"/>
          <w:sz w:val="28"/>
          <w:szCs w:val="28"/>
        </w:rPr>
        <w:t>recibido.</w:t>
      </w:r>
    </w:p>
    <w:p w:rsidR="009B60AB" w:rsidRPr="005E1103" w:rsidRDefault="009B60AB" w:rsidP="009B60AB">
      <w:pPr>
        <w:spacing w:line="360" w:lineRule="auto"/>
        <w:jc w:val="both"/>
        <w:rPr>
          <w:rFonts w:cstheme="minorHAnsi"/>
          <w:sz w:val="28"/>
          <w:szCs w:val="28"/>
        </w:rPr>
        <w:sectPr w:rsidR="009B60AB" w:rsidRPr="005E1103" w:rsidSect="005E1103">
          <w:headerReference w:type="default" r:id="rId101"/>
          <w:pgSz w:w="12240" w:h="15840"/>
          <w:pgMar w:top="1060" w:right="1020" w:bottom="280" w:left="1020" w:header="720" w:footer="720" w:gutter="0"/>
          <w:cols w:space="720"/>
          <w:docGrid w:linePitch="299"/>
        </w:sectPr>
      </w:pPr>
    </w:p>
    <w:p w:rsidR="009B60AB" w:rsidRPr="005E1103" w:rsidRDefault="009B60AB" w:rsidP="009B60AB">
      <w:pPr>
        <w:rPr>
          <w:rFonts w:cstheme="minorHAnsi"/>
          <w:sz w:val="28"/>
          <w:szCs w:val="28"/>
        </w:rPr>
        <w:sectPr w:rsidR="009B60AB" w:rsidRPr="005E1103">
          <w:type w:val="continuous"/>
          <w:pgSz w:w="12240" w:h="15840"/>
          <w:pgMar w:top="1060" w:right="0" w:bottom="280" w:left="1020" w:header="720" w:footer="720" w:gutter="0"/>
          <w:cols w:num="3" w:space="720" w:equalWidth="0">
            <w:col w:w="3804" w:space="40"/>
            <w:col w:w="1230" w:space="40"/>
            <w:col w:w="6106"/>
          </w:cols>
        </w:sectPr>
      </w:pPr>
    </w:p>
    <w:p w:rsidR="009B60AB" w:rsidRPr="005E1103" w:rsidRDefault="009B60AB" w:rsidP="009B60AB">
      <w:pPr>
        <w:pStyle w:val="Textoindependiente"/>
        <w:rPr>
          <w:rFonts w:asciiTheme="minorHAnsi" w:hAnsiTheme="minorHAnsi" w:cstheme="minorHAnsi"/>
          <w:b/>
          <w:sz w:val="28"/>
          <w:szCs w:val="28"/>
        </w:rPr>
      </w:pPr>
      <w:r w:rsidRPr="005E1103">
        <w:rPr>
          <w:rFonts w:asciiTheme="minorHAnsi" w:hAnsiTheme="minorHAnsi" w:cstheme="minorHAnsi"/>
          <w:noProof/>
          <w:sz w:val="28"/>
          <w:szCs w:val="28"/>
          <w:lang w:eastAsia="es-ES"/>
        </w:rPr>
        <w:lastRenderedPageBreak/>
        <w:drawing>
          <wp:inline distT="0" distB="0" distL="0" distR="0" wp14:anchorId="6D486B2E" wp14:editId="0E44BFF2">
            <wp:extent cx="6915150" cy="3295650"/>
            <wp:effectExtent l="0" t="0" r="0" b="0"/>
            <wp:docPr id="310" name="Imagen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918883" cy="3297429"/>
                    </a:xfrm>
                    <a:prstGeom prst="rect">
                      <a:avLst/>
                    </a:prstGeom>
                    <a:noFill/>
                    <a:ln>
                      <a:noFill/>
                    </a:ln>
                  </pic:spPr>
                </pic:pic>
              </a:graphicData>
            </a:graphic>
          </wp:inline>
        </w:drawing>
      </w:r>
    </w:p>
    <w:p w:rsidR="009B60AB" w:rsidRPr="005E1103" w:rsidRDefault="009B60AB" w:rsidP="009B60AB">
      <w:pPr>
        <w:pStyle w:val="Textoindependiente"/>
        <w:rPr>
          <w:rFonts w:asciiTheme="minorHAnsi" w:hAnsiTheme="minorHAnsi" w:cstheme="minorHAnsi"/>
          <w:b/>
          <w:sz w:val="28"/>
          <w:szCs w:val="28"/>
        </w:rPr>
      </w:pPr>
      <w:r w:rsidRPr="005E1103">
        <w:rPr>
          <w:rFonts w:asciiTheme="minorHAnsi" w:hAnsiTheme="minorHAnsi" w:cstheme="minorHAnsi"/>
          <w:b/>
          <w:noProof/>
          <w:sz w:val="28"/>
          <w:szCs w:val="28"/>
          <w:lang w:eastAsia="es-ES"/>
        </w:rPr>
        <w:drawing>
          <wp:inline distT="0" distB="0" distL="0" distR="0" wp14:anchorId="7E8460AE" wp14:editId="377DF523">
            <wp:extent cx="6448425" cy="2950355"/>
            <wp:effectExtent l="0" t="0" r="0" b="2540"/>
            <wp:docPr id="311" name="Imagen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452824" cy="2952367"/>
                    </a:xfrm>
                    <a:prstGeom prst="rect">
                      <a:avLst/>
                    </a:prstGeom>
                    <a:noFill/>
                    <a:ln>
                      <a:noFill/>
                    </a:ln>
                  </pic:spPr>
                </pic:pic>
              </a:graphicData>
            </a:graphic>
          </wp:inline>
        </w:drawing>
      </w:r>
    </w:p>
    <w:p w:rsidR="009B60AB" w:rsidRPr="005E1103" w:rsidRDefault="009B60AB" w:rsidP="009B60AB">
      <w:pPr>
        <w:pStyle w:val="Textoindependiente"/>
        <w:spacing w:before="5"/>
        <w:rPr>
          <w:rFonts w:asciiTheme="minorHAnsi" w:hAnsiTheme="minorHAnsi" w:cstheme="minorHAnsi"/>
          <w:b/>
          <w:sz w:val="28"/>
          <w:szCs w:val="28"/>
        </w:rPr>
      </w:pPr>
    </w:p>
    <w:p w:rsidR="009B60AB" w:rsidRPr="005E1103" w:rsidRDefault="009B60AB" w:rsidP="009B60AB">
      <w:pPr>
        <w:pStyle w:val="Textoindependiente"/>
        <w:spacing w:before="90" w:line="360" w:lineRule="auto"/>
        <w:ind w:left="112" w:right="1181" w:firstLine="708"/>
        <w:jc w:val="both"/>
        <w:rPr>
          <w:rFonts w:asciiTheme="minorHAnsi" w:hAnsiTheme="minorHAnsi" w:cstheme="minorHAnsi"/>
          <w:sz w:val="28"/>
          <w:szCs w:val="28"/>
        </w:rPr>
      </w:pPr>
      <w:r w:rsidRPr="005E1103">
        <w:rPr>
          <w:rFonts w:asciiTheme="minorHAnsi" w:hAnsiTheme="minorHAnsi" w:cstheme="minorHAnsi"/>
          <w:sz w:val="28"/>
          <w:szCs w:val="28"/>
        </w:rPr>
        <w:t xml:space="preserve">El figura se presentan la cantidad de cursos que han recibido a los educadores físicos de la regional de San Carlos del Ministerio de Educación Pública, como se observa, más de la mitad de las mujeres han recibido 2 cursos de Educación Física Adaptada y el resto de mujeres no han recibido capacitación en esta área; mientras menos de la mitad de los hombres han recibido de 1 a 4 o más cursos de capacitación. En cuanto a la capacitación </w:t>
      </w:r>
      <w:r w:rsidRPr="005E1103">
        <w:rPr>
          <w:rFonts w:asciiTheme="minorHAnsi" w:hAnsiTheme="minorHAnsi" w:cstheme="minorHAnsi"/>
          <w:sz w:val="28"/>
          <w:szCs w:val="28"/>
        </w:rPr>
        <w:lastRenderedPageBreak/>
        <w:t>en Educación Especial las mujeres en tan solo un 9.1%  han recibido un curso y los hombres en un 29.6% de 1 a 4 o más cursos.</w:t>
      </w:r>
    </w:p>
    <w:p w:rsidR="009B60AB" w:rsidRPr="005E1103" w:rsidRDefault="009B60AB" w:rsidP="009B60AB">
      <w:pPr>
        <w:pStyle w:val="Textoindependiente"/>
        <w:spacing w:before="4"/>
        <w:rPr>
          <w:rFonts w:asciiTheme="minorHAnsi" w:hAnsiTheme="minorHAnsi" w:cstheme="minorHAnsi"/>
          <w:sz w:val="28"/>
          <w:szCs w:val="28"/>
        </w:rPr>
      </w:pPr>
    </w:p>
    <w:p w:rsidR="009B60AB" w:rsidRPr="005E1103" w:rsidRDefault="009B60AB" w:rsidP="009B60AB">
      <w:pPr>
        <w:pStyle w:val="Textoindependiente"/>
        <w:spacing w:line="360" w:lineRule="auto"/>
        <w:ind w:left="112" w:right="1180" w:firstLine="708"/>
        <w:jc w:val="both"/>
        <w:rPr>
          <w:rFonts w:asciiTheme="minorHAnsi" w:hAnsiTheme="minorHAnsi" w:cstheme="minorHAnsi"/>
          <w:sz w:val="28"/>
          <w:szCs w:val="28"/>
        </w:rPr>
      </w:pPr>
      <w:r w:rsidRPr="005E1103">
        <w:rPr>
          <w:rFonts w:asciiTheme="minorHAnsi" w:hAnsiTheme="minorHAnsi" w:cstheme="minorHAnsi"/>
          <w:sz w:val="28"/>
          <w:szCs w:val="28"/>
        </w:rPr>
        <w:t>Estos resultados indican que la mayoría de los educadores físicos del Cantón de San Carlos de Alajuela no cuentan con formación o capacitación para atender la inclusión de los estudiantes con discapacidad en el aula con otros compañeros sin discapacidad.</w:t>
      </w:r>
    </w:p>
    <w:p w:rsidR="009B60AB" w:rsidRPr="005E1103" w:rsidRDefault="009B60AB" w:rsidP="009B60AB">
      <w:pPr>
        <w:pStyle w:val="Textoindependiente"/>
        <w:spacing w:before="5"/>
        <w:rPr>
          <w:rFonts w:asciiTheme="minorHAnsi" w:hAnsiTheme="minorHAnsi" w:cstheme="minorHAnsi"/>
          <w:b/>
          <w:sz w:val="28"/>
          <w:szCs w:val="28"/>
        </w:rPr>
      </w:pPr>
    </w:p>
    <w:p w:rsidR="009B60AB" w:rsidRPr="005E1103" w:rsidRDefault="009B60AB" w:rsidP="009B60AB">
      <w:pPr>
        <w:pStyle w:val="Textoindependiente"/>
        <w:spacing w:before="5"/>
        <w:rPr>
          <w:rFonts w:asciiTheme="minorHAnsi" w:hAnsiTheme="minorHAnsi" w:cstheme="minorHAnsi"/>
          <w:b/>
          <w:sz w:val="28"/>
          <w:szCs w:val="28"/>
        </w:rPr>
      </w:pPr>
      <w:r w:rsidRPr="005E1103">
        <w:rPr>
          <w:rFonts w:asciiTheme="minorHAnsi" w:hAnsiTheme="minorHAnsi" w:cstheme="minorHAnsi"/>
          <w:b/>
          <w:noProof/>
          <w:sz w:val="28"/>
          <w:szCs w:val="28"/>
          <w:lang w:eastAsia="es-ES"/>
        </w:rPr>
        <w:drawing>
          <wp:inline distT="0" distB="0" distL="0" distR="0" wp14:anchorId="7632185A" wp14:editId="7ADD3053">
            <wp:extent cx="6248400" cy="3065642"/>
            <wp:effectExtent l="0" t="0" r="0" b="1905"/>
            <wp:docPr id="312" name="Imagen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248400" cy="3065642"/>
                    </a:xfrm>
                    <a:prstGeom prst="rect">
                      <a:avLst/>
                    </a:prstGeom>
                    <a:noFill/>
                    <a:ln>
                      <a:noFill/>
                    </a:ln>
                  </pic:spPr>
                </pic:pic>
              </a:graphicData>
            </a:graphic>
          </wp:inline>
        </w:drawing>
      </w:r>
    </w:p>
    <w:p w:rsidR="009B60AB" w:rsidRPr="005E1103" w:rsidRDefault="009B60AB" w:rsidP="009B60AB">
      <w:pPr>
        <w:pStyle w:val="Textoindependiente"/>
        <w:spacing w:before="5"/>
        <w:rPr>
          <w:rFonts w:asciiTheme="minorHAnsi" w:hAnsiTheme="minorHAnsi" w:cstheme="minorHAnsi"/>
          <w:b/>
          <w:sz w:val="28"/>
          <w:szCs w:val="28"/>
        </w:rPr>
      </w:pPr>
    </w:p>
    <w:p w:rsidR="009B60AB" w:rsidRPr="005E1103" w:rsidRDefault="009B60AB" w:rsidP="009B60AB">
      <w:pPr>
        <w:pStyle w:val="Textoindependiente"/>
        <w:spacing w:before="5"/>
        <w:rPr>
          <w:rFonts w:asciiTheme="minorHAnsi" w:hAnsiTheme="minorHAnsi" w:cstheme="minorHAnsi"/>
          <w:b/>
          <w:sz w:val="28"/>
          <w:szCs w:val="28"/>
        </w:rPr>
      </w:pPr>
    </w:p>
    <w:p w:rsidR="009B60AB" w:rsidRPr="005E1103" w:rsidRDefault="009B60AB" w:rsidP="009B60AB">
      <w:pPr>
        <w:pStyle w:val="Textoindependiente"/>
        <w:spacing w:before="5"/>
        <w:rPr>
          <w:rFonts w:asciiTheme="minorHAnsi" w:hAnsiTheme="minorHAnsi" w:cstheme="minorHAnsi"/>
          <w:b/>
          <w:sz w:val="28"/>
          <w:szCs w:val="28"/>
        </w:rPr>
      </w:pPr>
    </w:p>
    <w:p w:rsidR="009B60AB" w:rsidRPr="005E1103" w:rsidRDefault="009B60AB" w:rsidP="009B60AB">
      <w:pPr>
        <w:pStyle w:val="Textoindependiente"/>
        <w:spacing w:before="90" w:line="360" w:lineRule="auto"/>
        <w:ind w:left="112" w:right="1181" w:firstLine="708"/>
        <w:jc w:val="both"/>
        <w:rPr>
          <w:rFonts w:asciiTheme="minorHAnsi" w:hAnsiTheme="minorHAnsi" w:cstheme="minorHAnsi"/>
          <w:sz w:val="28"/>
          <w:szCs w:val="28"/>
        </w:rPr>
      </w:pPr>
      <w:r w:rsidRPr="005E1103">
        <w:rPr>
          <w:rFonts w:asciiTheme="minorHAnsi" w:hAnsiTheme="minorHAnsi" w:cstheme="minorHAnsi"/>
          <w:noProof/>
          <w:sz w:val="28"/>
          <w:szCs w:val="28"/>
          <w:lang w:eastAsia="es-ES"/>
        </w:rPr>
        <w:lastRenderedPageBreak/>
        <w:drawing>
          <wp:inline distT="0" distB="0" distL="0" distR="0" wp14:anchorId="1293D545" wp14:editId="4C6967F2">
            <wp:extent cx="7534275" cy="3380488"/>
            <wp:effectExtent l="0" t="0" r="0" b="0"/>
            <wp:docPr id="313" name="Imagen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7534275" cy="3380488"/>
                    </a:xfrm>
                    <a:prstGeom prst="rect">
                      <a:avLst/>
                    </a:prstGeom>
                    <a:noFill/>
                    <a:ln>
                      <a:noFill/>
                    </a:ln>
                  </pic:spPr>
                </pic:pic>
              </a:graphicData>
            </a:graphic>
          </wp:inline>
        </w:drawing>
      </w:r>
    </w:p>
    <w:p w:rsidR="009B60AB" w:rsidRPr="005E1103" w:rsidRDefault="009B60AB" w:rsidP="009B60AB">
      <w:pPr>
        <w:pStyle w:val="Textoindependiente"/>
        <w:spacing w:before="90" w:line="360" w:lineRule="auto"/>
        <w:ind w:left="112" w:right="1181" w:firstLine="708"/>
        <w:jc w:val="both"/>
        <w:rPr>
          <w:rFonts w:asciiTheme="minorHAnsi" w:hAnsiTheme="minorHAnsi" w:cstheme="minorHAnsi"/>
          <w:sz w:val="28"/>
          <w:szCs w:val="28"/>
        </w:rPr>
      </w:pPr>
    </w:p>
    <w:p w:rsidR="009B60AB" w:rsidRPr="005E1103" w:rsidRDefault="009B60AB" w:rsidP="009B60AB">
      <w:pPr>
        <w:pStyle w:val="Textoindependiente"/>
        <w:spacing w:before="4"/>
        <w:rPr>
          <w:rFonts w:asciiTheme="minorHAnsi" w:hAnsiTheme="minorHAnsi" w:cstheme="minorHAnsi"/>
          <w:b/>
          <w:sz w:val="28"/>
          <w:szCs w:val="28"/>
        </w:rPr>
      </w:pPr>
    </w:p>
    <w:p w:rsidR="009B60AB" w:rsidRPr="005E1103" w:rsidRDefault="009B60AB" w:rsidP="009B60AB">
      <w:pPr>
        <w:pStyle w:val="Textoindependiente"/>
        <w:spacing w:before="90" w:line="360" w:lineRule="auto"/>
        <w:ind w:left="112" w:right="1134" w:firstLine="708"/>
        <w:jc w:val="both"/>
        <w:rPr>
          <w:rFonts w:asciiTheme="minorHAnsi" w:hAnsiTheme="minorHAnsi" w:cstheme="minorHAnsi"/>
          <w:sz w:val="28"/>
          <w:szCs w:val="28"/>
        </w:rPr>
      </w:pPr>
      <w:r w:rsidRPr="005E1103">
        <w:rPr>
          <w:rFonts w:asciiTheme="minorHAnsi" w:hAnsiTheme="minorHAnsi" w:cstheme="minorHAnsi"/>
          <w:sz w:val="28"/>
          <w:szCs w:val="28"/>
        </w:rPr>
        <w:t>La figura 5 muestra la percepción de los Educadores Físicos sobre sus actitudes hacia la inclusión de las personas con discapacidad en sus clases, donde 1 es el más bajo y 7 el más alto. Nótese que el factor de las “Creencias del profesor hacia su conducta tiene el promedio más bajo”, seguido de las Creencias de sus habilidades para enseñar, el Propósito relacionados con la enseñanza, y las “Creencias del profesor sobre lo que piensan otros de su trabajo”.</w:t>
      </w:r>
    </w:p>
    <w:p w:rsidR="009B60AB" w:rsidRPr="005E1103" w:rsidRDefault="009B60AB" w:rsidP="009B60AB">
      <w:pPr>
        <w:pStyle w:val="Textoindependiente"/>
        <w:spacing w:before="90" w:line="360" w:lineRule="auto"/>
        <w:ind w:left="112" w:right="1134" w:firstLine="708"/>
        <w:jc w:val="both"/>
        <w:rPr>
          <w:rFonts w:asciiTheme="minorHAnsi" w:hAnsiTheme="minorHAnsi" w:cstheme="minorHAnsi"/>
          <w:sz w:val="28"/>
          <w:szCs w:val="28"/>
        </w:rPr>
      </w:pPr>
    </w:p>
    <w:p w:rsidR="009B60AB" w:rsidRPr="005E1103" w:rsidRDefault="009B60AB" w:rsidP="009B60AB">
      <w:pPr>
        <w:pStyle w:val="Textoindependiente"/>
        <w:spacing w:before="60" w:after="7"/>
        <w:ind w:left="265" w:right="89"/>
        <w:jc w:val="center"/>
        <w:rPr>
          <w:rFonts w:asciiTheme="minorHAnsi" w:hAnsiTheme="minorHAnsi" w:cstheme="minorHAnsi"/>
          <w:sz w:val="28"/>
          <w:szCs w:val="28"/>
        </w:rPr>
      </w:pPr>
      <w:r w:rsidRPr="005E1103">
        <w:rPr>
          <w:rFonts w:asciiTheme="minorHAnsi" w:hAnsiTheme="minorHAnsi" w:cstheme="minorHAnsi"/>
          <w:sz w:val="28"/>
          <w:szCs w:val="28"/>
        </w:rPr>
        <w:t>Tabla 1. T Student de los factores de actitudes de los profesores hacia la inclusión de estudiantes con discapacidad en las clases de Educación Física en relación a la capacitación en Educación Física Adaptada.</w:t>
      </w:r>
    </w:p>
    <w:tbl>
      <w:tblPr>
        <w:tblStyle w:val="TableNormal"/>
        <w:tblW w:w="0" w:type="auto"/>
        <w:tblInd w:w="132" w:type="dxa"/>
        <w:tblBorders>
          <w:top w:val="nil"/>
          <w:left w:val="nil"/>
          <w:bottom w:val="nil"/>
          <w:right w:val="nil"/>
          <w:insideH w:val="nil"/>
          <w:insideV w:val="nil"/>
        </w:tblBorders>
        <w:tblLayout w:type="fixed"/>
        <w:tblLook w:val="01E0" w:firstRow="1" w:lastRow="1" w:firstColumn="1" w:lastColumn="1" w:noHBand="0" w:noVBand="0"/>
      </w:tblPr>
      <w:tblGrid>
        <w:gridCol w:w="3704"/>
        <w:gridCol w:w="1558"/>
        <w:gridCol w:w="1316"/>
      </w:tblGrid>
      <w:tr w:rsidR="009B60AB" w:rsidRPr="005E1103" w:rsidTr="003904C9">
        <w:trPr>
          <w:trHeight w:hRule="exact" w:val="473"/>
        </w:trPr>
        <w:tc>
          <w:tcPr>
            <w:tcW w:w="3704" w:type="dxa"/>
            <w:tcBorders>
              <w:top w:val="single" w:sz="4" w:space="0" w:color="000000"/>
              <w:bottom w:val="single" w:sz="4" w:space="0" w:color="000000"/>
              <w:right w:val="single" w:sz="4" w:space="0" w:color="000000"/>
            </w:tcBorders>
          </w:tcPr>
          <w:p w:rsidR="009B60AB" w:rsidRPr="005E1103" w:rsidRDefault="009B60AB" w:rsidP="003904C9">
            <w:pPr>
              <w:pStyle w:val="TableParagraph"/>
              <w:spacing w:before="0" w:line="226" w:lineRule="exact"/>
              <w:ind w:left="1490" w:right="1490"/>
              <w:rPr>
                <w:rFonts w:asciiTheme="minorHAnsi" w:hAnsiTheme="minorHAnsi" w:cstheme="minorHAnsi"/>
                <w:sz w:val="28"/>
                <w:szCs w:val="28"/>
              </w:rPr>
            </w:pPr>
            <w:r w:rsidRPr="005E1103">
              <w:rPr>
                <w:rFonts w:asciiTheme="minorHAnsi" w:hAnsiTheme="minorHAnsi" w:cstheme="minorHAnsi"/>
                <w:sz w:val="28"/>
                <w:szCs w:val="28"/>
              </w:rPr>
              <w:t>Factores</w:t>
            </w:r>
          </w:p>
        </w:tc>
        <w:tc>
          <w:tcPr>
            <w:tcW w:w="1558" w:type="dxa"/>
            <w:tcBorders>
              <w:top w:val="single" w:sz="4" w:space="0" w:color="000000"/>
              <w:left w:val="single" w:sz="4" w:space="0" w:color="000000"/>
              <w:bottom w:val="single" w:sz="4" w:space="0" w:color="000000"/>
              <w:right w:val="single" w:sz="4" w:space="0" w:color="000000"/>
            </w:tcBorders>
          </w:tcPr>
          <w:p w:rsidR="009B60AB" w:rsidRPr="005E1103" w:rsidRDefault="009B60AB" w:rsidP="003904C9">
            <w:pPr>
              <w:pStyle w:val="TableParagraph"/>
              <w:spacing w:before="0" w:line="249" w:lineRule="exact"/>
              <w:rPr>
                <w:rFonts w:asciiTheme="minorHAnsi" w:hAnsiTheme="minorHAnsi" w:cstheme="minorHAnsi"/>
                <w:sz w:val="28"/>
                <w:szCs w:val="28"/>
              </w:rPr>
            </w:pPr>
            <w:r w:rsidRPr="005E1103">
              <w:rPr>
                <w:rFonts w:asciiTheme="minorHAnsi" w:hAnsiTheme="minorHAnsi" w:cstheme="minorHAnsi"/>
                <w:sz w:val="28"/>
                <w:szCs w:val="28"/>
              </w:rPr>
              <w:t>F</w:t>
            </w:r>
          </w:p>
        </w:tc>
        <w:tc>
          <w:tcPr>
            <w:tcW w:w="1316" w:type="dxa"/>
            <w:tcBorders>
              <w:top w:val="single" w:sz="4" w:space="0" w:color="000000"/>
              <w:left w:val="single" w:sz="4" w:space="0" w:color="000000"/>
              <w:bottom w:val="single" w:sz="4" w:space="0" w:color="000000"/>
            </w:tcBorders>
          </w:tcPr>
          <w:p w:rsidR="009B60AB" w:rsidRPr="005E1103" w:rsidRDefault="009B60AB" w:rsidP="003904C9">
            <w:pPr>
              <w:pStyle w:val="TableParagraph"/>
              <w:spacing w:before="0" w:line="249" w:lineRule="exact"/>
              <w:ind w:left="360" w:right="358"/>
              <w:rPr>
                <w:rFonts w:asciiTheme="minorHAnsi" w:hAnsiTheme="minorHAnsi" w:cstheme="minorHAnsi"/>
                <w:sz w:val="28"/>
                <w:szCs w:val="28"/>
              </w:rPr>
            </w:pPr>
            <w:r w:rsidRPr="005E1103">
              <w:rPr>
                <w:rFonts w:asciiTheme="minorHAnsi" w:hAnsiTheme="minorHAnsi" w:cstheme="minorHAnsi"/>
                <w:sz w:val="28"/>
                <w:szCs w:val="28"/>
              </w:rPr>
              <w:t>Sig</w:t>
            </w:r>
          </w:p>
        </w:tc>
      </w:tr>
      <w:tr w:rsidR="009B60AB" w:rsidRPr="005E1103" w:rsidTr="003904C9">
        <w:trPr>
          <w:trHeight w:hRule="exact" w:val="677"/>
        </w:trPr>
        <w:tc>
          <w:tcPr>
            <w:tcW w:w="3704" w:type="dxa"/>
            <w:tcBorders>
              <w:top w:val="single" w:sz="4" w:space="0" w:color="000000"/>
              <w:right w:val="single" w:sz="4" w:space="0" w:color="000000"/>
            </w:tcBorders>
          </w:tcPr>
          <w:p w:rsidR="009B60AB" w:rsidRPr="005E1103" w:rsidRDefault="009B60AB" w:rsidP="003904C9">
            <w:pPr>
              <w:pStyle w:val="TableParagraph"/>
              <w:spacing w:before="61" w:line="302" w:lineRule="auto"/>
              <w:ind w:left="60" w:right="772"/>
              <w:jc w:val="left"/>
              <w:rPr>
                <w:rFonts w:asciiTheme="minorHAnsi" w:hAnsiTheme="minorHAnsi" w:cstheme="minorHAnsi"/>
                <w:sz w:val="28"/>
                <w:szCs w:val="28"/>
                <w:lang w:val="es-ES"/>
              </w:rPr>
            </w:pPr>
            <w:r w:rsidRPr="005E1103">
              <w:rPr>
                <w:rFonts w:asciiTheme="minorHAnsi" w:hAnsiTheme="minorHAnsi" w:cstheme="minorHAnsi"/>
                <w:sz w:val="28"/>
                <w:szCs w:val="28"/>
                <w:lang w:val="es-ES"/>
              </w:rPr>
              <w:t>Creencias del profesor sobre sus conductas</w:t>
            </w:r>
          </w:p>
        </w:tc>
        <w:tc>
          <w:tcPr>
            <w:tcW w:w="1558" w:type="dxa"/>
            <w:tcBorders>
              <w:top w:val="single" w:sz="4" w:space="0" w:color="000000"/>
              <w:left w:val="single" w:sz="4" w:space="0" w:color="000000"/>
              <w:right w:val="single" w:sz="4" w:space="0" w:color="000000"/>
            </w:tcBorders>
          </w:tcPr>
          <w:p w:rsidR="009B60AB" w:rsidRPr="005E1103" w:rsidRDefault="009B60AB" w:rsidP="003904C9">
            <w:pPr>
              <w:pStyle w:val="TableParagraph"/>
              <w:spacing w:before="61"/>
              <w:ind w:right="578"/>
              <w:jc w:val="right"/>
              <w:rPr>
                <w:rFonts w:asciiTheme="minorHAnsi" w:hAnsiTheme="minorHAnsi" w:cstheme="minorHAnsi"/>
                <w:sz w:val="28"/>
                <w:szCs w:val="28"/>
              </w:rPr>
            </w:pPr>
            <w:r w:rsidRPr="005E1103">
              <w:rPr>
                <w:rFonts w:asciiTheme="minorHAnsi" w:hAnsiTheme="minorHAnsi" w:cstheme="minorHAnsi"/>
                <w:sz w:val="28"/>
                <w:szCs w:val="28"/>
              </w:rPr>
              <w:t>.015</w:t>
            </w:r>
          </w:p>
        </w:tc>
        <w:tc>
          <w:tcPr>
            <w:tcW w:w="1316" w:type="dxa"/>
            <w:tcBorders>
              <w:top w:val="single" w:sz="4" w:space="0" w:color="000000"/>
              <w:left w:val="single" w:sz="4" w:space="0" w:color="000000"/>
            </w:tcBorders>
          </w:tcPr>
          <w:p w:rsidR="009B60AB" w:rsidRPr="005E1103" w:rsidRDefault="009B60AB" w:rsidP="003904C9">
            <w:pPr>
              <w:pStyle w:val="TableParagraph"/>
              <w:spacing w:before="61"/>
              <w:ind w:left="360" w:right="359"/>
              <w:rPr>
                <w:rFonts w:asciiTheme="minorHAnsi" w:hAnsiTheme="minorHAnsi" w:cstheme="minorHAnsi"/>
                <w:sz w:val="28"/>
                <w:szCs w:val="28"/>
              </w:rPr>
            </w:pPr>
            <w:r w:rsidRPr="005E1103">
              <w:rPr>
                <w:rFonts w:asciiTheme="minorHAnsi" w:hAnsiTheme="minorHAnsi" w:cstheme="minorHAnsi"/>
                <w:sz w:val="28"/>
                <w:szCs w:val="28"/>
              </w:rPr>
              <w:t>.902</w:t>
            </w:r>
          </w:p>
        </w:tc>
      </w:tr>
      <w:tr w:rsidR="009B60AB" w:rsidRPr="005E1103" w:rsidTr="003904C9">
        <w:trPr>
          <w:trHeight w:hRule="exact" w:val="509"/>
        </w:trPr>
        <w:tc>
          <w:tcPr>
            <w:tcW w:w="3704" w:type="dxa"/>
            <w:tcBorders>
              <w:right w:val="single" w:sz="4" w:space="0" w:color="000000"/>
            </w:tcBorders>
          </w:tcPr>
          <w:p w:rsidR="009B60AB" w:rsidRPr="005E1103" w:rsidRDefault="009B60AB" w:rsidP="003904C9">
            <w:pPr>
              <w:pStyle w:val="TableParagraph"/>
              <w:spacing w:before="154"/>
              <w:ind w:left="60"/>
              <w:jc w:val="left"/>
              <w:rPr>
                <w:rFonts w:asciiTheme="minorHAnsi" w:hAnsiTheme="minorHAnsi" w:cstheme="minorHAnsi"/>
                <w:sz w:val="28"/>
                <w:szCs w:val="28"/>
                <w:lang w:val="es-ES"/>
              </w:rPr>
            </w:pPr>
            <w:r w:rsidRPr="005E1103">
              <w:rPr>
                <w:rFonts w:asciiTheme="minorHAnsi" w:hAnsiTheme="minorHAnsi" w:cstheme="minorHAnsi"/>
                <w:sz w:val="28"/>
                <w:szCs w:val="28"/>
                <w:lang w:val="es-ES"/>
              </w:rPr>
              <w:lastRenderedPageBreak/>
              <w:t>Actitudes del profesor hacia su trabajo</w:t>
            </w:r>
          </w:p>
        </w:tc>
        <w:tc>
          <w:tcPr>
            <w:tcW w:w="1558" w:type="dxa"/>
            <w:tcBorders>
              <w:left w:val="single" w:sz="4" w:space="0" w:color="000000"/>
              <w:right w:val="single" w:sz="4" w:space="0" w:color="000000"/>
            </w:tcBorders>
          </w:tcPr>
          <w:p w:rsidR="009B60AB" w:rsidRPr="005E1103" w:rsidRDefault="009B60AB" w:rsidP="003904C9">
            <w:pPr>
              <w:pStyle w:val="TableParagraph"/>
              <w:spacing w:before="30"/>
              <w:ind w:right="578"/>
              <w:jc w:val="right"/>
              <w:rPr>
                <w:rFonts w:asciiTheme="minorHAnsi" w:hAnsiTheme="minorHAnsi" w:cstheme="minorHAnsi"/>
                <w:sz w:val="28"/>
                <w:szCs w:val="28"/>
              </w:rPr>
            </w:pPr>
            <w:r w:rsidRPr="005E1103">
              <w:rPr>
                <w:rFonts w:asciiTheme="minorHAnsi" w:hAnsiTheme="minorHAnsi" w:cstheme="minorHAnsi"/>
                <w:sz w:val="28"/>
                <w:szCs w:val="28"/>
              </w:rPr>
              <w:t>.936</w:t>
            </w:r>
          </w:p>
        </w:tc>
        <w:tc>
          <w:tcPr>
            <w:tcW w:w="1316" w:type="dxa"/>
            <w:tcBorders>
              <w:left w:val="single" w:sz="4" w:space="0" w:color="000000"/>
            </w:tcBorders>
          </w:tcPr>
          <w:p w:rsidR="009B60AB" w:rsidRPr="005E1103" w:rsidRDefault="009B60AB" w:rsidP="003904C9">
            <w:pPr>
              <w:pStyle w:val="TableParagraph"/>
              <w:spacing w:before="30"/>
              <w:ind w:left="360" w:right="359"/>
              <w:rPr>
                <w:rFonts w:asciiTheme="minorHAnsi" w:hAnsiTheme="minorHAnsi" w:cstheme="minorHAnsi"/>
                <w:sz w:val="28"/>
                <w:szCs w:val="28"/>
              </w:rPr>
            </w:pPr>
            <w:r w:rsidRPr="005E1103">
              <w:rPr>
                <w:rFonts w:asciiTheme="minorHAnsi" w:hAnsiTheme="minorHAnsi" w:cstheme="minorHAnsi"/>
                <w:sz w:val="28"/>
                <w:szCs w:val="28"/>
              </w:rPr>
              <w:t>.338</w:t>
            </w:r>
          </w:p>
        </w:tc>
      </w:tr>
      <w:tr w:rsidR="009B60AB" w:rsidRPr="005E1103" w:rsidTr="003904C9">
        <w:trPr>
          <w:trHeight w:hRule="exact" w:val="704"/>
        </w:trPr>
        <w:tc>
          <w:tcPr>
            <w:tcW w:w="3704" w:type="dxa"/>
            <w:tcBorders>
              <w:right w:val="single" w:sz="4" w:space="0" w:color="000000"/>
            </w:tcBorders>
          </w:tcPr>
          <w:p w:rsidR="009B60AB" w:rsidRPr="005E1103" w:rsidRDefault="009B60AB" w:rsidP="003904C9">
            <w:pPr>
              <w:pStyle w:val="TableParagraph"/>
              <w:spacing w:before="92" w:line="304" w:lineRule="auto"/>
              <w:ind w:left="60" w:right="509"/>
              <w:jc w:val="left"/>
              <w:rPr>
                <w:rFonts w:asciiTheme="minorHAnsi" w:hAnsiTheme="minorHAnsi" w:cstheme="minorHAnsi"/>
                <w:sz w:val="28"/>
                <w:szCs w:val="28"/>
                <w:lang w:val="es-ES"/>
              </w:rPr>
            </w:pPr>
            <w:r w:rsidRPr="005E1103">
              <w:rPr>
                <w:rFonts w:asciiTheme="minorHAnsi" w:hAnsiTheme="minorHAnsi" w:cstheme="minorHAnsi"/>
                <w:sz w:val="28"/>
                <w:szCs w:val="28"/>
                <w:lang w:val="es-ES"/>
              </w:rPr>
              <w:t>Creencias del profesor sobre lo que piensan otros de su trabajo</w:t>
            </w:r>
          </w:p>
        </w:tc>
        <w:tc>
          <w:tcPr>
            <w:tcW w:w="1558" w:type="dxa"/>
            <w:tcBorders>
              <w:left w:val="single" w:sz="4" w:space="0" w:color="000000"/>
              <w:right w:val="single" w:sz="4" w:space="0" w:color="000000"/>
            </w:tcBorders>
          </w:tcPr>
          <w:p w:rsidR="009B60AB" w:rsidRPr="005E1103" w:rsidRDefault="009B60AB" w:rsidP="003904C9">
            <w:pPr>
              <w:pStyle w:val="TableParagraph"/>
              <w:spacing w:before="92"/>
              <w:ind w:right="523"/>
              <w:jc w:val="right"/>
              <w:rPr>
                <w:rFonts w:asciiTheme="minorHAnsi" w:hAnsiTheme="minorHAnsi" w:cstheme="minorHAnsi"/>
                <w:sz w:val="28"/>
                <w:szCs w:val="28"/>
              </w:rPr>
            </w:pPr>
            <w:r w:rsidRPr="005E1103">
              <w:rPr>
                <w:rFonts w:asciiTheme="minorHAnsi" w:hAnsiTheme="minorHAnsi" w:cstheme="minorHAnsi"/>
                <w:sz w:val="28"/>
                <w:szCs w:val="28"/>
              </w:rPr>
              <w:t>3.804</w:t>
            </w:r>
          </w:p>
        </w:tc>
        <w:tc>
          <w:tcPr>
            <w:tcW w:w="1316" w:type="dxa"/>
            <w:tcBorders>
              <w:left w:val="single" w:sz="4" w:space="0" w:color="000000"/>
            </w:tcBorders>
          </w:tcPr>
          <w:p w:rsidR="009B60AB" w:rsidRPr="005E1103" w:rsidRDefault="009B60AB" w:rsidP="003904C9">
            <w:pPr>
              <w:pStyle w:val="TableParagraph"/>
              <w:spacing w:before="92"/>
              <w:ind w:left="360" w:right="359"/>
              <w:rPr>
                <w:rFonts w:asciiTheme="minorHAnsi" w:hAnsiTheme="minorHAnsi" w:cstheme="minorHAnsi"/>
                <w:sz w:val="28"/>
                <w:szCs w:val="28"/>
              </w:rPr>
            </w:pPr>
            <w:r w:rsidRPr="005E1103">
              <w:rPr>
                <w:rFonts w:asciiTheme="minorHAnsi" w:hAnsiTheme="minorHAnsi" w:cstheme="minorHAnsi"/>
                <w:sz w:val="28"/>
                <w:szCs w:val="28"/>
              </w:rPr>
              <w:t>.056</w:t>
            </w:r>
          </w:p>
        </w:tc>
      </w:tr>
      <w:tr w:rsidR="009B60AB" w:rsidRPr="005E1103" w:rsidTr="003904C9">
        <w:trPr>
          <w:trHeight w:hRule="exact" w:val="640"/>
        </w:trPr>
        <w:tc>
          <w:tcPr>
            <w:tcW w:w="3704" w:type="dxa"/>
            <w:tcBorders>
              <w:right w:val="single" w:sz="4" w:space="0" w:color="000000"/>
            </w:tcBorders>
          </w:tcPr>
          <w:p w:rsidR="009B60AB" w:rsidRPr="005E1103" w:rsidRDefault="009B60AB" w:rsidP="003904C9">
            <w:pPr>
              <w:pStyle w:val="TableParagraph"/>
              <w:spacing w:line="302" w:lineRule="auto"/>
              <w:ind w:left="60" w:right="51"/>
              <w:jc w:val="left"/>
              <w:rPr>
                <w:rFonts w:asciiTheme="minorHAnsi" w:hAnsiTheme="minorHAnsi" w:cstheme="minorHAnsi"/>
                <w:sz w:val="28"/>
                <w:szCs w:val="28"/>
                <w:lang w:val="es-ES"/>
              </w:rPr>
            </w:pPr>
            <w:r w:rsidRPr="005E1103">
              <w:rPr>
                <w:rFonts w:asciiTheme="minorHAnsi" w:hAnsiTheme="minorHAnsi" w:cstheme="minorHAnsi"/>
                <w:sz w:val="28"/>
                <w:szCs w:val="28"/>
                <w:lang w:val="es-ES"/>
              </w:rPr>
              <w:t>Creencias del profesor de lo que piensan sus jefes de su trabajo</w:t>
            </w:r>
          </w:p>
        </w:tc>
        <w:tc>
          <w:tcPr>
            <w:tcW w:w="1558" w:type="dxa"/>
            <w:tcBorders>
              <w:left w:val="single" w:sz="4" w:space="0" w:color="000000"/>
              <w:right w:val="single" w:sz="4" w:space="0" w:color="000000"/>
            </w:tcBorders>
          </w:tcPr>
          <w:p w:rsidR="009B60AB" w:rsidRPr="005E1103" w:rsidRDefault="009B60AB" w:rsidP="003904C9">
            <w:pPr>
              <w:pStyle w:val="TableParagraph"/>
              <w:ind w:right="468"/>
              <w:jc w:val="right"/>
              <w:rPr>
                <w:rFonts w:asciiTheme="minorHAnsi" w:hAnsiTheme="minorHAnsi" w:cstheme="minorHAnsi"/>
                <w:sz w:val="28"/>
                <w:szCs w:val="28"/>
              </w:rPr>
            </w:pPr>
            <w:r w:rsidRPr="005E1103">
              <w:rPr>
                <w:rFonts w:asciiTheme="minorHAnsi" w:hAnsiTheme="minorHAnsi" w:cstheme="minorHAnsi"/>
                <w:sz w:val="28"/>
                <w:szCs w:val="28"/>
              </w:rPr>
              <w:t>13.685</w:t>
            </w:r>
          </w:p>
        </w:tc>
        <w:tc>
          <w:tcPr>
            <w:tcW w:w="1316" w:type="dxa"/>
            <w:tcBorders>
              <w:left w:val="single" w:sz="4" w:space="0" w:color="000000"/>
            </w:tcBorders>
          </w:tcPr>
          <w:p w:rsidR="009B60AB" w:rsidRPr="005E1103" w:rsidRDefault="009B60AB" w:rsidP="003904C9">
            <w:pPr>
              <w:pStyle w:val="TableParagraph"/>
              <w:ind w:left="360" w:right="360"/>
              <w:rPr>
                <w:rFonts w:asciiTheme="minorHAnsi" w:hAnsiTheme="minorHAnsi" w:cstheme="minorHAnsi"/>
                <w:sz w:val="28"/>
                <w:szCs w:val="28"/>
              </w:rPr>
            </w:pPr>
            <w:r w:rsidRPr="005E1103">
              <w:rPr>
                <w:rFonts w:asciiTheme="minorHAnsi" w:hAnsiTheme="minorHAnsi" w:cstheme="minorHAnsi"/>
                <w:sz w:val="28"/>
                <w:szCs w:val="28"/>
              </w:rPr>
              <w:t>.001 *</w:t>
            </w:r>
          </w:p>
        </w:tc>
      </w:tr>
      <w:tr w:rsidR="009B60AB" w:rsidRPr="005E1103" w:rsidTr="003904C9">
        <w:trPr>
          <w:trHeight w:hRule="exact" w:val="640"/>
        </w:trPr>
        <w:tc>
          <w:tcPr>
            <w:tcW w:w="3704" w:type="dxa"/>
            <w:tcBorders>
              <w:right w:val="single" w:sz="4" w:space="0" w:color="000000"/>
            </w:tcBorders>
          </w:tcPr>
          <w:p w:rsidR="009B60AB" w:rsidRPr="005E1103" w:rsidRDefault="009B60AB" w:rsidP="003904C9">
            <w:pPr>
              <w:pStyle w:val="TableParagraph"/>
              <w:spacing w:before="30" w:line="302" w:lineRule="auto"/>
              <w:ind w:left="60" w:right="448"/>
              <w:jc w:val="left"/>
              <w:rPr>
                <w:rFonts w:asciiTheme="minorHAnsi" w:hAnsiTheme="minorHAnsi" w:cstheme="minorHAnsi"/>
                <w:sz w:val="28"/>
                <w:szCs w:val="28"/>
                <w:lang w:val="es-ES"/>
              </w:rPr>
            </w:pPr>
            <w:r w:rsidRPr="005E1103">
              <w:rPr>
                <w:rFonts w:asciiTheme="minorHAnsi" w:hAnsiTheme="minorHAnsi" w:cstheme="minorHAnsi"/>
                <w:sz w:val="28"/>
                <w:szCs w:val="28"/>
                <w:lang w:val="es-ES"/>
              </w:rPr>
              <w:t>Creencias de sus habilidades para la enseñanza</w:t>
            </w:r>
          </w:p>
        </w:tc>
        <w:tc>
          <w:tcPr>
            <w:tcW w:w="1558" w:type="dxa"/>
            <w:tcBorders>
              <w:left w:val="single" w:sz="4" w:space="0" w:color="000000"/>
              <w:right w:val="single" w:sz="4" w:space="0" w:color="000000"/>
            </w:tcBorders>
          </w:tcPr>
          <w:p w:rsidR="009B60AB" w:rsidRPr="005E1103" w:rsidRDefault="009B60AB" w:rsidP="003904C9">
            <w:pPr>
              <w:pStyle w:val="TableParagraph"/>
              <w:spacing w:before="30"/>
              <w:ind w:right="523"/>
              <w:jc w:val="right"/>
              <w:rPr>
                <w:rFonts w:asciiTheme="minorHAnsi" w:hAnsiTheme="minorHAnsi" w:cstheme="minorHAnsi"/>
                <w:sz w:val="28"/>
                <w:szCs w:val="28"/>
              </w:rPr>
            </w:pPr>
            <w:r w:rsidRPr="005E1103">
              <w:rPr>
                <w:rFonts w:asciiTheme="minorHAnsi" w:hAnsiTheme="minorHAnsi" w:cstheme="minorHAnsi"/>
                <w:sz w:val="28"/>
                <w:szCs w:val="28"/>
              </w:rPr>
              <w:t>1.225</w:t>
            </w:r>
          </w:p>
        </w:tc>
        <w:tc>
          <w:tcPr>
            <w:tcW w:w="1316" w:type="dxa"/>
            <w:tcBorders>
              <w:left w:val="single" w:sz="4" w:space="0" w:color="000000"/>
            </w:tcBorders>
          </w:tcPr>
          <w:p w:rsidR="009B60AB" w:rsidRPr="005E1103" w:rsidRDefault="009B60AB" w:rsidP="003904C9">
            <w:pPr>
              <w:pStyle w:val="TableParagraph"/>
              <w:spacing w:before="30"/>
              <w:ind w:left="360" w:right="359"/>
              <w:rPr>
                <w:rFonts w:asciiTheme="minorHAnsi" w:hAnsiTheme="minorHAnsi" w:cstheme="minorHAnsi"/>
                <w:sz w:val="28"/>
                <w:szCs w:val="28"/>
              </w:rPr>
            </w:pPr>
            <w:r w:rsidRPr="005E1103">
              <w:rPr>
                <w:rFonts w:asciiTheme="minorHAnsi" w:hAnsiTheme="minorHAnsi" w:cstheme="minorHAnsi"/>
                <w:sz w:val="28"/>
                <w:szCs w:val="28"/>
              </w:rPr>
              <w:t>.273</w:t>
            </w:r>
          </w:p>
        </w:tc>
      </w:tr>
      <w:tr w:rsidR="009B60AB" w:rsidRPr="005E1103" w:rsidTr="003904C9">
        <w:trPr>
          <w:trHeight w:hRule="exact" w:val="641"/>
        </w:trPr>
        <w:tc>
          <w:tcPr>
            <w:tcW w:w="3704" w:type="dxa"/>
            <w:tcBorders>
              <w:right w:val="single" w:sz="4" w:space="0" w:color="000000"/>
            </w:tcBorders>
          </w:tcPr>
          <w:p w:rsidR="009B60AB" w:rsidRPr="005E1103" w:rsidRDefault="009B60AB" w:rsidP="003904C9">
            <w:pPr>
              <w:pStyle w:val="TableParagraph"/>
              <w:spacing w:line="304" w:lineRule="auto"/>
              <w:ind w:left="60" w:right="186"/>
              <w:jc w:val="left"/>
              <w:rPr>
                <w:rFonts w:asciiTheme="minorHAnsi" w:hAnsiTheme="minorHAnsi" w:cstheme="minorHAnsi"/>
                <w:sz w:val="28"/>
                <w:szCs w:val="28"/>
                <w:lang w:val="es-ES"/>
              </w:rPr>
            </w:pPr>
            <w:r w:rsidRPr="005E1103">
              <w:rPr>
                <w:rFonts w:asciiTheme="minorHAnsi" w:hAnsiTheme="minorHAnsi" w:cstheme="minorHAnsi"/>
                <w:sz w:val="28"/>
                <w:szCs w:val="28"/>
                <w:lang w:val="es-ES"/>
              </w:rPr>
              <w:t>“Percepción sobre sus habilidades para la enseñanza</w:t>
            </w:r>
          </w:p>
        </w:tc>
        <w:tc>
          <w:tcPr>
            <w:tcW w:w="1558" w:type="dxa"/>
            <w:tcBorders>
              <w:left w:val="single" w:sz="4" w:space="0" w:color="000000"/>
              <w:right w:val="single" w:sz="4" w:space="0" w:color="000000"/>
            </w:tcBorders>
          </w:tcPr>
          <w:p w:rsidR="009B60AB" w:rsidRPr="005E1103" w:rsidRDefault="009B60AB" w:rsidP="003904C9">
            <w:pPr>
              <w:pStyle w:val="TableParagraph"/>
              <w:ind w:right="523"/>
              <w:jc w:val="right"/>
              <w:rPr>
                <w:rFonts w:asciiTheme="minorHAnsi" w:hAnsiTheme="minorHAnsi" w:cstheme="minorHAnsi"/>
                <w:sz w:val="28"/>
                <w:szCs w:val="28"/>
              </w:rPr>
            </w:pPr>
            <w:r w:rsidRPr="005E1103">
              <w:rPr>
                <w:rFonts w:asciiTheme="minorHAnsi" w:hAnsiTheme="minorHAnsi" w:cstheme="minorHAnsi"/>
                <w:sz w:val="28"/>
                <w:szCs w:val="28"/>
              </w:rPr>
              <w:t>1.214</w:t>
            </w:r>
          </w:p>
        </w:tc>
        <w:tc>
          <w:tcPr>
            <w:tcW w:w="1316" w:type="dxa"/>
            <w:tcBorders>
              <w:left w:val="single" w:sz="4" w:space="0" w:color="000000"/>
            </w:tcBorders>
          </w:tcPr>
          <w:p w:rsidR="009B60AB" w:rsidRPr="005E1103" w:rsidRDefault="009B60AB" w:rsidP="003904C9">
            <w:pPr>
              <w:pStyle w:val="TableParagraph"/>
              <w:ind w:left="360" w:right="359"/>
              <w:rPr>
                <w:rFonts w:asciiTheme="minorHAnsi" w:hAnsiTheme="minorHAnsi" w:cstheme="minorHAnsi"/>
                <w:sz w:val="28"/>
                <w:szCs w:val="28"/>
              </w:rPr>
            </w:pPr>
            <w:r w:rsidRPr="005E1103">
              <w:rPr>
                <w:rFonts w:asciiTheme="minorHAnsi" w:hAnsiTheme="minorHAnsi" w:cstheme="minorHAnsi"/>
                <w:sz w:val="28"/>
                <w:szCs w:val="28"/>
              </w:rPr>
              <w:t>.276</w:t>
            </w:r>
          </w:p>
        </w:tc>
      </w:tr>
      <w:tr w:rsidR="009B60AB" w:rsidRPr="005E1103" w:rsidTr="003904C9">
        <w:trPr>
          <w:trHeight w:hRule="exact" w:val="613"/>
        </w:trPr>
        <w:tc>
          <w:tcPr>
            <w:tcW w:w="3704" w:type="dxa"/>
            <w:tcBorders>
              <w:bottom w:val="single" w:sz="4" w:space="0" w:color="000000"/>
              <w:right w:val="single" w:sz="4" w:space="0" w:color="000000"/>
            </w:tcBorders>
          </w:tcPr>
          <w:p w:rsidR="009B60AB" w:rsidRPr="005E1103" w:rsidRDefault="009B60AB" w:rsidP="003904C9">
            <w:pPr>
              <w:pStyle w:val="TableParagraph"/>
              <w:spacing w:line="302" w:lineRule="auto"/>
              <w:ind w:left="60" w:right="937"/>
              <w:jc w:val="left"/>
              <w:rPr>
                <w:rFonts w:asciiTheme="minorHAnsi" w:hAnsiTheme="minorHAnsi" w:cstheme="minorHAnsi"/>
                <w:sz w:val="28"/>
                <w:szCs w:val="28"/>
                <w:lang w:val="es-ES"/>
              </w:rPr>
            </w:pPr>
            <w:r w:rsidRPr="005E1103">
              <w:rPr>
                <w:rFonts w:asciiTheme="minorHAnsi" w:hAnsiTheme="minorHAnsi" w:cstheme="minorHAnsi"/>
                <w:sz w:val="28"/>
                <w:szCs w:val="28"/>
                <w:lang w:val="es-ES"/>
              </w:rPr>
              <w:t>Propósitos relacionados con la enseñanza”</w:t>
            </w:r>
          </w:p>
        </w:tc>
        <w:tc>
          <w:tcPr>
            <w:tcW w:w="1558" w:type="dxa"/>
            <w:tcBorders>
              <w:left w:val="single" w:sz="4" w:space="0" w:color="000000"/>
              <w:bottom w:val="single" w:sz="4" w:space="0" w:color="000000"/>
              <w:right w:val="single" w:sz="4" w:space="0" w:color="000000"/>
            </w:tcBorders>
          </w:tcPr>
          <w:p w:rsidR="009B60AB" w:rsidRPr="005E1103" w:rsidRDefault="009B60AB" w:rsidP="003904C9">
            <w:pPr>
              <w:pStyle w:val="TableParagraph"/>
              <w:ind w:right="523"/>
              <w:jc w:val="right"/>
              <w:rPr>
                <w:rFonts w:asciiTheme="minorHAnsi" w:hAnsiTheme="minorHAnsi" w:cstheme="minorHAnsi"/>
                <w:sz w:val="28"/>
                <w:szCs w:val="28"/>
              </w:rPr>
            </w:pPr>
            <w:r w:rsidRPr="005E1103">
              <w:rPr>
                <w:rFonts w:asciiTheme="minorHAnsi" w:hAnsiTheme="minorHAnsi" w:cstheme="minorHAnsi"/>
                <w:sz w:val="28"/>
                <w:szCs w:val="28"/>
              </w:rPr>
              <w:t>1.710</w:t>
            </w:r>
          </w:p>
        </w:tc>
        <w:tc>
          <w:tcPr>
            <w:tcW w:w="1316" w:type="dxa"/>
            <w:tcBorders>
              <w:left w:val="single" w:sz="4" w:space="0" w:color="000000"/>
              <w:bottom w:val="single" w:sz="4" w:space="0" w:color="000000"/>
            </w:tcBorders>
          </w:tcPr>
          <w:p w:rsidR="009B60AB" w:rsidRPr="005E1103" w:rsidRDefault="009B60AB" w:rsidP="003904C9">
            <w:pPr>
              <w:pStyle w:val="TableParagraph"/>
              <w:ind w:left="360" w:right="359"/>
              <w:rPr>
                <w:rFonts w:asciiTheme="minorHAnsi" w:hAnsiTheme="minorHAnsi" w:cstheme="minorHAnsi"/>
                <w:sz w:val="28"/>
                <w:szCs w:val="28"/>
              </w:rPr>
            </w:pPr>
            <w:r w:rsidRPr="005E1103">
              <w:rPr>
                <w:rFonts w:asciiTheme="minorHAnsi" w:hAnsiTheme="minorHAnsi" w:cstheme="minorHAnsi"/>
                <w:sz w:val="28"/>
                <w:szCs w:val="28"/>
              </w:rPr>
              <w:t>.197</w:t>
            </w:r>
          </w:p>
        </w:tc>
      </w:tr>
    </w:tbl>
    <w:p w:rsidR="009B60AB" w:rsidRPr="005E1103" w:rsidRDefault="009B60AB" w:rsidP="009B60AB">
      <w:pPr>
        <w:spacing w:before="187"/>
        <w:ind w:left="2175"/>
        <w:rPr>
          <w:rFonts w:cstheme="minorHAnsi"/>
          <w:sz w:val="28"/>
          <w:szCs w:val="28"/>
        </w:rPr>
      </w:pPr>
      <w:r w:rsidRPr="005E1103">
        <w:rPr>
          <w:rFonts w:cstheme="minorHAnsi"/>
          <w:sz w:val="28"/>
          <w:szCs w:val="28"/>
        </w:rPr>
        <w:t>* (p ≤ .001)</w:t>
      </w:r>
    </w:p>
    <w:p w:rsidR="009B60AB" w:rsidRPr="005E1103" w:rsidRDefault="009B60AB" w:rsidP="009B60AB">
      <w:pPr>
        <w:pStyle w:val="Textoindependiente"/>
        <w:rPr>
          <w:rFonts w:asciiTheme="minorHAnsi" w:hAnsiTheme="minorHAnsi" w:cstheme="minorHAnsi"/>
          <w:sz w:val="28"/>
          <w:szCs w:val="28"/>
        </w:rPr>
      </w:pPr>
    </w:p>
    <w:p w:rsidR="009B60AB" w:rsidRPr="005E1103" w:rsidRDefault="009B60AB" w:rsidP="009B60AB">
      <w:pPr>
        <w:pStyle w:val="Textoindependiente"/>
        <w:spacing w:before="4"/>
        <w:rPr>
          <w:rFonts w:asciiTheme="minorHAnsi" w:hAnsiTheme="minorHAnsi" w:cstheme="minorHAnsi"/>
          <w:sz w:val="28"/>
          <w:szCs w:val="28"/>
        </w:rPr>
      </w:pPr>
    </w:p>
    <w:p w:rsidR="009B60AB" w:rsidRPr="005E1103" w:rsidRDefault="009B60AB" w:rsidP="009B60AB">
      <w:pPr>
        <w:pStyle w:val="Textoindependiente"/>
        <w:ind w:left="266" w:right="89"/>
        <w:jc w:val="center"/>
        <w:rPr>
          <w:rFonts w:asciiTheme="minorHAnsi" w:hAnsiTheme="minorHAnsi" w:cstheme="minorHAnsi"/>
          <w:sz w:val="28"/>
          <w:szCs w:val="28"/>
        </w:rPr>
      </w:pPr>
      <w:r w:rsidRPr="005E1103">
        <w:rPr>
          <w:rFonts w:asciiTheme="minorHAnsi" w:hAnsiTheme="minorHAnsi" w:cstheme="minorHAnsi"/>
          <w:sz w:val="28"/>
          <w:szCs w:val="28"/>
        </w:rPr>
        <w:t>Tabla 2. T Student de los factores de actitudes de los profesores hacia la inclusión de estudiantes con discapacidad en las clases de Educación Física en relación a la capacitación en Educación Especial.</w:t>
      </w:r>
    </w:p>
    <w:p w:rsidR="009B60AB" w:rsidRPr="005E1103" w:rsidRDefault="009B60AB" w:rsidP="009B60AB">
      <w:pPr>
        <w:pStyle w:val="Textoindependiente"/>
        <w:rPr>
          <w:rFonts w:asciiTheme="minorHAnsi" w:hAnsiTheme="minorHAnsi" w:cstheme="minorHAnsi"/>
          <w:sz w:val="28"/>
          <w:szCs w:val="28"/>
        </w:rPr>
      </w:pPr>
    </w:p>
    <w:p w:rsidR="009B60AB" w:rsidRPr="005E1103" w:rsidRDefault="009B60AB" w:rsidP="009B60AB">
      <w:pPr>
        <w:pStyle w:val="Textoindependiente"/>
        <w:rPr>
          <w:rFonts w:asciiTheme="minorHAnsi" w:hAnsiTheme="minorHAnsi" w:cstheme="minorHAnsi"/>
          <w:sz w:val="28"/>
          <w:szCs w:val="28"/>
        </w:rPr>
      </w:pPr>
    </w:p>
    <w:p w:rsidR="009B60AB" w:rsidRPr="005E1103" w:rsidRDefault="009B60AB" w:rsidP="009B60AB">
      <w:pPr>
        <w:pStyle w:val="Textoindependiente"/>
        <w:spacing w:before="3"/>
        <w:rPr>
          <w:rFonts w:asciiTheme="minorHAnsi" w:hAnsiTheme="minorHAnsi" w:cstheme="minorHAnsi"/>
          <w:sz w:val="28"/>
          <w:szCs w:val="28"/>
        </w:rPr>
      </w:pPr>
    </w:p>
    <w:tbl>
      <w:tblPr>
        <w:tblStyle w:val="TableNormal"/>
        <w:tblW w:w="0" w:type="auto"/>
        <w:tblInd w:w="118" w:type="dxa"/>
        <w:tblBorders>
          <w:top w:val="nil"/>
          <w:left w:val="nil"/>
          <w:bottom w:val="nil"/>
          <w:right w:val="nil"/>
          <w:insideH w:val="nil"/>
          <w:insideV w:val="nil"/>
        </w:tblBorders>
        <w:tblLayout w:type="fixed"/>
        <w:tblLook w:val="01E0" w:firstRow="1" w:lastRow="1" w:firstColumn="1" w:lastColumn="1" w:noHBand="0" w:noVBand="0"/>
      </w:tblPr>
      <w:tblGrid>
        <w:gridCol w:w="3959"/>
        <w:gridCol w:w="1440"/>
        <w:gridCol w:w="1536"/>
      </w:tblGrid>
      <w:tr w:rsidR="009B60AB" w:rsidRPr="005E1103" w:rsidTr="003904C9">
        <w:trPr>
          <w:trHeight w:hRule="exact" w:val="571"/>
        </w:trPr>
        <w:tc>
          <w:tcPr>
            <w:tcW w:w="3959" w:type="dxa"/>
            <w:tcBorders>
              <w:top w:val="single" w:sz="4" w:space="0" w:color="000000"/>
              <w:bottom w:val="single" w:sz="4" w:space="0" w:color="000000"/>
              <w:right w:val="single" w:sz="4" w:space="0" w:color="000000"/>
            </w:tcBorders>
          </w:tcPr>
          <w:p w:rsidR="009B60AB" w:rsidRPr="005E1103" w:rsidRDefault="009B60AB" w:rsidP="003904C9">
            <w:pPr>
              <w:pStyle w:val="TableParagraph"/>
              <w:spacing w:before="87"/>
              <w:ind w:left="1623" w:right="1612"/>
              <w:rPr>
                <w:rFonts w:asciiTheme="minorHAnsi" w:hAnsiTheme="minorHAnsi" w:cstheme="minorHAnsi"/>
                <w:sz w:val="28"/>
                <w:szCs w:val="28"/>
              </w:rPr>
            </w:pPr>
            <w:r w:rsidRPr="005E1103">
              <w:rPr>
                <w:rFonts w:asciiTheme="minorHAnsi" w:hAnsiTheme="minorHAnsi" w:cstheme="minorHAnsi"/>
                <w:sz w:val="28"/>
                <w:szCs w:val="28"/>
              </w:rPr>
              <w:t>Factores</w:t>
            </w:r>
          </w:p>
        </w:tc>
        <w:tc>
          <w:tcPr>
            <w:tcW w:w="1440" w:type="dxa"/>
            <w:tcBorders>
              <w:top w:val="single" w:sz="4" w:space="0" w:color="000000"/>
              <w:left w:val="single" w:sz="4" w:space="0" w:color="000000"/>
              <w:bottom w:val="single" w:sz="4" w:space="0" w:color="000000"/>
              <w:right w:val="single" w:sz="4" w:space="0" w:color="000000"/>
            </w:tcBorders>
          </w:tcPr>
          <w:p w:rsidR="009B60AB" w:rsidRPr="005E1103" w:rsidRDefault="009B60AB" w:rsidP="003904C9">
            <w:pPr>
              <w:pStyle w:val="TableParagraph"/>
              <w:spacing w:before="87"/>
              <w:rPr>
                <w:rFonts w:asciiTheme="minorHAnsi" w:hAnsiTheme="minorHAnsi" w:cstheme="minorHAnsi"/>
                <w:sz w:val="28"/>
                <w:szCs w:val="28"/>
              </w:rPr>
            </w:pPr>
            <w:r w:rsidRPr="005E1103">
              <w:rPr>
                <w:rFonts w:asciiTheme="minorHAnsi" w:hAnsiTheme="minorHAnsi" w:cstheme="minorHAnsi"/>
                <w:w w:val="99"/>
                <w:sz w:val="28"/>
                <w:szCs w:val="28"/>
              </w:rPr>
              <w:t>F</w:t>
            </w:r>
          </w:p>
        </w:tc>
        <w:tc>
          <w:tcPr>
            <w:tcW w:w="1536" w:type="dxa"/>
            <w:tcBorders>
              <w:top w:val="single" w:sz="4" w:space="0" w:color="000000"/>
              <w:left w:val="single" w:sz="4" w:space="0" w:color="000000"/>
              <w:bottom w:val="single" w:sz="4" w:space="0" w:color="000000"/>
            </w:tcBorders>
          </w:tcPr>
          <w:p w:rsidR="009B60AB" w:rsidRPr="005E1103" w:rsidRDefault="009B60AB" w:rsidP="003904C9">
            <w:pPr>
              <w:pStyle w:val="TableParagraph"/>
              <w:spacing w:before="87"/>
              <w:ind w:right="608"/>
              <w:jc w:val="right"/>
              <w:rPr>
                <w:rFonts w:asciiTheme="minorHAnsi" w:hAnsiTheme="minorHAnsi" w:cstheme="minorHAnsi"/>
                <w:sz w:val="28"/>
                <w:szCs w:val="28"/>
              </w:rPr>
            </w:pPr>
            <w:r w:rsidRPr="005E1103">
              <w:rPr>
                <w:rFonts w:asciiTheme="minorHAnsi" w:hAnsiTheme="minorHAnsi" w:cstheme="minorHAnsi"/>
                <w:sz w:val="28"/>
                <w:szCs w:val="28"/>
              </w:rPr>
              <w:t>Sig.</w:t>
            </w:r>
          </w:p>
        </w:tc>
      </w:tr>
      <w:tr w:rsidR="009B60AB" w:rsidRPr="005E1103" w:rsidTr="003904C9">
        <w:trPr>
          <w:trHeight w:hRule="exact" w:val="541"/>
        </w:trPr>
        <w:tc>
          <w:tcPr>
            <w:tcW w:w="3959" w:type="dxa"/>
            <w:tcBorders>
              <w:top w:val="single" w:sz="4" w:space="0" w:color="000000"/>
              <w:right w:val="single" w:sz="4" w:space="0" w:color="000000"/>
            </w:tcBorders>
          </w:tcPr>
          <w:p w:rsidR="009B60AB" w:rsidRPr="005E1103" w:rsidRDefault="009B60AB" w:rsidP="003904C9">
            <w:pPr>
              <w:pStyle w:val="TableParagraph"/>
              <w:spacing w:before="4"/>
              <w:jc w:val="left"/>
              <w:rPr>
                <w:rFonts w:asciiTheme="minorHAnsi" w:hAnsiTheme="minorHAnsi" w:cstheme="minorHAnsi"/>
                <w:sz w:val="28"/>
                <w:szCs w:val="28"/>
                <w:lang w:val="es-ES"/>
              </w:rPr>
            </w:pPr>
          </w:p>
          <w:p w:rsidR="009B60AB" w:rsidRPr="005E1103" w:rsidRDefault="009B60AB" w:rsidP="003904C9">
            <w:pPr>
              <w:pStyle w:val="TableParagraph"/>
              <w:spacing w:before="0"/>
              <w:ind w:left="74"/>
              <w:jc w:val="left"/>
              <w:rPr>
                <w:rFonts w:asciiTheme="minorHAnsi" w:hAnsiTheme="minorHAnsi" w:cstheme="minorHAnsi"/>
                <w:sz w:val="28"/>
                <w:szCs w:val="28"/>
                <w:lang w:val="es-ES"/>
              </w:rPr>
            </w:pPr>
            <w:r w:rsidRPr="005E1103">
              <w:rPr>
                <w:rFonts w:asciiTheme="minorHAnsi" w:hAnsiTheme="minorHAnsi" w:cstheme="minorHAnsi"/>
                <w:sz w:val="28"/>
                <w:szCs w:val="28"/>
                <w:lang w:val="es-ES"/>
              </w:rPr>
              <w:t>Creencias del profesor sobre sus conductas</w:t>
            </w:r>
          </w:p>
        </w:tc>
        <w:tc>
          <w:tcPr>
            <w:tcW w:w="1440" w:type="dxa"/>
            <w:tcBorders>
              <w:top w:val="single" w:sz="4" w:space="0" w:color="000000"/>
              <w:left w:val="single" w:sz="4" w:space="0" w:color="000000"/>
              <w:right w:val="single" w:sz="4" w:space="0" w:color="000000"/>
            </w:tcBorders>
          </w:tcPr>
          <w:p w:rsidR="009B60AB" w:rsidRPr="005E1103" w:rsidRDefault="009B60AB" w:rsidP="003904C9">
            <w:pPr>
              <w:pStyle w:val="TableParagraph"/>
              <w:spacing w:before="84"/>
              <w:ind w:left="470" w:right="470"/>
              <w:rPr>
                <w:rFonts w:asciiTheme="minorHAnsi" w:hAnsiTheme="minorHAnsi" w:cstheme="minorHAnsi"/>
                <w:sz w:val="28"/>
                <w:szCs w:val="28"/>
              </w:rPr>
            </w:pPr>
            <w:r w:rsidRPr="005E1103">
              <w:rPr>
                <w:rFonts w:asciiTheme="minorHAnsi" w:hAnsiTheme="minorHAnsi" w:cstheme="minorHAnsi"/>
                <w:sz w:val="28"/>
                <w:szCs w:val="28"/>
              </w:rPr>
              <w:t>.373</w:t>
            </w:r>
          </w:p>
        </w:tc>
        <w:tc>
          <w:tcPr>
            <w:tcW w:w="1536" w:type="dxa"/>
            <w:tcBorders>
              <w:top w:val="single" w:sz="4" w:space="0" w:color="000000"/>
              <w:left w:val="single" w:sz="4" w:space="0" w:color="000000"/>
            </w:tcBorders>
          </w:tcPr>
          <w:p w:rsidR="009B60AB" w:rsidRPr="005E1103" w:rsidRDefault="009B60AB" w:rsidP="003904C9">
            <w:pPr>
              <w:pStyle w:val="TableParagraph"/>
              <w:spacing w:before="84"/>
              <w:ind w:right="587"/>
              <w:jc w:val="right"/>
              <w:rPr>
                <w:rFonts w:asciiTheme="minorHAnsi" w:hAnsiTheme="minorHAnsi" w:cstheme="minorHAnsi"/>
                <w:sz w:val="28"/>
                <w:szCs w:val="28"/>
              </w:rPr>
            </w:pPr>
            <w:r w:rsidRPr="005E1103">
              <w:rPr>
                <w:rFonts w:asciiTheme="minorHAnsi" w:hAnsiTheme="minorHAnsi" w:cstheme="minorHAnsi"/>
                <w:sz w:val="28"/>
                <w:szCs w:val="28"/>
              </w:rPr>
              <w:t>.544</w:t>
            </w:r>
          </w:p>
        </w:tc>
      </w:tr>
      <w:tr w:rsidR="009B60AB" w:rsidRPr="005E1103" w:rsidTr="003904C9">
        <w:trPr>
          <w:trHeight w:hRule="exact" w:val="550"/>
        </w:trPr>
        <w:tc>
          <w:tcPr>
            <w:tcW w:w="3959" w:type="dxa"/>
            <w:tcBorders>
              <w:right w:val="single" w:sz="4" w:space="0" w:color="000000"/>
            </w:tcBorders>
          </w:tcPr>
          <w:p w:rsidR="009B60AB" w:rsidRPr="005E1103" w:rsidRDefault="009B60AB" w:rsidP="003904C9">
            <w:pPr>
              <w:pStyle w:val="TableParagraph"/>
              <w:spacing w:before="5"/>
              <w:jc w:val="left"/>
              <w:rPr>
                <w:rFonts w:asciiTheme="minorHAnsi" w:hAnsiTheme="minorHAnsi" w:cstheme="minorHAnsi"/>
                <w:sz w:val="28"/>
                <w:szCs w:val="28"/>
              </w:rPr>
            </w:pPr>
          </w:p>
          <w:p w:rsidR="009B60AB" w:rsidRPr="005E1103" w:rsidRDefault="009B60AB" w:rsidP="003904C9">
            <w:pPr>
              <w:pStyle w:val="TableParagraph"/>
              <w:spacing w:before="1"/>
              <w:ind w:left="74"/>
              <w:jc w:val="left"/>
              <w:rPr>
                <w:rFonts w:asciiTheme="minorHAnsi" w:hAnsiTheme="minorHAnsi" w:cstheme="minorHAnsi"/>
                <w:sz w:val="28"/>
                <w:szCs w:val="28"/>
              </w:rPr>
            </w:pPr>
            <w:r w:rsidRPr="005E1103">
              <w:rPr>
                <w:rFonts w:asciiTheme="minorHAnsi" w:hAnsiTheme="minorHAnsi" w:cstheme="minorHAnsi"/>
                <w:sz w:val="28"/>
                <w:szCs w:val="28"/>
              </w:rPr>
              <w:t>Actitudes</w:t>
            </w:r>
          </w:p>
        </w:tc>
        <w:tc>
          <w:tcPr>
            <w:tcW w:w="1440" w:type="dxa"/>
            <w:tcBorders>
              <w:left w:val="single" w:sz="4" w:space="0" w:color="000000"/>
              <w:right w:val="single" w:sz="4" w:space="0" w:color="000000"/>
            </w:tcBorders>
          </w:tcPr>
          <w:p w:rsidR="009B60AB" w:rsidRPr="005E1103" w:rsidRDefault="009B60AB" w:rsidP="003904C9">
            <w:pPr>
              <w:pStyle w:val="TableParagraph"/>
              <w:spacing w:before="97"/>
              <w:ind w:left="470" w:right="470"/>
              <w:rPr>
                <w:rFonts w:asciiTheme="minorHAnsi" w:hAnsiTheme="minorHAnsi" w:cstheme="minorHAnsi"/>
                <w:sz w:val="28"/>
                <w:szCs w:val="28"/>
              </w:rPr>
            </w:pPr>
            <w:r w:rsidRPr="005E1103">
              <w:rPr>
                <w:rFonts w:asciiTheme="minorHAnsi" w:hAnsiTheme="minorHAnsi" w:cstheme="minorHAnsi"/>
                <w:sz w:val="28"/>
                <w:szCs w:val="28"/>
              </w:rPr>
              <w:t>1.186</w:t>
            </w:r>
          </w:p>
        </w:tc>
        <w:tc>
          <w:tcPr>
            <w:tcW w:w="1536" w:type="dxa"/>
            <w:tcBorders>
              <w:left w:val="single" w:sz="4" w:space="0" w:color="000000"/>
            </w:tcBorders>
          </w:tcPr>
          <w:p w:rsidR="009B60AB" w:rsidRPr="005E1103" w:rsidRDefault="009B60AB" w:rsidP="003904C9">
            <w:pPr>
              <w:pStyle w:val="TableParagraph"/>
              <w:spacing w:before="97"/>
              <w:ind w:right="587"/>
              <w:jc w:val="right"/>
              <w:rPr>
                <w:rFonts w:asciiTheme="minorHAnsi" w:hAnsiTheme="minorHAnsi" w:cstheme="minorHAnsi"/>
                <w:sz w:val="28"/>
                <w:szCs w:val="28"/>
              </w:rPr>
            </w:pPr>
            <w:r w:rsidRPr="005E1103">
              <w:rPr>
                <w:rFonts w:asciiTheme="minorHAnsi" w:hAnsiTheme="minorHAnsi" w:cstheme="minorHAnsi"/>
                <w:sz w:val="28"/>
                <w:szCs w:val="28"/>
              </w:rPr>
              <w:t>.281</w:t>
            </w:r>
          </w:p>
        </w:tc>
      </w:tr>
      <w:tr w:rsidR="009B60AB" w:rsidRPr="005E1103" w:rsidTr="003904C9">
        <w:trPr>
          <w:trHeight w:hRule="exact" w:val="699"/>
        </w:trPr>
        <w:tc>
          <w:tcPr>
            <w:tcW w:w="3959" w:type="dxa"/>
            <w:tcBorders>
              <w:right w:val="single" w:sz="4" w:space="0" w:color="000000"/>
            </w:tcBorders>
          </w:tcPr>
          <w:p w:rsidR="009B60AB" w:rsidRPr="005E1103" w:rsidRDefault="009B60AB" w:rsidP="003904C9">
            <w:pPr>
              <w:pStyle w:val="TableParagraph"/>
              <w:spacing w:before="97" w:line="336" w:lineRule="auto"/>
              <w:ind w:left="74" w:right="12"/>
              <w:jc w:val="left"/>
              <w:rPr>
                <w:rFonts w:asciiTheme="minorHAnsi" w:hAnsiTheme="minorHAnsi" w:cstheme="minorHAnsi"/>
                <w:sz w:val="28"/>
                <w:szCs w:val="28"/>
                <w:lang w:val="es-ES"/>
              </w:rPr>
            </w:pPr>
            <w:r w:rsidRPr="005E1103">
              <w:rPr>
                <w:rFonts w:asciiTheme="minorHAnsi" w:hAnsiTheme="minorHAnsi" w:cstheme="minorHAnsi"/>
                <w:sz w:val="28"/>
                <w:szCs w:val="28"/>
                <w:lang w:val="es-ES"/>
              </w:rPr>
              <w:t>Creencias del profesor sobre lo que piensan otros de su trabajo</w:t>
            </w:r>
          </w:p>
        </w:tc>
        <w:tc>
          <w:tcPr>
            <w:tcW w:w="1440" w:type="dxa"/>
            <w:tcBorders>
              <w:left w:val="single" w:sz="4" w:space="0" w:color="000000"/>
              <w:right w:val="single" w:sz="4" w:space="0" w:color="000000"/>
            </w:tcBorders>
          </w:tcPr>
          <w:p w:rsidR="009B60AB" w:rsidRPr="005E1103" w:rsidRDefault="009B60AB" w:rsidP="003904C9">
            <w:pPr>
              <w:pStyle w:val="TableParagraph"/>
              <w:spacing w:before="97"/>
              <w:ind w:left="470" w:right="470"/>
              <w:rPr>
                <w:rFonts w:asciiTheme="minorHAnsi" w:hAnsiTheme="minorHAnsi" w:cstheme="minorHAnsi"/>
                <w:sz w:val="28"/>
                <w:szCs w:val="28"/>
              </w:rPr>
            </w:pPr>
            <w:r w:rsidRPr="005E1103">
              <w:rPr>
                <w:rFonts w:asciiTheme="minorHAnsi" w:hAnsiTheme="minorHAnsi" w:cstheme="minorHAnsi"/>
                <w:sz w:val="28"/>
                <w:szCs w:val="28"/>
              </w:rPr>
              <w:t>.933</w:t>
            </w:r>
          </w:p>
        </w:tc>
        <w:tc>
          <w:tcPr>
            <w:tcW w:w="1536" w:type="dxa"/>
            <w:tcBorders>
              <w:left w:val="single" w:sz="4" w:space="0" w:color="000000"/>
            </w:tcBorders>
          </w:tcPr>
          <w:p w:rsidR="009B60AB" w:rsidRPr="005E1103" w:rsidRDefault="009B60AB" w:rsidP="003904C9">
            <w:pPr>
              <w:pStyle w:val="TableParagraph"/>
              <w:spacing w:before="97"/>
              <w:ind w:right="587"/>
              <w:jc w:val="right"/>
              <w:rPr>
                <w:rFonts w:asciiTheme="minorHAnsi" w:hAnsiTheme="minorHAnsi" w:cstheme="minorHAnsi"/>
                <w:sz w:val="28"/>
                <w:szCs w:val="28"/>
              </w:rPr>
            </w:pPr>
            <w:r w:rsidRPr="005E1103">
              <w:rPr>
                <w:rFonts w:asciiTheme="minorHAnsi" w:hAnsiTheme="minorHAnsi" w:cstheme="minorHAnsi"/>
                <w:sz w:val="28"/>
                <w:szCs w:val="28"/>
              </w:rPr>
              <w:t>.338</w:t>
            </w:r>
          </w:p>
        </w:tc>
      </w:tr>
      <w:tr w:rsidR="009B60AB" w:rsidRPr="005E1103" w:rsidTr="003904C9">
        <w:trPr>
          <w:trHeight w:hRule="exact" w:val="640"/>
        </w:trPr>
        <w:tc>
          <w:tcPr>
            <w:tcW w:w="3959" w:type="dxa"/>
            <w:tcBorders>
              <w:right w:val="single" w:sz="4" w:space="0" w:color="000000"/>
            </w:tcBorders>
          </w:tcPr>
          <w:p w:rsidR="009B60AB" w:rsidRPr="005E1103" w:rsidRDefault="009B60AB" w:rsidP="003904C9">
            <w:pPr>
              <w:pStyle w:val="TableParagraph"/>
              <w:spacing w:before="40" w:line="333" w:lineRule="auto"/>
              <w:ind w:left="74"/>
              <w:jc w:val="left"/>
              <w:rPr>
                <w:rFonts w:asciiTheme="minorHAnsi" w:hAnsiTheme="minorHAnsi" w:cstheme="minorHAnsi"/>
                <w:sz w:val="28"/>
                <w:szCs w:val="28"/>
                <w:lang w:val="es-ES"/>
              </w:rPr>
            </w:pPr>
            <w:r w:rsidRPr="005E1103">
              <w:rPr>
                <w:rFonts w:asciiTheme="minorHAnsi" w:hAnsiTheme="minorHAnsi" w:cstheme="minorHAnsi"/>
                <w:sz w:val="28"/>
                <w:szCs w:val="28"/>
                <w:lang w:val="es-ES"/>
              </w:rPr>
              <w:t>Creencias del profesor de lo que piensan sus jefes de su trabajo</w:t>
            </w:r>
          </w:p>
        </w:tc>
        <w:tc>
          <w:tcPr>
            <w:tcW w:w="1440" w:type="dxa"/>
            <w:tcBorders>
              <w:left w:val="single" w:sz="4" w:space="0" w:color="000000"/>
              <w:right w:val="single" w:sz="4" w:space="0" w:color="000000"/>
            </w:tcBorders>
          </w:tcPr>
          <w:p w:rsidR="009B60AB" w:rsidRPr="005E1103" w:rsidRDefault="009B60AB" w:rsidP="003904C9">
            <w:pPr>
              <w:pStyle w:val="TableParagraph"/>
              <w:spacing w:before="40"/>
              <w:ind w:left="470" w:right="470"/>
              <w:rPr>
                <w:rFonts w:asciiTheme="minorHAnsi" w:hAnsiTheme="minorHAnsi" w:cstheme="minorHAnsi"/>
                <w:sz w:val="28"/>
                <w:szCs w:val="28"/>
              </w:rPr>
            </w:pPr>
            <w:r w:rsidRPr="005E1103">
              <w:rPr>
                <w:rFonts w:asciiTheme="minorHAnsi" w:hAnsiTheme="minorHAnsi" w:cstheme="minorHAnsi"/>
                <w:sz w:val="28"/>
                <w:szCs w:val="28"/>
              </w:rPr>
              <w:t>.852</w:t>
            </w:r>
          </w:p>
        </w:tc>
        <w:tc>
          <w:tcPr>
            <w:tcW w:w="1536" w:type="dxa"/>
            <w:tcBorders>
              <w:left w:val="single" w:sz="4" w:space="0" w:color="000000"/>
            </w:tcBorders>
          </w:tcPr>
          <w:p w:rsidR="009B60AB" w:rsidRPr="005E1103" w:rsidRDefault="009B60AB" w:rsidP="003904C9">
            <w:pPr>
              <w:pStyle w:val="TableParagraph"/>
              <w:spacing w:before="40"/>
              <w:ind w:right="587"/>
              <w:jc w:val="right"/>
              <w:rPr>
                <w:rFonts w:asciiTheme="minorHAnsi" w:hAnsiTheme="minorHAnsi" w:cstheme="minorHAnsi"/>
                <w:sz w:val="28"/>
                <w:szCs w:val="28"/>
              </w:rPr>
            </w:pPr>
            <w:r w:rsidRPr="005E1103">
              <w:rPr>
                <w:rFonts w:asciiTheme="minorHAnsi" w:hAnsiTheme="minorHAnsi" w:cstheme="minorHAnsi"/>
                <w:sz w:val="28"/>
                <w:szCs w:val="28"/>
              </w:rPr>
              <w:t>.360</w:t>
            </w:r>
          </w:p>
        </w:tc>
      </w:tr>
      <w:tr w:rsidR="009B60AB" w:rsidRPr="005E1103" w:rsidTr="003904C9">
        <w:trPr>
          <w:trHeight w:hRule="exact" w:val="493"/>
        </w:trPr>
        <w:tc>
          <w:tcPr>
            <w:tcW w:w="3959" w:type="dxa"/>
            <w:tcBorders>
              <w:right w:val="single" w:sz="4" w:space="0" w:color="000000"/>
            </w:tcBorders>
          </w:tcPr>
          <w:p w:rsidR="009B60AB" w:rsidRPr="005E1103" w:rsidRDefault="009B60AB" w:rsidP="003904C9">
            <w:pPr>
              <w:pStyle w:val="TableParagraph"/>
              <w:spacing w:before="156"/>
              <w:ind w:left="74"/>
              <w:jc w:val="left"/>
              <w:rPr>
                <w:rFonts w:asciiTheme="minorHAnsi" w:hAnsiTheme="minorHAnsi" w:cstheme="minorHAnsi"/>
                <w:sz w:val="28"/>
                <w:szCs w:val="28"/>
                <w:lang w:val="es-ES"/>
              </w:rPr>
            </w:pPr>
            <w:r w:rsidRPr="005E1103">
              <w:rPr>
                <w:rFonts w:asciiTheme="minorHAnsi" w:hAnsiTheme="minorHAnsi" w:cstheme="minorHAnsi"/>
                <w:sz w:val="28"/>
                <w:szCs w:val="28"/>
                <w:lang w:val="es-ES"/>
              </w:rPr>
              <w:t>Creencias de sus habilidades para la enseñanza</w:t>
            </w:r>
          </w:p>
        </w:tc>
        <w:tc>
          <w:tcPr>
            <w:tcW w:w="1440" w:type="dxa"/>
            <w:tcBorders>
              <w:left w:val="single" w:sz="4" w:space="0" w:color="000000"/>
              <w:right w:val="single" w:sz="4" w:space="0" w:color="000000"/>
            </w:tcBorders>
          </w:tcPr>
          <w:p w:rsidR="009B60AB" w:rsidRPr="005E1103" w:rsidRDefault="009B60AB" w:rsidP="003904C9">
            <w:pPr>
              <w:pStyle w:val="TableParagraph"/>
              <w:spacing w:before="41"/>
              <w:ind w:left="470" w:right="470"/>
              <w:rPr>
                <w:rFonts w:asciiTheme="minorHAnsi" w:hAnsiTheme="minorHAnsi" w:cstheme="minorHAnsi"/>
                <w:sz w:val="28"/>
                <w:szCs w:val="28"/>
              </w:rPr>
            </w:pPr>
            <w:r w:rsidRPr="005E1103">
              <w:rPr>
                <w:rFonts w:asciiTheme="minorHAnsi" w:hAnsiTheme="minorHAnsi" w:cstheme="minorHAnsi"/>
                <w:sz w:val="28"/>
                <w:szCs w:val="28"/>
              </w:rPr>
              <w:t>.224</w:t>
            </w:r>
          </w:p>
        </w:tc>
        <w:tc>
          <w:tcPr>
            <w:tcW w:w="1536" w:type="dxa"/>
            <w:tcBorders>
              <w:left w:val="single" w:sz="4" w:space="0" w:color="000000"/>
            </w:tcBorders>
          </w:tcPr>
          <w:p w:rsidR="009B60AB" w:rsidRPr="005E1103" w:rsidRDefault="009B60AB" w:rsidP="003904C9">
            <w:pPr>
              <w:pStyle w:val="TableParagraph"/>
              <w:spacing w:before="41"/>
              <w:ind w:right="587"/>
              <w:jc w:val="right"/>
              <w:rPr>
                <w:rFonts w:asciiTheme="minorHAnsi" w:hAnsiTheme="minorHAnsi" w:cstheme="minorHAnsi"/>
                <w:sz w:val="28"/>
                <w:szCs w:val="28"/>
              </w:rPr>
            </w:pPr>
            <w:r w:rsidRPr="005E1103">
              <w:rPr>
                <w:rFonts w:asciiTheme="minorHAnsi" w:hAnsiTheme="minorHAnsi" w:cstheme="minorHAnsi"/>
                <w:sz w:val="28"/>
                <w:szCs w:val="28"/>
              </w:rPr>
              <w:t>.638</w:t>
            </w:r>
          </w:p>
        </w:tc>
      </w:tr>
      <w:tr w:rsidR="009B60AB" w:rsidRPr="005E1103" w:rsidTr="003904C9">
        <w:trPr>
          <w:trHeight w:hRule="exact" w:val="697"/>
        </w:trPr>
        <w:tc>
          <w:tcPr>
            <w:tcW w:w="3959" w:type="dxa"/>
            <w:tcBorders>
              <w:right w:val="single" w:sz="4" w:space="0" w:color="000000"/>
            </w:tcBorders>
          </w:tcPr>
          <w:p w:rsidR="009B60AB" w:rsidRPr="005E1103" w:rsidRDefault="009B60AB" w:rsidP="003904C9">
            <w:pPr>
              <w:pStyle w:val="TableParagraph"/>
              <w:spacing w:before="97" w:line="333" w:lineRule="auto"/>
              <w:ind w:left="74" w:right="544"/>
              <w:jc w:val="left"/>
              <w:rPr>
                <w:rFonts w:asciiTheme="minorHAnsi" w:hAnsiTheme="minorHAnsi" w:cstheme="minorHAnsi"/>
                <w:sz w:val="28"/>
                <w:szCs w:val="28"/>
                <w:lang w:val="es-ES"/>
              </w:rPr>
            </w:pPr>
            <w:r w:rsidRPr="005E1103">
              <w:rPr>
                <w:rFonts w:asciiTheme="minorHAnsi" w:hAnsiTheme="minorHAnsi" w:cstheme="minorHAnsi"/>
                <w:sz w:val="28"/>
                <w:szCs w:val="28"/>
                <w:lang w:val="es-ES"/>
              </w:rPr>
              <w:t>“Percepción sobre sus habilidades para la enseñanza”</w:t>
            </w:r>
          </w:p>
        </w:tc>
        <w:tc>
          <w:tcPr>
            <w:tcW w:w="1440" w:type="dxa"/>
            <w:tcBorders>
              <w:left w:val="single" w:sz="4" w:space="0" w:color="000000"/>
              <w:right w:val="single" w:sz="4" w:space="0" w:color="000000"/>
            </w:tcBorders>
          </w:tcPr>
          <w:p w:rsidR="009B60AB" w:rsidRPr="005E1103" w:rsidRDefault="009B60AB" w:rsidP="003904C9">
            <w:pPr>
              <w:pStyle w:val="TableParagraph"/>
              <w:spacing w:before="97"/>
              <w:ind w:left="470" w:right="469"/>
              <w:rPr>
                <w:rFonts w:asciiTheme="minorHAnsi" w:hAnsiTheme="minorHAnsi" w:cstheme="minorHAnsi"/>
                <w:sz w:val="28"/>
                <w:szCs w:val="28"/>
              </w:rPr>
            </w:pPr>
            <w:r w:rsidRPr="005E1103">
              <w:rPr>
                <w:rFonts w:asciiTheme="minorHAnsi" w:hAnsiTheme="minorHAnsi" w:cstheme="minorHAnsi"/>
                <w:sz w:val="28"/>
                <w:szCs w:val="28"/>
              </w:rPr>
              <w:t>.283</w:t>
            </w:r>
          </w:p>
        </w:tc>
        <w:tc>
          <w:tcPr>
            <w:tcW w:w="1536" w:type="dxa"/>
            <w:tcBorders>
              <w:left w:val="single" w:sz="4" w:space="0" w:color="000000"/>
            </w:tcBorders>
          </w:tcPr>
          <w:p w:rsidR="009B60AB" w:rsidRPr="005E1103" w:rsidRDefault="009B60AB" w:rsidP="003904C9">
            <w:pPr>
              <w:pStyle w:val="TableParagraph"/>
              <w:spacing w:before="97"/>
              <w:ind w:right="587"/>
              <w:jc w:val="right"/>
              <w:rPr>
                <w:rFonts w:asciiTheme="minorHAnsi" w:hAnsiTheme="minorHAnsi" w:cstheme="minorHAnsi"/>
                <w:sz w:val="28"/>
                <w:szCs w:val="28"/>
              </w:rPr>
            </w:pPr>
            <w:r w:rsidRPr="005E1103">
              <w:rPr>
                <w:rFonts w:asciiTheme="minorHAnsi" w:hAnsiTheme="minorHAnsi" w:cstheme="minorHAnsi"/>
                <w:sz w:val="28"/>
                <w:szCs w:val="28"/>
              </w:rPr>
              <w:t>.597</w:t>
            </w:r>
          </w:p>
        </w:tc>
      </w:tr>
      <w:tr w:rsidR="009B60AB" w:rsidRPr="005E1103" w:rsidTr="003904C9">
        <w:trPr>
          <w:trHeight w:hRule="exact" w:val="511"/>
        </w:trPr>
        <w:tc>
          <w:tcPr>
            <w:tcW w:w="3959" w:type="dxa"/>
            <w:tcBorders>
              <w:bottom w:val="single" w:sz="4" w:space="0" w:color="000000"/>
              <w:right w:val="single" w:sz="4" w:space="0" w:color="000000"/>
            </w:tcBorders>
          </w:tcPr>
          <w:p w:rsidR="009B60AB" w:rsidRPr="005E1103" w:rsidRDefault="009B60AB" w:rsidP="003904C9">
            <w:pPr>
              <w:pStyle w:val="TableParagraph"/>
              <w:spacing w:before="156"/>
              <w:ind w:left="74"/>
              <w:jc w:val="left"/>
              <w:rPr>
                <w:rFonts w:asciiTheme="minorHAnsi" w:hAnsiTheme="minorHAnsi" w:cstheme="minorHAnsi"/>
                <w:sz w:val="28"/>
                <w:szCs w:val="28"/>
                <w:lang w:val="es-ES"/>
              </w:rPr>
            </w:pPr>
            <w:r w:rsidRPr="005E1103">
              <w:rPr>
                <w:rFonts w:asciiTheme="minorHAnsi" w:hAnsiTheme="minorHAnsi" w:cstheme="minorHAnsi"/>
                <w:sz w:val="28"/>
                <w:szCs w:val="28"/>
                <w:lang w:val="es-ES"/>
              </w:rPr>
              <w:t>“Propósitos relacionados con la enseñanza”</w:t>
            </w:r>
          </w:p>
        </w:tc>
        <w:tc>
          <w:tcPr>
            <w:tcW w:w="1440" w:type="dxa"/>
            <w:tcBorders>
              <w:left w:val="single" w:sz="4" w:space="0" w:color="000000"/>
              <w:bottom w:val="single" w:sz="4" w:space="0" w:color="000000"/>
              <w:right w:val="single" w:sz="4" w:space="0" w:color="000000"/>
            </w:tcBorders>
          </w:tcPr>
          <w:p w:rsidR="009B60AB" w:rsidRPr="005E1103" w:rsidRDefault="009B60AB" w:rsidP="003904C9">
            <w:pPr>
              <w:pStyle w:val="TableParagraph"/>
              <w:spacing w:before="41"/>
              <w:ind w:left="470" w:right="470"/>
              <w:rPr>
                <w:rFonts w:asciiTheme="minorHAnsi" w:hAnsiTheme="minorHAnsi" w:cstheme="minorHAnsi"/>
                <w:sz w:val="28"/>
                <w:szCs w:val="28"/>
              </w:rPr>
            </w:pPr>
            <w:r w:rsidRPr="005E1103">
              <w:rPr>
                <w:rFonts w:asciiTheme="minorHAnsi" w:hAnsiTheme="minorHAnsi" w:cstheme="minorHAnsi"/>
                <w:sz w:val="28"/>
                <w:szCs w:val="28"/>
              </w:rPr>
              <w:t>9.344</w:t>
            </w:r>
          </w:p>
        </w:tc>
        <w:tc>
          <w:tcPr>
            <w:tcW w:w="1536" w:type="dxa"/>
            <w:tcBorders>
              <w:left w:val="single" w:sz="4" w:space="0" w:color="000000"/>
              <w:bottom w:val="single" w:sz="4" w:space="0" w:color="000000"/>
            </w:tcBorders>
          </w:tcPr>
          <w:p w:rsidR="009B60AB" w:rsidRPr="005E1103" w:rsidRDefault="009B60AB" w:rsidP="003904C9">
            <w:pPr>
              <w:pStyle w:val="TableParagraph"/>
              <w:spacing w:before="41"/>
              <w:ind w:right="537"/>
              <w:jc w:val="right"/>
              <w:rPr>
                <w:rFonts w:asciiTheme="minorHAnsi" w:hAnsiTheme="minorHAnsi" w:cstheme="minorHAnsi"/>
                <w:sz w:val="28"/>
                <w:szCs w:val="28"/>
              </w:rPr>
            </w:pPr>
            <w:r w:rsidRPr="005E1103">
              <w:rPr>
                <w:rFonts w:asciiTheme="minorHAnsi" w:hAnsiTheme="minorHAnsi" w:cstheme="minorHAnsi"/>
                <w:sz w:val="28"/>
                <w:szCs w:val="28"/>
              </w:rPr>
              <w:t>.004*</w:t>
            </w:r>
          </w:p>
        </w:tc>
      </w:tr>
    </w:tbl>
    <w:p w:rsidR="009B60AB" w:rsidRPr="005E1103" w:rsidRDefault="009B60AB" w:rsidP="009B60AB">
      <w:pPr>
        <w:pStyle w:val="Textoindependiente"/>
        <w:spacing w:before="2"/>
        <w:rPr>
          <w:rFonts w:asciiTheme="minorHAnsi" w:hAnsiTheme="minorHAnsi" w:cstheme="minorHAnsi"/>
          <w:sz w:val="28"/>
          <w:szCs w:val="28"/>
        </w:rPr>
      </w:pPr>
    </w:p>
    <w:p w:rsidR="009B60AB" w:rsidRPr="005E1103" w:rsidRDefault="009B60AB" w:rsidP="009B60AB">
      <w:pPr>
        <w:spacing w:before="93"/>
        <w:ind w:left="2175"/>
        <w:rPr>
          <w:rFonts w:cstheme="minorHAnsi"/>
          <w:sz w:val="28"/>
          <w:szCs w:val="28"/>
        </w:rPr>
      </w:pPr>
      <w:r w:rsidRPr="005E1103">
        <w:rPr>
          <w:rFonts w:cstheme="minorHAnsi"/>
          <w:sz w:val="28"/>
          <w:szCs w:val="28"/>
        </w:rPr>
        <w:t>* (p ≤ .05)</w:t>
      </w:r>
    </w:p>
    <w:p w:rsidR="009B60AB" w:rsidRPr="005E1103" w:rsidRDefault="009B60AB" w:rsidP="009B60AB">
      <w:pPr>
        <w:rPr>
          <w:rFonts w:cstheme="minorHAnsi"/>
          <w:sz w:val="28"/>
          <w:szCs w:val="28"/>
        </w:rPr>
        <w:sectPr w:rsidR="009B60AB" w:rsidRPr="005E1103">
          <w:pgSz w:w="12240" w:h="15840"/>
          <w:pgMar w:top="1340" w:right="1180" w:bottom="280" w:left="1000" w:header="720" w:footer="720" w:gutter="0"/>
          <w:cols w:space="720"/>
        </w:sectPr>
      </w:pPr>
    </w:p>
    <w:p w:rsidR="009B60AB" w:rsidRPr="005E1103" w:rsidRDefault="009B60AB" w:rsidP="009B60AB">
      <w:pPr>
        <w:pStyle w:val="Textoindependiente"/>
        <w:spacing w:before="69" w:line="348" w:lineRule="auto"/>
        <w:ind w:left="112" w:right="114" w:firstLine="708"/>
        <w:jc w:val="both"/>
        <w:rPr>
          <w:rFonts w:asciiTheme="minorHAnsi" w:hAnsiTheme="minorHAnsi" w:cstheme="minorHAnsi"/>
          <w:sz w:val="28"/>
          <w:szCs w:val="28"/>
        </w:rPr>
      </w:pPr>
      <w:r w:rsidRPr="005E1103">
        <w:rPr>
          <w:rFonts w:asciiTheme="minorHAnsi" w:hAnsiTheme="minorHAnsi" w:cstheme="minorHAnsi"/>
          <w:sz w:val="28"/>
          <w:szCs w:val="28"/>
        </w:rPr>
        <w:lastRenderedPageBreak/>
        <w:t>Como se observa en la tabla 1, existen diferencias significativas entre el factor “Creencias del profesor de lo que piensan sus jefes de su trabajo”, y si el profesorado ha recibido o no capacitación sobre Educación Física Adaptada, por lo que menor “Creencias del profesor de lo que piensan sus jefes de su trabajo”, mayor la cantidad de docentes sin capacitación en Educación Física Adaptada.</w:t>
      </w:r>
    </w:p>
    <w:p w:rsidR="009B60AB" w:rsidRPr="005E1103" w:rsidRDefault="009B60AB" w:rsidP="009B60AB">
      <w:pPr>
        <w:pStyle w:val="Textoindependiente"/>
        <w:spacing w:before="3"/>
        <w:rPr>
          <w:rFonts w:asciiTheme="minorHAnsi" w:hAnsiTheme="minorHAnsi" w:cstheme="minorHAnsi"/>
          <w:sz w:val="28"/>
          <w:szCs w:val="28"/>
        </w:rPr>
      </w:pPr>
    </w:p>
    <w:p w:rsidR="009B60AB" w:rsidRPr="005E1103" w:rsidRDefault="009B60AB" w:rsidP="009B60AB">
      <w:pPr>
        <w:pStyle w:val="Textoindependiente"/>
        <w:spacing w:line="348" w:lineRule="auto"/>
        <w:ind w:left="112" w:right="108" w:firstLine="708"/>
        <w:jc w:val="both"/>
        <w:rPr>
          <w:rFonts w:asciiTheme="minorHAnsi" w:hAnsiTheme="minorHAnsi" w:cstheme="minorHAnsi"/>
          <w:sz w:val="28"/>
          <w:szCs w:val="28"/>
        </w:rPr>
      </w:pPr>
      <w:r w:rsidRPr="005E1103">
        <w:rPr>
          <w:rFonts w:asciiTheme="minorHAnsi" w:hAnsiTheme="minorHAnsi" w:cstheme="minorHAnsi"/>
          <w:sz w:val="28"/>
          <w:szCs w:val="28"/>
        </w:rPr>
        <w:t>Asimismo, existen diferencias significativas entre la percepción de los profesores de Educación Física de los “Propósitos sobre sus habilidades para la enseñanza” y si ha recibido o no capacitación sobre Educación Especial, por lo que a menor “Propósitos sobre sus habilidades para la enseñanza”, mayor la cantidad de docentes sin capacitación en Educación Especial.</w:t>
      </w:r>
    </w:p>
    <w:p w:rsidR="009B60AB" w:rsidRPr="005E1103" w:rsidRDefault="009B60AB" w:rsidP="009B60AB">
      <w:pPr>
        <w:pStyle w:val="Textoindependiente"/>
        <w:spacing w:before="1"/>
        <w:rPr>
          <w:rFonts w:asciiTheme="minorHAnsi" w:hAnsiTheme="minorHAnsi" w:cstheme="minorHAnsi"/>
          <w:sz w:val="28"/>
          <w:szCs w:val="28"/>
        </w:rPr>
      </w:pPr>
    </w:p>
    <w:p w:rsidR="009B60AB" w:rsidRPr="005E1103" w:rsidRDefault="009B60AB" w:rsidP="009B60AB">
      <w:pPr>
        <w:pStyle w:val="Textoindependiente"/>
        <w:spacing w:line="348" w:lineRule="auto"/>
        <w:ind w:left="112" w:right="115" w:firstLine="708"/>
        <w:jc w:val="both"/>
        <w:rPr>
          <w:rFonts w:asciiTheme="minorHAnsi" w:hAnsiTheme="minorHAnsi" w:cstheme="minorHAnsi"/>
          <w:sz w:val="28"/>
          <w:szCs w:val="28"/>
        </w:rPr>
      </w:pPr>
      <w:r w:rsidRPr="005E1103">
        <w:rPr>
          <w:rFonts w:asciiTheme="minorHAnsi" w:hAnsiTheme="minorHAnsi" w:cstheme="minorHAnsi"/>
          <w:sz w:val="28"/>
          <w:szCs w:val="28"/>
        </w:rPr>
        <w:t>Debe indicarse que no se presentaron diferencias significativas entre el género y edad de los encuestados y los factores del cuestionario PIETID-III (Physical Educators Intention toward teaching individuals with disabilities), para determinar las actitudes de los profesores de educación física ante la inclusión del estudiantado con discapacidad en el aula.</w:t>
      </w:r>
    </w:p>
    <w:p w:rsidR="009B60AB" w:rsidRPr="005E1103" w:rsidRDefault="009B60AB" w:rsidP="009B60AB">
      <w:pPr>
        <w:pStyle w:val="Textoindependiente"/>
        <w:spacing w:before="9"/>
        <w:rPr>
          <w:rFonts w:asciiTheme="minorHAnsi" w:hAnsiTheme="minorHAnsi" w:cstheme="minorHAnsi"/>
          <w:sz w:val="28"/>
          <w:szCs w:val="28"/>
        </w:rPr>
      </w:pPr>
    </w:p>
    <w:p w:rsidR="009B60AB" w:rsidRPr="005E1103" w:rsidRDefault="009B60AB" w:rsidP="009B60AB">
      <w:pPr>
        <w:pStyle w:val="Ttulo1"/>
        <w:ind w:left="254"/>
        <w:rPr>
          <w:rFonts w:asciiTheme="minorHAnsi" w:hAnsiTheme="minorHAnsi" w:cstheme="minorHAnsi"/>
        </w:rPr>
      </w:pPr>
      <w:r w:rsidRPr="005E1103">
        <w:rPr>
          <w:rFonts w:asciiTheme="minorHAnsi" w:hAnsiTheme="minorHAnsi" w:cstheme="minorHAnsi"/>
          <w:color w:val="auto"/>
        </w:rPr>
        <w:t>DISCUSIÓN:</w:t>
      </w:r>
    </w:p>
    <w:p w:rsidR="009B60AB" w:rsidRPr="005E1103" w:rsidRDefault="009B60AB" w:rsidP="009B60AB">
      <w:pPr>
        <w:pStyle w:val="Textoindependiente"/>
        <w:rPr>
          <w:rFonts w:asciiTheme="minorHAnsi" w:hAnsiTheme="minorHAnsi" w:cstheme="minorHAnsi"/>
          <w:b/>
          <w:sz w:val="28"/>
          <w:szCs w:val="28"/>
        </w:rPr>
      </w:pPr>
    </w:p>
    <w:p w:rsidR="009B60AB" w:rsidRPr="005E1103" w:rsidRDefault="009B60AB" w:rsidP="009B60AB">
      <w:pPr>
        <w:pStyle w:val="Textoindependiente"/>
        <w:spacing w:before="6"/>
        <w:rPr>
          <w:rFonts w:asciiTheme="minorHAnsi" w:hAnsiTheme="minorHAnsi" w:cstheme="minorHAnsi"/>
          <w:b/>
          <w:sz w:val="28"/>
          <w:szCs w:val="28"/>
        </w:rPr>
      </w:pPr>
    </w:p>
    <w:p w:rsidR="009B60AB" w:rsidRPr="005E1103" w:rsidRDefault="009B60AB" w:rsidP="009B60AB">
      <w:pPr>
        <w:pStyle w:val="Textoindependiente"/>
        <w:spacing w:line="360" w:lineRule="auto"/>
        <w:ind w:left="112" w:right="112" w:firstLine="708"/>
        <w:jc w:val="both"/>
        <w:rPr>
          <w:rFonts w:asciiTheme="minorHAnsi" w:hAnsiTheme="minorHAnsi" w:cstheme="minorHAnsi"/>
          <w:sz w:val="28"/>
          <w:szCs w:val="28"/>
        </w:rPr>
      </w:pPr>
      <w:r w:rsidRPr="005E1103">
        <w:rPr>
          <w:rFonts w:asciiTheme="minorHAnsi" w:hAnsiTheme="minorHAnsi" w:cstheme="minorHAnsi"/>
          <w:sz w:val="28"/>
          <w:szCs w:val="28"/>
        </w:rPr>
        <w:t xml:space="preserve">Los resultados expuestos evidencian la carencia de capacitación del profesorado de educación física de la región de San Carlos de Alajuela- Costa Rica, en el tema de educación Física Adaptada y </w:t>
      </w:r>
      <w:r w:rsidRPr="005E1103">
        <w:rPr>
          <w:rFonts w:asciiTheme="minorHAnsi" w:hAnsiTheme="minorHAnsi" w:cstheme="minorHAnsi"/>
          <w:sz w:val="28"/>
          <w:szCs w:val="28"/>
        </w:rPr>
        <w:lastRenderedPageBreak/>
        <w:t>Educación Especial para poder atender con conocimiento la población con discapacidad y contribuir a la inclusión dentro de sus aulas. Esta situación se agrava sí se considera que en Costa Rica “en los cantones rurales las personas con discapacidad equivalen a un 6% del total de la población (1 560 883 habitantes), porcentaje ligeramente superior al promedio” (Organización Panamericana de la Salud, 2004) y que San Carlos es uno de los cantones de la provincia de Alajuela donde se ubica población con</w:t>
      </w:r>
      <w:r w:rsidRPr="005E1103">
        <w:rPr>
          <w:rFonts w:asciiTheme="minorHAnsi" w:hAnsiTheme="minorHAnsi" w:cstheme="minorHAnsi"/>
          <w:spacing w:val="-4"/>
          <w:sz w:val="28"/>
          <w:szCs w:val="28"/>
        </w:rPr>
        <w:t xml:space="preserve"> </w:t>
      </w:r>
      <w:r w:rsidRPr="005E1103">
        <w:rPr>
          <w:rFonts w:asciiTheme="minorHAnsi" w:hAnsiTheme="minorHAnsi" w:cstheme="minorHAnsi"/>
          <w:sz w:val="28"/>
          <w:szCs w:val="28"/>
        </w:rPr>
        <w:t>discapacidad.</w:t>
      </w:r>
    </w:p>
    <w:p w:rsidR="009B60AB" w:rsidRPr="005E1103" w:rsidRDefault="009B60AB" w:rsidP="009B60AB">
      <w:pPr>
        <w:pStyle w:val="Textoindependiente"/>
        <w:spacing w:before="4"/>
        <w:rPr>
          <w:rFonts w:asciiTheme="minorHAnsi" w:hAnsiTheme="minorHAnsi" w:cstheme="minorHAnsi"/>
          <w:sz w:val="28"/>
          <w:szCs w:val="28"/>
        </w:rPr>
      </w:pPr>
    </w:p>
    <w:p w:rsidR="009B60AB" w:rsidRPr="005E1103" w:rsidRDefault="009B60AB" w:rsidP="009B60AB">
      <w:pPr>
        <w:pStyle w:val="Textoindependiente"/>
        <w:spacing w:line="360" w:lineRule="auto"/>
        <w:ind w:left="112" w:right="112" w:firstLine="708"/>
        <w:jc w:val="both"/>
        <w:rPr>
          <w:rFonts w:asciiTheme="minorHAnsi" w:hAnsiTheme="minorHAnsi" w:cstheme="minorHAnsi"/>
          <w:sz w:val="28"/>
          <w:szCs w:val="28"/>
        </w:rPr>
      </w:pPr>
      <w:r w:rsidRPr="005E1103">
        <w:rPr>
          <w:rFonts w:asciiTheme="minorHAnsi" w:hAnsiTheme="minorHAnsi" w:cstheme="minorHAnsi"/>
          <w:sz w:val="28"/>
          <w:szCs w:val="28"/>
        </w:rPr>
        <w:t>Las universidades costarricenses tienen un reto importante que asumir, la formación y capacitación de los educadores físicos en el tema de discapacidad, incorporando en el currículo de sus carreras de Educación Física, la educación física adaptada. Tal como lo expresa Damm (2009, pág. 26), “Las representaciones y creencias con respecto a las necesidades educativas especiales y la posibilidad real que tienen niños y niñas de integrarse al sistema educativo se han puesto en evidencia en las actuaciones pedagógicas del profesorado”.</w:t>
      </w:r>
    </w:p>
    <w:p w:rsidR="009B60AB" w:rsidRPr="005E1103" w:rsidRDefault="009B60AB" w:rsidP="009B60AB">
      <w:pPr>
        <w:pStyle w:val="Textoindependiente"/>
        <w:spacing w:before="67" w:line="360" w:lineRule="auto"/>
        <w:ind w:left="112" w:right="116" w:firstLine="708"/>
        <w:jc w:val="both"/>
        <w:rPr>
          <w:rFonts w:asciiTheme="minorHAnsi" w:hAnsiTheme="minorHAnsi" w:cstheme="minorHAnsi"/>
          <w:sz w:val="28"/>
          <w:szCs w:val="28"/>
        </w:rPr>
      </w:pPr>
      <w:r w:rsidRPr="005E1103">
        <w:rPr>
          <w:rFonts w:asciiTheme="minorHAnsi" w:hAnsiTheme="minorHAnsi" w:cstheme="minorHAnsi"/>
          <w:sz w:val="28"/>
          <w:szCs w:val="28"/>
        </w:rPr>
        <w:t>La medición pedagógica es uno de los aspectos fundamental para desarrollar la inclusión en el aula, de aquí la importancia de la capacitación del docente; además, esto está vinculada con las  actitudes del profesor ante los estudiantes con discapacidad. Otros aspectos asociados, como se indicó anteriormente, que favorecen la inclusión y le corresponde a las instituciones educativas en conjunto con el docente son las adaptaciones del currículo escolar, del espacio físico, el planeamiento de las lecciones, la conformación de los grupos de estudiantes, entre</w:t>
      </w:r>
      <w:r w:rsidRPr="005E1103">
        <w:rPr>
          <w:rFonts w:asciiTheme="minorHAnsi" w:hAnsiTheme="minorHAnsi" w:cstheme="minorHAnsi"/>
          <w:spacing w:val="-12"/>
          <w:sz w:val="28"/>
          <w:szCs w:val="28"/>
        </w:rPr>
        <w:t xml:space="preserve"> </w:t>
      </w:r>
      <w:r w:rsidRPr="005E1103">
        <w:rPr>
          <w:rFonts w:asciiTheme="minorHAnsi" w:hAnsiTheme="minorHAnsi" w:cstheme="minorHAnsi"/>
          <w:sz w:val="28"/>
          <w:szCs w:val="28"/>
        </w:rPr>
        <w:t>otras.</w:t>
      </w:r>
    </w:p>
    <w:p w:rsidR="009B60AB" w:rsidRPr="005E1103" w:rsidRDefault="009B60AB" w:rsidP="009B60AB">
      <w:pPr>
        <w:pStyle w:val="Textoindependiente"/>
        <w:spacing w:before="5"/>
        <w:rPr>
          <w:rFonts w:asciiTheme="minorHAnsi" w:hAnsiTheme="minorHAnsi" w:cstheme="minorHAnsi"/>
          <w:sz w:val="28"/>
          <w:szCs w:val="28"/>
        </w:rPr>
      </w:pPr>
    </w:p>
    <w:p w:rsidR="009B60AB" w:rsidRPr="005E1103" w:rsidRDefault="009B60AB" w:rsidP="009B60AB">
      <w:pPr>
        <w:pStyle w:val="Textoindependiente"/>
        <w:spacing w:line="360" w:lineRule="auto"/>
        <w:ind w:left="112" w:right="113" w:firstLine="708"/>
        <w:jc w:val="both"/>
        <w:rPr>
          <w:rFonts w:asciiTheme="minorHAnsi" w:hAnsiTheme="minorHAnsi" w:cstheme="minorHAnsi"/>
          <w:sz w:val="28"/>
          <w:szCs w:val="28"/>
        </w:rPr>
      </w:pPr>
      <w:r w:rsidRPr="005E1103">
        <w:rPr>
          <w:rFonts w:asciiTheme="minorHAnsi" w:hAnsiTheme="minorHAnsi" w:cstheme="minorHAnsi"/>
          <w:sz w:val="28"/>
          <w:szCs w:val="28"/>
        </w:rPr>
        <w:lastRenderedPageBreak/>
        <w:t>El Ministerio de educación Pública de Costa Rica ha asumido dentro de sus políticas la inclusión de estudiantes con discapacidad en de las clases regulares de primaria y secundaria. Lamentablemente, el profesorado en general, y el de educación Física en particular, y las instituciones educativa no cuenta con los recursos para atender apropiadamente a esta población. Esto se suma a lo heterogéneo de los grupos, y la diversidad de destrezas motrices, entre el desarrollo motriz potenciado hasta las dificultades motoras, las actitudes de los estudiantes que no presentan discapacidad hacia los estudiantes y que si las</w:t>
      </w:r>
      <w:r w:rsidRPr="005E1103">
        <w:rPr>
          <w:rFonts w:asciiTheme="minorHAnsi" w:hAnsiTheme="minorHAnsi" w:cstheme="minorHAnsi"/>
          <w:spacing w:val="-5"/>
          <w:sz w:val="28"/>
          <w:szCs w:val="28"/>
        </w:rPr>
        <w:t xml:space="preserve"> </w:t>
      </w:r>
      <w:r w:rsidRPr="005E1103">
        <w:rPr>
          <w:rFonts w:asciiTheme="minorHAnsi" w:hAnsiTheme="minorHAnsi" w:cstheme="minorHAnsi"/>
          <w:sz w:val="28"/>
          <w:szCs w:val="28"/>
        </w:rPr>
        <w:t>presentan.</w:t>
      </w:r>
    </w:p>
    <w:p w:rsidR="009B60AB" w:rsidRPr="005E1103" w:rsidRDefault="009B60AB" w:rsidP="009B60AB">
      <w:pPr>
        <w:pStyle w:val="Textoindependiente"/>
        <w:spacing w:before="5"/>
        <w:rPr>
          <w:rFonts w:asciiTheme="minorHAnsi" w:hAnsiTheme="minorHAnsi" w:cstheme="minorHAnsi"/>
          <w:sz w:val="28"/>
          <w:szCs w:val="28"/>
        </w:rPr>
      </w:pPr>
    </w:p>
    <w:p w:rsidR="009B60AB" w:rsidRPr="005E1103" w:rsidRDefault="009B60AB" w:rsidP="009B60AB">
      <w:pPr>
        <w:pStyle w:val="Textoindependiente"/>
        <w:spacing w:line="360" w:lineRule="auto"/>
        <w:ind w:left="112" w:right="108" w:firstLine="708"/>
        <w:jc w:val="both"/>
        <w:rPr>
          <w:rFonts w:asciiTheme="minorHAnsi" w:hAnsiTheme="minorHAnsi" w:cstheme="minorHAnsi"/>
          <w:sz w:val="28"/>
          <w:szCs w:val="28"/>
        </w:rPr>
      </w:pPr>
      <w:r w:rsidRPr="005E1103">
        <w:rPr>
          <w:rFonts w:asciiTheme="minorHAnsi" w:hAnsiTheme="minorHAnsi" w:cstheme="minorHAnsi"/>
          <w:sz w:val="28"/>
          <w:szCs w:val="28"/>
        </w:rPr>
        <w:t>Díaz del Cueto (2009), confirma lo expuesto, apoyándose en una variedad de autores, con respecto a la importancia de la actitud de los compañeros del estudiante con discapacidad, pero es fundamental la actitud del profesor a cargo del grupo en la clase. Por lo que, en los centros educativos con población con necesidades especiales incorporada al aula, las actitudes de los profesores hacia la enseñanza de alumnos con diversidad de habilidades y discapacidad es clave para  una  inclusión exitosa.</w:t>
      </w:r>
    </w:p>
    <w:p w:rsidR="009B60AB" w:rsidRPr="005E1103" w:rsidRDefault="009B60AB" w:rsidP="009B60AB">
      <w:pPr>
        <w:pStyle w:val="Textoindependiente"/>
        <w:spacing w:before="5"/>
        <w:rPr>
          <w:rFonts w:asciiTheme="minorHAnsi" w:hAnsiTheme="minorHAnsi" w:cstheme="minorHAnsi"/>
          <w:sz w:val="28"/>
          <w:szCs w:val="28"/>
        </w:rPr>
      </w:pPr>
    </w:p>
    <w:p w:rsidR="009B60AB" w:rsidRPr="005E1103" w:rsidRDefault="009B60AB" w:rsidP="009B60AB">
      <w:pPr>
        <w:pStyle w:val="Textoindependiente"/>
        <w:spacing w:line="360" w:lineRule="auto"/>
        <w:ind w:left="112" w:right="116" w:firstLine="708"/>
        <w:jc w:val="both"/>
        <w:rPr>
          <w:rFonts w:asciiTheme="minorHAnsi" w:hAnsiTheme="minorHAnsi" w:cstheme="minorHAnsi"/>
          <w:sz w:val="28"/>
          <w:szCs w:val="28"/>
        </w:rPr>
      </w:pPr>
      <w:r w:rsidRPr="005E1103">
        <w:rPr>
          <w:rFonts w:asciiTheme="minorHAnsi" w:hAnsiTheme="minorHAnsi" w:cstheme="minorHAnsi"/>
          <w:sz w:val="28"/>
          <w:szCs w:val="28"/>
        </w:rPr>
        <w:t>En una investigación de corte cualitativo realizado por Damm (2009), pudo determinar que el profesorado del estudio presentó en sus prácticas pedagógicas actitudes de indiferencia, sobreprotección, bajas expectativas y aceptación. Asimismo el profesorado continua utilizando el modelo tradicional (médico- asistencialista o rehabilitarlo) para atender las necesidades de aprendizaje de los estudiantes.</w:t>
      </w:r>
    </w:p>
    <w:p w:rsidR="009B60AB" w:rsidRPr="005E1103" w:rsidRDefault="009B60AB" w:rsidP="009B60AB">
      <w:pPr>
        <w:pStyle w:val="Textoindependiente"/>
        <w:spacing w:before="5"/>
        <w:rPr>
          <w:rFonts w:asciiTheme="minorHAnsi" w:hAnsiTheme="minorHAnsi" w:cstheme="minorHAnsi"/>
          <w:sz w:val="28"/>
          <w:szCs w:val="28"/>
        </w:rPr>
      </w:pPr>
    </w:p>
    <w:p w:rsidR="009B60AB" w:rsidRPr="005E1103" w:rsidRDefault="009B60AB" w:rsidP="009B60AB">
      <w:pPr>
        <w:pStyle w:val="Textoindependiente"/>
        <w:spacing w:line="360" w:lineRule="auto"/>
        <w:ind w:left="112" w:right="110" w:firstLine="708"/>
        <w:jc w:val="both"/>
        <w:rPr>
          <w:rFonts w:asciiTheme="minorHAnsi" w:hAnsiTheme="minorHAnsi" w:cstheme="minorHAnsi"/>
          <w:sz w:val="28"/>
          <w:szCs w:val="28"/>
        </w:rPr>
      </w:pPr>
      <w:r w:rsidRPr="005E1103">
        <w:rPr>
          <w:rFonts w:asciiTheme="minorHAnsi" w:hAnsiTheme="minorHAnsi" w:cstheme="minorHAnsi"/>
          <w:sz w:val="28"/>
          <w:szCs w:val="28"/>
        </w:rPr>
        <w:lastRenderedPageBreak/>
        <w:t xml:space="preserve">En el presente estudio se presentaron diferencias significativas entre el factor “Creencias del profesor de lo que piensan sus jefes de su trabajo”, y si el profesorado ha recibido o no capacitación sobre Educación Física Adaptada, así como entre el factor “Propósitos sobre sus habilidades para la enseñanza” y si el profesorado ha recibido o no capacitación sobre Educación Especial. Esto confirma lo indicado anteriormente se ha expuesto sobre la necesidad de los Educadores físicos de  </w:t>
      </w:r>
      <w:r w:rsidRPr="005E1103">
        <w:rPr>
          <w:rFonts w:asciiTheme="minorHAnsi" w:hAnsiTheme="minorHAnsi" w:cstheme="minorHAnsi"/>
          <w:spacing w:val="53"/>
          <w:sz w:val="28"/>
          <w:szCs w:val="28"/>
        </w:rPr>
        <w:t xml:space="preserve"> </w:t>
      </w:r>
      <w:r w:rsidRPr="005E1103">
        <w:rPr>
          <w:rFonts w:asciiTheme="minorHAnsi" w:hAnsiTheme="minorHAnsi" w:cstheme="minorHAnsi"/>
          <w:sz w:val="28"/>
          <w:szCs w:val="28"/>
        </w:rPr>
        <w:t>capacitación en las áreas de Educación Física Adaptada y en Educación especial, para poder atender con propiedad la inclusión del estudiantado con discapacidad en sus clases de Educación</w:t>
      </w:r>
      <w:r w:rsidRPr="005E1103">
        <w:rPr>
          <w:rFonts w:asciiTheme="minorHAnsi" w:hAnsiTheme="minorHAnsi" w:cstheme="minorHAnsi"/>
          <w:spacing w:val="-11"/>
          <w:sz w:val="28"/>
          <w:szCs w:val="28"/>
        </w:rPr>
        <w:t xml:space="preserve"> </w:t>
      </w:r>
      <w:r w:rsidRPr="005E1103">
        <w:rPr>
          <w:rFonts w:asciiTheme="minorHAnsi" w:hAnsiTheme="minorHAnsi" w:cstheme="minorHAnsi"/>
          <w:sz w:val="28"/>
          <w:szCs w:val="28"/>
        </w:rPr>
        <w:t>Física.</w:t>
      </w:r>
    </w:p>
    <w:p w:rsidR="009B60AB" w:rsidRPr="005E1103" w:rsidRDefault="009B60AB" w:rsidP="009B60AB">
      <w:pPr>
        <w:pStyle w:val="Textoindependiente"/>
        <w:spacing w:before="2"/>
        <w:rPr>
          <w:rFonts w:asciiTheme="minorHAnsi" w:hAnsiTheme="minorHAnsi" w:cstheme="minorHAnsi"/>
          <w:sz w:val="28"/>
          <w:szCs w:val="28"/>
        </w:rPr>
      </w:pPr>
    </w:p>
    <w:p w:rsidR="009B60AB" w:rsidRPr="005E1103" w:rsidRDefault="009B60AB" w:rsidP="009B60AB">
      <w:pPr>
        <w:pStyle w:val="Textoindependiente"/>
        <w:spacing w:line="360" w:lineRule="auto"/>
        <w:ind w:left="112" w:right="108" w:firstLine="708"/>
        <w:jc w:val="both"/>
        <w:rPr>
          <w:rFonts w:asciiTheme="minorHAnsi" w:hAnsiTheme="minorHAnsi" w:cstheme="minorHAnsi"/>
          <w:sz w:val="28"/>
          <w:szCs w:val="28"/>
        </w:rPr>
      </w:pPr>
      <w:r w:rsidRPr="005E1103">
        <w:rPr>
          <w:rFonts w:asciiTheme="minorHAnsi" w:hAnsiTheme="minorHAnsi" w:cstheme="minorHAnsi"/>
          <w:sz w:val="28"/>
          <w:szCs w:val="28"/>
        </w:rPr>
        <w:t>Díaz del Cueto (2009), cita a una serie de investigadores que señalan en sus estudios que el profesorado no se siente preparado para enfrentar el reto de atender al alumnado con discapacidad y  que estos puedan participar y formar parte del grupo en sus clases de educación física. Adicionalmente, al no contar el profesorado con formación que le permita ser inclusivo en sus clases, se favorecen las representaciones y creencias que tiene este en relación con el estudiantado con discapacidad, reflejándose en sus actitudes hacia los niños y jóvenes con necesidades especiales, ampliándose la brecha para la inclusión y el proceso formatico</w:t>
      </w:r>
      <w:r w:rsidRPr="005E1103">
        <w:rPr>
          <w:rFonts w:asciiTheme="minorHAnsi" w:hAnsiTheme="minorHAnsi" w:cstheme="minorHAnsi"/>
          <w:spacing w:val="-12"/>
          <w:sz w:val="28"/>
          <w:szCs w:val="28"/>
        </w:rPr>
        <w:t xml:space="preserve"> </w:t>
      </w:r>
      <w:r w:rsidRPr="005E1103">
        <w:rPr>
          <w:rFonts w:asciiTheme="minorHAnsi" w:hAnsiTheme="minorHAnsi" w:cstheme="minorHAnsi"/>
          <w:sz w:val="28"/>
          <w:szCs w:val="28"/>
        </w:rPr>
        <w:t>integral.</w:t>
      </w:r>
    </w:p>
    <w:p w:rsidR="009B60AB" w:rsidRPr="005E1103" w:rsidRDefault="009B60AB" w:rsidP="009B60AB">
      <w:pPr>
        <w:pStyle w:val="Textoindependiente"/>
        <w:spacing w:before="5"/>
        <w:rPr>
          <w:rFonts w:asciiTheme="minorHAnsi" w:hAnsiTheme="minorHAnsi" w:cstheme="minorHAnsi"/>
          <w:sz w:val="28"/>
          <w:szCs w:val="28"/>
        </w:rPr>
      </w:pPr>
    </w:p>
    <w:p w:rsidR="009B60AB" w:rsidRPr="005E1103" w:rsidRDefault="009B60AB" w:rsidP="009B60AB">
      <w:pPr>
        <w:pStyle w:val="Textoindependiente"/>
        <w:spacing w:line="360" w:lineRule="auto"/>
        <w:ind w:left="112" w:right="109" w:firstLine="708"/>
        <w:jc w:val="both"/>
        <w:rPr>
          <w:rFonts w:asciiTheme="minorHAnsi" w:hAnsiTheme="minorHAnsi" w:cstheme="minorHAnsi"/>
          <w:sz w:val="28"/>
          <w:szCs w:val="28"/>
        </w:rPr>
      </w:pPr>
      <w:r w:rsidRPr="005E1103">
        <w:rPr>
          <w:rFonts w:asciiTheme="minorHAnsi" w:hAnsiTheme="minorHAnsi" w:cstheme="minorHAnsi"/>
          <w:sz w:val="28"/>
          <w:szCs w:val="28"/>
        </w:rPr>
        <w:t xml:space="preserve">Un elemento que llamó a tención en la presente investigación es que no se presentaron diferencias significativas entre género y edad de los encuestados y los factores del cuestionario PIETID-III. Esto puede deberse a que el número de los hombres superaba más del doble al de las mujeres del estudio. No obstante, algunos estudios han reportado </w:t>
      </w:r>
      <w:r w:rsidRPr="005E1103">
        <w:rPr>
          <w:rFonts w:asciiTheme="minorHAnsi" w:hAnsiTheme="minorHAnsi" w:cstheme="minorHAnsi"/>
          <w:sz w:val="28"/>
          <w:szCs w:val="28"/>
        </w:rPr>
        <w:lastRenderedPageBreak/>
        <w:t>diferencias significativas entre el género del profesorado y sus actitudes hacia la discapacidad. Para Reina (2003), esto podría atribuirse a que las mujeres tienen actitudes más propicias a la discapacidad que los hombres; asimismo, refiere a que algunos estudios han determinado que los educadores físicos con edad más avanzada presentan actitudes menos propicias que los más jóvenes hacia la discapacidad.</w:t>
      </w:r>
    </w:p>
    <w:p w:rsidR="009B60AB" w:rsidRPr="005E1103" w:rsidRDefault="009B60AB" w:rsidP="009B60AB">
      <w:pPr>
        <w:pStyle w:val="Textoindependiente"/>
        <w:spacing w:before="8"/>
        <w:rPr>
          <w:rFonts w:asciiTheme="minorHAnsi" w:hAnsiTheme="minorHAnsi" w:cstheme="minorHAnsi"/>
          <w:sz w:val="28"/>
          <w:szCs w:val="28"/>
        </w:rPr>
      </w:pPr>
    </w:p>
    <w:p w:rsidR="009B60AB" w:rsidRPr="005E1103" w:rsidRDefault="009B60AB" w:rsidP="009B60AB">
      <w:pPr>
        <w:pStyle w:val="Ttulo1"/>
        <w:spacing w:before="1"/>
        <w:rPr>
          <w:rFonts w:asciiTheme="minorHAnsi" w:hAnsiTheme="minorHAnsi" w:cstheme="minorHAnsi"/>
        </w:rPr>
      </w:pPr>
      <w:r w:rsidRPr="005E1103">
        <w:rPr>
          <w:rFonts w:asciiTheme="minorHAnsi" w:hAnsiTheme="minorHAnsi" w:cstheme="minorHAnsi"/>
          <w:color w:val="auto"/>
        </w:rPr>
        <w:t>CONCLUSIONES</w:t>
      </w:r>
      <w:r w:rsidRPr="005E1103">
        <w:rPr>
          <w:rFonts w:asciiTheme="minorHAnsi" w:hAnsiTheme="minorHAnsi" w:cstheme="minorHAnsi"/>
        </w:rPr>
        <w:t>:</w:t>
      </w:r>
    </w:p>
    <w:p w:rsidR="009B60AB" w:rsidRPr="005E1103" w:rsidRDefault="009B60AB" w:rsidP="009B60AB">
      <w:pPr>
        <w:pStyle w:val="Textoindependiente"/>
        <w:spacing w:before="6"/>
        <w:rPr>
          <w:rFonts w:asciiTheme="minorHAnsi" w:hAnsiTheme="minorHAnsi" w:cstheme="minorHAnsi"/>
          <w:b/>
          <w:sz w:val="28"/>
          <w:szCs w:val="28"/>
        </w:rPr>
      </w:pPr>
    </w:p>
    <w:p w:rsidR="009B60AB" w:rsidRPr="005E1103" w:rsidRDefault="009B60AB" w:rsidP="009B60AB">
      <w:pPr>
        <w:pStyle w:val="Textoindependiente"/>
        <w:spacing w:before="1"/>
        <w:ind w:left="112"/>
        <w:rPr>
          <w:rFonts w:asciiTheme="minorHAnsi" w:hAnsiTheme="minorHAnsi" w:cstheme="minorHAnsi"/>
          <w:sz w:val="28"/>
          <w:szCs w:val="28"/>
        </w:rPr>
      </w:pPr>
      <w:r w:rsidRPr="005E1103">
        <w:rPr>
          <w:rFonts w:asciiTheme="minorHAnsi" w:hAnsiTheme="minorHAnsi" w:cstheme="minorHAnsi"/>
          <w:sz w:val="28"/>
          <w:szCs w:val="28"/>
        </w:rPr>
        <w:t>Las conclusiones del presente estudio con base en los objetivos propuestos son:</w:t>
      </w:r>
    </w:p>
    <w:p w:rsidR="009B60AB" w:rsidRPr="005E1103" w:rsidRDefault="009B60AB" w:rsidP="009B60AB">
      <w:pPr>
        <w:pStyle w:val="Textoindependiente"/>
        <w:spacing w:before="5"/>
        <w:rPr>
          <w:rFonts w:asciiTheme="minorHAnsi" w:hAnsiTheme="minorHAnsi" w:cstheme="minorHAnsi"/>
          <w:sz w:val="28"/>
          <w:szCs w:val="28"/>
        </w:rPr>
      </w:pPr>
    </w:p>
    <w:p w:rsidR="009B60AB" w:rsidRPr="005E1103" w:rsidRDefault="009B60AB" w:rsidP="009B60AB">
      <w:pPr>
        <w:pStyle w:val="Prrafodelista"/>
        <w:widowControl w:val="0"/>
        <w:numPr>
          <w:ilvl w:val="0"/>
          <w:numId w:val="53"/>
        </w:numPr>
        <w:tabs>
          <w:tab w:val="left" w:pos="822"/>
        </w:tabs>
        <w:autoSpaceDE w:val="0"/>
        <w:autoSpaceDN w:val="0"/>
        <w:spacing w:before="0" w:line="360" w:lineRule="auto"/>
        <w:ind w:right="114" w:hanging="360"/>
        <w:contextualSpacing w:val="0"/>
        <w:jc w:val="both"/>
        <w:rPr>
          <w:rFonts w:asciiTheme="minorHAnsi" w:hAnsiTheme="minorHAnsi" w:cstheme="minorHAnsi"/>
          <w:sz w:val="28"/>
          <w:szCs w:val="28"/>
        </w:rPr>
      </w:pPr>
      <w:r w:rsidRPr="005E1103">
        <w:rPr>
          <w:rFonts w:asciiTheme="minorHAnsi" w:hAnsiTheme="minorHAnsi" w:cstheme="minorHAnsi"/>
          <w:sz w:val="28"/>
          <w:szCs w:val="28"/>
        </w:rPr>
        <w:t>Para la mayoría los profesores de Educación física consideran que las “Actitudes del profesor hacia su trabajo”, las “Creencias del profesor sobre lo que piensan otros de su trabajo”, las “Creencias del profesor de lo que piensan sus jefes de su trabajo” y los “Propósitos relacionados con la enseñanza”, son positivas o satisfactorias, no así sobre las actitudes hacia las “Creencias del profesor sobre sus conductas”, las “Creencias de sus habilidades para la enseñanza” y la “Percepción sobre sus habilidades para la enseñanza”, lo que indica la necesidad de mayor capacitación orientada a la atención de personas con discapacidad que favorezca la inclusión estos en el aula con los pares sin</w:t>
      </w:r>
      <w:r w:rsidRPr="005E1103">
        <w:rPr>
          <w:rFonts w:asciiTheme="minorHAnsi" w:hAnsiTheme="minorHAnsi" w:cstheme="minorHAnsi"/>
          <w:spacing w:val="-9"/>
          <w:sz w:val="28"/>
          <w:szCs w:val="28"/>
        </w:rPr>
        <w:t xml:space="preserve"> </w:t>
      </w:r>
      <w:r w:rsidRPr="005E1103">
        <w:rPr>
          <w:rFonts w:asciiTheme="minorHAnsi" w:hAnsiTheme="minorHAnsi" w:cstheme="minorHAnsi"/>
          <w:sz w:val="28"/>
          <w:szCs w:val="28"/>
        </w:rPr>
        <w:t>discapacidad.</w:t>
      </w:r>
    </w:p>
    <w:p w:rsidR="009B60AB" w:rsidRPr="005E1103" w:rsidRDefault="009B60AB" w:rsidP="009B60AB">
      <w:pPr>
        <w:pStyle w:val="Textoindependiente"/>
        <w:rPr>
          <w:rFonts w:asciiTheme="minorHAnsi" w:hAnsiTheme="minorHAnsi" w:cstheme="minorHAnsi"/>
          <w:sz w:val="28"/>
          <w:szCs w:val="28"/>
        </w:rPr>
      </w:pPr>
    </w:p>
    <w:p w:rsidR="009B60AB" w:rsidRPr="005E1103" w:rsidRDefault="009B60AB" w:rsidP="009B60AB">
      <w:pPr>
        <w:pStyle w:val="Prrafodelista"/>
        <w:widowControl w:val="0"/>
        <w:numPr>
          <w:ilvl w:val="0"/>
          <w:numId w:val="53"/>
        </w:numPr>
        <w:tabs>
          <w:tab w:val="left" w:pos="822"/>
        </w:tabs>
        <w:autoSpaceDE w:val="0"/>
        <w:autoSpaceDN w:val="0"/>
        <w:spacing w:before="0" w:line="352" w:lineRule="auto"/>
        <w:ind w:right="114" w:hanging="360"/>
        <w:contextualSpacing w:val="0"/>
        <w:jc w:val="both"/>
        <w:rPr>
          <w:rFonts w:asciiTheme="minorHAnsi" w:hAnsiTheme="minorHAnsi" w:cstheme="minorHAnsi"/>
          <w:sz w:val="28"/>
          <w:szCs w:val="28"/>
        </w:rPr>
      </w:pPr>
      <w:r w:rsidRPr="005E1103">
        <w:rPr>
          <w:rFonts w:asciiTheme="minorHAnsi" w:hAnsiTheme="minorHAnsi" w:cstheme="minorHAnsi"/>
          <w:sz w:val="28"/>
          <w:szCs w:val="28"/>
        </w:rPr>
        <w:t xml:space="preserve">No se presentaros diferencias significativas entre las variables edad, el sexo y ubicación de las instituciones educativas rural o urbana, con las actitudes del profesorado hacia la inclusión   </w:t>
      </w:r>
      <w:r w:rsidRPr="005E1103">
        <w:rPr>
          <w:rFonts w:asciiTheme="minorHAnsi" w:hAnsiTheme="minorHAnsi" w:cstheme="minorHAnsi"/>
          <w:spacing w:val="4"/>
          <w:sz w:val="28"/>
          <w:szCs w:val="28"/>
        </w:rPr>
        <w:t xml:space="preserve"> </w:t>
      </w:r>
      <w:r w:rsidRPr="005E1103">
        <w:rPr>
          <w:rFonts w:asciiTheme="minorHAnsi" w:hAnsiTheme="minorHAnsi" w:cstheme="minorHAnsi"/>
          <w:sz w:val="28"/>
          <w:szCs w:val="28"/>
        </w:rPr>
        <w:t>del</w:t>
      </w:r>
    </w:p>
    <w:p w:rsidR="009B60AB" w:rsidRPr="005E1103" w:rsidRDefault="009B60AB" w:rsidP="009B60AB">
      <w:pPr>
        <w:pStyle w:val="Textoindependiente"/>
        <w:spacing w:before="67" w:line="360" w:lineRule="auto"/>
        <w:ind w:left="833" w:right="119"/>
        <w:jc w:val="both"/>
        <w:rPr>
          <w:rFonts w:asciiTheme="minorHAnsi" w:hAnsiTheme="minorHAnsi" w:cstheme="minorHAnsi"/>
          <w:sz w:val="28"/>
          <w:szCs w:val="28"/>
        </w:rPr>
      </w:pPr>
      <w:r w:rsidRPr="005E1103">
        <w:rPr>
          <w:rFonts w:asciiTheme="minorHAnsi" w:hAnsiTheme="minorHAnsi" w:cstheme="minorHAnsi"/>
          <w:sz w:val="28"/>
          <w:szCs w:val="28"/>
        </w:rPr>
        <w:lastRenderedPageBreak/>
        <w:t>estudiantado con discapacidad en el aula, no obstante, determinar diferencias significativas  entre los factores las “Creencias del profesor de lo que piensan sus jefes de su trabajo” y los “Propósitos relacionados con la enseñanza” con el haber recibió o no capacitación en el Educación Física Adaptada y Educación Especial, respectivamente, lo que llama la atención en la necesidad de la capacitación en estas</w:t>
      </w:r>
      <w:r w:rsidRPr="005E1103">
        <w:rPr>
          <w:rFonts w:asciiTheme="minorHAnsi" w:hAnsiTheme="minorHAnsi" w:cstheme="minorHAnsi"/>
          <w:spacing w:val="-11"/>
          <w:sz w:val="28"/>
          <w:szCs w:val="28"/>
        </w:rPr>
        <w:t xml:space="preserve"> </w:t>
      </w:r>
      <w:r w:rsidRPr="005E1103">
        <w:rPr>
          <w:rFonts w:asciiTheme="minorHAnsi" w:hAnsiTheme="minorHAnsi" w:cstheme="minorHAnsi"/>
          <w:sz w:val="28"/>
          <w:szCs w:val="28"/>
        </w:rPr>
        <w:t>áreas.</w:t>
      </w:r>
    </w:p>
    <w:p w:rsidR="009B60AB" w:rsidRPr="005E1103" w:rsidRDefault="009B60AB" w:rsidP="009B60AB">
      <w:pPr>
        <w:pStyle w:val="Textoindependiente"/>
        <w:rPr>
          <w:rFonts w:asciiTheme="minorHAnsi" w:hAnsiTheme="minorHAnsi" w:cstheme="minorHAnsi"/>
          <w:sz w:val="28"/>
          <w:szCs w:val="28"/>
        </w:rPr>
      </w:pPr>
    </w:p>
    <w:p w:rsidR="009B60AB" w:rsidRPr="005E1103" w:rsidRDefault="009B60AB" w:rsidP="009B60AB">
      <w:pPr>
        <w:pStyle w:val="Textoindependiente"/>
        <w:spacing w:before="8"/>
        <w:rPr>
          <w:rFonts w:asciiTheme="minorHAnsi" w:hAnsiTheme="minorHAnsi" w:cstheme="minorHAnsi"/>
          <w:sz w:val="28"/>
          <w:szCs w:val="28"/>
        </w:rPr>
      </w:pPr>
    </w:p>
    <w:p w:rsidR="009B60AB" w:rsidRPr="005E1103" w:rsidRDefault="009B60AB" w:rsidP="009B60AB">
      <w:pPr>
        <w:pStyle w:val="Ttulo1"/>
        <w:spacing w:before="1"/>
        <w:ind w:left="170"/>
        <w:rPr>
          <w:rFonts w:asciiTheme="minorHAnsi" w:hAnsiTheme="minorHAnsi" w:cstheme="minorHAnsi"/>
          <w:color w:val="auto"/>
        </w:rPr>
      </w:pPr>
      <w:r w:rsidRPr="005E1103">
        <w:rPr>
          <w:rFonts w:asciiTheme="minorHAnsi" w:hAnsiTheme="minorHAnsi" w:cstheme="minorHAnsi"/>
          <w:color w:val="auto"/>
        </w:rPr>
        <w:t>Referencias bibliográficas</w:t>
      </w:r>
    </w:p>
    <w:p w:rsidR="009B60AB" w:rsidRPr="005E1103" w:rsidRDefault="009B60AB" w:rsidP="009B60AB">
      <w:pPr>
        <w:pStyle w:val="Textoindependiente"/>
        <w:spacing w:before="3"/>
        <w:rPr>
          <w:rFonts w:asciiTheme="minorHAnsi" w:hAnsiTheme="minorHAnsi" w:cstheme="minorHAnsi"/>
          <w:b/>
          <w:sz w:val="28"/>
          <w:szCs w:val="28"/>
        </w:rPr>
      </w:pPr>
    </w:p>
    <w:p w:rsidR="009B60AB" w:rsidRPr="005E1103" w:rsidRDefault="009B60AB" w:rsidP="009B60AB">
      <w:pPr>
        <w:ind w:left="850" w:right="169" w:hanging="738"/>
        <w:jc w:val="both"/>
        <w:rPr>
          <w:rFonts w:cstheme="minorHAnsi"/>
          <w:sz w:val="28"/>
          <w:szCs w:val="28"/>
          <w:lang w:val="en-US"/>
        </w:rPr>
      </w:pPr>
      <w:r w:rsidRPr="005E1103">
        <w:rPr>
          <w:rFonts w:cstheme="minorHAnsi"/>
          <w:sz w:val="28"/>
          <w:szCs w:val="28"/>
        </w:rPr>
        <w:t xml:space="preserve">Álvarez Martino, E., Álvarez Hernández, M., Pañeda, </w:t>
      </w:r>
      <w:r w:rsidRPr="005E1103">
        <w:rPr>
          <w:rFonts w:cstheme="minorHAnsi"/>
          <w:spacing w:val="-13"/>
          <w:sz w:val="28"/>
          <w:szCs w:val="28"/>
        </w:rPr>
        <w:t xml:space="preserve">P. </w:t>
      </w:r>
      <w:r w:rsidRPr="005E1103">
        <w:rPr>
          <w:rFonts w:cstheme="minorHAnsi"/>
          <w:sz w:val="28"/>
          <w:szCs w:val="28"/>
        </w:rPr>
        <w:t xml:space="preserve">C., &amp; Gutiérrez, E. </w:t>
      </w:r>
      <w:r w:rsidRPr="005E1103">
        <w:rPr>
          <w:rFonts w:cstheme="minorHAnsi"/>
          <w:spacing w:val="-11"/>
          <w:sz w:val="28"/>
          <w:szCs w:val="28"/>
        </w:rPr>
        <w:t xml:space="preserve">F. </w:t>
      </w:r>
      <w:r w:rsidRPr="005E1103">
        <w:rPr>
          <w:rFonts w:cstheme="minorHAnsi"/>
          <w:sz w:val="28"/>
          <w:szCs w:val="28"/>
        </w:rPr>
        <w:t xml:space="preserve">(2008). </w:t>
      </w:r>
      <w:r w:rsidRPr="005E1103">
        <w:rPr>
          <w:rFonts w:cstheme="minorHAnsi"/>
          <w:i/>
          <w:sz w:val="28"/>
          <w:szCs w:val="28"/>
        </w:rPr>
        <w:t xml:space="preserve">Funcionamiento de la integración en la Enseñanza Secundaria Obligatoria según la percepción del profesorado. </w:t>
      </w:r>
      <w:r w:rsidRPr="005E1103">
        <w:rPr>
          <w:rFonts w:cstheme="minorHAnsi"/>
          <w:sz w:val="28"/>
          <w:szCs w:val="28"/>
          <w:lang w:val="en-US"/>
        </w:rPr>
        <w:t>Psicothema, 20(1), 56-61002E</w:t>
      </w:r>
    </w:p>
    <w:p w:rsidR="009B60AB" w:rsidRPr="005E1103" w:rsidRDefault="009B60AB" w:rsidP="009B60AB">
      <w:pPr>
        <w:pStyle w:val="Textoindependiente"/>
        <w:spacing w:before="11"/>
        <w:rPr>
          <w:rFonts w:asciiTheme="minorHAnsi" w:hAnsiTheme="minorHAnsi" w:cstheme="minorHAnsi"/>
          <w:sz w:val="28"/>
          <w:szCs w:val="28"/>
          <w:lang w:val="en-US"/>
        </w:rPr>
      </w:pPr>
    </w:p>
    <w:p w:rsidR="009B60AB" w:rsidRPr="005E1103" w:rsidRDefault="009B60AB" w:rsidP="009B60AB">
      <w:pPr>
        <w:ind w:left="907" w:hanging="738"/>
        <w:rPr>
          <w:rFonts w:cstheme="minorHAnsi"/>
          <w:sz w:val="28"/>
          <w:szCs w:val="28"/>
          <w:lang w:val="en-US"/>
        </w:rPr>
      </w:pPr>
      <w:r w:rsidRPr="005E1103">
        <w:rPr>
          <w:rFonts w:cstheme="minorHAnsi"/>
          <w:sz w:val="28"/>
          <w:szCs w:val="28"/>
          <w:lang w:val="en-US"/>
        </w:rPr>
        <w:t xml:space="preserve">Block, M. E., &amp; Zeman, R. (1996). </w:t>
      </w:r>
      <w:r w:rsidRPr="005E1103">
        <w:rPr>
          <w:rFonts w:cstheme="minorHAnsi"/>
          <w:i/>
          <w:sz w:val="28"/>
          <w:szCs w:val="28"/>
          <w:lang w:val="en-US"/>
        </w:rPr>
        <w:t xml:space="preserve">Including students with disabilities in regular physical education: Effects on nondisabled children. </w:t>
      </w:r>
      <w:r w:rsidRPr="005E1103">
        <w:rPr>
          <w:rFonts w:cstheme="minorHAnsi"/>
          <w:sz w:val="28"/>
          <w:szCs w:val="28"/>
          <w:lang w:val="en-US"/>
        </w:rPr>
        <w:t>Adapted Physical Activity Quarterly, 13, 38-49.</w:t>
      </w:r>
    </w:p>
    <w:p w:rsidR="009B60AB" w:rsidRPr="005E1103" w:rsidRDefault="009B60AB" w:rsidP="009B60AB">
      <w:pPr>
        <w:pStyle w:val="Textoindependiente"/>
        <w:spacing w:before="11"/>
        <w:rPr>
          <w:rFonts w:asciiTheme="minorHAnsi" w:hAnsiTheme="minorHAnsi" w:cstheme="minorHAnsi"/>
          <w:sz w:val="28"/>
          <w:szCs w:val="28"/>
          <w:lang w:val="en-US"/>
        </w:rPr>
      </w:pPr>
    </w:p>
    <w:p w:rsidR="009B60AB" w:rsidRPr="005E1103" w:rsidRDefault="009B60AB" w:rsidP="009B60AB">
      <w:pPr>
        <w:ind w:left="962" w:hanging="738"/>
        <w:rPr>
          <w:rFonts w:cstheme="minorHAnsi"/>
          <w:sz w:val="28"/>
          <w:szCs w:val="28"/>
        </w:rPr>
      </w:pPr>
      <w:r w:rsidRPr="005E1103">
        <w:rPr>
          <w:rFonts w:cstheme="minorHAnsi"/>
          <w:sz w:val="28"/>
          <w:szCs w:val="28"/>
          <w:lang w:val="en-US"/>
        </w:rPr>
        <w:t xml:space="preserve">Block, M. (2000). </w:t>
      </w:r>
      <w:r w:rsidRPr="005E1103">
        <w:rPr>
          <w:rFonts w:cstheme="minorHAnsi"/>
          <w:i/>
          <w:sz w:val="28"/>
          <w:szCs w:val="28"/>
          <w:lang w:val="en-US"/>
        </w:rPr>
        <w:t xml:space="preserve">A teachers guide to including students with disabilities in general Physical, Education </w:t>
      </w:r>
      <w:r w:rsidRPr="005E1103">
        <w:rPr>
          <w:rFonts w:cstheme="minorHAnsi"/>
          <w:sz w:val="28"/>
          <w:szCs w:val="28"/>
          <w:lang w:val="en-US"/>
        </w:rPr>
        <w:t xml:space="preserve">(Second Edition). </w:t>
      </w:r>
      <w:r w:rsidRPr="005E1103">
        <w:rPr>
          <w:rFonts w:cstheme="minorHAnsi"/>
          <w:sz w:val="28"/>
          <w:szCs w:val="28"/>
        </w:rPr>
        <w:t>Baltimore, Paul H Brookes.</w:t>
      </w:r>
    </w:p>
    <w:p w:rsidR="009B60AB" w:rsidRPr="005E1103" w:rsidRDefault="009B60AB" w:rsidP="009B60AB">
      <w:pPr>
        <w:pStyle w:val="Textoindependiente"/>
        <w:spacing w:before="11"/>
        <w:rPr>
          <w:rFonts w:asciiTheme="minorHAnsi" w:hAnsiTheme="minorHAnsi" w:cstheme="minorHAnsi"/>
          <w:sz w:val="28"/>
          <w:szCs w:val="28"/>
        </w:rPr>
      </w:pPr>
    </w:p>
    <w:p w:rsidR="009B60AB" w:rsidRPr="005E1103" w:rsidRDefault="009B60AB" w:rsidP="009B60AB">
      <w:pPr>
        <w:ind w:left="821" w:right="194" w:hanging="709"/>
        <w:rPr>
          <w:rFonts w:cstheme="minorHAnsi"/>
          <w:sz w:val="28"/>
          <w:szCs w:val="28"/>
          <w:lang w:val="en-US"/>
        </w:rPr>
      </w:pPr>
      <w:r w:rsidRPr="005E1103">
        <w:rPr>
          <w:rFonts w:cstheme="minorHAnsi"/>
          <w:sz w:val="28"/>
          <w:szCs w:val="28"/>
        </w:rPr>
        <w:t>Damm, X. (2009</w:t>
      </w:r>
      <w:r w:rsidRPr="005E1103">
        <w:rPr>
          <w:rFonts w:cstheme="minorHAnsi"/>
          <w:i/>
          <w:sz w:val="28"/>
          <w:szCs w:val="28"/>
        </w:rPr>
        <w:t>). Representaciones y actitudes del profesorado frente a la integración de Niños/as con necesidades educativas</w:t>
      </w:r>
      <w:r w:rsidRPr="005E1103">
        <w:rPr>
          <w:rFonts w:cstheme="minorHAnsi"/>
          <w:sz w:val="28"/>
          <w:szCs w:val="28"/>
        </w:rPr>
        <w:t xml:space="preserve">. </w:t>
      </w:r>
      <w:r w:rsidRPr="005E1103">
        <w:rPr>
          <w:rFonts w:cstheme="minorHAnsi"/>
          <w:sz w:val="28"/>
          <w:szCs w:val="28"/>
          <w:lang w:val="en-US"/>
        </w:rPr>
        <w:t xml:space="preserve">Vol. 3 Num. 1 año 2009. </w:t>
      </w:r>
      <w:hyperlink r:id="rId106">
        <w:r w:rsidRPr="005E1103">
          <w:rPr>
            <w:rFonts w:cstheme="minorHAnsi"/>
            <w:color w:val="000080"/>
            <w:sz w:val="28"/>
            <w:szCs w:val="28"/>
            <w:u w:val="single" w:color="000080"/>
            <w:lang w:val="en-US"/>
          </w:rPr>
          <w:t>http://www.rinace.net/rlei/numeros/vol3-</w:t>
        </w:r>
      </w:hyperlink>
      <w:r w:rsidRPr="005E1103">
        <w:rPr>
          <w:rFonts w:cstheme="minorHAnsi"/>
          <w:color w:val="000080"/>
          <w:sz w:val="28"/>
          <w:szCs w:val="28"/>
          <w:u w:val="single" w:color="000080"/>
          <w:lang w:val="en-US"/>
        </w:rPr>
        <w:t xml:space="preserve"> </w:t>
      </w:r>
      <w:hyperlink r:id="rId107">
        <w:r w:rsidRPr="005E1103">
          <w:rPr>
            <w:rFonts w:cstheme="minorHAnsi"/>
            <w:color w:val="000080"/>
            <w:sz w:val="28"/>
            <w:szCs w:val="28"/>
            <w:u w:val="single" w:color="000080"/>
            <w:lang w:val="en-US"/>
          </w:rPr>
          <w:t>num1/art2.html</w:t>
        </w:r>
      </w:hyperlink>
    </w:p>
    <w:p w:rsidR="009B60AB" w:rsidRPr="005E1103" w:rsidRDefault="009B60AB" w:rsidP="009B60AB">
      <w:pPr>
        <w:pStyle w:val="Textoindependiente"/>
        <w:spacing w:before="2"/>
        <w:rPr>
          <w:rFonts w:asciiTheme="minorHAnsi" w:hAnsiTheme="minorHAnsi" w:cstheme="minorHAnsi"/>
          <w:sz w:val="28"/>
          <w:szCs w:val="28"/>
          <w:lang w:val="en-US"/>
        </w:rPr>
      </w:pPr>
    </w:p>
    <w:p w:rsidR="009B60AB" w:rsidRPr="005E1103" w:rsidRDefault="009B60AB" w:rsidP="009B60AB">
      <w:pPr>
        <w:spacing w:before="90"/>
        <w:ind w:left="821" w:right="117" w:hanging="709"/>
        <w:jc w:val="both"/>
        <w:rPr>
          <w:rFonts w:cstheme="minorHAnsi"/>
          <w:sz w:val="28"/>
          <w:szCs w:val="28"/>
        </w:rPr>
      </w:pPr>
      <w:r w:rsidRPr="005E1103">
        <w:rPr>
          <w:rFonts w:cstheme="minorHAnsi"/>
          <w:sz w:val="28"/>
          <w:szCs w:val="28"/>
        </w:rPr>
        <w:t xml:space="preserve">Díaz del Cueto, M. (2009). </w:t>
      </w:r>
      <w:r w:rsidRPr="005E1103">
        <w:rPr>
          <w:rFonts w:cstheme="minorHAnsi"/>
          <w:i/>
          <w:sz w:val="28"/>
          <w:szCs w:val="28"/>
        </w:rPr>
        <w:t xml:space="preserve">Percepción de competencia del profesorado de Educación Física e inclusión. </w:t>
      </w:r>
      <w:r w:rsidRPr="005E1103">
        <w:rPr>
          <w:rFonts w:cstheme="minorHAnsi"/>
          <w:sz w:val="28"/>
          <w:szCs w:val="28"/>
        </w:rPr>
        <w:t xml:space="preserve">Revista Internacional de Medicina </w:t>
      </w:r>
      <w:r w:rsidRPr="005E1103">
        <w:rPr>
          <w:rFonts w:cstheme="minorHAnsi"/>
          <w:sz w:val="28"/>
          <w:szCs w:val="28"/>
        </w:rPr>
        <w:lastRenderedPageBreak/>
        <w:t xml:space="preserve">y Ciencias de la Actividad Física y el Deporte vol. 9 (35) pp. 322-348 </w:t>
      </w:r>
      <w:hyperlink r:id="rId108">
        <w:r w:rsidRPr="005E1103">
          <w:rPr>
            <w:rFonts w:cstheme="minorHAnsi"/>
            <w:color w:val="000080"/>
            <w:sz w:val="28"/>
            <w:szCs w:val="28"/>
            <w:u w:val="single" w:color="000080"/>
          </w:rPr>
          <w:t>Http://cdeporte.rediris.es/revista/revista35/artpercepcion152.htm</w:t>
        </w:r>
      </w:hyperlink>
    </w:p>
    <w:p w:rsidR="009B60AB" w:rsidRPr="005E1103" w:rsidRDefault="009B60AB" w:rsidP="009B60AB">
      <w:pPr>
        <w:pStyle w:val="Textoindependiente"/>
        <w:spacing w:before="2"/>
        <w:rPr>
          <w:rFonts w:asciiTheme="minorHAnsi" w:hAnsiTheme="minorHAnsi" w:cstheme="minorHAnsi"/>
          <w:sz w:val="28"/>
          <w:szCs w:val="28"/>
        </w:rPr>
      </w:pPr>
    </w:p>
    <w:p w:rsidR="009B60AB" w:rsidRPr="005E1103" w:rsidRDefault="009B60AB" w:rsidP="009B60AB">
      <w:pPr>
        <w:spacing w:before="90"/>
        <w:ind w:left="821" w:right="110" w:hanging="709"/>
        <w:jc w:val="both"/>
        <w:rPr>
          <w:rFonts w:cstheme="minorHAnsi"/>
          <w:sz w:val="28"/>
          <w:szCs w:val="28"/>
        </w:rPr>
      </w:pPr>
      <w:r w:rsidRPr="005E1103">
        <w:rPr>
          <w:rFonts w:cstheme="minorHAnsi"/>
          <w:sz w:val="28"/>
          <w:szCs w:val="28"/>
        </w:rPr>
        <w:t xml:space="preserve">Fernández, J.M., Pintor, P. Hernández, J. y Hernández, A. </w:t>
      </w:r>
      <w:r w:rsidRPr="005E1103">
        <w:rPr>
          <w:rFonts w:cstheme="minorHAnsi"/>
          <w:i/>
          <w:sz w:val="28"/>
          <w:szCs w:val="28"/>
        </w:rPr>
        <w:t xml:space="preserve">Hacia una Educación Física inclusiva: Análisis de la intervención docente y su efecto en la inclusión del alumnado con discapacidad motriz, en su autoconcepto y en las expectativas del grupo-clase. </w:t>
      </w:r>
      <w:r w:rsidRPr="005E1103">
        <w:rPr>
          <w:rFonts w:cstheme="minorHAnsi"/>
          <w:sz w:val="28"/>
          <w:szCs w:val="28"/>
        </w:rPr>
        <w:t>Acción motriz, tu revista científica digital. Asociación Científico Cultural en Actividad Física y Deporte (ACCAFIDE). Las Palmas de Gran Canaria, Revista N° 2, enero/junio 2009.</w:t>
      </w:r>
    </w:p>
    <w:p w:rsidR="009B60AB" w:rsidRPr="005E1103" w:rsidRDefault="009B60AB" w:rsidP="009B60AB">
      <w:pPr>
        <w:pStyle w:val="Textoindependiente"/>
        <w:spacing w:before="10"/>
        <w:rPr>
          <w:rFonts w:asciiTheme="minorHAnsi" w:hAnsiTheme="minorHAnsi" w:cstheme="minorHAnsi"/>
          <w:sz w:val="28"/>
          <w:szCs w:val="28"/>
        </w:rPr>
      </w:pPr>
    </w:p>
    <w:p w:rsidR="009B60AB" w:rsidRPr="005E1103" w:rsidRDefault="009B60AB" w:rsidP="009B60AB">
      <w:pPr>
        <w:ind w:left="225"/>
        <w:rPr>
          <w:rFonts w:cstheme="minorHAnsi"/>
          <w:sz w:val="28"/>
          <w:szCs w:val="28"/>
          <w:lang w:val="en-US"/>
        </w:rPr>
      </w:pPr>
      <w:r w:rsidRPr="005E1103">
        <w:rPr>
          <w:rFonts w:cstheme="minorHAnsi"/>
          <w:sz w:val="28"/>
          <w:szCs w:val="28"/>
        </w:rPr>
        <w:t xml:space="preserve">Forest, M. et Lusthaus, E. (1989). </w:t>
      </w:r>
      <w:r w:rsidRPr="005E1103">
        <w:rPr>
          <w:rFonts w:cstheme="minorHAnsi"/>
          <w:i/>
          <w:sz w:val="28"/>
          <w:szCs w:val="28"/>
          <w:lang w:val="en-US"/>
        </w:rPr>
        <w:t>Promoting educational equality for all students: Circles and Map</w:t>
      </w:r>
      <w:r w:rsidRPr="005E1103">
        <w:rPr>
          <w:rFonts w:cstheme="minorHAnsi"/>
          <w:sz w:val="28"/>
          <w:szCs w:val="28"/>
          <w:lang w:val="en-US"/>
        </w:rPr>
        <w:t>s.</w:t>
      </w:r>
    </w:p>
    <w:p w:rsidR="009B60AB" w:rsidRPr="005E1103" w:rsidRDefault="009B60AB" w:rsidP="009B60AB">
      <w:pPr>
        <w:pStyle w:val="Textoindependiente"/>
        <w:ind w:left="962"/>
        <w:rPr>
          <w:rFonts w:asciiTheme="minorHAnsi" w:hAnsiTheme="minorHAnsi" w:cstheme="minorHAnsi"/>
          <w:sz w:val="28"/>
          <w:szCs w:val="28"/>
          <w:lang w:val="en-US"/>
        </w:rPr>
      </w:pPr>
      <w:r w:rsidRPr="005E1103">
        <w:rPr>
          <w:rFonts w:asciiTheme="minorHAnsi" w:hAnsiTheme="minorHAnsi" w:cstheme="minorHAnsi"/>
          <w:sz w:val="28"/>
          <w:szCs w:val="28"/>
          <w:lang w:val="en-US"/>
        </w:rPr>
        <w:t>S. Stainback, W. Stainback, et M. Forest (éd.), Educating all students in the mainstream of regular education, 43-57.</w:t>
      </w:r>
    </w:p>
    <w:p w:rsidR="009B60AB" w:rsidRPr="005E1103" w:rsidRDefault="009B60AB" w:rsidP="009B60AB">
      <w:pPr>
        <w:pStyle w:val="Textoindependiente"/>
        <w:spacing w:before="2"/>
        <w:rPr>
          <w:rFonts w:asciiTheme="minorHAnsi" w:hAnsiTheme="minorHAnsi" w:cstheme="minorHAnsi"/>
          <w:sz w:val="28"/>
          <w:szCs w:val="28"/>
          <w:lang w:val="en-US"/>
        </w:rPr>
      </w:pPr>
    </w:p>
    <w:p w:rsidR="009B60AB" w:rsidRPr="005E1103" w:rsidRDefault="009B60AB" w:rsidP="009B60AB">
      <w:pPr>
        <w:pStyle w:val="Textoindependiente"/>
        <w:tabs>
          <w:tab w:val="left" w:pos="2320"/>
          <w:tab w:val="left" w:pos="3184"/>
          <w:tab w:val="left" w:pos="4833"/>
          <w:tab w:val="left" w:pos="6042"/>
          <w:tab w:val="left" w:pos="6937"/>
          <w:tab w:val="left" w:pos="8074"/>
          <w:tab w:val="left" w:pos="9856"/>
        </w:tabs>
        <w:spacing w:before="1" w:line="360" w:lineRule="auto"/>
        <w:ind w:left="821" w:right="114" w:hanging="709"/>
        <w:rPr>
          <w:rFonts w:asciiTheme="minorHAnsi" w:hAnsiTheme="minorHAnsi" w:cstheme="minorHAnsi"/>
          <w:sz w:val="28"/>
          <w:szCs w:val="28"/>
        </w:rPr>
      </w:pPr>
      <w:r w:rsidRPr="005E1103">
        <w:rPr>
          <w:rFonts w:asciiTheme="minorHAnsi" w:hAnsiTheme="minorHAnsi" w:cstheme="minorHAnsi"/>
          <w:sz w:val="28"/>
          <w:szCs w:val="28"/>
        </w:rPr>
        <w:t xml:space="preserve">Hernández, </w:t>
      </w:r>
      <w:r w:rsidRPr="005E1103">
        <w:rPr>
          <w:rFonts w:asciiTheme="minorHAnsi" w:hAnsiTheme="minorHAnsi" w:cstheme="minorHAnsi"/>
          <w:spacing w:val="-11"/>
          <w:sz w:val="28"/>
          <w:szCs w:val="28"/>
        </w:rPr>
        <w:t xml:space="preserve">F. </w:t>
      </w:r>
      <w:r w:rsidRPr="005E1103">
        <w:rPr>
          <w:rFonts w:asciiTheme="minorHAnsi" w:hAnsiTheme="minorHAnsi" w:cstheme="minorHAnsi"/>
          <w:sz w:val="28"/>
          <w:szCs w:val="28"/>
        </w:rPr>
        <w:t>J. (2010). Educación física e inclusión educativa. In V Congreso Internacional XXVI Nacional</w:t>
      </w:r>
      <w:r w:rsidRPr="005E1103">
        <w:rPr>
          <w:rFonts w:asciiTheme="minorHAnsi" w:hAnsiTheme="minorHAnsi" w:cstheme="minorHAnsi"/>
          <w:sz w:val="28"/>
          <w:szCs w:val="28"/>
        </w:rPr>
        <w:tab/>
        <w:t>de</w:t>
      </w:r>
      <w:r w:rsidRPr="005E1103">
        <w:rPr>
          <w:rFonts w:asciiTheme="minorHAnsi" w:hAnsiTheme="minorHAnsi" w:cstheme="minorHAnsi"/>
          <w:sz w:val="28"/>
          <w:szCs w:val="28"/>
        </w:rPr>
        <w:tab/>
        <w:t>Educación</w:t>
      </w:r>
      <w:r w:rsidRPr="005E1103">
        <w:rPr>
          <w:rFonts w:asciiTheme="minorHAnsi" w:hAnsiTheme="minorHAnsi" w:cstheme="minorHAnsi"/>
          <w:sz w:val="28"/>
          <w:szCs w:val="28"/>
        </w:rPr>
        <w:tab/>
        <w:t>Física</w:t>
      </w:r>
      <w:r w:rsidRPr="005E1103">
        <w:rPr>
          <w:rFonts w:asciiTheme="minorHAnsi" w:hAnsiTheme="minorHAnsi" w:cstheme="minorHAnsi"/>
          <w:sz w:val="28"/>
          <w:szCs w:val="28"/>
        </w:rPr>
        <w:tab/>
        <w:t>(p.</w:t>
      </w:r>
      <w:r w:rsidRPr="005E1103">
        <w:rPr>
          <w:rFonts w:asciiTheme="minorHAnsi" w:hAnsiTheme="minorHAnsi" w:cstheme="minorHAnsi"/>
          <w:sz w:val="28"/>
          <w:szCs w:val="28"/>
        </w:rPr>
        <w:tab/>
        <w:t>146).</w:t>
      </w:r>
      <w:r w:rsidRPr="005E1103">
        <w:rPr>
          <w:rFonts w:asciiTheme="minorHAnsi" w:hAnsiTheme="minorHAnsi" w:cstheme="minorHAnsi"/>
          <w:sz w:val="28"/>
          <w:szCs w:val="28"/>
        </w:rPr>
        <w:tab/>
        <w:t>Recuperado</w:t>
      </w:r>
      <w:r w:rsidRPr="005E1103">
        <w:rPr>
          <w:rFonts w:asciiTheme="minorHAnsi" w:hAnsiTheme="minorHAnsi" w:cstheme="minorHAnsi"/>
          <w:sz w:val="28"/>
          <w:szCs w:val="28"/>
        </w:rPr>
        <w:tab/>
        <w:t xml:space="preserve">de </w:t>
      </w:r>
      <w:hyperlink r:id="rId109">
        <w:r w:rsidRPr="005E1103">
          <w:rPr>
            <w:rFonts w:asciiTheme="minorHAnsi" w:hAnsiTheme="minorHAnsi" w:cstheme="minorHAnsi"/>
            <w:sz w:val="28"/>
            <w:szCs w:val="28"/>
          </w:rPr>
          <w:t>http://www.ub.edu/Vcongresinternacionaleducacionfisica/userfiles/file/MesasRedondas/MR3Ja</w:t>
        </w:r>
      </w:hyperlink>
      <w:r w:rsidRPr="005E1103">
        <w:rPr>
          <w:rFonts w:asciiTheme="minorHAnsi" w:hAnsiTheme="minorHAnsi" w:cstheme="minorHAnsi"/>
          <w:sz w:val="28"/>
          <w:szCs w:val="28"/>
        </w:rPr>
        <w:t xml:space="preserve"> vierHernandez.pdf</w:t>
      </w:r>
    </w:p>
    <w:p w:rsidR="009B60AB" w:rsidRPr="005E1103" w:rsidRDefault="009B60AB" w:rsidP="009B60AB">
      <w:pPr>
        <w:pStyle w:val="Textoindependiente"/>
        <w:spacing w:before="1"/>
        <w:rPr>
          <w:rFonts w:asciiTheme="minorHAnsi" w:hAnsiTheme="minorHAnsi" w:cstheme="minorHAnsi"/>
          <w:sz w:val="28"/>
          <w:szCs w:val="28"/>
        </w:rPr>
      </w:pPr>
    </w:p>
    <w:p w:rsidR="009B60AB" w:rsidRPr="005E1103" w:rsidRDefault="009B60AB" w:rsidP="009B60AB">
      <w:pPr>
        <w:spacing w:line="360" w:lineRule="auto"/>
        <w:rPr>
          <w:rFonts w:cstheme="minorHAnsi"/>
          <w:sz w:val="28"/>
          <w:szCs w:val="28"/>
        </w:rPr>
      </w:pPr>
      <w:r w:rsidRPr="005E1103">
        <w:rPr>
          <w:rFonts w:cstheme="minorHAnsi"/>
          <w:sz w:val="28"/>
          <w:szCs w:val="28"/>
          <w:lang w:val="en-US"/>
        </w:rPr>
        <w:t xml:space="preserve">Hironaka-Juetau, J. y Crawford, T. (2010). </w:t>
      </w:r>
      <w:r w:rsidRPr="005E1103">
        <w:rPr>
          <w:rFonts w:cstheme="minorHAnsi"/>
          <w:i/>
          <w:sz w:val="28"/>
          <w:szCs w:val="28"/>
          <w:lang w:val="en-US"/>
        </w:rPr>
        <w:t xml:space="preserve">Inclusive Recreation. </w:t>
      </w:r>
      <w:r w:rsidRPr="005E1103">
        <w:rPr>
          <w:rFonts w:cstheme="minorHAnsi"/>
          <w:sz w:val="28"/>
          <w:szCs w:val="28"/>
        </w:rPr>
        <w:t>Human Kinetics. Champaign.IL.</w:t>
      </w:r>
    </w:p>
    <w:p w:rsidR="009B60AB" w:rsidRPr="005E1103" w:rsidRDefault="009B60AB">
      <w:pPr>
        <w:rPr>
          <w:rFonts w:cstheme="minorHAnsi"/>
          <w:sz w:val="28"/>
          <w:szCs w:val="28"/>
        </w:rPr>
      </w:pPr>
      <w:r w:rsidRPr="005E1103">
        <w:rPr>
          <w:rFonts w:cstheme="minorHAnsi"/>
          <w:sz w:val="28"/>
          <w:szCs w:val="28"/>
        </w:rPr>
        <w:br w:type="page"/>
      </w:r>
    </w:p>
    <w:p w:rsidR="009B60AB" w:rsidRPr="005E1103" w:rsidRDefault="009B60AB" w:rsidP="009B60AB">
      <w:pPr>
        <w:spacing w:line="360" w:lineRule="auto"/>
        <w:jc w:val="center"/>
        <w:rPr>
          <w:rFonts w:cstheme="minorHAnsi"/>
          <w:b/>
          <w:sz w:val="28"/>
          <w:szCs w:val="28"/>
        </w:rPr>
      </w:pPr>
      <w:r w:rsidRPr="005E1103">
        <w:rPr>
          <w:rFonts w:cstheme="minorHAnsi"/>
          <w:b/>
          <w:sz w:val="28"/>
          <w:szCs w:val="28"/>
        </w:rPr>
        <w:lastRenderedPageBreak/>
        <w:t>COMUNICACIÓN 11</w:t>
      </w:r>
    </w:p>
    <w:p w:rsidR="009B60AB" w:rsidRPr="005E1103" w:rsidRDefault="009B60AB" w:rsidP="009B60AB">
      <w:pPr>
        <w:pBdr>
          <w:top w:val="single" w:sz="4" w:space="1" w:color="auto"/>
          <w:left w:val="single" w:sz="4" w:space="4" w:color="auto"/>
          <w:bottom w:val="single" w:sz="4" w:space="1" w:color="auto"/>
          <w:right w:val="single" w:sz="4" w:space="4" w:color="auto"/>
        </w:pBdr>
        <w:shd w:val="clear" w:color="auto" w:fill="FFFFFF"/>
        <w:spacing w:line="240" w:lineRule="auto"/>
        <w:jc w:val="center"/>
        <w:rPr>
          <w:rFonts w:eastAsia="Times New Roman" w:cstheme="minorHAnsi"/>
          <w:b/>
          <w:sz w:val="28"/>
          <w:szCs w:val="28"/>
          <w:lang w:eastAsia="es-ES"/>
        </w:rPr>
      </w:pPr>
      <w:r w:rsidRPr="005E1103">
        <w:rPr>
          <w:rFonts w:eastAsia="Times New Roman" w:cstheme="minorHAnsi"/>
          <w:b/>
          <w:bCs/>
          <w:sz w:val="28"/>
          <w:szCs w:val="28"/>
          <w:lang w:eastAsia="es-ES"/>
        </w:rPr>
        <w:t>Un Grado en Ciencias de la Actividad Física y el Deporte inclusivo: el caso de Blanquerna (Universitat Ramon Llull)</w:t>
      </w:r>
    </w:p>
    <w:p w:rsidR="009B60AB" w:rsidRPr="005E1103" w:rsidRDefault="009B60AB" w:rsidP="009B60AB">
      <w:pPr>
        <w:spacing w:before="60" w:after="60" w:line="360" w:lineRule="auto"/>
        <w:ind w:left="284" w:hanging="284"/>
        <w:jc w:val="both"/>
        <w:rPr>
          <w:rFonts w:cstheme="minorHAnsi"/>
          <w:b/>
          <w:sz w:val="28"/>
          <w:szCs w:val="28"/>
        </w:rPr>
      </w:pPr>
    </w:p>
    <w:p w:rsidR="009B60AB" w:rsidRPr="005E1103" w:rsidRDefault="009B60AB" w:rsidP="009B60AB">
      <w:pPr>
        <w:autoSpaceDE w:val="0"/>
        <w:autoSpaceDN w:val="0"/>
        <w:adjustRightInd w:val="0"/>
        <w:spacing w:after="0" w:line="360" w:lineRule="auto"/>
        <w:jc w:val="right"/>
        <w:rPr>
          <w:rFonts w:cstheme="minorHAnsi"/>
          <w:b/>
          <w:sz w:val="28"/>
          <w:szCs w:val="28"/>
        </w:rPr>
      </w:pPr>
      <w:r w:rsidRPr="005E1103">
        <w:rPr>
          <w:rFonts w:cstheme="minorHAnsi"/>
          <w:b/>
          <w:sz w:val="28"/>
          <w:szCs w:val="28"/>
        </w:rPr>
        <w:t>Josep Oriol Martínez, Jaume Bantulà y Enric Maria Sebastiani</w:t>
      </w:r>
    </w:p>
    <w:p w:rsidR="009B60AB" w:rsidRPr="005E1103" w:rsidRDefault="009B60AB" w:rsidP="009B60AB">
      <w:pPr>
        <w:autoSpaceDE w:val="0"/>
        <w:autoSpaceDN w:val="0"/>
        <w:adjustRightInd w:val="0"/>
        <w:spacing w:after="0" w:line="360" w:lineRule="auto"/>
        <w:jc w:val="right"/>
        <w:rPr>
          <w:rFonts w:cstheme="minorHAnsi"/>
          <w:sz w:val="28"/>
          <w:szCs w:val="28"/>
        </w:rPr>
      </w:pPr>
      <w:r w:rsidRPr="005E1103">
        <w:rPr>
          <w:rFonts w:cstheme="minorHAnsi"/>
          <w:sz w:val="28"/>
          <w:szCs w:val="28"/>
        </w:rPr>
        <w:t xml:space="preserve">Profesores del Grado de Ciencias de la Actividad Física y Deporte </w:t>
      </w:r>
    </w:p>
    <w:p w:rsidR="009B60AB" w:rsidRPr="005E1103" w:rsidRDefault="009B60AB" w:rsidP="009B60AB">
      <w:pPr>
        <w:spacing w:after="0" w:line="360" w:lineRule="auto"/>
        <w:jc w:val="right"/>
        <w:rPr>
          <w:rFonts w:cstheme="minorHAnsi"/>
          <w:sz w:val="28"/>
          <w:szCs w:val="28"/>
        </w:rPr>
      </w:pPr>
      <w:r w:rsidRPr="005E1103">
        <w:rPr>
          <w:rFonts w:cstheme="minorHAnsi"/>
          <w:sz w:val="28"/>
          <w:szCs w:val="28"/>
        </w:rPr>
        <w:t>FPCEE Blanquerna – Universitat Ramon Llull</w:t>
      </w:r>
    </w:p>
    <w:p w:rsidR="009B60AB" w:rsidRPr="005E1103" w:rsidRDefault="009B60AB" w:rsidP="009B60AB">
      <w:pPr>
        <w:spacing w:after="0" w:line="360" w:lineRule="auto"/>
        <w:jc w:val="right"/>
        <w:rPr>
          <w:rFonts w:cstheme="minorHAnsi"/>
          <w:sz w:val="28"/>
          <w:szCs w:val="28"/>
        </w:rPr>
      </w:pPr>
    </w:p>
    <w:p w:rsidR="009B60AB" w:rsidRPr="005E1103" w:rsidRDefault="009B60AB" w:rsidP="009B60AB">
      <w:pPr>
        <w:spacing w:after="0" w:line="360" w:lineRule="auto"/>
        <w:jc w:val="right"/>
        <w:rPr>
          <w:rFonts w:cstheme="minorHAnsi"/>
          <w:sz w:val="28"/>
          <w:szCs w:val="28"/>
        </w:rPr>
      </w:pPr>
    </w:p>
    <w:p w:rsidR="009B60AB" w:rsidRPr="005E1103" w:rsidRDefault="009B60AB" w:rsidP="009B60AB">
      <w:pPr>
        <w:shd w:val="clear" w:color="auto" w:fill="FFFFFF"/>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Esta comunicación presenta la experiencia del Grado en Ciencias de la Actividad Física y el Deporte que se imparte en la Facultad Blanquerna (Universitat Ramon Llull) en Barcelona. Un grado con quince años de historia que, desde sus inicios, se planteó el reto de acoger a estudiantes con perfiles de diversidad funcional, y también profesores con las mismas características, no habituales en este tipo de estudios.</w:t>
      </w:r>
    </w:p>
    <w:p w:rsidR="009B60AB" w:rsidRPr="005E1103" w:rsidRDefault="009B60AB" w:rsidP="009B60AB">
      <w:pPr>
        <w:shd w:val="clear" w:color="auto" w:fill="FFFFFF"/>
        <w:spacing w:after="0" w:line="360" w:lineRule="auto"/>
        <w:jc w:val="both"/>
        <w:rPr>
          <w:rFonts w:eastAsia="Times New Roman" w:cstheme="minorHAnsi"/>
          <w:sz w:val="28"/>
          <w:szCs w:val="28"/>
          <w:lang w:eastAsia="es-ES"/>
        </w:rPr>
      </w:pPr>
    </w:p>
    <w:p w:rsidR="009B60AB" w:rsidRPr="005E1103" w:rsidRDefault="009B60AB" w:rsidP="009B60AB">
      <w:pPr>
        <w:shd w:val="clear" w:color="auto" w:fill="FFFFFF"/>
        <w:spacing w:after="0" w:line="360" w:lineRule="auto"/>
        <w:jc w:val="both"/>
        <w:rPr>
          <w:rFonts w:eastAsia="Times New Roman" w:cstheme="minorHAnsi"/>
          <w:b/>
          <w:sz w:val="28"/>
          <w:szCs w:val="28"/>
          <w:lang w:eastAsia="es-ES"/>
        </w:rPr>
      </w:pPr>
      <w:r w:rsidRPr="005E1103">
        <w:rPr>
          <w:rFonts w:eastAsia="Times New Roman" w:cstheme="minorHAnsi"/>
          <w:b/>
          <w:sz w:val="28"/>
          <w:szCs w:val="28"/>
          <w:lang w:eastAsia="es-ES"/>
        </w:rPr>
        <w:t>Los inicios la Licenciatura CAFE en la Facultad Blanquerna</w:t>
      </w:r>
    </w:p>
    <w:p w:rsidR="009B60AB" w:rsidRPr="005E1103" w:rsidRDefault="009B60AB" w:rsidP="009B60AB">
      <w:pPr>
        <w:shd w:val="clear" w:color="auto" w:fill="FFFFFF"/>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 xml:space="preserve">La propuesta de unos estudios de licenciatura en Ciencias de la Actividad Física y Deporte (CAFE) por esta universidad privada, fue la primera que se desarrollo en Catalunya, donde sólo existían hasta la fecha estos estudios en su modalidad pública, INEF Catalunya. Por este motivo se diseñó, ya desde 1999, con el objetivo de ser novedosa en su diseño curricular y atractiva para el alumnado y que, muy especialmente, respetara la diversidad funcional del alumnado, en todas sus vertientes posibles sexo, edad, funcionalidad, discapacidad; que hasta la fecha habían sido un cierto escollo para los alumnos en otras facultades y que podía representar una exclusividad para una élite, en especial con unas capacidades físicas y </w:t>
      </w:r>
      <w:r w:rsidRPr="005E1103">
        <w:rPr>
          <w:rFonts w:eastAsia="Times New Roman" w:cstheme="minorHAnsi"/>
          <w:sz w:val="28"/>
          <w:szCs w:val="28"/>
          <w:lang w:eastAsia="es-ES"/>
        </w:rPr>
        <w:lastRenderedPageBreak/>
        <w:t>funcionales muy marcadas, ya desde su ingreso y desde las pruebas físicas de acceso.</w:t>
      </w:r>
    </w:p>
    <w:p w:rsidR="009B60AB" w:rsidRPr="005E1103" w:rsidRDefault="009B60AB" w:rsidP="009B60AB">
      <w:pPr>
        <w:shd w:val="clear" w:color="auto" w:fill="FFFFFF"/>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 xml:space="preserve">Es importante remarcar que desde la </w:t>
      </w:r>
      <w:r w:rsidRPr="005E1103">
        <w:rPr>
          <w:rFonts w:cstheme="minorHAnsi"/>
          <w:sz w:val="28"/>
          <w:szCs w:val="28"/>
        </w:rPr>
        <w:t>aprobación unánime por el Parlamento de Cataluña de la Universitat Ramon Llull (URL) de la que la Fundació Blanquerna, en 1991,  con la Escuela Universitaria de Magisterio y la inauguración de su nueva sede de Facultad de Psicología y Pedagogía, en la c/ Císter, 34</w:t>
      </w:r>
      <w:r w:rsidRPr="005E1103">
        <w:rPr>
          <w:rFonts w:eastAsia="Times New Roman" w:cstheme="minorHAnsi"/>
          <w:sz w:val="28"/>
          <w:szCs w:val="28"/>
          <w:lang w:eastAsia="es-ES"/>
        </w:rPr>
        <w:t xml:space="preserve"> de Barcelona, estos principios de respeto por la diversidad siempre han formado parte del programario de nuestra organización universitaria, como se deriva actualmente en las 10 razones actuales para estudiar en Blanquerna (</w:t>
      </w:r>
      <w:r w:rsidRPr="005E1103">
        <w:rPr>
          <w:rFonts w:cstheme="minorHAnsi"/>
          <w:sz w:val="28"/>
          <w:szCs w:val="28"/>
        </w:rPr>
        <w:t>Memòria de sostenibilitat de Blanquerna curs 2014-2015):</w:t>
      </w:r>
    </w:p>
    <w:p w:rsidR="009B60AB" w:rsidRPr="005E1103" w:rsidRDefault="009B60AB" w:rsidP="009B60AB">
      <w:pPr>
        <w:shd w:val="clear" w:color="auto" w:fill="FFFFFF"/>
        <w:spacing w:after="0" w:line="360" w:lineRule="auto"/>
        <w:jc w:val="both"/>
        <w:rPr>
          <w:rFonts w:eastAsia="Times New Roman" w:cstheme="minorHAnsi"/>
          <w:sz w:val="28"/>
          <w:szCs w:val="28"/>
          <w:lang w:eastAsia="ca-ES"/>
        </w:rPr>
      </w:pPr>
      <w:r w:rsidRPr="005E1103">
        <w:rPr>
          <w:rFonts w:eastAsia="Times New Roman" w:cstheme="minorHAnsi"/>
          <w:bCs/>
          <w:sz w:val="28"/>
          <w:szCs w:val="28"/>
          <w:lang w:eastAsia="ca-ES"/>
        </w:rPr>
        <w:t>1. Prestigio,</w:t>
      </w:r>
      <w:r w:rsidRPr="005E1103">
        <w:rPr>
          <w:rFonts w:eastAsia="Times New Roman" w:cstheme="minorHAnsi"/>
          <w:sz w:val="28"/>
          <w:szCs w:val="28"/>
          <w:lang w:eastAsia="es-ES"/>
        </w:rPr>
        <w:t xml:space="preserve"> </w:t>
      </w:r>
      <w:r w:rsidRPr="005E1103">
        <w:rPr>
          <w:rFonts w:eastAsia="Times New Roman" w:cstheme="minorHAnsi"/>
          <w:sz w:val="28"/>
          <w:szCs w:val="28"/>
          <w:lang w:eastAsia="ca-ES"/>
        </w:rPr>
        <w:t>Campus de Excelencia Internacional.</w:t>
      </w:r>
      <w:r w:rsidRPr="005E1103">
        <w:rPr>
          <w:rFonts w:eastAsia="Times New Roman" w:cstheme="minorHAnsi"/>
          <w:sz w:val="28"/>
          <w:szCs w:val="28"/>
          <w:lang w:eastAsia="es-ES"/>
        </w:rPr>
        <w:t xml:space="preserve"> </w:t>
      </w:r>
      <w:r w:rsidRPr="005E1103">
        <w:rPr>
          <w:rFonts w:eastAsia="Times New Roman" w:cstheme="minorHAnsi"/>
          <w:bCs/>
          <w:sz w:val="28"/>
          <w:szCs w:val="28"/>
          <w:lang w:eastAsia="ca-ES"/>
        </w:rPr>
        <w:t>2. Valores,</w:t>
      </w:r>
      <w:r w:rsidRPr="005E1103">
        <w:rPr>
          <w:rFonts w:eastAsia="Times New Roman" w:cstheme="minorHAnsi"/>
          <w:sz w:val="28"/>
          <w:szCs w:val="28"/>
          <w:lang w:eastAsia="es-ES"/>
        </w:rPr>
        <w:t xml:space="preserve"> </w:t>
      </w:r>
      <w:r w:rsidRPr="005E1103">
        <w:rPr>
          <w:rFonts w:eastAsia="Times New Roman" w:cstheme="minorHAnsi"/>
          <w:sz w:val="28"/>
          <w:szCs w:val="28"/>
          <w:lang w:eastAsia="ca-ES"/>
        </w:rPr>
        <w:t xml:space="preserve">Blanquerna-URL se arraiga en la tradición humanista y cristiana. </w:t>
      </w:r>
      <w:r w:rsidRPr="005E1103">
        <w:rPr>
          <w:rFonts w:eastAsia="Times New Roman" w:cstheme="minorHAnsi"/>
          <w:bCs/>
          <w:sz w:val="28"/>
          <w:szCs w:val="28"/>
          <w:lang w:eastAsia="ca-ES"/>
        </w:rPr>
        <w:t>3. Proximidad</w:t>
      </w:r>
      <w:r w:rsidRPr="005E1103">
        <w:rPr>
          <w:rFonts w:eastAsia="Times New Roman" w:cstheme="minorHAnsi"/>
          <w:sz w:val="28"/>
          <w:szCs w:val="28"/>
          <w:lang w:eastAsia="es-ES"/>
        </w:rPr>
        <w:t>, con</w:t>
      </w:r>
      <w:r w:rsidRPr="005E1103">
        <w:rPr>
          <w:rFonts w:eastAsia="Times New Roman" w:cstheme="minorHAnsi"/>
          <w:sz w:val="28"/>
          <w:szCs w:val="28"/>
          <w:lang w:eastAsia="ca-ES"/>
        </w:rPr>
        <w:t xml:space="preserve"> seminarios como elemento, grupos reducidos con un tutor que es profesional en activo.</w:t>
      </w:r>
      <w:r w:rsidRPr="005E1103">
        <w:rPr>
          <w:rFonts w:eastAsia="Times New Roman" w:cstheme="minorHAnsi"/>
          <w:sz w:val="28"/>
          <w:szCs w:val="28"/>
          <w:lang w:eastAsia="es-ES"/>
        </w:rPr>
        <w:t xml:space="preserve"> </w:t>
      </w:r>
      <w:r w:rsidRPr="005E1103">
        <w:rPr>
          <w:rFonts w:eastAsia="Times New Roman" w:cstheme="minorHAnsi"/>
          <w:bCs/>
          <w:sz w:val="28"/>
          <w:szCs w:val="28"/>
          <w:lang w:eastAsia="ca-ES"/>
        </w:rPr>
        <w:t>4. Oportunidades,</w:t>
      </w:r>
      <w:r w:rsidRPr="005E1103">
        <w:rPr>
          <w:rFonts w:eastAsia="Times New Roman" w:cstheme="minorHAnsi"/>
          <w:sz w:val="28"/>
          <w:szCs w:val="28"/>
          <w:lang w:eastAsia="es-ES"/>
        </w:rPr>
        <w:t xml:space="preserve"> </w:t>
      </w:r>
      <w:r w:rsidRPr="005E1103">
        <w:rPr>
          <w:rFonts w:eastAsia="Times New Roman" w:cstheme="minorHAnsi"/>
          <w:sz w:val="28"/>
          <w:szCs w:val="28"/>
          <w:lang w:eastAsia="ca-ES"/>
        </w:rPr>
        <w:t>Blanquerna-URL un 40% de los graduados encuentran trabajo a partir de las prácticas efectuadas.</w:t>
      </w:r>
      <w:r w:rsidRPr="005E1103">
        <w:rPr>
          <w:rFonts w:eastAsia="Times New Roman" w:cstheme="minorHAnsi"/>
          <w:sz w:val="28"/>
          <w:szCs w:val="28"/>
          <w:lang w:eastAsia="es-ES"/>
        </w:rPr>
        <w:t xml:space="preserve"> </w:t>
      </w:r>
      <w:r w:rsidRPr="005E1103">
        <w:rPr>
          <w:rFonts w:eastAsia="Times New Roman" w:cstheme="minorHAnsi"/>
          <w:bCs/>
          <w:sz w:val="28"/>
          <w:szCs w:val="28"/>
          <w:lang w:eastAsia="ca-ES"/>
        </w:rPr>
        <w:t xml:space="preserve">5. Compromiso, </w:t>
      </w:r>
      <w:r w:rsidRPr="005E1103">
        <w:rPr>
          <w:rFonts w:eastAsia="Times New Roman" w:cstheme="minorHAnsi"/>
          <w:sz w:val="28"/>
          <w:szCs w:val="28"/>
          <w:lang w:eastAsia="ca-ES"/>
        </w:rPr>
        <w:t xml:space="preserve">compromiso en la actitud frente a los estudios y  compromiso ético en el ejercicio profesional. </w:t>
      </w:r>
      <w:r w:rsidRPr="005E1103">
        <w:rPr>
          <w:rFonts w:eastAsia="Times New Roman" w:cstheme="minorHAnsi"/>
          <w:bCs/>
          <w:sz w:val="28"/>
          <w:szCs w:val="28"/>
          <w:lang w:eastAsia="ca-ES"/>
        </w:rPr>
        <w:t>6. Iniciativa,</w:t>
      </w:r>
      <w:r w:rsidRPr="005E1103">
        <w:rPr>
          <w:rFonts w:eastAsia="Times New Roman" w:cstheme="minorHAnsi"/>
          <w:sz w:val="28"/>
          <w:szCs w:val="28"/>
          <w:lang w:eastAsia="es-ES"/>
        </w:rPr>
        <w:t xml:space="preserve"> </w:t>
      </w:r>
      <w:r w:rsidRPr="005E1103">
        <w:rPr>
          <w:rFonts w:eastAsia="Times New Roman" w:cstheme="minorHAnsi"/>
          <w:sz w:val="28"/>
          <w:szCs w:val="28"/>
          <w:lang w:eastAsia="ca-ES"/>
        </w:rPr>
        <w:t xml:space="preserve">Blanquerna-URL potenciar la autonomía, el emprendimiento y la innovación. </w:t>
      </w:r>
      <w:r w:rsidRPr="005E1103">
        <w:rPr>
          <w:rFonts w:eastAsia="Times New Roman" w:cstheme="minorHAnsi"/>
          <w:bCs/>
          <w:sz w:val="28"/>
          <w:szCs w:val="28"/>
          <w:lang w:eastAsia="ca-ES"/>
        </w:rPr>
        <w:t>7. Conocimiento,</w:t>
      </w:r>
      <w:r w:rsidRPr="005E1103">
        <w:rPr>
          <w:rFonts w:eastAsia="Times New Roman" w:cstheme="minorHAnsi"/>
          <w:sz w:val="28"/>
          <w:szCs w:val="28"/>
          <w:lang w:eastAsia="es-ES"/>
        </w:rPr>
        <w:t xml:space="preserve"> </w:t>
      </w:r>
      <w:r w:rsidRPr="005E1103">
        <w:rPr>
          <w:rFonts w:eastAsia="Times New Roman" w:cstheme="minorHAnsi"/>
          <w:sz w:val="28"/>
          <w:szCs w:val="28"/>
          <w:lang w:eastAsia="ca-ES"/>
        </w:rPr>
        <w:t xml:space="preserve">Blanquerna-URL combina tres perfiles diferentes de profesores: profesionales en activo, profesores docentes y profesores investigadores. </w:t>
      </w:r>
      <w:r w:rsidRPr="005E1103">
        <w:rPr>
          <w:rFonts w:eastAsia="Times New Roman" w:cstheme="minorHAnsi"/>
          <w:bCs/>
          <w:sz w:val="28"/>
          <w:szCs w:val="28"/>
          <w:lang w:eastAsia="ca-ES"/>
        </w:rPr>
        <w:t>8. Tecnología,</w:t>
      </w:r>
      <w:r w:rsidRPr="005E1103">
        <w:rPr>
          <w:rFonts w:eastAsia="Times New Roman" w:cstheme="minorHAnsi"/>
          <w:sz w:val="28"/>
          <w:szCs w:val="28"/>
          <w:lang w:eastAsia="ca-ES"/>
        </w:rPr>
        <w:t xml:space="preserve"> no sólo como una herramienta de aprendizaje, sino también  contexto de la profesión. </w:t>
      </w:r>
      <w:r w:rsidRPr="005E1103">
        <w:rPr>
          <w:rFonts w:eastAsia="Times New Roman" w:cstheme="minorHAnsi"/>
          <w:bCs/>
          <w:sz w:val="28"/>
          <w:szCs w:val="28"/>
          <w:lang w:eastAsia="ca-ES"/>
        </w:rPr>
        <w:t>9. Ayudas,</w:t>
      </w:r>
      <w:r w:rsidRPr="005E1103">
        <w:rPr>
          <w:rFonts w:eastAsia="Times New Roman" w:cstheme="minorHAnsi"/>
          <w:sz w:val="28"/>
          <w:szCs w:val="28"/>
          <w:lang w:eastAsia="ca-ES"/>
        </w:rPr>
        <w:t xml:space="preserve"> Blanquerna-URL destina más de 1.800.000 euros, actualmente, a becas y ayudas. </w:t>
      </w:r>
      <w:r w:rsidRPr="005E1103">
        <w:rPr>
          <w:rFonts w:eastAsia="Times New Roman" w:cstheme="minorHAnsi"/>
          <w:bCs/>
          <w:sz w:val="28"/>
          <w:szCs w:val="28"/>
          <w:lang w:eastAsia="ca-ES"/>
        </w:rPr>
        <w:t>10. Internacionalización,</w:t>
      </w:r>
      <w:r w:rsidRPr="005E1103">
        <w:rPr>
          <w:rFonts w:eastAsia="Times New Roman" w:cstheme="minorHAnsi"/>
          <w:sz w:val="28"/>
          <w:szCs w:val="28"/>
          <w:lang w:eastAsia="ca-ES"/>
        </w:rPr>
        <w:t xml:space="preserve"> los estudiantes obtienen proyección internacional mediante intercambios académicos y estancias de  prácticas en otros países.</w:t>
      </w:r>
    </w:p>
    <w:p w:rsidR="009B60AB" w:rsidRPr="005E1103" w:rsidRDefault="009B60AB" w:rsidP="009B60AB">
      <w:pPr>
        <w:spacing w:after="0" w:line="360" w:lineRule="auto"/>
        <w:jc w:val="both"/>
        <w:rPr>
          <w:rFonts w:cstheme="minorHAnsi"/>
          <w:sz w:val="28"/>
          <w:szCs w:val="28"/>
        </w:rPr>
      </w:pPr>
      <w:r w:rsidRPr="005E1103">
        <w:rPr>
          <w:rFonts w:eastAsia="Times New Roman" w:cstheme="minorHAnsi"/>
          <w:sz w:val="28"/>
          <w:szCs w:val="28"/>
          <w:lang w:eastAsia="es-ES"/>
        </w:rPr>
        <w:lastRenderedPageBreak/>
        <w:t>Así pues, desde sus inicios, se diseñó el plan de estudios de esta licenciatura teniendo en cuenta en todo momento que se debería prestar atención al respeto por la diversidad funcional del alumnado, y también del profesorado, principalmente basado en dos ejes principales de adecuación: el acceso al estudio de los alumnos, en especial en los criterios y valoración de las pruebas físicas de acceso, y posteriormente la adecuación del curriculum para su adecuación a las diferentes diversidades funcionales y educativas necesarias en los casos de alumnos con necesidades educativas especiales</w:t>
      </w:r>
      <w:r w:rsidRPr="005E1103">
        <w:rPr>
          <w:rFonts w:cstheme="minorHAnsi"/>
          <w:sz w:val="28"/>
          <w:szCs w:val="28"/>
        </w:rPr>
        <w:t>. No sólo por una justicia social, sino también como oportunidad de mejorar la calidad de la oferta educativa para todos los estudiantes, así como también de promover actitudes de respeto, tolerancia y solidaridad entre todos ellos.</w:t>
      </w:r>
      <w:r w:rsidRPr="005E1103">
        <w:rPr>
          <w:rFonts w:cstheme="minorHAnsi"/>
          <w:sz w:val="28"/>
          <w:szCs w:val="28"/>
        </w:rPr>
        <w:tab/>
      </w:r>
    </w:p>
    <w:p w:rsidR="009B60AB" w:rsidRPr="005E1103" w:rsidRDefault="009B60AB" w:rsidP="009B60AB">
      <w:pPr>
        <w:spacing w:after="0" w:line="360" w:lineRule="auto"/>
        <w:jc w:val="both"/>
        <w:rPr>
          <w:rFonts w:cstheme="minorHAnsi"/>
          <w:sz w:val="28"/>
          <w:szCs w:val="28"/>
        </w:rPr>
      </w:pPr>
      <w:r w:rsidRPr="005E1103">
        <w:rPr>
          <w:rFonts w:cstheme="minorHAnsi"/>
          <w:sz w:val="28"/>
          <w:szCs w:val="28"/>
        </w:rPr>
        <w:t xml:space="preserve">El ideario Blanquerna-URL entre otras cuestiones, implica personalización, y esto nos obliga a hacer una educación orientada al enriquecimiento global de la personalidad y no tan sólo al progreso intelectual o a la adquisición de habilidades concretas. Los mismos motivos que desde la interpretación de los principios de nuestra identidad nos han hecho pensar en la necesidad de desplegar una licenciatura, y posteriormente un grado, con estas características, nos empujan a considerar que nuestro planteamiento de la actividad física y del deporte no puede ser excluyente, más bien al contrario, se tiene que implementar y desarrollar con criterios de inclusión. </w:t>
      </w:r>
    </w:p>
    <w:p w:rsidR="009B60AB" w:rsidRPr="005E1103" w:rsidRDefault="009B60AB" w:rsidP="009B60AB">
      <w:pPr>
        <w:shd w:val="clear" w:color="auto" w:fill="FFFFFF"/>
        <w:spacing w:after="0" w:line="360" w:lineRule="auto"/>
        <w:jc w:val="both"/>
        <w:rPr>
          <w:rFonts w:eastAsia="Times New Roman" w:cstheme="minorHAnsi"/>
          <w:sz w:val="28"/>
          <w:szCs w:val="28"/>
          <w:lang w:eastAsia="es-ES"/>
        </w:rPr>
      </w:pPr>
    </w:p>
    <w:p w:rsidR="009B60AB" w:rsidRPr="005E1103" w:rsidRDefault="009B60AB" w:rsidP="009B60AB">
      <w:pPr>
        <w:shd w:val="clear" w:color="auto" w:fill="FFFFFF"/>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 xml:space="preserve">Figura 1. Información del Grado de Ciencias del Deporte en Blanquerna-URL, páginas web oficial, en castellano, septiembre 2016. </w:t>
      </w:r>
      <w:hyperlink r:id="rId110" w:history="1">
        <w:r w:rsidRPr="005E1103">
          <w:rPr>
            <w:rStyle w:val="Hipervnculo"/>
            <w:rFonts w:cstheme="minorHAnsi"/>
            <w:sz w:val="28"/>
            <w:szCs w:val="28"/>
          </w:rPr>
          <w:t>http://www.blanquerna.edu/es/grado-ciencias-actividad-fisica-deporte</w:t>
        </w:r>
      </w:hyperlink>
      <w:r w:rsidRPr="005E1103">
        <w:rPr>
          <w:rFonts w:eastAsia="Times New Roman" w:cstheme="minorHAnsi"/>
          <w:sz w:val="28"/>
          <w:szCs w:val="28"/>
          <w:lang w:eastAsia="es-ES"/>
        </w:rPr>
        <w:t>. Consultado 14-09-2016</w:t>
      </w:r>
    </w:p>
    <w:p w:rsidR="009B60AB" w:rsidRPr="005E1103" w:rsidRDefault="009B60AB" w:rsidP="009B60AB">
      <w:pPr>
        <w:shd w:val="clear" w:color="auto" w:fill="FFFFFF"/>
        <w:spacing w:after="0" w:line="360" w:lineRule="auto"/>
        <w:jc w:val="both"/>
        <w:rPr>
          <w:rFonts w:eastAsia="Times New Roman" w:cstheme="minorHAnsi"/>
          <w:b/>
          <w:sz w:val="28"/>
          <w:szCs w:val="28"/>
          <w:lang w:eastAsia="es-ES"/>
        </w:rPr>
      </w:pPr>
    </w:p>
    <w:p w:rsidR="009B60AB" w:rsidRPr="005E1103" w:rsidRDefault="009B60AB" w:rsidP="009B60AB">
      <w:pPr>
        <w:shd w:val="clear" w:color="auto" w:fill="FFFFFF"/>
        <w:spacing w:after="0" w:line="360" w:lineRule="auto"/>
        <w:jc w:val="both"/>
        <w:rPr>
          <w:rFonts w:eastAsia="Times New Roman" w:cstheme="minorHAnsi"/>
          <w:b/>
          <w:sz w:val="28"/>
          <w:szCs w:val="28"/>
          <w:lang w:eastAsia="es-ES"/>
        </w:rPr>
      </w:pPr>
      <w:r w:rsidRPr="005E1103">
        <w:rPr>
          <w:rFonts w:eastAsia="Times New Roman" w:cstheme="minorHAnsi"/>
          <w:b/>
          <w:sz w:val="28"/>
          <w:szCs w:val="28"/>
          <w:lang w:eastAsia="es-ES"/>
        </w:rPr>
        <w:t>La población con discapacidad en la Facultad Blanquerna</w:t>
      </w:r>
    </w:p>
    <w:p w:rsidR="009B60AB" w:rsidRPr="005E1103" w:rsidRDefault="009B60AB" w:rsidP="009B60AB">
      <w:pPr>
        <w:pStyle w:val="Default"/>
        <w:spacing w:line="360" w:lineRule="auto"/>
        <w:jc w:val="both"/>
        <w:rPr>
          <w:rFonts w:asciiTheme="minorHAnsi" w:hAnsiTheme="minorHAnsi" w:cstheme="minorHAnsi"/>
          <w:sz w:val="28"/>
          <w:szCs w:val="28"/>
        </w:rPr>
      </w:pPr>
      <w:r w:rsidRPr="005E1103">
        <w:rPr>
          <w:rFonts w:asciiTheme="minorHAnsi" w:eastAsia="Times New Roman" w:hAnsiTheme="minorHAnsi" w:cstheme="minorHAnsi"/>
          <w:sz w:val="28"/>
          <w:szCs w:val="28"/>
          <w:lang w:eastAsia="es-ES"/>
        </w:rPr>
        <w:t xml:space="preserve">Según datos del </w:t>
      </w:r>
      <w:r w:rsidRPr="005E1103">
        <w:rPr>
          <w:rFonts w:asciiTheme="minorHAnsi" w:hAnsiTheme="minorHAnsi" w:cstheme="minorHAnsi"/>
          <w:bCs/>
          <w:i/>
          <w:sz w:val="28"/>
          <w:szCs w:val="28"/>
        </w:rPr>
        <w:t>Informe sobre el cens d’estudiants amb discapacitat matriculats a les universitats catalanes curs 2013-2014</w:t>
      </w:r>
      <w:r w:rsidRPr="005E1103">
        <w:rPr>
          <w:rFonts w:asciiTheme="minorHAnsi" w:hAnsiTheme="minorHAnsi" w:cstheme="minorHAnsi"/>
          <w:bCs/>
          <w:sz w:val="28"/>
          <w:szCs w:val="28"/>
        </w:rPr>
        <w:t xml:space="preserve"> (any 2013)</w:t>
      </w:r>
      <w:r w:rsidRPr="005E1103">
        <w:rPr>
          <w:rFonts w:asciiTheme="minorHAnsi" w:hAnsiTheme="minorHAnsi" w:cstheme="minorHAnsi"/>
          <w:sz w:val="28"/>
          <w:szCs w:val="28"/>
        </w:rPr>
        <w:t xml:space="preserve">, </w:t>
      </w:r>
      <w:r w:rsidRPr="005E1103">
        <w:rPr>
          <w:rFonts w:asciiTheme="minorHAnsi" w:eastAsia="Times New Roman" w:hAnsiTheme="minorHAnsi" w:cstheme="minorHAnsi"/>
          <w:color w:val="222222"/>
          <w:sz w:val="28"/>
          <w:szCs w:val="28"/>
          <w:lang w:eastAsia="es-ES"/>
        </w:rPr>
        <w:t>en las universidades catalanas hay matriculados 2.462 estudiantes con discapacidad en 2013, que si se compara con los datos del censo de 2002 donde tan sólo constan 193 el aumento es muy considerable. Según este estudio en 2013 en la URL se matricularon 39 alumnos que representa el 1,58 % de las 12 universidades catalanas, públicas y privadas, siendo la universidad privada con mayor porcentaje.</w:t>
      </w:r>
    </w:p>
    <w:p w:rsidR="009B60AB" w:rsidRPr="005E1103" w:rsidRDefault="009B60AB" w:rsidP="009B60AB">
      <w:pPr>
        <w:autoSpaceDE w:val="0"/>
        <w:autoSpaceDN w:val="0"/>
        <w:adjustRightInd w:val="0"/>
        <w:spacing w:after="0" w:line="360" w:lineRule="auto"/>
        <w:jc w:val="both"/>
        <w:rPr>
          <w:rFonts w:cstheme="minorHAnsi"/>
          <w:color w:val="000000"/>
          <w:sz w:val="28"/>
          <w:szCs w:val="28"/>
        </w:rPr>
      </w:pPr>
      <w:r w:rsidRPr="005E1103">
        <w:rPr>
          <w:rFonts w:cstheme="minorHAnsi"/>
          <w:color w:val="000000"/>
          <w:sz w:val="28"/>
          <w:szCs w:val="28"/>
        </w:rPr>
        <w:t xml:space="preserve">Según los </w:t>
      </w:r>
      <w:r w:rsidRPr="005E1103">
        <w:rPr>
          <w:rFonts w:cstheme="minorHAnsi"/>
          <w:sz w:val="28"/>
          <w:szCs w:val="28"/>
        </w:rPr>
        <w:t>Datos básicos del sistema universitario español pertenecientes al curso 2013-2014 del Ministerio de Educación, Cultura y Deporte,</w:t>
      </w:r>
      <w:r w:rsidRPr="005E1103">
        <w:rPr>
          <w:rFonts w:cstheme="minorHAnsi"/>
          <w:color w:val="000000"/>
          <w:sz w:val="28"/>
          <w:szCs w:val="28"/>
        </w:rPr>
        <w:t xml:space="preserve"> la cifra total de universitarios de grado, primer y segundo ciclo con discapacidad es de 16.065 en el total de las universidades españolas, de los cuales el 50,9% son hombres y el 49,1% mujeres. Con los datos aportados por las universidades se pone de manifiesto que la discapacidad que presentan en la mayor parte de los casos los estudiantes es física (51,7%), siendo la auditiva la que tienen en menor medida (7,2%). En lo relativo a las ramas de conocimiento, se observa que los alumnos con discapacidad optan predominantemente por estudios de Ciencias Sociales y Jurídicas (45,5%), siendo los estudios de Ciencias los menos escogidos por los universitarios de grado, primer y segundo ciclo (4,3%). En definitiva, de los datos analizados se desprende que el perfil del estudiante universitario de grado, primer y segundo ciclo con discapacidad es hombre (50,9%), tiene discapacidad física (51,7%) y cursa estudios de Ciencias Sociales y Jurídicas (23,8%) o de Ciencias de la Salud (12,3%), donde este estudio incluye </w:t>
      </w:r>
      <w:r w:rsidRPr="005E1103">
        <w:rPr>
          <w:rFonts w:cstheme="minorHAnsi"/>
          <w:sz w:val="28"/>
          <w:szCs w:val="28"/>
        </w:rPr>
        <w:t xml:space="preserve">entre otros, Grado en Medicina, Grado en Psicología, Grado en </w:t>
      </w:r>
      <w:r w:rsidRPr="005E1103">
        <w:rPr>
          <w:rFonts w:cstheme="minorHAnsi"/>
          <w:sz w:val="28"/>
          <w:szCs w:val="28"/>
        </w:rPr>
        <w:lastRenderedPageBreak/>
        <w:t>Fisioterapia, Grado en Terapia Ocupacional, Grado en Enfermería, Grado en Nutrición Humana y Dietética, Grado en Ciencias de la Actividad Física y el Deporte.  Se observan diferencias ya que el alumno de grado, primer y segundo ciclo suele ser</w:t>
      </w:r>
      <w:r w:rsidRPr="005E1103">
        <w:rPr>
          <w:rFonts w:cstheme="minorHAnsi"/>
          <w:color w:val="000000"/>
          <w:sz w:val="28"/>
          <w:szCs w:val="28"/>
        </w:rPr>
        <w:t xml:space="preserve"> mujer (53%), si bien también realiza estudios de Ciencias Sociales y Jurídicas (47%) seguido de estudios de la rama de Ingeniería y Arquitectura (21%).</w:t>
      </w:r>
    </w:p>
    <w:p w:rsidR="009B60AB" w:rsidRPr="005E1103" w:rsidRDefault="009B60AB" w:rsidP="009B60AB">
      <w:pPr>
        <w:autoSpaceDE w:val="0"/>
        <w:autoSpaceDN w:val="0"/>
        <w:adjustRightInd w:val="0"/>
        <w:spacing w:after="0" w:line="360" w:lineRule="auto"/>
        <w:jc w:val="both"/>
        <w:rPr>
          <w:rFonts w:cstheme="minorHAnsi"/>
          <w:color w:val="000000"/>
          <w:sz w:val="28"/>
          <w:szCs w:val="28"/>
        </w:rPr>
      </w:pPr>
      <w:r w:rsidRPr="005E1103">
        <w:rPr>
          <w:rFonts w:cstheme="minorHAnsi"/>
          <w:color w:val="000000"/>
          <w:sz w:val="28"/>
          <w:szCs w:val="28"/>
        </w:rPr>
        <w:t>En el análisis retrospectivo de los alumnos matriculados en el Grado de Ciencias de la Actividad Física y el Deporte, desde los inicios de los estudios de grado en Blanquerna-URL en 2001, podemos observar la siguiente distribución de alumnado con el género y tipos de discapacidad o necesidades educativas especiales y sus adaptaciones generalistas iniciales.</w:t>
      </w:r>
    </w:p>
    <w:p w:rsidR="009B60AB" w:rsidRPr="005E1103" w:rsidRDefault="009B60AB" w:rsidP="009B60AB">
      <w:pPr>
        <w:shd w:val="clear" w:color="auto" w:fill="FFFFFF"/>
        <w:spacing w:after="0" w:line="360" w:lineRule="auto"/>
        <w:jc w:val="both"/>
        <w:rPr>
          <w:rFonts w:eastAsia="Times New Roman" w:cstheme="minorHAnsi"/>
          <w:sz w:val="28"/>
          <w:szCs w:val="28"/>
          <w:lang w:eastAsia="es-ES"/>
        </w:rPr>
      </w:pPr>
    </w:p>
    <w:p w:rsidR="009B60AB" w:rsidRPr="005E1103" w:rsidRDefault="009B60AB" w:rsidP="009B60AB">
      <w:pPr>
        <w:shd w:val="clear" w:color="auto" w:fill="FFFFFF"/>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Tabla  1. Distribución anual de casos de alumnos matriculados desde inicio de los estudios, 2001; en Ciencias de la Actividad Física y el Deporte en Blanquerna-URL, diferenciados por sexo, discapacidad y adaptación requerida.</w:t>
      </w:r>
    </w:p>
    <w:p w:rsidR="009B60AB" w:rsidRPr="005E1103" w:rsidRDefault="009B60AB" w:rsidP="009B60AB">
      <w:pPr>
        <w:shd w:val="clear" w:color="auto" w:fill="FFFFFF"/>
        <w:spacing w:after="0" w:line="360" w:lineRule="auto"/>
        <w:jc w:val="both"/>
        <w:rPr>
          <w:rFonts w:eastAsia="Times New Roman" w:cstheme="minorHAnsi"/>
          <w:sz w:val="28"/>
          <w:szCs w:val="28"/>
          <w:lang w:eastAsia="es-ES"/>
        </w:rPr>
      </w:pPr>
    </w:p>
    <w:p w:rsidR="009B60AB" w:rsidRPr="005E1103" w:rsidRDefault="009B60AB" w:rsidP="009B60AB">
      <w:pPr>
        <w:shd w:val="clear" w:color="auto" w:fill="FFFFFF"/>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 xml:space="preserve"> </w:t>
      </w:r>
    </w:p>
    <w:p w:rsidR="009B60AB" w:rsidRPr="005E1103" w:rsidRDefault="009B60AB" w:rsidP="009B60AB">
      <w:pPr>
        <w:rPr>
          <w:rFonts w:cstheme="minorHAnsi"/>
          <w:sz w:val="28"/>
          <w:szCs w:val="28"/>
        </w:rPr>
      </w:pPr>
    </w:p>
    <w:p w:rsidR="009B60AB" w:rsidRPr="005E1103" w:rsidRDefault="009B60AB" w:rsidP="009B60AB">
      <w:pPr>
        <w:autoSpaceDE w:val="0"/>
        <w:autoSpaceDN w:val="0"/>
        <w:adjustRightInd w:val="0"/>
        <w:spacing w:after="0" w:line="360" w:lineRule="auto"/>
        <w:jc w:val="both"/>
        <w:rPr>
          <w:rFonts w:cstheme="minorHAnsi"/>
          <w:color w:val="000000"/>
          <w:sz w:val="28"/>
          <w:szCs w:val="28"/>
        </w:rPr>
      </w:pPr>
    </w:p>
    <w:p w:rsidR="009B60AB" w:rsidRPr="005E1103" w:rsidRDefault="009B60AB" w:rsidP="009B60AB">
      <w:pPr>
        <w:autoSpaceDE w:val="0"/>
        <w:autoSpaceDN w:val="0"/>
        <w:adjustRightInd w:val="0"/>
        <w:spacing w:after="0" w:line="360" w:lineRule="auto"/>
        <w:jc w:val="both"/>
        <w:rPr>
          <w:rFonts w:cstheme="minorHAnsi"/>
          <w:i/>
          <w:color w:val="FF0000"/>
          <w:sz w:val="28"/>
          <w:szCs w:val="28"/>
        </w:rPr>
      </w:pPr>
    </w:p>
    <w:p w:rsidR="009B60AB" w:rsidRPr="005E1103" w:rsidRDefault="009B60AB" w:rsidP="009B60AB">
      <w:pPr>
        <w:autoSpaceDE w:val="0"/>
        <w:autoSpaceDN w:val="0"/>
        <w:adjustRightInd w:val="0"/>
        <w:spacing w:after="0" w:line="360" w:lineRule="auto"/>
        <w:jc w:val="both"/>
        <w:rPr>
          <w:rFonts w:cstheme="minorHAnsi"/>
          <w:b/>
          <w:color w:val="000000"/>
          <w:sz w:val="28"/>
          <w:szCs w:val="28"/>
        </w:rPr>
      </w:pPr>
      <w:r w:rsidRPr="005E1103">
        <w:rPr>
          <w:rFonts w:cstheme="minorHAnsi"/>
          <w:b/>
          <w:color w:val="000000"/>
          <w:sz w:val="28"/>
          <w:szCs w:val="28"/>
        </w:rPr>
        <w:t xml:space="preserve">Indicadores para valoración y seguimiento de la atención de los estudiantes con discapacidad </w:t>
      </w:r>
    </w:p>
    <w:p w:rsidR="009B60AB" w:rsidRPr="005E1103" w:rsidRDefault="009B60AB" w:rsidP="009B60AB">
      <w:pPr>
        <w:autoSpaceDE w:val="0"/>
        <w:autoSpaceDN w:val="0"/>
        <w:adjustRightInd w:val="0"/>
        <w:spacing w:after="0" w:line="360" w:lineRule="auto"/>
        <w:jc w:val="both"/>
        <w:rPr>
          <w:rFonts w:cstheme="minorHAnsi"/>
          <w:sz w:val="28"/>
          <w:szCs w:val="28"/>
        </w:rPr>
      </w:pPr>
      <w:r w:rsidRPr="005E1103">
        <w:rPr>
          <w:rFonts w:cstheme="minorHAnsi"/>
          <w:sz w:val="28"/>
          <w:szCs w:val="28"/>
        </w:rPr>
        <w:t>Según Dukes, L. &amp; Shaw, S. F. (2008: 4) desarrollaron, en Estados Unidos, estándares para las oficinas de estudiantes con discapacidad (</w:t>
      </w:r>
      <w:r w:rsidRPr="005E1103">
        <w:rPr>
          <w:rFonts w:cstheme="minorHAnsi"/>
          <w:i/>
          <w:iCs/>
          <w:sz w:val="28"/>
          <w:szCs w:val="28"/>
        </w:rPr>
        <w:t>Office for Students with Disabilities</w:t>
      </w:r>
      <w:r w:rsidRPr="005E1103">
        <w:rPr>
          <w:rFonts w:cstheme="minorHAnsi"/>
          <w:sz w:val="28"/>
          <w:szCs w:val="28"/>
        </w:rPr>
        <w:t xml:space="preserve">, OSD) con el objetivo de garantizar la igualdad de </w:t>
      </w:r>
      <w:r w:rsidRPr="005E1103">
        <w:rPr>
          <w:rFonts w:cstheme="minorHAnsi"/>
          <w:sz w:val="28"/>
          <w:szCs w:val="28"/>
        </w:rPr>
        <w:lastRenderedPageBreak/>
        <w:t xml:space="preserve">acceso a la educación para estudiantes con discapacidad, que posteriormente la </w:t>
      </w:r>
      <w:r w:rsidRPr="005E1103">
        <w:rPr>
          <w:rFonts w:cstheme="minorHAnsi"/>
          <w:i/>
          <w:iCs/>
          <w:sz w:val="28"/>
          <w:szCs w:val="28"/>
        </w:rPr>
        <w:t xml:space="preserve">Association on Higher Education And Disability </w:t>
      </w:r>
      <w:r w:rsidRPr="005E1103">
        <w:rPr>
          <w:rFonts w:cstheme="minorHAnsi"/>
          <w:sz w:val="28"/>
          <w:szCs w:val="28"/>
        </w:rPr>
        <w:t>(AHEAD) ha desarrollado estándares para las oficinas de estudiantes con discapacidad (</w:t>
      </w:r>
      <w:r w:rsidRPr="005E1103">
        <w:rPr>
          <w:rFonts w:cstheme="minorHAnsi"/>
          <w:i/>
          <w:iCs/>
          <w:sz w:val="28"/>
          <w:szCs w:val="28"/>
        </w:rPr>
        <w:t>Office for Students with Disabilities</w:t>
      </w:r>
      <w:r w:rsidRPr="005E1103">
        <w:rPr>
          <w:rFonts w:cstheme="minorHAnsi"/>
          <w:sz w:val="28"/>
          <w:szCs w:val="28"/>
        </w:rPr>
        <w:t xml:space="preserve">, OSD) dirigidos a los siguientes ámbitos o actuaciones: consulta/colaboración, divulgación de información, concienciación del profesorado y personal, adaptaciones académicas, intervenciones educativas, gestión y evaluación del programa, políticas y procedimientos, y formación y desarrollo profesional. Estos estándares pueden ser extrapolados a las universidades españolas y en concreto a las catalanas, para poder cuantificar el grado de inclusión y seguimiento de la a los estudiantes con discapacidad y a los que presentan necesidades educativas especiales.  Así lo concluyen </w:t>
      </w:r>
      <w:r w:rsidRPr="005E1103">
        <w:rPr>
          <w:rFonts w:eastAsia="Times New Roman" w:cstheme="minorHAnsi"/>
          <w:color w:val="222222"/>
          <w:sz w:val="28"/>
          <w:szCs w:val="28"/>
          <w:lang w:eastAsia="es-ES"/>
        </w:rPr>
        <w:t xml:space="preserve">Villa, Camino Ferreira, María José Vieira Aller, and Javier Vidal García (2014: 33) en su estudio, dónde ejemplarizan su uso y divulgación, facilitando </w:t>
      </w:r>
      <w:r w:rsidRPr="005E1103">
        <w:rPr>
          <w:rFonts w:cstheme="minorHAnsi"/>
          <w:sz w:val="28"/>
          <w:szCs w:val="28"/>
        </w:rPr>
        <w:t xml:space="preserve">la implantación de medidas contra la discriminación y de acción positiva, en las universidades españolas, implementado programas de apoyo específicos, proporcionar recursos y realizar adaptaciones y procedimientos con el objetivo de garantizar el principio de igualdad de oportunidades y de condiciones, no discriminación, accesibilidad universal y diseño para todos. </w:t>
      </w:r>
    </w:p>
    <w:p w:rsidR="009B60AB" w:rsidRPr="005E1103" w:rsidRDefault="009B60AB" w:rsidP="009B60AB">
      <w:pPr>
        <w:autoSpaceDE w:val="0"/>
        <w:autoSpaceDN w:val="0"/>
        <w:adjustRightInd w:val="0"/>
        <w:spacing w:after="0" w:line="360" w:lineRule="auto"/>
        <w:jc w:val="both"/>
        <w:rPr>
          <w:rFonts w:cstheme="minorHAnsi"/>
          <w:sz w:val="28"/>
          <w:szCs w:val="28"/>
        </w:rPr>
      </w:pPr>
      <w:r w:rsidRPr="005E1103">
        <w:rPr>
          <w:rFonts w:cstheme="minorHAnsi"/>
          <w:sz w:val="28"/>
          <w:szCs w:val="28"/>
        </w:rPr>
        <w:t xml:space="preserve">Como resultado de estos estudios y otros complementarios, se diseñaron más de 40 indicadores que pueden ser utilizados, en su conjunto o parcialmente, para la elaboración de los planes y el seguimiento de los mismos, siguiendo a los indicadores de estándares internacionales. Agrupados en ocho áreas que abarcan las distintas etapas que conforman el itinerario universitario y diferentes ámbitos de la vida en la universidad, </w:t>
      </w:r>
      <w:r w:rsidRPr="005E1103">
        <w:rPr>
          <w:rFonts w:cstheme="minorHAnsi"/>
          <w:sz w:val="28"/>
          <w:szCs w:val="28"/>
        </w:rPr>
        <w:lastRenderedPageBreak/>
        <w:t>asegurando la integración y la participación plena y efectiva de los estudiantes con discapacidad o con necesidades educativas especiales.</w:t>
      </w:r>
    </w:p>
    <w:p w:rsidR="009B60AB" w:rsidRPr="005E1103" w:rsidRDefault="009B60AB" w:rsidP="009B60AB">
      <w:pPr>
        <w:autoSpaceDE w:val="0"/>
        <w:autoSpaceDN w:val="0"/>
        <w:adjustRightInd w:val="0"/>
        <w:spacing w:after="0" w:line="360" w:lineRule="auto"/>
        <w:jc w:val="both"/>
        <w:rPr>
          <w:rFonts w:cstheme="minorHAnsi"/>
          <w:sz w:val="28"/>
          <w:szCs w:val="28"/>
        </w:rPr>
      </w:pPr>
      <w:r w:rsidRPr="005E1103">
        <w:rPr>
          <w:rFonts w:cstheme="minorHAnsi"/>
          <w:sz w:val="28"/>
          <w:szCs w:val="28"/>
        </w:rPr>
        <w:t xml:space="preserve">Actualmente estos 40 indicadores son evaluados en diversos ámbitos y momentos claves de la vida universitaria de las personas con discapacidad o necesidades educativas, según recomendación de la AHEAD, para la evaluación y seguimiento de su inclusión en la universidad, como lo son:  </w:t>
      </w:r>
    </w:p>
    <w:p w:rsidR="009B60AB" w:rsidRPr="005E1103" w:rsidRDefault="009B60AB" w:rsidP="009B60AB">
      <w:pPr>
        <w:pStyle w:val="Prrafodelista"/>
        <w:numPr>
          <w:ilvl w:val="0"/>
          <w:numId w:val="55"/>
        </w:numPr>
        <w:autoSpaceDE w:val="0"/>
        <w:autoSpaceDN w:val="0"/>
        <w:adjustRightInd w:val="0"/>
        <w:spacing w:before="0" w:line="360" w:lineRule="auto"/>
        <w:ind w:left="0" w:firstLine="0"/>
        <w:jc w:val="both"/>
        <w:rPr>
          <w:rFonts w:asciiTheme="minorHAnsi" w:hAnsiTheme="minorHAnsi" w:cstheme="minorHAnsi"/>
          <w:bCs/>
          <w:color w:val="000000"/>
          <w:sz w:val="28"/>
          <w:szCs w:val="28"/>
        </w:rPr>
      </w:pPr>
      <w:r w:rsidRPr="005E1103">
        <w:rPr>
          <w:rFonts w:asciiTheme="minorHAnsi" w:hAnsiTheme="minorHAnsi" w:cstheme="minorHAnsi"/>
          <w:bCs/>
          <w:color w:val="000000"/>
          <w:sz w:val="28"/>
          <w:szCs w:val="28"/>
        </w:rPr>
        <w:t>Admisión</w:t>
      </w:r>
    </w:p>
    <w:p w:rsidR="009B60AB" w:rsidRPr="005E1103" w:rsidRDefault="009B60AB" w:rsidP="009B60AB">
      <w:pPr>
        <w:pStyle w:val="Prrafodelista"/>
        <w:numPr>
          <w:ilvl w:val="0"/>
          <w:numId w:val="55"/>
        </w:numPr>
        <w:autoSpaceDE w:val="0"/>
        <w:autoSpaceDN w:val="0"/>
        <w:adjustRightInd w:val="0"/>
        <w:spacing w:before="0" w:line="360" w:lineRule="auto"/>
        <w:ind w:left="0" w:firstLine="0"/>
        <w:jc w:val="both"/>
        <w:rPr>
          <w:rFonts w:asciiTheme="minorHAnsi" w:hAnsiTheme="minorHAnsi" w:cstheme="minorHAnsi"/>
          <w:bCs/>
          <w:color w:val="000000"/>
          <w:sz w:val="28"/>
          <w:szCs w:val="28"/>
        </w:rPr>
      </w:pPr>
      <w:r w:rsidRPr="005E1103">
        <w:rPr>
          <w:rFonts w:asciiTheme="minorHAnsi" w:hAnsiTheme="minorHAnsi" w:cstheme="minorHAnsi"/>
          <w:bCs/>
          <w:color w:val="000000"/>
          <w:sz w:val="28"/>
          <w:szCs w:val="28"/>
        </w:rPr>
        <w:t>Evaluación de la discapacidad y/o necesidad educativa especial</w:t>
      </w:r>
    </w:p>
    <w:p w:rsidR="009B60AB" w:rsidRPr="005E1103" w:rsidRDefault="009B60AB" w:rsidP="009B60AB">
      <w:pPr>
        <w:pStyle w:val="Prrafodelista"/>
        <w:numPr>
          <w:ilvl w:val="0"/>
          <w:numId w:val="55"/>
        </w:numPr>
        <w:autoSpaceDE w:val="0"/>
        <w:autoSpaceDN w:val="0"/>
        <w:adjustRightInd w:val="0"/>
        <w:spacing w:before="0" w:line="360" w:lineRule="auto"/>
        <w:ind w:left="0" w:firstLine="0"/>
        <w:jc w:val="both"/>
        <w:rPr>
          <w:rFonts w:asciiTheme="minorHAnsi" w:hAnsiTheme="minorHAnsi" w:cstheme="minorHAnsi"/>
          <w:bCs/>
          <w:color w:val="000000"/>
          <w:sz w:val="28"/>
          <w:szCs w:val="28"/>
        </w:rPr>
      </w:pPr>
      <w:r w:rsidRPr="005E1103">
        <w:rPr>
          <w:rFonts w:asciiTheme="minorHAnsi" w:hAnsiTheme="minorHAnsi" w:cstheme="minorHAnsi"/>
          <w:color w:val="000000"/>
          <w:sz w:val="28"/>
          <w:szCs w:val="28"/>
        </w:rPr>
        <w:t>Consulta/Colaboración</w:t>
      </w:r>
    </w:p>
    <w:p w:rsidR="009B60AB" w:rsidRPr="005E1103" w:rsidRDefault="009B60AB" w:rsidP="009B60AB">
      <w:pPr>
        <w:pStyle w:val="Prrafodelista"/>
        <w:numPr>
          <w:ilvl w:val="0"/>
          <w:numId w:val="55"/>
        </w:numPr>
        <w:autoSpaceDE w:val="0"/>
        <w:autoSpaceDN w:val="0"/>
        <w:adjustRightInd w:val="0"/>
        <w:spacing w:before="0" w:line="360" w:lineRule="auto"/>
        <w:ind w:left="0" w:firstLine="0"/>
        <w:jc w:val="both"/>
        <w:rPr>
          <w:rFonts w:asciiTheme="minorHAnsi" w:hAnsiTheme="minorHAnsi" w:cstheme="minorHAnsi"/>
          <w:bCs/>
          <w:color w:val="000000"/>
          <w:sz w:val="28"/>
          <w:szCs w:val="28"/>
        </w:rPr>
      </w:pPr>
      <w:r w:rsidRPr="005E1103">
        <w:rPr>
          <w:rFonts w:asciiTheme="minorHAnsi" w:hAnsiTheme="minorHAnsi" w:cstheme="minorHAnsi"/>
          <w:color w:val="000000"/>
          <w:sz w:val="28"/>
          <w:szCs w:val="28"/>
        </w:rPr>
        <w:t>Divulgación de información</w:t>
      </w:r>
    </w:p>
    <w:p w:rsidR="009B60AB" w:rsidRPr="005E1103" w:rsidRDefault="009B60AB" w:rsidP="009B60AB">
      <w:pPr>
        <w:pStyle w:val="Prrafodelista"/>
        <w:numPr>
          <w:ilvl w:val="0"/>
          <w:numId w:val="55"/>
        </w:numPr>
        <w:autoSpaceDE w:val="0"/>
        <w:autoSpaceDN w:val="0"/>
        <w:adjustRightInd w:val="0"/>
        <w:spacing w:before="0" w:line="360" w:lineRule="auto"/>
        <w:ind w:left="0" w:firstLine="0"/>
        <w:jc w:val="both"/>
        <w:rPr>
          <w:rFonts w:asciiTheme="minorHAnsi" w:hAnsiTheme="minorHAnsi" w:cstheme="minorHAnsi"/>
          <w:bCs/>
          <w:color w:val="000000"/>
          <w:sz w:val="28"/>
          <w:szCs w:val="28"/>
        </w:rPr>
      </w:pPr>
      <w:r w:rsidRPr="005E1103">
        <w:rPr>
          <w:rFonts w:asciiTheme="minorHAnsi" w:hAnsiTheme="minorHAnsi" w:cstheme="minorHAnsi"/>
          <w:color w:val="000000"/>
          <w:sz w:val="28"/>
          <w:szCs w:val="28"/>
        </w:rPr>
        <w:t>Concienciación del PAS y PDI</w:t>
      </w:r>
    </w:p>
    <w:p w:rsidR="009B60AB" w:rsidRPr="005E1103" w:rsidRDefault="009B60AB" w:rsidP="009B60AB">
      <w:pPr>
        <w:pStyle w:val="Prrafodelista"/>
        <w:numPr>
          <w:ilvl w:val="0"/>
          <w:numId w:val="55"/>
        </w:numPr>
        <w:autoSpaceDE w:val="0"/>
        <w:autoSpaceDN w:val="0"/>
        <w:adjustRightInd w:val="0"/>
        <w:spacing w:before="0" w:line="360" w:lineRule="auto"/>
        <w:ind w:left="0" w:firstLine="0"/>
        <w:jc w:val="both"/>
        <w:rPr>
          <w:rFonts w:asciiTheme="minorHAnsi" w:hAnsiTheme="minorHAnsi" w:cstheme="minorHAnsi"/>
          <w:bCs/>
          <w:color w:val="000000"/>
          <w:sz w:val="28"/>
          <w:szCs w:val="28"/>
        </w:rPr>
      </w:pPr>
      <w:r w:rsidRPr="005E1103">
        <w:rPr>
          <w:rFonts w:asciiTheme="minorHAnsi" w:hAnsiTheme="minorHAnsi" w:cstheme="minorHAnsi"/>
          <w:color w:val="000000"/>
          <w:sz w:val="28"/>
          <w:szCs w:val="28"/>
        </w:rPr>
        <w:t>Accesibilidad y diseño universal</w:t>
      </w:r>
    </w:p>
    <w:p w:rsidR="009B60AB" w:rsidRPr="005E1103" w:rsidRDefault="009B60AB" w:rsidP="009B60AB">
      <w:pPr>
        <w:pStyle w:val="Prrafodelista"/>
        <w:numPr>
          <w:ilvl w:val="0"/>
          <w:numId w:val="55"/>
        </w:numPr>
        <w:autoSpaceDE w:val="0"/>
        <w:autoSpaceDN w:val="0"/>
        <w:adjustRightInd w:val="0"/>
        <w:spacing w:before="0" w:line="360" w:lineRule="auto"/>
        <w:ind w:left="0" w:firstLine="0"/>
        <w:jc w:val="both"/>
        <w:rPr>
          <w:rFonts w:asciiTheme="minorHAnsi" w:hAnsiTheme="minorHAnsi" w:cstheme="minorHAnsi"/>
          <w:bCs/>
          <w:color w:val="000000"/>
          <w:sz w:val="28"/>
          <w:szCs w:val="28"/>
        </w:rPr>
      </w:pPr>
      <w:r w:rsidRPr="005E1103">
        <w:rPr>
          <w:rFonts w:asciiTheme="minorHAnsi" w:hAnsiTheme="minorHAnsi" w:cstheme="minorHAnsi"/>
          <w:color w:val="000000"/>
          <w:sz w:val="28"/>
          <w:szCs w:val="28"/>
        </w:rPr>
        <w:t>Adaptaciones curriculares</w:t>
      </w:r>
    </w:p>
    <w:p w:rsidR="009B60AB" w:rsidRPr="005E1103" w:rsidRDefault="009B60AB" w:rsidP="009B60AB">
      <w:pPr>
        <w:pStyle w:val="Prrafodelista"/>
        <w:numPr>
          <w:ilvl w:val="0"/>
          <w:numId w:val="55"/>
        </w:numPr>
        <w:autoSpaceDE w:val="0"/>
        <w:autoSpaceDN w:val="0"/>
        <w:adjustRightInd w:val="0"/>
        <w:spacing w:before="0" w:line="360" w:lineRule="auto"/>
        <w:ind w:left="0" w:firstLine="0"/>
        <w:jc w:val="both"/>
        <w:rPr>
          <w:rFonts w:asciiTheme="minorHAnsi" w:hAnsiTheme="minorHAnsi" w:cstheme="minorHAnsi"/>
          <w:bCs/>
          <w:color w:val="000000"/>
          <w:sz w:val="28"/>
          <w:szCs w:val="28"/>
        </w:rPr>
      </w:pPr>
      <w:r w:rsidRPr="005E1103">
        <w:rPr>
          <w:rFonts w:asciiTheme="minorHAnsi" w:hAnsiTheme="minorHAnsi" w:cstheme="minorHAnsi"/>
          <w:color w:val="000000"/>
          <w:sz w:val="28"/>
          <w:szCs w:val="28"/>
        </w:rPr>
        <w:t>Cursos o talleres especiales</w:t>
      </w:r>
    </w:p>
    <w:p w:rsidR="009B60AB" w:rsidRPr="005E1103" w:rsidRDefault="009B60AB" w:rsidP="009B60AB">
      <w:pPr>
        <w:pStyle w:val="Prrafodelista"/>
        <w:numPr>
          <w:ilvl w:val="0"/>
          <w:numId w:val="55"/>
        </w:numPr>
        <w:autoSpaceDE w:val="0"/>
        <w:autoSpaceDN w:val="0"/>
        <w:adjustRightInd w:val="0"/>
        <w:spacing w:before="0" w:line="360" w:lineRule="auto"/>
        <w:ind w:left="0" w:firstLine="0"/>
        <w:jc w:val="both"/>
        <w:rPr>
          <w:rFonts w:asciiTheme="minorHAnsi" w:hAnsiTheme="minorHAnsi" w:cstheme="minorHAnsi"/>
          <w:bCs/>
          <w:color w:val="000000"/>
          <w:sz w:val="28"/>
          <w:szCs w:val="28"/>
        </w:rPr>
      </w:pPr>
      <w:r w:rsidRPr="005E1103">
        <w:rPr>
          <w:rFonts w:asciiTheme="minorHAnsi" w:hAnsiTheme="minorHAnsi" w:cstheme="minorHAnsi"/>
          <w:color w:val="000000"/>
          <w:sz w:val="28"/>
          <w:szCs w:val="28"/>
        </w:rPr>
        <w:t>Intervenciones educativas</w:t>
      </w:r>
    </w:p>
    <w:p w:rsidR="009B60AB" w:rsidRPr="005E1103" w:rsidRDefault="009B60AB" w:rsidP="009B60AB">
      <w:pPr>
        <w:pStyle w:val="Prrafodelista"/>
        <w:numPr>
          <w:ilvl w:val="0"/>
          <w:numId w:val="55"/>
        </w:numPr>
        <w:autoSpaceDE w:val="0"/>
        <w:autoSpaceDN w:val="0"/>
        <w:adjustRightInd w:val="0"/>
        <w:spacing w:before="0" w:line="360" w:lineRule="auto"/>
        <w:ind w:left="0" w:firstLine="0"/>
        <w:jc w:val="both"/>
        <w:rPr>
          <w:rFonts w:asciiTheme="minorHAnsi" w:hAnsiTheme="minorHAnsi" w:cstheme="minorHAnsi"/>
          <w:bCs/>
          <w:color w:val="000000"/>
          <w:sz w:val="28"/>
          <w:szCs w:val="28"/>
        </w:rPr>
      </w:pPr>
      <w:r w:rsidRPr="005E1103">
        <w:rPr>
          <w:rFonts w:asciiTheme="minorHAnsi" w:hAnsiTheme="minorHAnsi" w:cstheme="minorHAnsi"/>
          <w:color w:val="000000"/>
          <w:sz w:val="28"/>
          <w:szCs w:val="28"/>
        </w:rPr>
        <w:t>Asesoramiento y Apoyo</w:t>
      </w:r>
    </w:p>
    <w:p w:rsidR="009B60AB" w:rsidRPr="005E1103" w:rsidRDefault="009B60AB" w:rsidP="009B60AB">
      <w:pPr>
        <w:pStyle w:val="Prrafodelista"/>
        <w:numPr>
          <w:ilvl w:val="0"/>
          <w:numId w:val="55"/>
        </w:numPr>
        <w:autoSpaceDE w:val="0"/>
        <w:autoSpaceDN w:val="0"/>
        <w:adjustRightInd w:val="0"/>
        <w:spacing w:before="0" w:line="360" w:lineRule="auto"/>
        <w:ind w:left="0" w:firstLine="0"/>
        <w:jc w:val="both"/>
        <w:rPr>
          <w:rFonts w:asciiTheme="minorHAnsi" w:hAnsiTheme="minorHAnsi" w:cstheme="minorHAnsi"/>
          <w:bCs/>
          <w:color w:val="000000"/>
          <w:sz w:val="28"/>
          <w:szCs w:val="28"/>
        </w:rPr>
      </w:pPr>
      <w:r w:rsidRPr="005E1103">
        <w:rPr>
          <w:rFonts w:asciiTheme="minorHAnsi" w:hAnsiTheme="minorHAnsi" w:cstheme="minorHAnsi"/>
          <w:color w:val="000000"/>
          <w:sz w:val="28"/>
          <w:szCs w:val="28"/>
        </w:rPr>
        <w:t>Políticas y procedimientos</w:t>
      </w:r>
    </w:p>
    <w:p w:rsidR="009B60AB" w:rsidRPr="005E1103" w:rsidRDefault="009B60AB" w:rsidP="009B60AB">
      <w:pPr>
        <w:pStyle w:val="Prrafodelista"/>
        <w:numPr>
          <w:ilvl w:val="0"/>
          <w:numId w:val="55"/>
        </w:numPr>
        <w:autoSpaceDE w:val="0"/>
        <w:autoSpaceDN w:val="0"/>
        <w:adjustRightInd w:val="0"/>
        <w:spacing w:before="0" w:line="360" w:lineRule="auto"/>
        <w:ind w:left="0" w:firstLine="0"/>
        <w:jc w:val="both"/>
        <w:rPr>
          <w:rFonts w:asciiTheme="minorHAnsi" w:hAnsiTheme="minorHAnsi" w:cstheme="minorHAnsi"/>
          <w:bCs/>
          <w:color w:val="000000"/>
          <w:sz w:val="28"/>
          <w:szCs w:val="28"/>
        </w:rPr>
      </w:pPr>
      <w:r w:rsidRPr="005E1103">
        <w:rPr>
          <w:rFonts w:asciiTheme="minorHAnsi" w:hAnsiTheme="minorHAnsi" w:cstheme="minorHAnsi"/>
          <w:color w:val="000000"/>
          <w:sz w:val="28"/>
          <w:szCs w:val="28"/>
        </w:rPr>
        <w:t>Gestión y evaluación de programa/servicio</w:t>
      </w:r>
    </w:p>
    <w:p w:rsidR="009B60AB" w:rsidRPr="005E1103" w:rsidRDefault="009B60AB" w:rsidP="009B60AB">
      <w:pPr>
        <w:pStyle w:val="Prrafodelista"/>
        <w:numPr>
          <w:ilvl w:val="0"/>
          <w:numId w:val="55"/>
        </w:numPr>
        <w:autoSpaceDE w:val="0"/>
        <w:autoSpaceDN w:val="0"/>
        <w:adjustRightInd w:val="0"/>
        <w:spacing w:before="0" w:line="360" w:lineRule="auto"/>
        <w:ind w:left="0" w:firstLine="0"/>
        <w:jc w:val="both"/>
        <w:rPr>
          <w:rFonts w:asciiTheme="minorHAnsi" w:hAnsiTheme="minorHAnsi" w:cstheme="minorHAnsi"/>
          <w:color w:val="000000"/>
          <w:sz w:val="28"/>
          <w:szCs w:val="28"/>
        </w:rPr>
      </w:pPr>
      <w:r w:rsidRPr="005E1103">
        <w:rPr>
          <w:rFonts w:asciiTheme="minorHAnsi" w:hAnsiTheme="minorHAnsi" w:cstheme="minorHAnsi"/>
          <w:color w:val="000000"/>
          <w:sz w:val="28"/>
          <w:szCs w:val="28"/>
        </w:rPr>
        <w:t xml:space="preserve">Formación y desarrollo profesional </w:t>
      </w:r>
    </w:p>
    <w:p w:rsidR="009B60AB" w:rsidRPr="005E1103" w:rsidRDefault="009B60AB" w:rsidP="009B60AB">
      <w:pPr>
        <w:spacing w:after="0" w:line="360" w:lineRule="auto"/>
        <w:jc w:val="both"/>
        <w:rPr>
          <w:rFonts w:cstheme="minorHAnsi"/>
          <w:sz w:val="28"/>
          <w:szCs w:val="28"/>
        </w:rPr>
      </w:pPr>
      <w:r w:rsidRPr="005E1103">
        <w:rPr>
          <w:rFonts w:cstheme="minorHAnsi"/>
          <w:sz w:val="28"/>
          <w:szCs w:val="28"/>
        </w:rPr>
        <w:t>Actualmente todo el alumnado de Blanquerna-URL y en especial aquellos con necesidades especiales, disponen de una serie de recursos que le dan espaldarazo a lo largo de todo su itinerario académico y personal. Además, este soporte no finaliza con los estudios, sino que incluye el asesoramiento y la ayuda de cara en la inserción laboral y el posterior desarrollo profesional. Entre estos se encuentran:</w:t>
      </w:r>
    </w:p>
    <w:p w:rsidR="009B60AB" w:rsidRPr="005E1103" w:rsidRDefault="009B60AB" w:rsidP="009B60AB">
      <w:pPr>
        <w:pStyle w:val="Prrafodelista"/>
        <w:numPr>
          <w:ilvl w:val="0"/>
          <w:numId w:val="57"/>
        </w:numPr>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 xml:space="preserve">SIOE (Servicio de Información y Orientación al Estudiante). Se trata de un servicio permanente para dar respuesta a las preguntas que </w:t>
      </w:r>
      <w:r w:rsidRPr="005E1103">
        <w:rPr>
          <w:rFonts w:asciiTheme="minorHAnsi" w:hAnsiTheme="minorHAnsi" w:cstheme="minorHAnsi"/>
          <w:sz w:val="28"/>
          <w:szCs w:val="28"/>
        </w:rPr>
        <w:lastRenderedPageBreak/>
        <w:t>el estudiante se plantea en el día a día de su tarea formativa a la Facultad.</w:t>
      </w:r>
    </w:p>
    <w:p w:rsidR="009B60AB" w:rsidRPr="005E1103" w:rsidRDefault="009B60AB" w:rsidP="009B60AB">
      <w:pPr>
        <w:pStyle w:val="Prrafodelista"/>
        <w:numPr>
          <w:ilvl w:val="0"/>
          <w:numId w:val="57"/>
        </w:numPr>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SOP (Servicio de Orientación Psicopedagógica). Permite atender los estudiantes que piden una atención personalizada y ayudarlos en la toma de decisiones a la hora de buscar salidas en problemáticas diversas de cariz académico, personal o familiar que se plantean.</w:t>
      </w:r>
    </w:p>
    <w:p w:rsidR="009B60AB" w:rsidRPr="005E1103" w:rsidRDefault="009B60AB" w:rsidP="009B60AB">
      <w:pPr>
        <w:pStyle w:val="Prrafodelista"/>
        <w:numPr>
          <w:ilvl w:val="0"/>
          <w:numId w:val="57"/>
        </w:numPr>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ATENAS (Programa de Atención a los Estudiantes con Necesidades Especiales). Dirigido a todos aquellos estudiantes que, debido a alguna discapacidad, necesitan un apoyo específico y diferenciado para superar con éxito los estudios universitarios.</w:t>
      </w:r>
    </w:p>
    <w:p w:rsidR="009B60AB" w:rsidRPr="005E1103" w:rsidRDefault="009B60AB" w:rsidP="009B60AB">
      <w:pPr>
        <w:pStyle w:val="Prrafodelista"/>
        <w:numPr>
          <w:ilvl w:val="0"/>
          <w:numId w:val="57"/>
        </w:numPr>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SAAP (Servicio de Asesoramiento y Atención Psicológico). Es un servicio de orientación y apoyo psicológico a los estudiantes y a las familias ante las necesidades que se puedan manifestar en el ámbito del desarrollo personal y emocional.</w:t>
      </w:r>
      <w:r w:rsidRPr="005E1103">
        <w:rPr>
          <w:rFonts w:asciiTheme="minorHAnsi" w:hAnsiTheme="minorHAnsi" w:cstheme="minorHAnsi"/>
          <w:sz w:val="28"/>
          <w:szCs w:val="28"/>
        </w:rPr>
        <w:tab/>
      </w:r>
    </w:p>
    <w:p w:rsidR="009B60AB" w:rsidRPr="005E1103" w:rsidRDefault="009B60AB" w:rsidP="009B60AB">
      <w:pPr>
        <w:pStyle w:val="Prrafodelista"/>
        <w:numPr>
          <w:ilvl w:val="0"/>
          <w:numId w:val="57"/>
        </w:numPr>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SAIP (Servicio de Asesoramiento e Intervención Psicopedagógico). Se ofrecen, entre otras, seminarios de asesoramiento que faciliten herramientas y recursos para rentabilizar al máximo el esfuerzo académico.</w:t>
      </w:r>
    </w:p>
    <w:p w:rsidR="009B60AB" w:rsidRPr="005E1103" w:rsidRDefault="009B60AB" w:rsidP="009B60AB">
      <w:pPr>
        <w:pStyle w:val="Prrafodelista"/>
        <w:numPr>
          <w:ilvl w:val="0"/>
          <w:numId w:val="57"/>
        </w:numPr>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GPP (Gabinete de Promoción Profesional). Para dar respuesta a tres necesidades básicas relacionadas con la inserción profesional: la bolsa de trabajo, la orientación profesional al estudiante y el análisis de la demanda del mercado laboral en relación a nuestra titulación.</w:t>
      </w:r>
    </w:p>
    <w:p w:rsidR="009B60AB" w:rsidRPr="005E1103" w:rsidRDefault="009B60AB" w:rsidP="009B60AB">
      <w:pPr>
        <w:pStyle w:val="Prrafodelista"/>
        <w:numPr>
          <w:ilvl w:val="0"/>
          <w:numId w:val="57"/>
        </w:numPr>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APB (Asociación de Profesionales de Blanquerna). Proyecto Alumnis.</w:t>
      </w:r>
    </w:p>
    <w:p w:rsidR="009B60AB" w:rsidRPr="005E1103" w:rsidRDefault="009B60AB" w:rsidP="009B60AB">
      <w:pPr>
        <w:spacing w:after="0" w:line="360" w:lineRule="auto"/>
        <w:jc w:val="both"/>
        <w:rPr>
          <w:rFonts w:cstheme="minorHAnsi"/>
          <w:sz w:val="28"/>
          <w:szCs w:val="28"/>
        </w:rPr>
      </w:pPr>
      <w:r w:rsidRPr="005E1103">
        <w:rPr>
          <w:rFonts w:cstheme="minorHAnsi"/>
          <w:sz w:val="28"/>
          <w:szCs w:val="28"/>
        </w:rPr>
        <w:t xml:space="preserve">Blanquerna-URL ofrece, a nivel más específico a sus alumnos con discapacidad y necesidades educativas especiales, los siguientes soportes y apoyos institucionales individualizados: </w:t>
      </w:r>
    </w:p>
    <w:p w:rsidR="009B60AB" w:rsidRPr="005E1103" w:rsidRDefault="009B60AB" w:rsidP="009B60AB">
      <w:pPr>
        <w:pStyle w:val="Prrafodelista"/>
        <w:numPr>
          <w:ilvl w:val="0"/>
          <w:numId w:val="56"/>
        </w:numPr>
        <w:autoSpaceDE w:val="0"/>
        <w:autoSpaceDN w:val="0"/>
        <w:adjustRightInd w:val="0"/>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Tarjeta para el acceso en el ascensor.</w:t>
      </w:r>
    </w:p>
    <w:p w:rsidR="009B60AB" w:rsidRPr="005E1103" w:rsidRDefault="009B60AB" w:rsidP="009B60AB">
      <w:pPr>
        <w:pStyle w:val="Prrafodelista"/>
        <w:numPr>
          <w:ilvl w:val="0"/>
          <w:numId w:val="56"/>
        </w:numPr>
        <w:autoSpaceDE w:val="0"/>
        <w:autoSpaceDN w:val="0"/>
        <w:adjustRightInd w:val="0"/>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lastRenderedPageBreak/>
        <w:t>Intérprete.</w:t>
      </w:r>
    </w:p>
    <w:p w:rsidR="009B60AB" w:rsidRPr="005E1103" w:rsidRDefault="009B60AB" w:rsidP="009B60AB">
      <w:pPr>
        <w:pStyle w:val="Prrafodelista"/>
        <w:numPr>
          <w:ilvl w:val="0"/>
          <w:numId w:val="56"/>
        </w:numPr>
        <w:autoSpaceDE w:val="0"/>
        <w:autoSpaceDN w:val="0"/>
        <w:adjustRightInd w:val="0"/>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Adaptación curricular y pedagógica.</w:t>
      </w:r>
    </w:p>
    <w:p w:rsidR="009B60AB" w:rsidRPr="005E1103" w:rsidRDefault="009B60AB" w:rsidP="009B60AB">
      <w:pPr>
        <w:pStyle w:val="Prrafodelista"/>
        <w:numPr>
          <w:ilvl w:val="0"/>
          <w:numId w:val="56"/>
        </w:numPr>
        <w:autoSpaceDE w:val="0"/>
        <w:autoSpaceDN w:val="0"/>
        <w:adjustRightInd w:val="0"/>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Adaptación de la evaluación y a los exámenes.</w:t>
      </w:r>
    </w:p>
    <w:p w:rsidR="009B60AB" w:rsidRPr="005E1103" w:rsidRDefault="009B60AB" w:rsidP="009B60AB">
      <w:pPr>
        <w:pStyle w:val="Prrafodelista"/>
        <w:numPr>
          <w:ilvl w:val="0"/>
          <w:numId w:val="56"/>
        </w:numPr>
        <w:autoSpaceDE w:val="0"/>
        <w:autoSpaceDN w:val="0"/>
        <w:adjustRightInd w:val="0"/>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Adaptación en caso de movilidad reducida.</w:t>
      </w:r>
    </w:p>
    <w:p w:rsidR="009B60AB" w:rsidRPr="005E1103" w:rsidRDefault="009B60AB" w:rsidP="009B60AB">
      <w:pPr>
        <w:pStyle w:val="Prrafodelista"/>
        <w:numPr>
          <w:ilvl w:val="0"/>
          <w:numId w:val="56"/>
        </w:numPr>
        <w:autoSpaceDE w:val="0"/>
        <w:autoSpaceDN w:val="0"/>
        <w:adjustRightInd w:val="0"/>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Más tiempo para hacer los exámenes.</w:t>
      </w:r>
    </w:p>
    <w:p w:rsidR="009B60AB" w:rsidRPr="005E1103" w:rsidRDefault="009B60AB" w:rsidP="009B60AB">
      <w:pPr>
        <w:pStyle w:val="Prrafodelista"/>
        <w:numPr>
          <w:ilvl w:val="0"/>
          <w:numId w:val="56"/>
        </w:numPr>
        <w:autoSpaceDE w:val="0"/>
        <w:autoSpaceDN w:val="0"/>
        <w:adjustRightInd w:val="0"/>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Necesitados metodológicas y de texto.</w:t>
      </w:r>
    </w:p>
    <w:p w:rsidR="009B60AB" w:rsidRPr="005E1103" w:rsidRDefault="009B60AB" w:rsidP="009B60AB">
      <w:pPr>
        <w:pStyle w:val="Prrafodelista"/>
        <w:numPr>
          <w:ilvl w:val="0"/>
          <w:numId w:val="56"/>
        </w:numPr>
        <w:autoSpaceDE w:val="0"/>
        <w:autoSpaceDN w:val="0"/>
        <w:adjustRightInd w:val="0"/>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 xml:space="preserve">Orientación académica, elige de asignaturas y curriculares. </w:t>
      </w:r>
    </w:p>
    <w:p w:rsidR="009B60AB" w:rsidRPr="005E1103" w:rsidRDefault="009B60AB" w:rsidP="009B60AB">
      <w:pPr>
        <w:pStyle w:val="Prrafodelista"/>
        <w:numPr>
          <w:ilvl w:val="0"/>
          <w:numId w:val="56"/>
        </w:numPr>
        <w:autoSpaceDE w:val="0"/>
        <w:autoSpaceDN w:val="0"/>
        <w:adjustRightInd w:val="0"/>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Traslados.</w:t>
      </w:r>
    </w:p>
    <w:p w:rsidR="009B60AB" w:rsidRPr="005E1103" w:rsidRDefault="009B60AB" w:rsidP="009B60AB">
      <w:pPr>
        <w:autoSpaceDE w:val="0"/>
        <w:autoSpaceDN w:val="0"/>
        <w:adjustRightInd w:val="0"/>
        <w:spacing w:after="0" w:line="360" w:lineRule="auto"/>
        <w:jc w:val="both"/>
        <w:rPr>
          <w:rFonts w:cstheme="minorHAnsi"/>
          <w:sz w:val="28"/>
          <w:szCs w:val="28"/>
        </w:rPr>
      </w:pPr>
    </w:p>
    <w:p w:rsidR="009B60AB" w:rsidRPr="005E1103" w:rsidRDefault="009B60AB" w:rsidP="009B60AB">
      <w:pPr>
        <w:autoSpaceDE w:val="0"/>
        <w:autoSpaceDN w:val="0"/>
        <w:adjustRightInd w:val="0"/>
        <w:spacing w:after="0" w:line="360" w:lineRule="auto"/>
        <w:jc w:val="both"/>
        <w:rPr>
          <w:rFonts w:cstheme="minorHAnsi"/>
          <w:b/>
          <w:color w:val="000000"/>
          <w:sz w:val="28"/>
          <w:szCs w:val="28"/>
        </w:rPr>
      </w:pPr>
      <w:r w:rsidRPr="005E1103">
        <w:rPr>
          <w:rFonts w:cstheme="minorHAnsi"/>
          <w:b/>
          <w:sz w:val="28"/>
          <w:szCs w:val="28"/>
        </w:rPr>
        <w:t xml:space="preserve">Aplicación a </w:t>
      </w:r>
      <w:r w:rsidRPr="005E1103">
        <w:rPr>
          <w:rFonts w:cstheme="minorHAnsi"/>
          <w:b/>
          <w:color w:val="000000"/>
          <w:sz w:val="28"/>
          <w:szCs w:val="28"/>
        </w:rPr>
        <w:t xml:space="preserve">la atención de los estudiantes con discapacidad y necesidades educativas especiales en las </w:t>
      </w:r>
      <w:r w:rsidRPr="005E1103">
        <w:rPr>
          <w:rFonts w:cstheme="minorHAnsi"/>
          <w:b/>
          <w:sz w:val="28"/>
          <w:szCs w:val="28"/>
        </w:rPr>
        <w:t>Ciencias de la Actividad Física y del Deporte Blanquerna-URL</w:t>
      </w:r>
    </w:p>
    <w:p w:rsidR="009B60AB" w:rsidRPr="005E1103" w:rsidRDefault="009B60AB" w:rsidP="009B60AB">
      <w:pPr>
        <w:spacing w:after="0" w:line="360" w:lineRule="auto"/>
        <w:jc w:val="both"/>
        <w:rPr>
          <w:rFonts w:cstheme="minorHAnsi"/>
          <w:sz w:val="28"/>
          <w:szCs w:val="28"/>
        </w:rPr>
      </w:pPr>
      <w:r w:rsidRPr="005E1103">
        <w:rPr>
          <w:rFonts w:cstheme="minorHAnsi"/>
          <w:sz w:val="28"/>
          <w:szCs w:val="28"/>
        </w:rPr>
        <w:t xml:space="preserve">En los estudios de Ciencias de la Actividad Física y del Deporte Blanquerna-URL, licenciatura y grado, en su documentos identificativos se destaca la importancia del movimiento como un elemento primordial en la formación de la persona, junto con el interés por los otros aspectos de la personalidad, formación integral de la persona que tendrá que incluir todo aquello vinculado al movimiento humano como forma y expresión de identidad, de comunicación y de socialización. Los actos de las personas son fundamentalmente acciones en movimiento de la identidad de los estudios de CAFE a Blanquerna-URL, que se destacan por su carácter innovador e interdisciplinario. Se desea participar en el proceso de construcción de una especialidad que, de acuerdo con el que prevé la legislación vigente, tiene que alcanzar todas las manifestaciones de la actividad física y del deporte, tiene que estar al servicio de todas las personas y todos los grupos sociales, incluidas las minorías más necesitadas, y, en concreto por la naturaleza de este estudio, más </w:t>
      </w:r>
      <w:r w:rsidRPr="005E1103">
        <w:rPr>
          <w:rFonts w:cstheme="minorHAnsi"/>
          <w:sz w:val="28"/>
          <w:szCs w:val="28"/>
        </w:rPr>
        <w:lastRenderedPageBreak/>
        <w:t>necesitadas en cuanto a su desarrollo corporal. Consideramos que tenemos que otorgar al deporte adaptado, y a la adaptación a la actividad física y deporte, la importancia que se merece, como una manifestación más de la práctica deportiva, pero también como un elemento imprescindible si queremos que la educación que se imparta contribuya a promover la dignidad, el respeto por la diversidad y el bienestar de nuestra sociedad.</w:t>
      </w:r>
    </w:p>
    <w:p w:rsidR="009B60AB" w:rsidRPr="005E1103" w:rsidRDefault="009B60AB" w:rsidP="009B60AB">
      <w:pPr>
        <w:spacing w:after="0" w:line="360" w:lineRule="auto"/>
        <w:jc w:val="both"/>
        <w:rPr>
          <w:rFonts w:cstheme="minorHAnsi"/>
          <w:sz w:val="28"/>
          <w:szCs w:val="28"/>
        </w:rPr>
      </w:pPr>
      <w:r w:rsidRPr="005E1103">
        <w:rPr>
          <w:rFonts w:cstheme="minorHAnsi"/>
          <w:color w:val="000000"/>
          <w:sz w:val="28"/>
          <w:szCs w:val="28"/>
        </w:rPr>
        <w:t xml:space="preserve">Según el estudio </w:t>
      </w:r>
      <w:r w:rsidRPr="005E1103">
        <w:rPr>
          <w:rFonts w:cstheme="minorHAnsi"/>
          <w:color w:val="222222"/>
          <w:sz w:val="28"/>
          <w:szCs w:val="28"/>
        </w:rPr>
        <w:t xml:space="preserve">Castellana, Montserrat and Ingrid Sala Bars (2006:18) realizado entre estudiantes 25 universitarios y 25 profesores universitarios de universidades catalanas, entre ellas la Universidad Ramon Llull, valencianas y de las islas baleares </w:t>
      </w:r>
      <w:r w:rsidRPr="005E1103">
        <w:rPr>
          <w:rFonts w:cstheme="minorHAnsi"/>
          <w:sz w:val="28"/>
          <w:szCs w:val="28"/>
        </w:rPr>
        <w:t>ha permitido vislumbrar ciertas respuesta verificando la inclusión universitaria. El análisis de los resultados obtenidos nos indica que los estudiantes con discapacidad no se encuentran, todavía, en igualdad de oportunidades en las aulas universitarias y que los docentes necesitan más formación y orientación para poder atender esa diversidad. No obstante, otros datos de la investigación ponen de relieve la existencia de un número reducido de estudiantes y de profesores que han vivido algunas experiencias de normalización gracias a la actitud proactiva del profesor, la disponibilidad de recursos técnicos y humanos, la vivencia de la diversidad como riqueza, y el dialogo que se ha establecido entre el estudiante y el profesor. Estas experiencias vividas nos abren las puertas hacia la posibilidad de construir una universidad con igualdad de oportunidades para todos.</w:t>
      </w:r>
    </w:p>
    <w:p w:rsidR="009B60AB" w:rsidRPr="005E1103" w:rsidRDefault="009B60AB" w:rsidP="009B60AB">
      <w:pPr>
        <w:pStyle w:val="NormalWeb"/>
        <w:spacing w:before="0" w:beforeAutospacing="0" w:after="0" w:afterAutospacing="0" w:line="360" w:lineRule="auto"/>
        <w:jc w:val="both"/>
        <w:rPr>
          <w:rFonts w:asciiTheme="minorHAnsi" w:hAnsiTheme="minorHAnsi" w:cstheme="minorHAnsi"/>
          <w:bCs/>
          <w:sz w:val="28"/>
          <w:szCs w:val="28"/>
        </w:rPr>
      </w:pPr>
      <w:r w:rsidRPr="005E1103">
        <w:rPr>
          <w:rFonts w:asciiTheme="minorHAnsi" w:hAnsiTheme="minorHAnsi" w:cstheme="minorHAnsi"/>
          <w:sz w:val="28"/>
          <w:szCs w:val="28"/>
        </w:rPr>
        <w:t xml:space="preserve">El profesorado también debería considerar que cada bloque de contenidos de su diseño curricular puede aportar posibilidades diferentes para la normalización y la correcta inclusión de los alumnos con discapacidad y/o necesidades educativas especiales. En Pérez, López, Iglesias et al (2004) </w:t>
      </w:r>
      <w:r w:rsidRPr="005E1103">
        <w:rPr>
          <w:rFonts w:asciiTheme="minorHAnsi" w:hAnsiTheme="minorHAnsi" w:cstheme="minorHAnsi"/>
          <w:sz w:val="28"/>
          <w:szCs w:val="28"/>
        </w:rPr>
        <w:lastRenderedPageBreak/>
        <w:t xml:space="preserve">puede encontrarse un mayor desarrollo de estos aspectos, especialmente desarrollados en las clases de educación física, siendo los  más relevante; </w:t>
      </w:r>
      <w:r w:rsidRPr="005E1103">
        <w:rPr>
          <w:rFonts w:asciiTheme="minorHAnsi" w:hAnsiTheme="minorHAnsi" w:cstheme="minorHAnsi"/>
          <w:bCs/>
          <w:sz w:val="28"/>
          <w:szCs w:val="28"/>
        </w:rPr>
        <w:t>el cuerpo: imagen y percepción; habilidad motriz;</w:t>
      </w:r>
      <w:r w:rsidRPr="005E1103">
        <w:rPr>
          <w:rFonts w:asciiTheme="minorHAnsi" w:hAnsiTheme="minorHAnsi" w:cstheme="minorHAnsi"/>
          <w:sz w:val="28"/>
          <w:szCs w:val="28"/>
        </w:rPr>
        <w:t xml:space="preserve"> </w:t>
      </w:r>
      <w:r w:rsidRPr="005E1103">
        <w:rPr>
          <w:rFonts w:asciiTheme="minorHAnsi" w:hAnsiTheme="minorHAnsi" w:cstheme="minorHAnsi"/>
          <w:bCs/>
          <w:sz w:val="28"/>
          <w:szCs w:val="28"/>
        </w:rPr>
        <w:t>juegos y deportes adaptados; expresión corporal; condición física y actividades en la naturaleza.</w:t>
      </w:r>
    </w:p>
    <w:p w:rsidR="009B60AB" w:rsidRPr="005E1103" w:rsidRDefault="009B60AB" w:rsidP="009B60AB">
      <w:pPr>
        <w:pStyle w:val="NormalWeb"/>
        <w:spacing w:before="0" w:beforeAutospacing="0" w:after="0" w:afterAutospacing="0" w:line="360" w:lineRule="auto"/>
        <w:jc w:val="both"/>
        <w:rPr>
          <w:rFonts w:asciiTheme="minorHAnsi" w:hAnsiTheme="minorHAnsi" w:cstheme="minorHAnsi"/>
          <w:sz w:val="28"/>
          <w:szCs w:val="28"/>
        </w:rPr>
      </w:pPr>
    </w:p>
    <w:p w:rsidR="009B60AB" w:rsidRPr="005E1103" w:rsidRDefault="009B60AB" w:rsidP="009B60AB">
      <w:pPr>
        <w:pStyle w:val="NormalWeb"/>
        <w:tabs>
          <w:tab w:val="left" w:pos="0"/>
        </w:tabs>
        <w:spacing w:before="0" w:beforeAutospacing="0" w:after="0" w:afterAutospacing="0" w:line="360" w:lineRule="auto"/>
        <w:rPr>
          <w:rFonts w:asciiTheme="minorHAnsi" w:hAnsiTheme="minorHAnsi" w:cstheme="minorHAnsi"/>
          <w:b/>
          <w:sz w:val="28"/>
          <w:szCs w:val="28"/>
        </w:rPr>
      </w:pPr>
      <w:r w:rsidRPr="005E1103">
        <w:rPr>
          <w:rFonts w:asciiTheme="minorHAnsi" w:hAnsiTheme="minorHAnsi" w:cstheme="minorHAnsi"/>
          <w:b/>
          <w:bCs/>
          <w:sz w:val="28"/>
          <w:szCs w:val="28"/>
        </w:rPr>
        <w:t xml:space="preserve">El diseño curricular adaptado en los </w:t>
      </w:r>
      <w:r w:rsidRPr="005E1103">
        <w:rPr>
          <w:rFonts w:asciiTheme="minorHAnsi" w:hAnsiTheme="minorHAnsi" w:cstheme="minorHAnsi"/>
          <w:b/>
          <w:sz w:val="28"/>
          <w:szCs w:val="28"/>
        </w:rPr>
        <w:t>estudios de CAFE en Blanquerna-URL</w:t>
      </w:r>
    </w:p>
    <w:p w:rsidR="009B60AB" w:rsidRPr="005E1103" w:rsidRDefault="009B60AB" w:rsidP="009B60AB">
      <w:pPr>
        <w:pStyle w:val="NormalWeb"/>
        <w:tabs>
          <w:tab w:val="left" w:pos="0"/>
        </w:tabs>
        <w:spacing w:before="0" w:beforeAutospacing="0" w:after="0" w:afterAutospacing="0" w:line="360" w:lineRule="auto"/>
        <w:jc w:val="both"/>
        <w:rPr>
          <w:rFonts w:asciiTheme="minorHAnsi" w:hAnsiTheme="minorHAnsi" w:cstheme="minorHAnsi"/>
          <w:sz w:val="28"/>
          <w:szCs w:val="28"/>
        </w:rPr>
      </w:pPr>
      <w:r w:rsidRPr="005E1103">
        <w:rPr>
          <w:rFonts w:asciiTheme="minorHAnsi" w:hAnsiTheme="minorHAnsi" w:cstheme="minorHAnsi"/>
          <w:bCs/>
          <w:sz w:val="28"/>
          <w:szCs w:val="28"/>
        </w:rPr>
        <w:t>Tanto los condicionantes de los alumnos con discapacidad y necesidades educativas especiales como los aspectos a tener en cuenta por el profesorado, citados anteriormente</w:t>
      </w:r>
      <w:r w:rsidRPr="005E1103">
        <w:rPr>
          <w:rFonts w:asciiTheme="minorHAnsi" w:eastAsiaTheme="minorHAnsi" w:hAnsiTheme="minorHAnsi" w:cstheme="minorHAnsi"/>
          <w:sz w:val="28"/>
          <w:szCs w:val="28"/>
          <w:lang w:eastAsia="en-US"/>
        </w:rPr>
        <w:t xml:space="preserve"> están </w:t>
      </w:r>
      <w:r w:rsidRPr="005E1103">
        <w:rPr>
          <w:rFonts w:asciiTheme="minorHAnsi" w:hAnsiTheme="minorHAnsi" w:cstheme="minorHAnsi"/>
          <w:sz w:val="28"/>
          <w:szCs w:val="28"/>
        </w:rPr>
        <w:t xml:space="preserve">incluidos en el diseño curricular de los estudios de CAFE en Blanquerna-URL desde su inicio en 2001 y en su posterior diseño y actualización  del Grado de Ciencias de la Actividad Física y el Deporte en 2009. </w:t>
      </w:r>
    </w:p>
    <w:p w:rsidR="009B60AB" w:rsidRPr="005E1103" w:rsidRDefault="009B60AB" w:rsidP="009B60AB">
      <w:pPr>
        <w:pStyle w:val="NormalWeb"/>
        <w:tabs>
          <w:tab w:val="left" w:pos="0"/>
        </w:tabs>
        <w:spacing w:before="0" w:beforeAutospacing="0" w:after="0" w:afterAutospacing="0" w:line="360" w:lineRule="auto"/>
        <w:jc w:val="both"/>
        <w:rPr>
          <w:rFonts w:asciiTheme="minorHAnsi" w:hAnsiTheme="minorHAnsi" w:cstheme="minorHAnsi"/>
          <w:sz w:val="28"/>
          <w:szCs w:val="28"/>
        </w:rPr>
      </w:pPr>
      <w:r w:rsidRPr="005E1103">
        <w:rPr>
          <w:rFonts w:asciiTheme="minorHAnsi" w:hAnsiTheme="minorHAnsi" w:cstheme="minorHAnsi"/>
          <w:sz w:val="28"/>
          <w:szCs w:val="28"/>
        </w:rPr>
        <w:t>En referencia a la planificación docente, esta se ha centrado en dos líneas de acción complementarias y simultáneas.</w:t>
      </w:r>
    </w:p>
    <w:p w:rsidR="009B60AB" w:rsidRPr="005E1103" w:rsidRDefault="009B60AB" w:rsidP="009B60AB">
      <w:pPr>
        <w:pStyle w:val="NormalWeb"/>
        <w:tabs>
          <w:tab w:val="left" w:pos="0"/>
        </w:tabs>
        <w:spacing w:before="0" w:beforeAutospacing="0" w:after="0" w:afterAutospacing="0" w:line="360" w:lineRule="auto"/>
        <w:jc w:val="both"/>
        <w:rPr>
          <w:rFonts w:asciiTheme="minorHAnsi" w:hAnsiTheme="minorHAnsi" w:cstheme="minorHAnsi"/>
          <w:color w:val="222222"/>
          <w:sz w:val="28"/>
          <w:szCs w:val="28"/>
        </w:rPr>
      </w:pPr>
      <w:r w:rsidRPr="005E1103">
        <w:rPr>
          <w:rFonts w:asciiTheme="minorHAnsi" w:hAnsiTheme="minorHAnsi" w:cstheme="minorHAnsi"/>
          <w:color w:val="222222"/>
          <w:sz w:val="28"/>
          <w:szCs w:val="28"/>
        </w:rPr>
        <w:t>a. Proporcionar al alumnado informaciones con un alto grado de elaboración.</w:t>
      </w:r>
      <w:r w:rsidRPr="005E1103">
        <w:rPr>
          <w:rFonts w:asciiTheme="minorHAnsi" w:hAnsiTheme="minorHAnsi" w:cstheme="minorHAnsi"/>
          <w:color w:val="222222"/>
          <w:sz w:val="28"/>
          <w:szCs w:val="28"/>
        </w:rPr>
        <w:br/>
        <w:t xml:space="preserve">Facilitándole conocimientos que sólo se podrían obtener con un gran esfuerzo de síntesis de informaciones y documentaciones generalmente dispersas.  Siendo una docencia eminentemente transmisora, la cual obliga a tener presente la necesidad de fomentar una lectura crítica y reflexiva de las materias, para favorecer unos conocimientos significativos y relevantes. </w:t>
      </w:r>
    </w:p>
    <w:p w:rsidR="009B60AB" w:rsidRPr="005E1103" w:rsidRDefault="009B60AB" w:rsidP="009B60AB">
      <w:pPr>
        <w:pStyle w:val="Default"/>
        <w:spacing w:line="360" w:lineRule="auto"/>
        <w:jc w:val="both"/>
        <w:rPr>
          <w:rFonts w:asciiTheme="minorHAnsi" w:hAnsiTheme="minorHAnsi" w:cstheme="minorHAnsi"/>
          <w:color w:val="222222"/>
          <w:sz w:val="28"/>
          <w:szCs w:val="28"/>
        </w:rPr>
      </w:pPr>
      <w:r w:rsidRPr="005E1103">
        <w:rPr>
          <w:rFonts w:asciiTheme="minorHAnsi" w:hAnsiTheme="minorHAnsi" w:cstheme="minorHAnsi"/>
          <w:color w:val="222222"/>
          <w:sz w:val="28"/>
          <w:szCs w:val="28"/>
        </w:rPr>
        <w:t>b. Facilitar al alumnado el acceso a experiencias de auto aprendizaje.</w:t>
      </w:r>
      <w:r w:rsidRPr="005E1103">
        <w:rPr>
          <w:rFonts w:asciiTheme="minorHAnsi" w:hAnsiTheme="minorHAnsi" w:cstheme="minorHAnsi"/>
          <w:color w:val="222222"/>
          <w:sz w:val="28"/>
          <w:szCs w:val="28"/>
        </w:rPr>
        <w:br/>
        <w:t xml:space="preserve">Realización de experiencias que básicamente han sido significativas y útiles en la adquisición de las habilidades que requiere el perfil profesional para el que estamos formando, apostando por una enseñanza activa. En </w:t>
      </w:r>
      <w:r w:rsidRPr="005E1103">
        <w:rPr>
          <w:rFonts w:asciiTheme="minorHAnsi" w:hAnsiTheme="minorHAnsi" w:cstheme="minorHAnsi"/>
          <w:color w:val="222222"/>
          <w:sz w:val="28"/>
          <w:szCs w:val="28"/>
        </w:rPr>
        <w:lastRenderedPageBreak/>
        <w:t xml:space="preserve">las sesiones prácticas, la metodología se ha basado en la vivenciación y simulación, y en el tratamiento de la diversidad. Esta propuesta metodológica ha sido dirigida con el fin de que el alumnado desarrollas una capacidad de análisis crítico, procesando la experiencia realizada y poder aplicarla en su futuro profesional. En definitiva, reflexionar sobre la propia acción, y así poder asimilar los contenidos de una forma más comprensiva que en las más tradicionales.  </w:t>
      </w:r>
    </w:p>
    <w:p w:rsidR="009B60AB" w:rsidRPr="005E1103" w:rsidRDefault="009B60AB" w:rsidP="009B60AB">
      <w:pPr>
        <w:pStyle w:val="Default"/>
        <w:spacing w:line="360" w:lineRule="auto"/>
        <w:jc w:val="both"/>
        <w:rPr>
          <w:rFonts w:asciiTheme="minorHAnsi" w:hAnsiTheme="minorHAnsi" w:cstheme="minorHAnsi"/>
          <w:color w:val="222222"/>
          <w:sz w:val="28"/>
          <w:szCs w:val="28"/>
        </w:rPr>
      </w:pPr>
      <w:r w:rsidRPr="005E1103">
        <w:rPr>
          <w:rFonts w:asciiTheme="minorHAnsi" w:hAnsiTheme="minorHAnsi" w:cstheme="minorHAnsi"/>
          <w:color w:val="222222"/>
          <w:sz w:val="28"/>
          <w:szCs w:val="28"/>
        </w:rPr>
        <w:t xml:space="preserve">Globalmente entendida, las planificaciones curriculares utilizadas por el profesorado de CAFE Blanquerna ofrece al alumnado diferentes actividades organizadas que, bajo la lógica orientación del profesor, les ayuda a construir su propio conocimiento. Las experiencias prácticas han consolidado los procesos deductivos. </w:t>
      </w:r>
    </w:p>
    <w:p w:rsidR="009B60AB" w:rsidRPr="005E1103" w:rsidRDefault="009B60AB" w:rsidP="009B60AB">
      <w:pPr>
        <w:pStyle w:val="Default"/>
        <w:spacing w:line="360" w:lineRule="auto"/>
        <w:jc w:val="both"/>
        <w:rPr>
          <w:rFonts w:asciiTheme="minorHAnsi" w:hAnsiTheme="minorHAnsi" w:cstheme="minorHAnsi"/>
          <w:sz w:val="28"/>
          <w:szCs w:val="28"/>
        </w:rPr>
      </w:pPr>
      <w:r w:rsidRPr="005E1103">
        <w:rPr>
          <w:rFonts w:asciiTheme="minorHAnsi" w:hAnsiTheme="minorHAnsi" w:cstheme="minorHAnsi"/>
          <w:sz w:val="28"/>
          <w:szCs w:val="28"/>
        </w:rPr>
        <w:t xml:space="preserve">En el diseño curricular adaptado del actual grado de CAFE Blanquerna-URL también  adquiere gran importancia, en los módulos y las materias de tipo práctico, la introducción a las actividades físicas y deporte, el aprendizaje motriz y la adaptación específica para las diversas discapacidades y necesidades educativas especiales de sus  potenciales alumnos. </w:t>
      </w:r>
    </w:p>
    <w:p w:rsidR="009B60AB" w:rsidRPr="005E1103" w:rsidRDefault="009B60AB" w:rsidP="009B60AB">
      <w:pPr>
        <w:suppressAutoHyphens/>
        <w:spacing w:after="0" w:line="360" w:lineRule="auto"/>
        <w:jc w:val="both"/>
        <w:rPr>
          <w:rFonts w:eastAsia="Calibri" w:cstheme="minorHAnsi"/>
          <w:spacing w:val="-3"/>
          <w:sz w:val="28"/>
          <w:szCs w:val="28"/>
        </w:rPr>
      </w:pPr>
    </w:p>
    <w:p w:rsidR="009B60AB" w:rsidRPr="005E1103" w:rsidRDefault="009B60AB" w:rsidP="009B60AB">
      <w:pPr>
        <w:suppressAutoHyphens/>
        <w:spacing w:after="0" w:line="360" w:lineRule="auto"/>
        <w:jc w:val="both"/>
        <w:rPr>
          <w:rFonts w:eastAsia="Calibri" w:cstheme="minorHAnsi"/>
          <w:b/>
          <w:spacing w:val="-3"/>
          <w:sz w:val="28"/>
          <w:szCs w:val="28"/>
        </w:rPr>
      </w:pPr>
      <w:r w:rsidRPr="005E1103">
        <w:rPr>
          <w:rFonts w:eastAsia="Calibri" w:cstheme="minorHAnsi"/>
          <w:b/>
          <w:spacing w:val="-3"/>
          <w:sz w:val="28"/>
          <w:szCs w:val="28"/>
        </w:rPr>
        <w:t>Conclusiones / Reflexiones</w:t>
      </w:r>
    </w:p>
    <w:p w:rsidR="009B60AB" w:rsidRPr="005E1103" w:rsidRDefault="009B60AB" w:rsidP="009B60AB">
      <w:pPr>
        <w:spacing w:after="0" w:line="360" w:lineRule="auto"/>
        <w:jc w:val="both"/>
        <w:rPr>
          <w:rFonts w:cstheme="minorHAnsi"/>
          <w:sz w:val="28"/>
          <w:szCs w:val="28"/>
        </w:rPr>
      </w:pPr>
      <w:r w:rsidRPr="005E1103">
        <w:rPr>
          <w:rFonts w:cstheme="minorHAnsi"/>
          <w:sz w:val="28"/>
          <w:szCs w:val="28"/>
        </w:rPr>
        <w:t xml:space="preserve">La adaptación de los estudios en Ciencias de la Actividad Física y del Deporte, licenciatura y grado, son un aportación más  para cubrir las dificultes y las carencias  en la formación universitaria de nuestro país y permite la formación integral de las personas con y sin discapacitado dentro de la comunidad educativa Blanquerna-URL siguiendo los conceptos inclusivos y de respecto a la diversidad. </w:t>
      </w:r>
    </w:p>
    <w:p w:rsidR="009B60AB" w:rsidRPr="005E1103" w:rsidRDefault="009B60AB" w:rsidP="009B60AB">
      <w:pPr>
        <w:spacing w:after="0" w:line="360" w:lineRule="auto"/>
        <w:jc w:val="both"/>
        <w:rPr>
          <w:rFonts w:cstheme="minorHAnsi"/>
          <w:sz w:val="28"/>
          <w:szCs w:val="28"/>
        </w:rPr>
      </w:pPr>
      <w:r w:rsidRPr="005E1103">
        <w:rPr>
          <w:rFonts w:cstheme="minorHAnsi"/>
          <w:sz w:val="28"/>
          <w:szCs w:val="28"/>
        </w:rPr>
        <w:t xml:space="preserve">Esta adaptación de los estudios a las personas con discapacitados y necesidades educativas especiales,  no surge de una inquietud coyuntural, </w:t>
      </w:r>
      <w:r w:rsidRPr="005E1103">
        <w:rPr>
          <w:rFonts w:cstheme="minorHAnsi"/>
          <w:sz w:val="28"/>
          <w:szCs w:val="28"/>
        </w:rPr>
        <w:lastRenderedPageBreak/>
        <w:t>sino que acontece un punto distintivo de la filosofía de nuestra universidad. Principios éticos y sociales que se manifiestan en la educación personalizada y en el método Blanquerna-URL, conforman un proyecto que tiene como último referente “la eficacia de la enseñanza, la democratización de la sociedad y de las instituciones educativas, y la atención exquisita a la dignidad humana”.</w:t>
      </w:r>
    </w:p>
    <w:p w:rsidR="009B60AB" w:rsidRPr="005E1103" w:rsidRDefault="009B60AB" w:rsidP="009B60AB">
      <w:pPr>
        <w:spacing w:after="0" w:line="360" w:lineRule="auto"/>
        <w:jc w:val="both"/>
        <w:rPr>
          <w:rFonts w:cstheme="minorHAnsi"/>
          <w:sz w:val="28"/>
          <w:szCs w:val="28"/>
        </w:rPr>
      </w:pPr>
      <w:r w:rsidRPr="005E1103">
        <w:rPr>
          <w:rFonts w:cstheme="minorHAnsi"/>
          <w:sz w:val="28"/>
          <w:szCs w:val="28"/>
        </w:rPr>
        <w:t>En efecto, ampliar las posibilidades de formación integral y de calidad de las personas con discapacitado supone el incremento de la calidad de la oferta educativa y de valores para todos.</w:t>
      </w:r>
    </w:p>
    <w:p w:rsidR="009B60AB" w:rsidRPr="005E1103" w:rsidRDefault="009B60AB" w:rsidP="009B60AB">
      <w:pPr>
        <w:autoSpaceDE w:val="0"/>
        <w:autoSpaceDN w:val="0"/>
        <w:adjustRightInd w:val="0"/>
        <w:spacing w:after="0" w:line="360" w:lineRule="auto"/>
        <w:jc w:val="both"/>
        <w:rPr>
          <w:rFonts w:cstheme="minorHAnsi"/>
          <w:b/>
          <w:i/>
          <w:color w:val="FF0000"/>
          <w:sz w:val="28"/>
          <w:szCs w:val="28"/>
        </w:rPr>
      </w:pPr>
    </w:p>
    <w:p w:rsidR="009B60AB" w:rsidRPr="005E1103" w:rsidRDefault="009B60AB" w:rsidP="009B60AB">
      <w:pPr>
        <w:spacing w:line="360" w:lineRule="auto"/>
        <w:rPr>
          <w:rFonts w:cstheme="minorHAnsi"/>
          <w:b/>
          <w:sz w:val="28"/>
          <w:szCs w:val="28"/>
        </w:rPr>
      </w:pPr>
      <w:r w:rsidRPr="005E1103">
        <w:rPr>
          <w:rFonts w:cstheme="minorHAnsi"/>
          <w:b/>
          <w:sz w:val="28"/>
          <w:szCs w:val="28"/>
        </w:rPr>
        <w:t>Bibliografia:</w:t>
      </w:r>
    </w:p>
    <w:p w:rsidR="009B60AB" w:rsidRPr="005E1103" w:rsidRDefault="009B60AB" w:rsidP="009B60AB">
      <w:pPr>
        <w:spacing w:line="360" w:lineRule="auto"/>
        <w:jc w:val="both"/>
        <w:rPr>
          <w:rFonts w:cstheme="minorHAnsi"/>
          <w:color w:val="222222"/>
          <w:sz w:val="28"/>
          <w:szCs w:val="28"/>
        </w:rPr>
      </w:pPr>
      <w:r w:rsidRPr="005E1103">
        <w:rPr>
          <w:rFonts w:cstheme="minorHAnsi"/>
          <w:color w:val="222222"/>
          <w:sz w:val="28"/>
          <w:szCs w:val="28"/>
        </w:rPr>
        <w:t xml:space="preserve">Castellana, Montserrat and Ingrid Sala Bars. "La inclusión de los estudiantes con discapacidad en la universidad: un reto para la universidad española en el nuevo espacio europeo de la educación superior." </w:t>
      </w:r>
      <w:r w:rsidRPr="005E1103">
        <w:rPr>
          <w:rFonts w:cstheme="minorHAnsi"/>
          <w:i/>
          <w:iCs/>
          <w:color w:val="222222"/>
          <w:sz w:val="28"/>
          <w:szCs w:val="28"/>
        </w:rPr>
        <w:t>Aloma: revista de psicologia, ciències de l'educació i de l'esport Blanquerna</w:t>
      </w:r>
      <w:r w:rsidRPr="005E1103">
        <w:rPr>
          <w:rFonts w:cstheme="minorHAnsi"/>
          <w:color w:val="222222"/>
          <w:sz w:val="28"/>
          <w:szCs w:val="28"/>
        </w:rPr>
        <w:t xml:space="preserve"> 18 (2006): 209-227.</w:t>
      </w:r>
    </w:p>
    <w:p w:rsidR="009B60AB" w:rsidRPr="005E1103" w:rsidRDefault="009B60AB" w:rsidP="009B60AB">
      <w:pPr>
        <w:spacing w:line="360" w:lineRule="auto"/>
        <w:jc w:val="both"/>
        <w:rPr>
          <w:rFonts w:cstheme="minorHAnsi"/>
          <w:sz w:val="28"/>
          <w:szCs w:val="28"/>
        </w:rPr>
      </w:pPr>
      <w:r w:rsidRPr="005E1103">
        <w:rPr>
          <w:rFonts w:cstheme="minorHAnsi"/>
          <w:sz w:val="28"/>
          <w:szCs w:val="28"/>
        </w:rPr>
        <w:t xml:space="preserve">Catalunya – España (1991). Llei de reconeixement de la Universitat Ramon Llull (URL) de la Fundació Blanquerna. </w:t>
      </w:r>
      <w:r w:rsidRPr="005E1103">
        <w:rPr>
          <w:rFonts w:cstheme="minorHAnsi"/>
          <w:i/>
          <w:sz w:val="28"/>
          <w:szCs w:val="28"/>
        </w:rPr>
        <w:t>Diari Oficial de la Generalitat de Catalunya</w:t>
      </w:r>
      <w:r w:rsidRPr="005E1103">
        <w:rPr>
          <w:rFonts w:cstheme="minorHAnsi"/>
          <w:sz w:val="28"/>
          <w:szCs w:val="28"/>
        </w:rPr>
        <w:t xml:space="preserve">, 22 de maig de 1991, nº 1445, págs. de 2648 a 2649 . </w:t>
      </w:r>
      <w:r w:rsidRPr="005E1103">
        <w:rPr>
          <w:rFonts w:cstheme="minorHAnsi"/>
          <w:i/>
          <w:sz w:val="28"/>
          <w:szCs w:val="28"/>
        </w:rPr>
        <w:t>Boletín Oficial de Estado,</w:t>
      </w:r>
      <w:r w:rsidRPr="005E1103">
        <w:rPr>
          <w:rFonts w:cstheme="minorHAnsi"/>
          <w:sz w:val="28"/>
          <w:szCs w:val="28"/>
        </w:rPr>
        <w:t xml:space="preserve"> de 6 de Junio de 1991, nº 135 págs. de </w:t>
      </w:r>
      <w:r w:rsidRPr="005E1103">
        <w:rPr>
          <w:rStyle w:val="st1"/>
          <w:rFonts w:cstheme="minorHAnsi"/>
          <w:sz w:val="28"/>
          <w:szCs w:val="28"/>
        </w:rPr>
        <w:t>18461 a 18461</w:t>
      </w:r>
      <w:r w:rsidRPr="005E1103">
        <w:rPr>
          <w:rFonts w:cstheme="minorHAnsi"/>
          <w:sz w:val="28"/>
          <w:szCs w:val="28"/>
        </w:rPr>
        <w:t>.</w:t>
      </w:r>
    </w:p>
    <w:p w:rsidR="009B60AB" w:rsidRPr="005E1103" w:rsidRDefault="009B60AB" w:rsidP="009B60AB">
      <w:pPr>
        <w:spacing w:line="360" w:lineRule="auto"/>
        <w:jc w:val="both"/>
        <w:rPr>
          <w:rFonts w:eastAsia="Times New Roman" w:cstheme="minorHAnsi"/>
          <w:color w:val="222222"/>
          <w:sz w:val="28"/>
          <w:szCs w:val="28"/>
          <w:lang w:val="en-US" w:eastAsia="es-ES"/>
        </w:rPr>
      </w:pPr>
      <w:r w:rsidRPr="005E1103">
        <w:rPr>
          <w:rFonts w:eastAsia="Times New Roman" w:cstheme="minorHAnsi"/>
          <w:color w:val="222222"/>
          <w:sz w:val="28"/>
          <w:szCs w:val="28"/>
          <w:lang w:val="en-US" w:eastAsia="es-ES"/>
        </w:rPr>
        <w:t xml:space="preserve">Dukes III, Lyman L., and Stan F. Shaw. "Using the AHEAD Program Standards and Performance Indicators to promote self-determination in the daily practice of Office of Disability Services." </w:t>
      </w:r>
      <w:r w:rsidRPr="005E1103">
        <w:rPr>
          <w:rFonts w:eastAsia="Times New Roman" w:cstheme="minorHAnsi"/>
          <w:i/>
          <w:iCs/>
          <w:color w:val="222222"/>
          <w:sz w:val="28"/>
          <w:szCs w:val="28"/>
          <w:lang w:val="en-US" w:eastAsia="es-ES"/>
        </w:rPr>
        <w:t>Journal of Postsecondary Education and Disability</w:t>
      </w:r>
      <w:r w:rsidRPr="005E1103">
        <w:rPr>
          <w:rFonts w:eastAsia="Times New Roman" w:cstheme="minorHAnsi"/>
          <w:color w:val="222222"/>
          <w:sz w:val="28"/>
          <w:szCs w:val="28"/>
          <w:lang w:val="en-US" w:eastAsia="es-ES"/>
        </w:rPr>
        <w:t xml:space="preserve"> 21.2 (2008): 105-108.</w:t>
      </w:r>
    </w:p>
    <w:p w:rsidR="009B60AB" w:rsidRPr="005E1103" w:rsidRDefault="009B60AB" w:rsidP="009B60AB">
      <w:pPr>
        <w:spacing w:line="360" w:lineRule="auto"/>
        <w:jc w:val="both"/>
        <w:rPr>
          <w:rFonts w:cstheme="minorHAnsi"/>
          <w:sz w:val="28"/>
          <w:szCs w:val="28"/>
          <w:lang w:val="en-US"/>
        </w:rPr>
      </w:pPr>
      <w:r w:rsidRPr="005E1103">
        <w:rPr>
          <w:rFonts w:cstheme="minorHAnsi"/>
          <w:sz w:val="28"/>
          <w:szCs w:val="28"/>
          <w:lang w:val="en-US"/>
        </w:rPr>
        <w:t xml:space="preserve">Fundació Blanquerna, 2015. </w:t>
      </w:r>
      <w:r w:rsidRPr="005E1103">
        <w:rPr>
          <w:rFonts w:cstheme="minorHAnsi"/>
          <w:i/>
          <w:sz w:val="28"/>
          <w:szCs w:val="28"/>
          <w:lang w:val="en-US"/>
        </w:rPr>
        <w:t>Memòria de sostenibilitat de Blanquerna curs 2014-2015</w:t>
      </w:r>
      <w:r w:rsidRPr="005E1103">
        <w:rPr>
          <w:rFonts w:cstheme="minorHAnsi"/>
          <w:sz w:val="28"/>
          <w:szCs w:val="28"/>
          <w:lang w:val="en-US"/>
        </w:rPr>
        <w:t>. Barcelona, Enablon Publisher Universitat Ramón Llull.</w:t>
      </w:r>
    </w:p>
    <w:p w:rsidR="009B60AB" w:rsidRPr="005E1103" w:rsidRDefault="009B60AB" w:rsidP="009B60AB">
      <w:pPr>
        <w:spacing w:line="360" w:lineRule="auto"/>
        <w:jc w:val="both"/>
        <w:rPr>
          <w:rFonts w:cstheme="minorHAnsi"/>
          <w:bCs/>
          <w:sz w:val="28"/>
          <w:szCs w:val="28"/>
        </w:rPr>
      </w:pPr>
      <w:r w:rsidRPr="005E1103">
        <w:rPr>
          <w:rFonts w:cstheme="minorHAnsi"/>
          <w:bCs/>
          <w:sz w:val="28"/>
          <w:szCs w:val="28"/>
        </w:rPr>
        <w:lastRenderedPageBreak/>
        <w:t>Generalitat de Catalunya (2013). Informe sobre el cens d’estudiants amb discapacitat matriculats a les universitats catalanes curs 2013-2014 (any 2013).</w:t>
      </w:r>
    </w:p>
    <w:p w:rsidR="009B60AB" w:rsidRPr="005E1103" w:rsidRDefault="009B60AB" w:rsidP="009B60AB">
      <w:pPr>
        <w:autoSpaceDE w:val="0"/>
        <w:autoSpaceDN w:val="0"/>
        <w:adjustRightInd w:val="0"/>
        <w:spacing w:line="360" w:lineRule="auto"/>
        <w:jc w:val="both"/>
        <w:rPr>
          <w:rFonts w:cstheme="minorHAnsi"/>
          <w:sz w:val="28"/>
          <w:szCs w:val="28"/>
        </w:rPr>
      </w:pPr>
      <w:r w:rsidRPr="005E1103">
        <w:rPr>
          <w:rFonts w:cstheme="minorHAnsi"/>
          <w:sz w:val="28"/>
          <w:szCs w:val="28"/>
        </w:rPr>
        <w:t>Datos básicos del sistema universitario español pertenecientes al curso 2013-2014 del Ministerio de Educación, Cultura y Deporte. Catálogo de publicaciones del Ministerio: mecd.gob.es. Catálogo general de publicaciones oficiales: publicacionesoficiales.boe.es</w:t>
      </w:r>
    </w:p>
    <w:p w:rsidR="009B60AB" w:rsidRPr="005E1103" w:rsidRDefault="009B60AB" w:rsidP="009B60AB">
      <w:pPr>
        <w:spacing w:line="360" w:lineRule="auto"/>
        <w:jc w:val="both"/>
        <w:rPr>
          <w:rFonts w:cstheme="minorHAnsi"/>
          <w:color w:val="222222"/>
          <w:sz w:val="28"/>
          <w:szCs w:val="28"/>
        </w:rPr>
      </w:pPr>
      <w:r w:rsidRPr="005E1103">
        <w:rPr>
          <w:rFonts w:cstheme="minorHAnsi"/>
          <w:color w:val="222222"/>
          <w:sz w:val="28"/>
          <w:szCs w:val="28"/>
        </w:rPr>
        <w:t xml:space="preserve">Martínez Ferrer, Josep Oriol. "Paper de l'activitat física i l'esport adaptat en la normalització de las persones discapacitades." </w:t>
      </w:r>
      <w:r w:rsidRPr="005E1103">
        <w:rPr>
          <w:rFonts w:cstheme="minorHAnsi"/>
          <w:i/>
          <w:iCs/>
          <w:color w:val="222222"/>
          <w:sz w:val="28"/>
          <w:szCs w:val="28"/>
        </w:rPr>
        <w:t>Aloma: revista de psicologia, ciències de l'educació i de l'esport</w:t>
      </w:r>
      <w:r w:rsidRPr="005E1103">
        <w:rPr>
          <w:rFonts w:cstheme="minorHAnsi"/>
          <w:color w:val="222222"/>
          <w:sz w:val="28"/>
          <w:szCs w:val="28"/>
        </w:rPr>
        <w:t xml:space="preserve"> nº 13 (2004:13).</w:t>
      </w:r>
    </w:p>
    <w:p w:rsidR="009B60AB" w:rsidRPr="005E1103" w:rsidRDefault="009B60AB" w:rsidP="009B60AB">
      <w:pPr>
        <w:spacing w:line="360" w:lineRule="auto"/>
        <w:jc w:val="both"/>
        <w:rPr>
          <w:rFonts w:eastAsia="Times New Roman" w:cstheme="minorHAnsi"/>
          <w:color w:val="222222"/>
          <w:sz w:val="28"/>
          <w:szCs w:val="28"/>
          <w:lang w:eastAsia="es-ES"/>
        </w:rPr>
      </w:pPr>
      <w:r w:rsidRPr="005E1103">
        <w:rPr>
          <w:rFonts w:cstheme="minorHAnsi"/>
          <w:color w:val="222222"/>
          <w:sz w:val="28"/>
          <w:szCs w:val="28"/>
        </w:rPr>
        <w:t xml:space="preserve">Martínez Ferrer, Josep Oriol. "Alguns conceptes i recursos per a la introducció de l'activitat física a persones amb discapacitat." </w:t>
      </w:r>
      <w:r w:rsidRPr="005E1103">
        <w:rPr>
          <w:rFonts w:cstheme="minorHAnsi"/>
          <w:i/>
          <w:iCs/>
          <w:color w:val="222222"/>
          <w:sz w:val="28"/>
          <w:szCs w:val="28"/>
        </w:rPr>
        <w:t>Aloma: revista de psicologia, ciències de l'educació i de l'esport Blanquerna</w:t>
      </w:r>
      <w:r w:rsidRPr="005E1103">
        <w:rPr>
          <w:rFonts w:cstheme="minorHAnsi"/>
          <w:color w:val="222222"/>
          <w:sz w:val="28"/>
          <w:szCs w:val="28"/>
        </w:rPr>
        <w:t xml:space="preserve"> 15 (2005:10).</w:t>
      </w:r>
    </w:p>
    <w:p w:rsidR="009B60AB" w:rsidRPr="005E1103" w:rsidRDefault="009B60AB" w:rsidP="009B60AB">
      <w:pPr>
        <w:spacing w:line="360" w:lineRule="auto"/>
        <w:jc w:val="both"/>
        <w:rPr>
          <w:rFonts w:cstheme="minorHAnsi"/>
          <w:sz w:val="28"/>
          <w:szCs w:val="28"/>
        </w:rPr>
      </w:pPr>
      <w:r w:rsidRPr="005E1103">
        <w:rPr>
          <w:rFonts w:cstheme="minorHAnsi"/>
          <w:sz w:val="28"/>
          <w:szCs w:val="28"/>
        </w:rPr>
        <w:t>II(segundo) Estudio Universidad y Discapacidad sobre el grado de inclusión de la discapacidad en el sistema universitario español (2014).</w:t>
      </w:r>
      <w:r w:rsidRPr="005E1103">
        <w:rPr>
          <w:rFonts w:cstheme="minorHAnsi"/>
          <w:color w:val="000000"/>
          <w:sz w:val="28"/>
          <w:szCs w:val="28"/>
        </w:rPr>
        <w:t xml:space="preserve"> Madrid: CERMI, Fundación Universia, PwC, 2014.</w:t>
      </w:r>
    </w:p>
    <w:p w:rsidR="009B60AB" w:rsidRPr="005E1103" w:rsidRDefault="009B60AB" w:rsidP="009B60AB">
      <w:pPr>
        <w:spacing w:line="360" w:lineRule="auto"/>
        <w:jc w:val="both"/>
        <w:rPr>
          <w:rFonts w:cstheme="minorHAnsi"/>
          <w:color w:val="222222"/>
          <w:sz w:val="28"/>
          <w:szCs w:val="28"/>
        </w:rPr>
      </w:pPr>
      <w:r w:rsidRPr="005E1103">
        <w:rPr>
          <w:rFonts w:cstheme="minorHAnsi"/>
          <w:color w:val="222222"/>
          <w:sz w:val="28"/>
          <w:szCs w:val="28"/>
        </w:rPr>
        <w:t xml:space="preserve">Pérez, D., V. López, and P. Iglesias. "La atención a la diversidad en educación física." </w:t>
      </w:r>
      <w:r w:rsidRPr="005E1103">
        <w:rPr>
          <w:rFonts w:cstheme="minorHAnsi"/>
          <w:i/>
          <w:iCs/>
          <w:color w:val="222222"/>
          <w:sz w:val="28"/>
          <w:szCs w:val="28"/>
        </w:rPr>
        <w:t>Sevilla: Wanceulen, Ed. Deportiva, sl[Links]</w:t>
      </w:r>
      <w:r w:rsidRPr="005E1103">
        <w:rPr>
          <w:rFonts w:cstheme="minorHAnsi"/>
          <w:color w:val="222222"/>
          <w:sz w:val="28"/>
          <w:szCs w:val="28"/>
        </w:rPr>
        <w:t xml:space="preserve"> (2004).</w:t>
      </w:r>
    </w:p>
    <w:p w:rsidR="009B60AB" w:rsidRPr="005E1103" w:rsidRDefault="009B60AB" w:rsidP="009B60AB">
      <w:pPr>
        <w:spacing w:line="360" w:lineRule="auto"/>
        <w:rPr>
          <w:rFonts w:eastAsia="Times New Roman" w:cstheme="minorHAnsi"/>
          <w:color w:val="222222"/>
          <w:sz w:val="28"/>
          <w:szCs w:val="28"/>
          <w:lang w:eastAsia="es-ES"/>
        </w:rPr>
      </w:pPr>
      <w:r w:rsidRPr="005E1103">
        <w:rPr>
          <w:rFonts w:eastAsia="Times New Roman" w:cstheme="minorHAnsi"/>
          <w:color w:val="222222"/>
          <w:sz w:val="28"/>
          <w:szCs w:val="28"/>
          <w:lang w:eastAsia="es-ES"/>
        </w:rPr>
        <w:t xml:space="preserve">Villa, Camino Ferreira, María José Vieira Aller, and Javier Vidal García. "Sistema de indicadores sobre el apoyo a los estudiantes con discapacidad en las universidades españolas." </w:t>
      </w:r>
      <w:r w:rsidRPr="005E1103">
        <w:rPr>
          <w:rFonts w:eastAsia="Times New Roman" w:cstheme="minorHAnsi"/>
          <w:i/>
          <w:iCs/>
          <w:color w:val="222222"/>
          <w:sz w:val="28"/>
          <w:szCs w:val="28"/>
          <w:lang w:eastAsia="es-ES"/>
        </w:rPr>
        <w:t>Revista de educación</w:t>
      </w:r>
      <w:r w:rsidRPr="005E1103">
        <w:rPr>
          <w:rFonts w:eastAsia="Times New Roman" w:cstheme="minorHAnsi"/>
          <w:color w:val="222222"/>
          <w:sz w:val="28"/>
          <w:szCs w:val="28"/>
          <w:lang w:eastAsia="es-ES"/>
        </w:rPr>
        <w:t xml:space="preserve"> 363 (2014): 412-444.</w:t>
      </w:r>
    </w:p>
    <w:p w:rsidR="009B60AB" w:rsidRPr="005E1103" w:rsidRDefault="009B60AB">
      <w:pPr>
        <w:rPr>
          <w:rFonts w:eastAsia="Times New Roman" w:cstheme="minorHAnsi"/>
          <w:color w:val="222222"/>
          <w:sz w:val="28"/>
          <w:szCs w:val="28"/>
          <w:lang w:eastAsia="es-ES"/>
        </w:rPr>
      </w:pPr>
      <w:r w:rsidRPr="005E1103">
        <w:rPr>
          <w:rFonts w:eastAsia="Times New Roman" w:cstheme="minorHAnsi"/>
          <w:color w:val="222222"/>
          <w:sz w:val="28"/>
          <w:szCs w:val="28"/>
          <w:lang w:eastAsia="es-ES"/>
        </w:rPr>
        <w:br w:type="page"/>
      </w:r>
    </w:p>
    <w:p w:rsidR="009B60AB" w:rsidRPr="005E1103" w:rsidRDefault="009B60AB" w:rsidP="009B60AB">
      <w:pPr>
        <w:spacing w:line="360" w:lineRule="auto"/>
        <w:jc w:val="both"/>
        <w:rPr>
          <w:rFonts w:eastAsia="Times New Roman" w:cstheme="minorHAnsi"/>
          <w:color w:val="222222"/>
          <w:sz w:val="28"/>
          <w:szCs w:val="28"/>
          <w:lang w:eastAsia="es-ES"/>
        </w:rPr>
      </w:pPr>
      <w:r w:rsidRPr="005E1103">
        <w:rPr>
          <w:rFonts w:eastAsia="Times New Roman" w:cstheme="minorHAnsi"/>
          <w:color w:val="222222"/>
          <w:sz w:val="28"/>
          <w:szCs w:val="28"/>
          <w:lang w:eastAsia="es-ES"/>
        </w:rPr>
        <w:lastRenderedPageBreak/>
        <w:t>Anexo: Tablas.</w:t>
      </w:r>
    </w:p>
    <w:p w:rsidR="005B72C1" w:rsidRPr="005E1103" w:rsidRDefault="009B60AB" w:rsidP="009B60AB">
      <w:pPr>
        <w:spacing w:line="360" w:lineRule="auto"/>
        <w:rPr>
          <w:rFonts w:cstheme="minorHAnsi"/>
          <w:sz w:val="28"/>
          <w:szCs w:val="28"/>
        </w:rPr>
      </w:pPr>
      <w:r w:rsidRPr="005E1103">
        <w:rPr>
          <w:rFonts w:cstheme="minorHAnsi"/>
          <w:noProof/>
          <w:sz w:val="28"/>
          <w:szCs w:val="28"/>
          <w:lang w:eastAsia="es-ES"/>
        </w:rPr>
        <w:drawing>
          <wp:inline distT="0" distB="0" distL="0" distR="0" wp14:anchorId="02C58B61" wp14:editId="6F80C142">
            <wp:extent cx="5400040" cy="3996690"/>
            <wp:effectExtent l="0" t="0" r="0" b="3810"/>
            <wp:docPr id="65" name="Imagen 3"/>
            <wp:cNvGraphicFramePr/>
            <a:graphic xmlns:a="http://schemas.openxmlformats.org/drawingml/2006/main">
              <a:graphicData uri="http://schemas.openxmlformats.org/drawingml/2006/picture">
                <pic:pic xmlns:pic="http://schemas.openxmlformats.org/drawingml/2006/picture">
                  <pic:nvPicPr>
                    <pic:cNvPr id="4" name="3 Imagen"/>
                    <pic:cNvPicPr/>
                  </pic:nvPicPr>
                  <pic:blipFill>
                    <a:blip r:embed="rId111" cstate="print"/>
                    <a:srcRect l="8263" t="11151" r="9838" b="6946"/>
                    <a:stretch>
                      <a:fillRect/>
                    </a:stretch>
                  </pic:blipFill>
                  <pic:spPr bwMode="auto">
                    <a:xfrm>
                      <a:off x="0" y="0"/>
                      <a:ext cx="5400040" cy="3996690"/>
                    </a:xfrm>
                    <a:prstGeom prst="rect">
                      <a:avLst/>
                    </a:prstGeom>
                    <a:noFill/>
                    <a:ln w="9525">
                      <a:noFill/>
                      <a:miter lim="800000"/>
                      <a:headEnd/>
                      <a:tailEnd/>
                    </a:ln>
                  </pic:spPr>
                </pic:pic>
              </a:graphicData>
            </a:graphic>
          </wp:inline>
        </w:drawing>
      </w:r>
    </w:p>
    <w:p w:rsidR="005B72C1" w:rsidRPr="005E1103" w:rsidRDefault="005B72C1" w:rsidP="005B72C1">
      <w:pPr>
        <w:spacing w:after="240" w:line="360" w:lineRule="auto"/>
        <w:jc w:val="both"/>
        <w:rPr>
          <w:rFonts w:eastAsia="Times New Roman" w:cstheme="minorHAnsi"/>
          <w:bCs/>
          <w:color w:val="222222"/>
          <w:sz w:val="28"/>
          <w:szCs w:val="28"/>
          <w:lang w:eastAsia="es-CO"/>
        </w:rPr>
      </w:pPr>
    </w:p>
    <w:p w:rsidR="009B60AB" w:rsidRPr="005E1103" w:rsidRDefault="009B60AB" w:rsidP="009B60AB">
      <w:pPr>
        <w:shd w:val="clear" w:color="auto" w:fill="FFFFFF"/>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 xml:space="preserve">Figura 1. Información del Grado de Ciencias del Deporte en Blanquerna, páginas web oficial en castellano septiembre 2016. http://www.blanquerna.edu/es/grado-ciencias-actividad-fisica-deporte. Consultado 14-09-2016 </w:t>
      </w:r>
    </w:p>
    <w:p w:rsidR="009B60AB" w:rsidRPr="005E1103" w:rsidRDefault="009B60AB" w:rsidP="009B60AB">
      <w:pPr>
        <w:spacing w:before="60" w:after="60" w:line="360" w:lineRule="auto"/>
        <w:ind w:left="284" w:hanging="284"/>
        <w:jc w:val="both"/>
        <w:rPr>
          <w:rFonts w:cstheme="minorHAnsi"/>
          <w:b/>
          <w:sz w:val="28"/>
          <w:szCs w:val="28"/>
        </w:rPr>
      </w:pPr>
    </w:p>
    <w:p w:rsidR="009B60AB" w:rsidRPr="005E1103" w:rsidRDefault="009B60AB" w:rsidP="009B60AB">
      <w:pPr>
        <w:shd w:val="clear" w:color="auto" w:fill="FFFFFF"/>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Tabla 1. Distribución anual de casos de alumnos matriculados desde el inicio de los estudios, 2001; en Ciencias de la Actividad Física y el Deporte en Blanquerna-URL, diferenciados por sexo, discapacidad y adaptación requerida.</w:t>
      </w:r>
    </w:p>
    <w:p w:rsidR="009B60AB" w:rsidRPr="005E1103" w:rsidRDefault="009B60AB">
      <w:pPr>
        <w:rPr>
          <w:rFonts w:eastAsia="Times New Roman" w:cstheme="minorHAnsi"/>
          <w:sz w:val="28"/>
          <w:szCs w:val="28"/>
          <w:lang w:eastAsia="es-ES"/>
        </w:rPr>
      </w:pPr>
      <w:r w:rsidRPr="005E1103">
        <w:rPr>
          <w:rFonts w:eastAsia="Times New Roman" w:cstheme="minorHAnsi"/>
          <w:sz w:val="28"/>
          <w:szCs w:val="28"/>
          <w:lang w:eastAsia="es-ES"/>
        </w:rPr>
        <w:br w:type="page"/>
      </w:r>
    </w:p>
    <w:p w:rsidR="009B60AB" w:rsidRPr="005E1103" w:rsidRDefault="009B60AB" w:rsidP="009B60AB">
      <w:pPr>
        <w:shd w:val="clear" w:color="auto" w:fill="FFFFFF"/>
        <w:spacing w:after="0" w:line="360" w:lineRule="auto"/>
        <w:jc w:val="both"/>
        <w:rPr>
          <w:rFonts w:eastAsia="Times New Roman" w:cstheme="minorHAnsi"/>
          <w:sz w:val="28"/>
          <w:szCs w:val="28"/>
          <w:lang w:eastAsia="es-ES"/>
        </w:rPr>
      </w:pPr>
      <w:r w:rsidRPr="005E1103">
        <w:rPr>
          <w:rFonts w:eastAsia="Times New Roman" w:cstheme="minorHAnsi"/>
          <w:noProof/>
          <w:sz w:val="28"/>
          <w:szCs w:val="28"/>
          <w:lang w:eastAsia="es-ES"/>
        </w:rPr>
        <w:lastRenderedPageBreak/>
        <w:drawing>
          <wp:inline distT="0" distB="0" distL="0" distR="0" wp14:anchorId="3982E396" wp14:editId="6D61BD8B">
            <wp:extent cx="5398770" cy="4107180"/>
            <wp:effectExtent l="19050" t="0" r="0" b="0"/>
            <wp:docPr id="16" name="Imagen 16" descr="F:\Congreso Uni Discapat\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Congreso Uni Discapat\image.png"/>
                    <pic:cNvPicPr>
                      <a:picLocks noChangeAspect="1" noChangeArrowheads="1"/>
                    </pic:cNvPicPr>
                  </pic:nvPicPr>
                  <pic:blipFill>
                    <a:blip r:embed="rId112" cstate="print"/>
                    <a:srcRect/>
                    <a:stretch>
                      <a:fillRect/>
                    </a:stretch>
                  </pic:blipFill>
                  <pic:spPr bwMode="auto">
                    <a:xfrm>
                      <a:off x="0" y="0"/>
                      <a:ext cx="5398770" cy="4107180"/>
                    </a:xfrm>
                    <a:prstGeom prst="rect">
                      <a:avLst/>
                    </a:prstGeom>
                    <a:noFill/>
                    <a:ln w="9525">
                      <a:noFill/>
                      <a:miter lim="800000"/>
                      <a:headEnd/>
                      <a:tailEnd/>
                    </a:ln>
                  </pic:spPr>
                </pic:pic>
              </a:graphicData>
            </a:graphic>
          </wp:inline>
        </w:drawing>
      </w:r>
    </w:p>
    <w:p w:rsidR="009B60AB" w:rsidRPr="005E1103" w:rsidRDefault="009B60AB">
      <w:pPr>
        <w:rPr>
          <w:rFonts w:eastAsia="Times New Roman" w:cstheme="minorHAnsi"/>
          <w:sz w:val="28"/>
          <w:szCs w:val="28"/>
          <w:lang w:eastAsia="es-ES"/>
        </w:rPr>
      </w:pPr>
      <w:r w:rsidRPr="005E1103">
        <w:rPr>
          <w:rFonts w:eastAsia="Times New Roman" w:cstheme="minorHAnsi"/>
          <w:sz w:val="28"/>
          <w:szCs w:val="28"/>
          <w:lang w:eastAsia="es-ES"/>
        </w:rPr>
        <w:br w:type="page"/>
      </w:r>
    </w:p>
    <w:p w:rsidR="009B60AB" w:rsidRPr="005E1103" w:rsidRDefault="009B60AB" w:rsidP="009B60AB">
      <w:pPr>
        <w:spacing w:line="360" w:lineRule="auto"/>
        <w:jc w:val="center"/>
        <w:rPr>
          <w:rFonts w:cstheme="minorHAnsi"/>
          <w:b/>
          <w:sz w:val="28"/>
          <w:szCs w:val="28"/>
        </w:rPr>
      </w:pPr>
      <w:r w:rsidRPr="005E1103">
        <w:rPr>
          <w:rFonts w:cstheme="minorHAnsi"/>
          <w:b/>
          <w:sz w:val="28"/>
          <w:szCs w:val="28"/>
        </w:rPr>
        <w:lastRenderedPageBreak/>
        <w:t>COMUNICACIÓN 12</w:t>
      </w:r>
    </w:p>
    <w:p w:rsidR="009B60AB" w:rsidRPr="005E1103" w:rsidRDefault="009B60AB" w:rsidP="009B60AB">
      <w:pPr>
        <w:pBdr>
          <w:top w:val="single" w:sz="4" w:space="1" w:color="auto"/>
          <w:left w:val="single" w:sz="4" w:space="4" w:color="auto"/>
          <w:bottom w:val="single" w:sz="4" w:space="1" w:color="auto"/>
          <w:right w:val="single" w:sz="4" w:space="4" w:color="auto"/>
        </w:pBdr>
        <w:shd w:val="clear" w:color="auto" w:fill="FFFFFF"/>
        <w:spacing w:after="0" w:line="360" w:lineRule="auto"/>
        <w:jc w:val="center"/>
        <w:rPr>
          <w:rFonts w:eastAsia="Times New Roman" w:cstheme="minorHAnsi"/>
          <w:color w:val="222222"/>
          <w:sz w:val="28"/>
          <w:szCs w:val="28"/>
          <w:lang w:eastAsia="es-ES"/>
        </w:rPr>
      </w:pPr>
      <w:r w:rsidRPr="005E1103">
        <w:rPr>
          <w:rFonts w:eastAsia="Times New Roman" w:cstheme="minorHAnsi"/>
          <w:color w:val="222222"/>
          <w:sz w:val="28"/>
          <w:szCs w:val="28"/>
          <w:lang w:eastAsia="es-ES"/>
        </w:rPr>
        <w:t>Incorporación de contenidos de actividad física y deporte como complemento a la formación de un título de experto universitario para personas con discapacidad.</w:t>
      </w:r>
    </w:p>
    <w:p w:rsidR="009B60AB" w:rsidRPr="005E1103" w:rsidRDefault="009B60AB" w:rsidP="009B60AB">
      <w:pPr>
        <w:spacing w:line="360" w:lineRule="auto"/>
        <w:jc w:val="center"/>
        <w:rPr>
          <w:rFonts w:cstheme="minorHAnsi"/>
          <w:b/>
          <w:sz w:val="28"/>
          <w:szCs w:val="28"/>
        </w:rPr>
      </w:pPr>
    </w:p>
    <w:p w:rsidR="009B60AB" w:rsidRPr="005E1103" w:rsidRDefault="009B60AB" w:rsidP="009B60AB">
      <w:pPr>
        <w:shd w:val="clear" w:color="auto" w:fill="FFFFFF"/>
        <w:spacing w:after="0" w:line="360" w:lineRule="auto"/>
        <w:jc w:val="right"/>
        <w:rPr>
          <w:rFonts w:eastAsia="Times New Roman" w:cstheme="minorHAnsi"/>
          <w:color w:val="222222"/>
          <w:sz w:val="28"/>
          <w:szCs w:val="28"/>
          <w:lang w:eastAsia="es-ES"/>
        </w:rPr>
      </w:pPr>
      <w:r w:rsidRPr="005E1103">
        <w:rPr>
          <w:rFonts w:eastAsia="Times New Roman" w:cstheme="minorHAnsi"/>
          <w:color w:val="222222"/>
          <w:sz w:val="28"/>
          <w:szCs w:val="28"/>
          <w:lang w:eastAsia="es-ES"/>
        </w:rPr>
        <w:t>Alba Roldán</w:t>
      </w:r>
      <w:r w:rsidRPr="005E1103">
        <w:rPr>
          <w:rFonts w:eastAsia="Times New Roman" w:cstheme="minorHAnsi"/>
          <w:color w:val="222222"/>
          <w:sz w:val="28"/>
          <w:szCs w:val="28"/>
          <w:vertAlign w:val="superscript"/>
          <w:lang w:eastAsia="es-ES"/>
        </w:rPr>
        <w:t xml:space="preserve">1 </w:t>
      </w:r>
      <w:r w:rsidRPr="005E1103">
        <w:rPr>
          <w:rFonts w:eastAsia="Times New Roman" w:cstheme="minorHAnsi"/>
          <w:color w:val="222222"/>
          <w:sz w:val="28"/>
          <w:szCs w:val="28"/>
          <w:lang w:eastAsia="es-ES"/>
        </w:rPr>
        <w:t>y Raúl Reina</w:t>
      </w:r>
      <w:r w:rsidRPr="005E1103">
        <w:rPr>
          <w:rFonts w:eastAsia="Times New Roman" w:cstheme="minorHAnsi"/>
          <w:color w:val="222222"/>
          <w:sz w:val="28"/>
          <w:szCs w:val="28"/>
          <w:vertAlign w:val="superscript"/>
          <w:lang w:eastAsia="es-ES"/>
        </w:rPr>
        <w:t>2</w:t>
      </w:r>
    </w:p>
    <w:p w:rsidR="009B60AB" w:rsidRPr="005E1103" w:rsidRDefault="009B60AB" w:rsidP="009B60AB">
      <w:pPr>
        <w:shd w:val="clear" w:color="auto" w:fill="FFFFFF"/>
        <w:spacing w:after="0" w:line="360" w:lineRule="auto"/>
        <w:jc w:val="right"/>
        <w:rPr>
          <w:rFonts w:eastAsia="Times New Roman" w:cstheme="minorHAnsi"/>
          <w:color w:val="222222"/>
          <w:sz w:val="28"/>
          <w:szCs w:val="28"/>
          <w:lang w:eastAsia="es-ES"/>
        </w:rPr>
      </w:pPr>
      <w:r w:rsidRPr="005E1103">
        <w:rPr>
          <w:rFonts w:eastAsia="Times New Roman" w:cstheme="minorHAnsi"/>
          <w:color w:val="222222"/>
          <w:sz w:val="28"/>
          <w:szCs w:val="28"/>
          <w:vertAlign w:val="superscript"/>
          <w:lang w:eastAsia="es-ES"/>
        </w:rPr>
        <w:t xml:space="preserve">1 </w:t>
      </w:r>
      <w:r w:rsidRPr="005E1103">
        <w:rPr>
          <w:rFonts w:eastAsia="Times New Roman" w:cstheme="minorHAnsi"/>
          <w:color w:val="222222"/>
          <w:sz w:val="28"/>
          <w:szCs w:val="28"/>
          <w:lang w:eastAsia="es-ES"/>
        </w:rPr>
        <w:t xml:space="preserve">Profesora Asociada </w:t>
      </w:r>
      <w:r w:rsidRPr="005E1103">
        <w:rPr>
          <w:rFonts w:cstheme="minorHAnsi"/>
          <w:sz w:val="28"/>
          <w:szCs w:val="28"/>
        </w:rPr>
        <w:t>en Actividades Físicas y Deportes Adaptados</w:t>
      </w:r>
    </w:p>
    <w:p w:rsidR="009B60AB" w:rsidRPr="005E1103" w:rsidRDefault="009B60AB" w:rsidP="009B60AB">
      <w:pPr>
        <w:spacing w:after="0" w:line="360" w:lineRule="auto"/>
        <w:jc w:val="right"/>
        <w:rPr>
          <w:rFonts w:cstheme="minorHAnsi"/>
          <w:sz w:val="28"/>
          <w:szCs w:val="28"/>
        </w:rPr>
      </w:pPr>
      <w:r w:rsidRPr="005E1103">
        <w:rPr>
          <w:rFonts w:eastAsia="Times New Roman" w:cstheme="minorHAnsi"/>
          <w:color w:val="222222"/>
          <w:sz w:val="28"/>
          <w:szCs w:val="28"/>
          <w:vertAlign w:val="superscript"/>
          <w:lang w:eastAsia="es-ES"/>
        </w:rPr>
        <w:t>2</w:t>
      </w:r>
      <w:r w:rsidRPr="005E1103">
        <w:rPr>
          <w:rFonts w:cstheme="minorHAnsi"/>
          <w:sz w:val="28"/>
          <w:szCs w:val="28"/>
        </w:rPr>
        <w:t xml:space="preserve"> Titular en Actividades Físicas y Deportes Adaptados</w:t>
      </w:r>
    </w:p>
    <w:p w:rsidR="009B60AB" w:rsidRPr="005E1103" w:rsidRDefault="009B60AB" w:rsidP="009B60AB">
      <w:pPr>
        <w:spacing w:after="0" w:line="360" w:lineRule="auto"/>
        <w:jc w:val="right"/>
        <w:rPr>
          <w:rFonts w:cstheme="minorHAnsi"/>
          <w:sz w:val="28"/>
          <w:szCs w:val="28"/>
        </w:rPr>
      </w:pPr>
      <w:r w:rsidRPr="005E1103">
        <w:rPr>
          <w:rFonts w:cstheme="minorHAnsi"/>
          <w:sz w:val="28"/>
          <w:szCs w:val="28"/>
        </w:rPr>
        <w:t>Universidad Miguel Hernández de Elche</w:t>
      </w:r>
    </w:p>
    <w:p w:rsidR="009B60AB" w:rsidRPr="005E1103" w:rsidRDefault="009B60AB" w:rsidP="009B60AB">
      <w:pPr>
        <w:shd w:val="clear" w:color="auto" w:fill="FFFFFF"/>
        <w:spacing w:after="0" w:line="360" w:lineRule="auto"/>
        <w:jc w:val="right"/>
        <w:rPr>
          <w:rFonts w:eastAsia="Times New Roman" w:cstheme="minorHAnsi"/>
          <w:color w:val="222222"/>
          <w:sz w:val="28"/>
          <w:szCs w:val="28"/>
          <w:lang w:eastAsia="es-ES"/>
        </w:rPr>
      </w:pPr>
      <w:r w:rsidRPr="005E1103">
        <w:rPr>
          <w:rFonts w:eastAsia="Times New Roman" w:cstheme="minorHAnsi"/>
          <w:color w:val="222222"/>
          <w:sz w:val="28"/>
          <w:szCs w:val="28"/>
          <w:lang w:eastAsia="es-ES"/>
        </w:rPr>
        <w:tab/>
      </w:r>
    </w:p>
    <w:p w:rsidR="009B60AB" w:rsidRPr="005E1103" w:rsidRDefault="009B60AB" w:rsidP="009B60AB">
      <w:pPr>
        <w:spacing w:line="360" w:lineRule="auto"/>
        <w:ind w:firstLine="708"/>
        <w:jc w:val="both"/>
        <w:rPr>
          <w:rFonts w:cstheme="minorHAnsi"/>
          <w:sz w:val="28"/>
          <w:szCs w:val="28"/>
        </w:rPr>
      </w:pPr>
      <w:r w:rsidRPr="005E1103">
        <w:rPr>
          <w:rFonts w:cstheme="minorHAnsi"/>
          <w:sz w:val="28"/>
          <w:szCs w:val="28"/>
        </w:rPr>
        <w:t>Los Derechos de las Personas con Discapacidad, aprobados por la Asamblea General de las Naciones Unidas el 3 diciembre de 2006 (UN, 2006), y ratificada en España al año siguiente, remarca las obligaciones de los Estados Miembros en el desarrollo de programas de formación e investigación que permitan mejorar la igualdad de oportunidades, la accesibilidad universal y la calidad de vida de las personas con discapacidad.</w:t>
      </w:r>
    </w:p>
    <w:p w:rsidR="009B60AB" w:rsidRPr="005E1103" w:rsidRDefault="009B60AB" w:rsidP="009B60AB">
      <w:pPr>
        <w:spacing w:line="360" w:lineRule="auto"/>
        <w:ind w:firstLine="708"/>
        <w:jc w:val="both"/>
        <w:rPr>
          <w:rFonts w:cstheme="minorHAnsi"/>
          <w:sz w:val="28"/>
          <w:szCs w:val="28"/>
        </w:rPr>
      </w:pPr>
      <w:r w:rsidRPr="005E1103">
        <w:rPr>
          <w:rFonts w:cstheme="minorHAnsi"/>
          <w:sz w:val="28"/>
          <w:szCs w:val="28"/>
        </w:rPr>
        <w:t xml:space="preserve">El modo en el que se estructura y funciona la sociedad tiene como resultado que los colectivos de personas con discapacidad conformen un grupo vulnerable, muchas veces en condiciones de exclusión. Así, se produciría una merma de sus derechos y libertades fundamentales, condicionando u obstaculizando su desarrollo personal, el disfrute de los recursos y servicios disponibles para toda la población, y la posibilidad de contribuir con sus capacidades al progreso de la sociedad. </w:t>
      </w:r>
    </w:p>
    <w:p w:rsidR="009B60AB" w:rsidRPr="005E1103" w:rsidRDefault="009B60AB" w:rsidP="009B60AB">
      <w:pPr>
        <w:spacing w:line="360" w:lineRule="auto"/>
        <w:ind w:firstLine="708"/>
        <w:jc w:val="both"/>
        <w:rPr>
          <w:rFonts w:cstheme="minorHAnsi"/>
          <w:sz w:val="28"/>
          <w:szCs w:val="28"/>
        </w:rPr>
      </w:pPr>
      <w:r w:rsidRPr="005E1103">
        <w:rPr>
          <w:rFonts w:cstheme="minorHAnsi"/>
          <w:sz w:val="28"/>
          <w:szCs w:val="28"/>
        </w:rPr>
        <w:t xml:space="preserve">La necesidad de una vida plena y normalizada, unido a la necesidad de realización personal, mueven a todas las personas. A pesar de los </w:t>
      </w:r>
      <w:r w:rsidRPr="005E1103">
        <w:rPr>
          <w:rFonts w:cstheme="minorHAnsi"/>
          <w:sz w:val="28"/>
          <w:szCs w:val="28"/>
        </w:rPr>
        <w:lastRenderedPageBreak/>
        <w:t>innegables progresos sociales alcanzados, las personas con diversidad funcional ven limitados en ocasiones esos derechos en el acceso o uso de entornos, procesos o servicios, ya sea porque no han sido concebidos teniendo en cuenta sus necesidades específicas, o bien se revelan expresamente restrictivos a su participación en ellos.</w:t>
      </w:r>
    </w:p>
    <w:p w:rsidR="009B60AB" w:rsidRPr="005E1103" w:rsidRDefault="009B60AB" w:rsidP="009B60AB">
      <w:pPr>
        <w:spacing w:line="360" w:lineRule="auto"/>
        <w:ind w:firstLine="708"/>
        <w:jc w:val="both"/>
        <w:rPr>
          <w:rFonts w:cstheme="minorHAnsi"/>
          <w:sz w:val="28"/>
          <w:szCs w:val="28"/>
        </w:rPr>
      </w:pPr>
      <w:r w:rsidRPr="005E1103">
        <w:rPr>
          <w:rFonts w:cstheme="minorHAnsi"/>
          <w:sz w:val="28"/>
          <w:szCs w:val="28"/>
        </w:rPr>
        <w:t>La siguiente propuesta de inclusión de actividades físicas y deportivas en un programa formativo de cualificación profesional para personas con discapacidad intelectual, se ubica dentro de las actividades de la Cátedra Universitaria de Discapacidad y Empleabilidad TEMPE-APSA, nacida en 2016. TEMPE es la empresa del Grupo Inditex que diseña, comercializa y distribuye el calzado y los complementos para sus formatos comerciales (Zara, Pull&amp;Bear, Massimo Dutti, Bershka, Stradivarius, Oysho, Zara Home y Uterqüe). Esta empresa cuenta con una estructura flexible y una fuerte orientación al cliente en todas sus áreas de actividad: diseño, comercial, logística y distribución. La clave de este modelo de negocio, en el que se controlan todos los procesos, es la capacidad de adaptar la oferta a los deseos de los clientes en el menor tiempo posible. TEMPE cree que la empresa es un agente integrado en el entorno y en la sociedad, teniendo la responsabilidad de ser consciente de su impacto, minimizando (o extinguiendo) los efectos negativos de su actividad y optimizando los positivos. Para ello utilizan tres estrategias: i) el compromiso medioambiental; ii) la acción social, e iii) las campañas de sensibilización. Entre los programas de carácter social del Grupo Inditex, cabe destacar el Proyecto denominado FOR &amp; FROM, un proyecto cuyo objetivo principal entre otros es ser referencia para la integración socio-laboral de personas con discapacidad.</w:t>
      </w:r>
    </w:p>
    <w:p w:rsidR="009B60AB" w:rsidRPr="005E1103" w:rsidRDefault="009B60AB" w:rsidP="009B60AB">
      <w:pPr>
        <w:spacing w:line="360" w:lineRule="auto"/>
        <w:ind w:firstLine="708"/>
        <w:jc w:val="both"/>
        <w:rPr>
          <w:rFonts w:cstheme="minorHAnsi"/>
          <w:sz w:val="28"/>
          <w:szCs w:val="28"/>
        </w:rPr>
      </w:pPr>
      <w:r w:rsidRPr="005E1103">
        <w:rPr>
          <w:rFonts w:cstheme="minorHAnsi"/>
          <w:sz w:val="28"/>
          <w:szCs w:val="28"/>
        </w:rPr>
        <w:lastRenderedPageBreak/>
        <w:t>Por su parte, APSA es una entidad sin ánimo de lucro declarada de utilidad pública compuesta por la Asociación APSA y tres centros especiales de empleo. Atiende a alrededor de 2000 personas de todas las edades cada año a través de los servicios que desarrolla en diversas localidades de la provincia de Alicante, por lo que precisa de agentes empresariales, institucionales y sociales que cumplan con las bases constitucionales de los derechos de las personas con discapacidad.</w:t>
      </w:r>
    </w:p>
    <w:p w:rsidR="009B60AB" w:rsidRPr="005E1103" w:rsidRDefault="009B60AB" w:rsidP="009B60AB">
      <w:pPr>
        <w:spacing w:line="360" w:lineRule="auto"/>
        <w:ind w:firstLine="708"/>
        <w:jc w:val="both"/>
        <w:rPr>
          <w:rFonts w:cstheme="minorHAnsi"/>
          <w:sz w:val="28"/>
          <w:szCs w:val="28"/>
        </w:rPr>
      </w:pPr>
      <w:r w:rsidRPr="005E1103">
        <w:rPr>
          <w:rFonts w:cstheme="minorHAnsi"/>
          <w:sz w:val="28"/>
          <w:szCs w:val="28"/>
        </w:rPr>
        <w:t>Entre las principales actividades de la Cátedra sobre Empleabilidad y Discapacidad en su primer curso académico, está la puesta en marcha del Título de Experto Universitario en Tareas Auxiliares de Tiendas. Dicha formación surge como respuesta a la necesidad de crear programas de inclusión y formación de personas con diversidad funcional, en este caso discapacidad intelectual, que ayuden a mejorar y potenciar el compromiso social, a través de la integración social-laboral, y la mejora de calidad de vida. Así, este programa educativo busca estimular las competencias profesionales de las personas con diversidad funcional para afrontar los requerimientos del mercado laboral en el área de actividades de tienda y paquetería de empresas ligadas al sector del calzado; sector, por otra parte, puntero en la ciudad de Elche, y uno de los motores industriales más importantes de la provincia de Alicante.</w:t>
      </w:r>
    </w:p>
    <w:p w:rsidR="009B60AB" w:rsidRPr="005E1103" w:rsidRDefault="009B60AB" w:rsidP="009B60AB">
      <w:pPr>
        <w:spacing w:line="360" w:lineRule="auto"/>
        <w:ind w:firstLine="708"/>
        <w:jc w:val="both"/>
        <w:rPr>
          <w:rFonts w:cstheme="minorHAnsi"/>
          <w:sz w:val="28"/>
          <w:szCs w:val="28"/>
        </w:rPr>
      </w:pPr>
      <w:r w:rsidRPr="005E1103">
        <w:rPr>
          <w:rFonts w:cstheme="minorHAnsi"/>
          <w:sz w:val="28"/>
          <w:szCs w:val="28"/>
        </w:rPr>
        <w:t xml:space="preserve">Los objetivos generales de este curso de experto son: i) mejorar la calidad de vida de las personas con discapacidad intelectual mediante la formación socio-laboral en el entorno universitario y empresarial; ii) adquirir estrategias y recursos, así como desarrollar actitudes, destrezas y habilidades, que capaciten al alumnado para el correcto desempeño de su trabajo como auxiliares de tienda; iii) desarrollar competencias en </w:t>
      </w:r>
      <w:r w:rsidRPr="005E1103">
        <w:rPr>
          <w:rFonts w:cstheme="minorHAnsi"/>
          <w:sz w:val="28"/>
          <w:szCs w:val="28"/>
        </w:rPr>
        <w:lastRenderedPageBreak/>
        <w:t>habilidades laborales en la empresa ordinaria; e iv) capacitar al alumnado en la especialidad de Experto en tareas auxiliares de tienda.</w:t>
      </w:r>
    </w:p>
    <w:p w:rsidR="009B60AB" w:rsidRPr="005E1103" w:rsidRDefault="009B60AB" w:rsidP="009B60AB">
      <w:pPr>
        <w:spacing w:line="360" w:lineRule="auto"/>
        <w:ind w:firstLine="708"/>
        <w:jc w:val="both"/>
        <w:rPr>
          <w:rFonts w:cstheme="minorHAnsi"/>
          <w:sz w:val="28"/>
          <w:szCs w:val="28"/>
        </w:rPr>
      </w:pPr>
      <w:r w:rsidRPr="005E1103">
        <w:rPr>
          <w:rFonts w:cstheme="minorHAnsi"/>
          <w:sz w:val="28"/>
          <w:szCs w:val="28"/>
        </w:rPr>
        <w:t>De forma específica, y vinculado a la propuesta de Activifdad Física Aplicada (AFA), otros objetivos del Título son:</w:t>
      </w:r>
    </w:p>
    <w:p w:rsidR="009B60AB" w:rsidRPr="005E1103" w:rsidRDefault="009B60AB" w:rsidP="009B60AB">
      <w:pPr>
        <w:pStyle w:val="Prrafodelista"/>
        <w:numPr>
          <w:ilvl w:val="0"/>
          <w:numId w:val="58"/>
        </w:numPr>
        <w:spacing w:before="0" w:after="200" w:line="360" w:lineRule="auto"/>
        <w:ind w:left="284" w:hanging="284"/>
        <w:jc w:val="both"/>
        <w:rPr>
          <w:rFonts w:asciiTheme="minorHAnsi" w:hAnsiTheme="minorHAnsi" w:cstheme="minorHAnsi"/>
          <w:sz w:val="28"/>
          <w:szCs w:val="28"/>
        </w:rPr>
      </w:pPr>
      <w:r w:rsidRPr="005E1103">
        <w:rPr>
          <w:rFonts w:asciiTheme="minorHAnsi" w:hAnsiTheme="minorHAnsi" w:cstheme="minorHAnsi"/>
          <w:sz w:val="28"/>
          <w:szCs w:val="28"/>
        </w:rPr>
        <w:t>Conocer y aplicar la organización de la jornada diaria de trabajo en las empresas, favoreciendo las tareas prioritarias y principales respecto a las menos importantes (MÓDULO 1)</w:t>
      </w:r>
    </w:p>
    <w:p w:rsidR="009B60AB" w:rsidRPr="005E1103" w:rsidRDefault="009B60AB" w:rsidP="009B60AB">
      <w:pPr>
        <w:pStyle w:val="Prrafodelista"/>
        <w:numPr>
          <w:ilvl w:val="0"/>
          <w:numId w:val="58"/>
        </w:numPr>
        <w:spacing w:before="0" w:after="200" w:line="360" w:lineRule="auto"/>
        <w:ind w:left="284" w:hanging="284"/>
        <w:jc w:val="both"/>
        <w:rPr>
          <w:rFonts w:asciiTheme="minorHAnsi" w:hAnsiTheme="minorHAnsi" w:cstheme="minorHAnsi"/>
          <w:sz w:val="28"/>
          <w:szCs w:val="28"/>
        </w:rPr>
      </w:pPr>
      <w:r w:rsidRPr="005E1103">
        <w:rPr>
          <w:rFonts w:asciiTheme="minorHAnsi" w:hAnsiTheme="minorHAnsi" w:cstheme="minorHAnsi"/>
          <w:sz w:val="28"/>
          <w:szCs w:val="28"/>
        </w:rPr>
        <w:t>Preparar, ordenar, clasificar los artículos en el punto de venta y almacén (MÓDULO 2, 3)</w:t>
      </w:r>
    </w:p>
    <w:p w:rsidR="009B60AB" w:rsidRPr="005E1103" w:rsidRDefault="009B60AB" w:rsidP="009B60AB">
      <w:pPr>
        <w:pStyle w:val="Prrafodelista"/>
        <w:numPr>
          <w:ilvl w:val="0"/>
          <w:numId w:val="58"/>
        </w:numPr>
        <w:spacing w:before="0" w:after="200" w:line="360" w:lineRule="auto"/>
        <w:ind w:left="284" w:hanging="284"/>
        <w:jc w:val="both"/>
        <w:rPr>
          <w:rFonts w:asciiTheme="minorHAnsi" w:hAnsiTheme="minorHAnsi" w:cstheme="minorHAnsi"/>
          <w:sz w:val="28"/>
          <w:szCs w:val="28"/>
        </w:rPr>
      </w:pPr>
      <w:r w:rsidRPr="005E1103">
        <w:rPr>
          <w:rFonts w:asciiTheme="minorHAnsi" w:hAnsiTheme="minorHAnsi" w:cstheme="minorHAnsi"/>
          <w:sz w:val="28"/>
          <w:szCs w:val="28"/>
        </w:rPr>
        <w:t>Manejar las distintas herramientas del trabajo: ordenador (teclado y ratón), programas informáticos básicos, fotocopiadora, o el teléfono (MÓDULO 4)</w:t>
      </w:r>
    </w:p>
    <w:p w:rsidR="009B60AB" w:rsidRPr="005E1103" w:rsidRDefault="009B60AB" w:rsidP="009B60AB">
      <w:pPr>
        <w:pStyle w:val="Prrafodelista"/>
        <w:numPr>
          <w:ilvl w:val="0"/>
          <w:numId w:val="58"/>
        </w:numPr>
        <w:spacing w:before="0" w:after="200" w:line="360" w:lineRule="auto"/>
        <w:ind w:left="284" w:hanging="284"/>
        <w:jc w:val="both"/>
        <w:rPr>
          <w:rFonts w:asciiTheme="minorHAnsi" w:hAnsiTheme="minorHAnsi" w:cstheme="minorHAnsi"/>
          <w:sz w:val="28"/>
          <w:szCs w:val="28"/>
        </w:rPr>
      </w:pPr>
      <w:r w:rsidRPr="005E1103">
        <w:rPr>
          <w:rFonts w:asciiTheme="minorHAnsi" w:hAnsiTheme="minorHAnsi" w:cstheme="minorHAnsi"/>
          <w:sz w:val="28"/>
          <w:szCs w:val="28"/>
        </w:rPr>
        <w:t>Identificar y controlar los elementos y factores que afectan al proceso de trabajo dentro de una tienda: trabajo productivo, hábitos laborales, habilidades de comunicación eficaz en la empresa (oral y escrita), responsabilidad, seguimiento de instrucciones, etc. (MÓDULO 5, 6, 7)</w:t>
      </w:r>
    </w:p>
    <w:p w:rsidR="009B60AB" w:rsidRPr="005E1103" w:rsidRDefault="009B60AB" w:rsidP="009B60AB">
      <w:pPr>
        <w:pStyle w:val="Prrafodelista"/>
        <w:numPr>
          <w:ilvl w:val="0"/>
          <w:numId w:val="58"/>
        </w:numPr>
        <w:spacing w:before="0" w:after="200" w:line="360" w:lineRule="auto"/>
        <w:ind w:left="284" w:hanging="284"/>
        <w:jc w:val="both"/>
        <w:rPr>
          <w:rFonts w:asciiTheme="minorHAnsi" w:hAnsiTheme="minorHAnsi" w:cstheme="minorHAnsi"/>
          <w:sz w:val="28"/>
          <w:szCs w:val="28"/>
        </w:rPr>
      </w:pPr>
      <w:r w:rsidRPr="005E1103">
        <w:rPr>
          <w:rFonts w:asciiTheme="minorHAnsi" w:hAnsiTheme="minorHAnsi" w:cstheme="minorHAnsi"/>
          <w:sz w:val="28"/>
          <w:szCs w:val="28"/>
        </w:rPr>
        <w:t>Poner en práctica todas las tareas aprendidas en el curso de Experto en tareas auxiliares de tienda (MÓDULO 8)</w:t>
      </w:r>
    </w:p>
    <w:p w:rsidR="009B60AB" w:rsidRPr="005E1103" w:rsidRDefault="009B60AB" w:rsidP="009B60AB">
      <w:pPr>
        <w:pStyle w:val="Prrafodelista"/>
        <w:numPr>
          <w:ilvl w:val="0"/>
          <w:numId w:val="58"/>
        </w:numPr>
        <w:spacing w:before="0" w:after="200" w:line="360" w:lineRule="auto"/>
        <w:ind w:left="284" w:hanging="284"/>
        <w:jc w:val="both"/>
        <w:rPr>
          <w:rFonts w:asciiTheme="minorHAnsi" w:hAnsiTheme="minorHAnsi" w:cstheme="minorHAnsi"/>
          <w:sz w:val="28"/>
          <w:szCs w:val="28"/>
        </w:rPr>
      </w:pPr>
      <w:r w:rsidRPr="005E1103">
        <w:rPr>
          <w:rFonts w:asciiTheme="minorHAnsi" w:hAnsiTheme="minorHAnsi" w:cstheme="minorHAnsi"/>
          <w:sz w:val="28"/>
          <w:szCs w:val="28"/>
        </w:rPr>
        <w:t>Integrar hábitos y formas de ocio saludable y responsable (MÓDULO 9)</w:t>
      </w:r>
    </w:p>
    <w:p w:rsidR="009B60AB" w:rsidRPr="005E1103" w:rsidRDefault="009B60AB" w:rsidP="009B60AB">
      <w:pPr>
        <w:pStyle w:val="Prrafodelista"/>
        <w:numPr>
          <w:ilvl w:val="0"/>
          <w:numId w:val="58"/>
        </w:numPr>
        <w:spacing w:before="0" w:after="200" w:line="360" w:lineRule="auto"/>
        <w:ind w:left="284" w:hanging="284"/>
        <w:jc w:val="both"/>
        <w:rPr>
          <w:rFonts w:asciiTheme="minorHAnsi" w:hAnsiTheme="minorHAnsi" w:cstheme="minorHAnsi"/>
          <w:sz w:val="28"/>
          <w:szCs w:val="28"/>
        </w:rPr>
      </w:pPr>
      <w:r w:rsidRPr="005E1103">
        <w:rPr>
          <w:rFonts w:asciiTheme="minorHAnsi" w:hAnsiTheme="minorHAnsi" w:cstheme="minorHAnsi"/>
          <w:sz w:val="28"/>
          <w:szCs w:val="28"/>
        </w:rPr>
        <w:t xml:space="preserve">Potenciar habilidades adaptativas del alumnado con discapacidad intelectual (MÓDULO 0) </w:t>
      </w:r>
    </w:p>
    <w:p w:rsidR="009B60AB" w:rsidRPr="005E1103" w:rsidRDefault="009B60AB" w:rsidP="009B60AB">
      <w:pPr>
        <w:pStyle w:val="Prrafodelista"/>
        <w:numPr>
          <w:ilvl w:val="0"/>
          <w:numId w:val="58"/>
        </w:numPr>
        <w:spacing w:before="0" w:after="200" w:line="360" w:lineRule="auto"/>
        <w:ind w:left="284" w:hanging="284"/>
        <w:jc w:val="both"/>
        <w:rPr>
          <w:rFonts w:asciiTheme="minorHAnsi" w:hAnsiTheme="minorHAnsi" w:cstheme="minorHAnsi"/>
          <w:sz w:val="28"/>
          <w:szCs w:val="28"/>
        </w:rPr>
      </w:pPr>
      <w:r w:rsidRPr="005E1103">
        <w:rPr>
          <w:rFonts w:asciiTheme="minorHAnsi" w:hAnsiTheme="minorHAnsi" w:cstheme="minorHAnsi"/>
          <w:sz w:val="28"/>
          <w:szCs w:val="28"/>
        </w:rPr>
        <w:t>Proporcionar una formación profesional, ajustada a las diferencias individuales, que les capacite para la inclusión.</w:t>
      </w:r>
    </w:p>
    <w:p w:rsidR="009B60AB" w:rsidRPr="005E1103" w:rsidRDefault="009B60AB" w:rsidP="009B60AB">
      <w:pPr>
        <w:spacing w:line="360" w:lineRule="auto"/>
        <w:ind w:firstLine="708"/>
        <w:jc w:val="both"/>
        <w:rPr>
          <w:rFonts w:cstheme="minorHAnsi"/>
          <w:sz w:val="28"/>
          <w:szCs w:val="28"/>
        </w:rPr>
      </w:pPr>
      <w:r w:rsidRPr="005E1103">
        <w:rPr>
          <w:rFonts w:cstheme="minorHAnsi"/>
          <w:sz w:val="28"/>
          <w:szCs w:val="28"/>
        </w:rPr>
        <w:t xml:space="preserve">De todos es sabido la importancia que la actividad física y deportiva supone para el ser humano, siendo un factor de salud determinante en personas con discapacidad (Rimmer y Marques, 2012). Según las </w:t>
      </w:r>
      <w:r w:rsidRPr="005E1103">
        <w:rPr>
          <w:rFonts w:cstheme="minorHAnsi"/>
          <w:sz w:val="28"/>
          <w:szCs w:val="28"/>
        </w:rPr>
        <w:lastRenderedPageBreak/>
        <w:t>orientaciones de la OMS (2013) en cuanto a una práctica de actividad física saludable, se recomiendan de 3 a 5 sesiones semanales, con una duración de entre 30 y 60 minutos. Con el objetivo de acercarnos a esos estándares, estimular la práctica de actividad física en el colectivo, se ha puesto en práctica una propuesta basada en una sesión semanal de al menos 90 minutos, en la que los alumnos y alumnas del título de Experto incorporan hábitos de vida saludables y de ocio activo, así como desarrollar habilidades específicas y cruciales que pueden mejorar sus posibilidades de empleabilidad (Super, Hermens, Verkooijen, y Koelen, 2014), tales como: trabajo en equipo, el liderazgo, el respeto por los demás, responsabilidad o proactividad, y un espíritu competitivo para saber hacerle frente a los fracasos pero también a los éxitos laborales. La siguiente tabla muestra de forma integrada los contenidos a trabajar en el Módulo de AFA, y su vinculación con los contenidos de los módulos formativos</w:t>
      </w:r>
    </w:p>
    <w:tbl>
      <w:tblPr>
        <w:tblStyle w:val="Tablaconcuadrcula"/>
        <w:tblW w:w="8613" w:type="dxa"/>
        <w:tblLook w:val="04A0" w:firstRow="1" w:lastRow="0" w:firstColumn="1" w:lastColumn="0" w:noHBand="0" w:noVBand="1"/>
      </w:tblPr>
      <w:tblGrid>
        <w:gridCol w:w="1132"/>
        <w:gridCol w:w="2560"/>
        <w:gridCol w:w="2430"/>
        <w:gridCol w:w="2491"/>
      </w:tblGrid>
      <w:tr w:rsidR="009B60AB" w:rsidRPr="005E1103" w:rsidTr="003904C9">
        <w:tc>
          <w:tcPr>
            <w:tcW w:w="1017" w:type="dxa"/>
            <w:tcBorders>
              <w:top w:val="single" w:sz="4" w:space="0" w:color="auto"/>
              <w:left w:val="single" w:sz="4" w:space="0" w:color="auto"/>
              <w:bottom w:val="single" w:sz="4" w:space="0" w:color="auto"/>
              <w:right w:val="single" w:sz="4" w:space="0" w:color="auto"/>
            </w:tcBorders>
            <w:shd w:val="clear" w:color="auto" w:fill="FFD966" w:themeFill="accent4" w:themeFillTint="99"/>
            <w:vAlign w:val="center"/>
            <w:hideMark/>
          </w:tcPr>
          <w:p w:rsidR="009B60AB" w:rsidRPr="005E1103" w:rsidRDefault="009B60AB" w:rsidP="003904C9">
            <w:pPr>
              <w:autoSpaceDE w:val="0"/>
              <w:autoSpaceDN w:val="0"/>
              <w:adjustRightInd w:val="0"/>
              <w:spacing w:before="60" w:line="276" w:lineRule="auto"/>
              <w:jc w:val="center"/>
              <w:rPr>
                <w:rFonts w:cstheme="minorHAnsi"/>
                <w:b/>
                <w:sz w:val="28"/>
                <w:szCs w:val="28"/>
              </w:rPr>
            </w:pPr>
            <w:r w:rsidRPr="005E1103">
              <w:rPr>
                <w:rFonts w:cstheme="minorHAnsi"/>
                <w:b/>
                <w:sz w:val="28"/>
                <w:szCs w:val="28"/>
              </w:rPr>
              <w:t>Módulo</w:t>
            </w:r>
          </w:p>
        </w:tc>
        <w:tc>
          <w:tcPr>
            <w:tcW w:w="2398" w:type="dxa"/>
            <w:tcBorders>
              <w:top w:val="single" w:sz="4" w:space="0" w:color="auto"/>
              <w:left w:val="single" w:sz="4" w:space="0" w:color="auto"/>
              <w:bottom w:val="single" w:sz="4" w:space="0" w:color="auto"/>
              <w:right w:val="single" w:sz="4" w:space="0" w:color="auto"/>
            </w:tcBorders>
            <w:shd w:val="clear" w:color="auto" w:fill="FFD966" w:themeFill="accent4" w:themeFillTint="99"/>
            <w:vAlign w:val="center"/>
            <w:hideMark/>
          </w:tcPr>
          <w:p w:rsidR="009B60AB" w:rsidRPr="005E1103" w:rsidRDefault="009B60AB" w:rsidP="003904C9">
            <w:pPr>
              <w:autoSpaceDE w:val="0"/>
              <w:autoSpaceDN w:val="0"/>
              <w:adjustRightInd w:val="0"/>
              <w:spacing w:before="60" w:line="276" w:lineRule="auto"/>
              <w:jc w:val="center"/>
              <w:rPr>
                <w:rFonts w:cstheme="minorHAnsi"/>
                <w:b/>
                <w:sz w:val="28"/>
                <w:szCs w:val="28"/>
              </w:rPr>
            </w:pPr>
            <w:r w:rsidRPr="005E1103">
              <w:rPr>
                <w:rFonts w:cstheme="minorHAnsi"/>
                <w:b/>
                <w:sz w:val="28"/>
                <w:szCs w:val="28"/>
              </w:rPr>
              <w:t>Denominación Módulo</w:t>
            </w:r>
          </w:p>
        </w:tc>
        <w:tc>
          <w:tcPr>
            <w:tcW w:w="2109" w:type="dxa"/>
            <w:tcBorders>
              <w:top w:val="single" w:sz="4" w:space="0" w:color="auto"/>
              <w:left w:val="single" w:sz="4" w:space="0" w:color="auto"/>
              <w:bottom w:val="single" w:sz="4" w:space="0" w:color="auto"/>
              <w:right w:val="single" w:sz="4" w:space="0" w:color="auto"/>
            </w:tcBorders>
            <w:shd w:val="clear" w:color="auto" w:fill="FFD966" w:themeFill="accent4" w:themeFillTint="99"/>
            <w:vAlign w:val="center"/>
            <w:hideMark/>
          </w:tcPr>
          <w:p w:rsidR="009B60AB" w:rsidRPr="005E1103" w:rsidRDefault="009B60AB" w:rsidP="003904C9">
            <w:pPr>
              <w:autoSpaceDE w:val="0"/>
              <w:autoSpaceDN w:val="0"/>
              <w:adjustRightInd w:val="0"/>
              <w:spacing w:before="60" w:line="276" w:lineRule="auto"/>
              <w:jc w:val="center"/>
              <w:rPr>
                <w:rFonts w:cstheme="minorHAnsi"/>
                <w:b/>
                <w:sz w:val="28"/>
                <w:szCs w:val="28"/>
              </w:rPr>
            </w:pPr>
            <w:r w:rsidRPr="005E1103">
              <w:rPr>
                <w:rFonts w:cstheme="minorHAnsi"/>
                <w:b/>
                <w:sz w:val="28"/>
                <w:szCs w:val="28"/>
              </w:rPr>
              <w:t>Contenido AFD</w:t>
            </w:r>
          </w:p>
        </w:tc>
        <w:tc>
          <w:tcPr>
            <w:tcW w:w="3089" w:type="dxa"/>
            <w:tcBorders>
              <w:top w:val="single" w:sz="4" w:space="0" w:color="auto"/>
              <w:left w:val="single" w:sz="4" w:space="0" w:color="auto"/>
              <w:bottom w:val="single" w:sz="4" w:space="0" w:color="auto"/>
              <w:right w:val="single" w:sz="4" w:space="0" w:color="auto"/>
            </w:tcBorders>
            <w:shd w:val="clear" w:color="auto" w:fill="FFD966" w:themeFill="accent4" w:themeFillTint="99"/>
            <w:vAlign w:val="center"/>
            <w:hideMark/>
          </w:tcPr>
          <w:p w:rsidR="009B60AB" w:rsidRPr="005E1103" w:rsidRDefault="009B60AB" w:rsidP="003904C9">
            <w:pPr>
              <w:autoSpaceDE w:val="0"/>
              <w:autoSpaceDN w:val="0"/>
              <w:adjustRightInd w:val="0"/>
              <w:spacing w:before="60" w:line="276" w:lineRule="auto"/>
              <w:jc w:val="center"/>
              <w:rPr>
                <w:rFonts w:cstheme="minorHAnsi"/>
                <w:b/>
                <w:sz w:val="28"/>
                <w:szCs w:val="28"/>
              </w:rPr>
            </w:pPr>
            <w:r w:rsidRPr="005E1103">
              <w:rPr>
                <w:rFonts w:cstheme="minorHAnsi"/>
                <w:b/>
                <w:sz w:val="28"/>
                <w:szCs w:val="28"/>
              </w:rPr>
              <w:t>Objetivo</w:t>
            </w:r>
          </w:p>
        </w:tc>
      </w:tr>
      <w:tr w:rsidR="009B60AB" w:rsidRPr="005E1103" w:rsidTr="003904C9">
        <w:tc>
          <w:tcPr>
            <w:tcW w:w="1017"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rsidR="009B60AB" w:rsidRPr="005E1103" w:rsidRDefault="009B60AB" w:rsidP="003904C9">
            <w:pPr>
              <w:autoSpaceDE w:val="0"/>
              <w:autoSpaceDN w:val="0"/>
              <w:adjustRightInd w:val="0"/>
              <w:spacing w:before="60" w:line="276" w:lineRule="auto"/>
              <w:jc w:val="center"/>
              <w:rPr>
                <w:rFonts w:cstheme="minorHAnsi"/>
                <w:sz w:val="28"/>
                <w:szCs w:val="28"/>
              </w:rPr>
            </w:pPr>
            <w:r w:rsidRPr="005E1103">
              <w:rPr>
                <w:rFonts w:cstheme="minorHAnsi"/>
                <w:sz w:val="28"/>
                <w:szCs w:val="28"/>
              </w:rPr>
              <w:t>0</w:t>
            </w:r>
          </w:p>
        </w:tc>
        <w:tc>
          <w:tcPr>
            <w:tcW w:w="2398"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9B60AB" w:rsidRPr="005E1103" w:rsidRDefault="009B60AB" w:rsidP="003904C9">
            <w:pPr>
              <w:autoSpaceDE w:val="0"/>
              <w:autoSpaceDN w:val="0"/>
              <w:adjustRightInd w:val="0"/>
              <w:spacing w:before="60" w:line="276" w:lineRule="auto"/>
              <w:jc w:val="center"/>
              <w:rPr>
                <w:rFonts w:cstheme="minorHAnsi"/>
                <w:sz w:val="28"/>
                <w:szCs w:val="28"/>
              </w:rPr>
            </w:pPr>
            <w:r w:rsidRPr="005E1103">
              <w:rPr>
                <w:rFonts w:cstheme="minorHAnsi"/>
                <w:sz w:val="28"/>
                <w:szCs w:val="28"/>
              </w:rPr>
              <w:t>Transversal Habilidades Adaptativas</w:t>
            </w:r>
          </w:p>
        </w:tc>
        <w:tc>
          <w:tcPr>
            <w:tcW w:w="2109" w:type="dxa"/>
            <w:tcBorders>
              <w:top w:val="single" w:sz="4" w:space="0" w:color="auto"/>
              <w:left w:val="single" w:sz="4" w:space="0" w:color="auto"/>
              <w:bottom w:val="single" w:sz="4" w:space="0" w:color="auto"/>
              <w:right w:val="single" w:sz="4" w:space="0" w:color="auto"/>
            </w:tcBorders>
            <w:vAlign w:val="center"/>
            <w:hideMark/>
          </w:tcPr>
          <w:p w:rsidR="009B60AB" w:rsidRPr="005E1103" w:rsidRDefault="009B60AB" w:rsidP="003904C9">
            <w:pPr>
              <w:autoSpaceDE w:val="0"/>
              <w:autoSpaceDN w:val="0"/>
              <w:adjustRightInd w:val="0"/>
              <w:spacing w:before="60" w:line="276" w:lineRule="auto"/>
              <w:jc w:val="center"/>
              <w:rPr>
                <w:rFonts w:cstheme="minorHAnsi"/>
                <w:sz w:val="28"/>
                <w:szCs w:val="28"/>
              </w:rPr>
            </w:pPr>
            <w:r w:rsidRPr="005E1103">
              <w:rPr>
                <w:rFonts w:cstheme="minorHAnsi"/>
                <w:sz w:val="28"/>
                <w:szCs w:val="28"/>
              </w:rPr>
              <w:t>Juegos Cooperativos y de Conocimiento</w:t>
            </w:r>
          </w:p>
        </w:tc>
        <w:tc>
          <w:tcPr>
            <w:tcW w:w="3089" w:type="dxa"/>
            <w:tcBorders>
              <w:top w:val="single" w:sz="4" w:space="0" w:color="auto"/>
              <w:left w:val="single" w:sz="4" w:space="0" w:color="auto"/>
              <w:bottom w:val="single" w:sz="4" w:space="0" w:color="auto"/>
              <w:right w:val="single" w:sz="4" w:space="0" w:color="auto"/>
            </w:tcBorders>
            <w:vAlign w:val="center"/>
            <w:hideMark/>
          </w:tcPr>
          <w:p w:rsidR="009B60AB" w:rsidRPr="005E1103" w:rsidRDefault="009B60AB" w:rsidP="003904C9">
            <w:pPr>
              <w:autoSpaceDE w:val="0"/>
              <w:autoSpaceDN w:val="0"/>
              <w:adjustRightInd w:val="0"/>
              <w:spacing w:before="60" w:line="276" w:lineRule="auto"/>
              <w:jc w:val="center"/>
              <w:rPr>
                <w:rFonts w:cstheme="minorHAnsi"/>
                <w:sz w:val="28"/>
                <w:szCs w:val="28"/>
              </w:rPr>
            </w:pPr>
            <w:r w:rsidRPr="005E1103">
              <w:rPr>
                <w:rFonts w:cstheme="minorHAnsi"/>
                <w:sz w:val="28"/>
                <w:szCs w:val="28"/>
              </w:rPr>
              <w:t>Fomentar un bien clima de grupo y elementos de cohesión grupal basada en la cooperación</w:t>
            </w:r>
          </w:p>
        </w:tc>
      </w:tr>
      <w:tr w:rsidR="009B60AB" w:rsidRPr="005E1103" w:rsidTr="003904C9">
        <w:tc>
          <w:tcPr>
            <w:tcW w:w="1017"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rsidR="009B60AB" w:rsidRPr="005E1103" w:rsidRDefault="009B60AB" w:rsidP="003904C9">
            <w:pPr>
              <w:autoSpaceDE w:val="0"/>
              <w:autoSpaceDN w:val="0"/>
              <w:adjustRightInd w:val="0"/>
              <w:spacing w:before="60" w:line="276" w:lineRule="auto"/>
              <w:jc w:val="center"/>
              <w:rPr>
                <w:rFonts w:cstheme="minorHAnsi"/>
                <w:sz w:val="28"/>
                <w:szCs w:val="28"/>
              </w:rPr>
            </w:pPr>
            <w:r w:rsidRPr="005E1103">
              <w:rPr>
                <w:rFonts w:cstheme="minorHAnsi"/>
                <w:sz w:val="28"/>
                <w:szCs w:val="28"/>
              </w:rPr>
              <w:t>1</w:t>
            </w:r>
          </w:p>
        </w:tc>
        <w:tc>
          <w:tcPr>
            <w:tcW w:w="2398"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9B60AB" w:rsidRPr="005E1103" w:rsidRDefault="009B60AB" w:rsidP="003904C9">
            <w:pPr>
              <w:autoSpaceDE w:val="0"/>
              <w:autoSpaceDN w:val="0"/>
              <w:adjustRightInd w:val="0"/>
              <w:spacing w:before="60" w:line="276" w:lineRule="auto"/>
              <w:jc w:val="center"/>
              <w:rPr>
                <w:rFonts w:cstheme="minorHAnsi"/>
                <w:sz w:val="28"/>
                <w:szCs w:val="28"/>
              </w:rPr>
            </w:pPr>
            <w:r w:rsidRPr="005E1103">
              <w:rPr>
                <w:rFonts w:cstheme="minorHAnsi"/>
                <w:sz w:val="28"/>
                <w:szCs w:val="28"/>
              </w:rPr>
              <w:t>Planificación y Organización de Empresas</w:t>
            </w:r>
          </w:p>
        </w:tc>
        <w:tc>
          <w:tcPr>
            <w:tcW w:w="2109" w:type="dxa"/>
            <w:tcBorders>
              <w:top w:val="single" w:sz="4" w:space="0" w:color="auto"/>
              <w:left w:val="single" w:sz="4" w:space="0" w:color="auto"/>
              <w:bottom w:val="single" w:sz="4" w:space="0" w:color="auto"/>
              <w:right w:val="single" w:sz="4" w:space="0" w:color="auto"/>
            </w:tcBorders>
            <w:vAlign w:val="center"/>
            <w:hideMark/>
          </w:tcPr>
          <w:p w:rsidR="009B60AB" w:rsidRPr="005E1103" w:rsidRDefault="009B60AB" w:rsidP="003904C9">
            <w:pPr>
              <w:autoSpaceDE w:val="0"/>
              <w:autoSpaceDN w:val="0"/>
              <w:adjustRightInd w:val="0"/>
              <w:spacing w:before="60" w:line="276" w:lineRule="auto"/>
              <w:jc w:val="center"/>
              <w:rPr>
                <w:rFonts w:cstheme="minorHAnsi"/>
                <w:sz w:val="28"/>
                <w:szCs w:val="28"/>
              </w:rPr>
            </w:pPr>
            <w:r w:rsidRPr="005E1103">
              <w:rPr>
                <w:rFonts w:cstheme="minorHAnsi"/>
                <w:sz w:val="28"/>
                <w:szCs w:val="28"/>
              </w:rPr>
              <w:t>Juegos de Rol 1</w:t>
            </w:r>
          </w:p>
        </w:tc>
        <w:tc>
          <w:tcPr>
            <w:tcW w:w="3089" w:type="dxa"/>
            <w:tcBorders>
              <w:top w:val="single" w:sz="4" w:space="0" w:color="auto"/>
              <w:left w:val="single" w:sz="4" w:space="0" w:color="auto"/>
              <w:bottom w:val="single" w:sz="4" w:space="0" w:color="auto"/>
              <w:right w:val="single" w:sz="4" w:space="0" w:color="auto"/>
            </w:tcBorders>
            <w:vAlign w:val="center"/>
            <w:hideMark/>
          </w:tcPr>
          <w:p w:rsidR="009B60AB" w:rsidRPr="005E1103" w:rsidRDefault="009B60AB" w:rsidP="003904C9">
            <w:pPr>
              <w:autoSpaceDE w:val="0"/>
              <w:autoSpaceDN w:val="0"/>
              <w:adjustRightInd w:val="0"/>
              <w:spacing w:before="60" w:line="276" w:lineRule="auto"/>
              <w:jc w:val="center"/>
              <w:rPr>
                <w:rFonts w:cstheme="minorHAnsi"/>
                <w:sz w:val="28"/>
                <w:szCs w:val="28"/>
              </w:rPr>
            </w:pPr>
            <w:r w:rsidRPr="005E1103">
              <w:rPr>
                <w:rFonts w:cstheme="minorHAnsi"/>
                <w:sz w:val="28"/>
                <w:szCs w:val="28"/>
              </w:rPr>
              <w:t xml:space="preserve">Se plantean actividades en la que requieren el trabajo de habilidades motrices básicas relacionadas con la </w:t>
            </w:r>
            <w:r w:rsidRPr="005E1103">
              <w:rPr>
                <w:rFonts w:cstheme="minorHAnsi"/>
                <w:sz w:val="28"/>
                <w:szCs w:val="28"/>
              </w:rPr>
              <w:lastRenderedPageBreak/>
              <w:t>organización y estructuración espacial y temporal.</w:t>
            </w:r>
          </w:p>
        </w:tc>
      </w:tr>
      <w:tr w:rsidR="009B60AB" w:rsidRPr="005E1103" w:rsidTr="003904C9">
        <w:tc>
          <w:tcPr>
            <w:tcW w:w="1017"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rsidR="009B60AB" w:rsidRPr="005E1103" w:rsidRDefault="009B60AB" w:rsidP="003904C9">
            <w:pPr>
              <w:autoSpaceDE w:val="0"/>
              <w:autoSpaceDN w:val="0"/>
              <w:adjustRightInd w:val="0"/>
              <w:spacing w:before="60" w:line="276" w:lineRule="auto"/>
              <w:jc w:val="center"/>
              <w:rPr>
                <w:rFonts w:cstheme="minorHAnsi"/>
                <w:sz w:val="28"/>
                <w:szCs w:val="28"/>
              </w:rPr>
            </w:pPr>
            <w:r w:rsidRPr="005E1103">
              <w:rPr>
                <w:rFonts w:cstheme="minorHAnsi"/>
                <w:sz w:val="28"/>
                <w:szCs w:val="28"/>
              </w:rPr>
              <w:lastRenderedPageBreak/>
              <w:t>2</w:t>
            </w:r>
          </w:p>
        </w:tc>
        <w:tc>
          <w:tcPr>
            <w:tcW w:w="2398"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9B60AB" w:rsidRPr="005E1103" w:rsidRDefault="009B60AB" w:rsidP="003904C9">
            <w:pPr>
              <w:autoSpaceDE w:val="0"/>
              <w:autoSpaceDN w:val="0"/>
              <w:adjustRightInd w:val="0"/>
              <w:spacing w:before="60" w:line="276" w:lineRule="auto"/>
              <w:jc w:val="center"/>
              <w:rPr>
                <w:rFonts w:cstheme="minorHAnsi"/>
                <w:sz w:val="28"/>
                <w:szCs w:val="28"/>
              </w:rPr>
            </w:pPr>
            <w:r w:rsidRPr="005E1103">
              <w:rPr>
                <w:rFonts w:cstheme="minorHAnsi"/>
                <w:sz w:val="28"/>
                <w:szCs w:val="28"/>
              </w:rPr>
              <w:t>Organización del Punto de Venta, Almacenaje y Aprovisionamientos.</w:t>
            </w:r>
          </w:p>
        </w:tc>
        <w:tc>
          <w:tcPr>
            <w:tcW w:w="2109" w:type="dxa"/>
            <w:tcBorders>
              <w:top w:val="single" w:sz="4" w:space="0" w:color="auto"/>
              <w:left w:val="single" w:sz="4" w:space="0" w:color="auto"/>
              <w:bottom w:val="single" w:sz="4" w:space="0" w:color="auto"/>
              <w:right w:val="single" w:sz="4" w:space="0" w:color="auto"/>
            </w:tcBorders>
            <w:vAlign w:val="center"/>
            <w:hideMark/>
          </w:tcPr>
          <w:p w:rsidR="009B60AB" w:rsidRPr="005E1103" w:rsidRDefault="009B60AB" w:rsidP="003904C9">
            <w:pPr>
              <w:autoSpaceDE w:val="0"/>
              <w:autoSpaceDN w:val="0"/>
              <w:adjustRightInd w:val="0"/>
              <w:spacing w:before="60" w:line="276" w:lineRule="auto"/>
              <w:jc w:val="center"/>
              <w:rPr>
                <w:rFonts w:cstheme="minorHAnsi"/>
                <w:sz w:val="28"/>
                <w:szCs w:val="28"/>
              </w:rPr>
            </w:pPr>
            <w:r w:rsidRPr="005E1103">
              <w:rPr>
                <w:rFonts w:cstheme="minorHAnsi"/>
                <w:sz w:val="28"/>
                <w:szCs w:val="28"/>
              </w:rPr>
              <w:t>Cualidades Físicas</w:t>
            </w:r>
          </w:p>
        </w:tc>
        <w:tc>
          <w:tcPr>
            <w:tcW w:w="3089" w:type="dxa"/>
            <w:tcBorders>
              <w:top w:val="single" w:sz="4" w:space="0" w:color="auto"/>
              <w:left w:val="single" w:sz="4" w:space="0" w:color="auto"/>
              <w:bottom w:val="single" w:sz="4" w:space="0" w:color="auto"/>
              <w:right w:val="single" w:sz="4" w:space="0" w:color="auto"/>
            </w:tcBorders>
            <w:vAlign w:val="center"/>
            <w:hideMark/>
          </w:tcPr>
          <w:p w:rsidR="009B60AB" w:rsidRPr="005E1103" w:rsidRDefault="009B60AB" w:rsidP="003904C9">
            <w:pPr>
              <w:autoSpaceDE w:val="0"/>
              <w:autoSpaceDN w:val="0"/>
              <w:adjustRightInd w:val="0"/>
              <w:spacing w:before="60" w:line="276" w:lineRule="auto"/>
              <w:jc w:val="center"/>
              <w:rPr>
                <w:rFonts w:cstheme="minorHAnsi"/>
                <w:sz w:val="28"/>
                <w:szCs w:val="28"/>
              </w:rPr>
            </w:pPr>
            <w:r w:rsidRPr="005E1103">
              <w:rPr>
                <w:rFonts w:cstheme="minorHAnsi"/>
                <w:sz w:val="28"/>
                <w:szCs w:val="28"/>
              </w:rPr>
              <w:t>Se hace un trabajo de acondicionamiento físico simulando situaciones relacionadas con los contenidos (p.e. transporte de bultos, organización de elementos en el espacio, etc.)</w:t>
            </w:r>
          </w:p>
        </w:tc>
      </w:tr>
      <w:tr w:rsidR="009B60AB" w:rsidRPr="005E1103" w:rsidTr="003904C9">
        <w:tc>
          <w:tcPr>
            <w:tcW w:w="1017"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rsidR="009B60AB" w:rsidRPr="005E1103" w:rsidRDefault="009B60AB" w:rsidP="003904C9">
            <w:pPr>
              <w:autoSpaceDE w:val="0"/>
              <w:autoSpaceDN w:val="0"/>
              <w:adjustRightInd w:val="0"/>
              <w:spacing w:before="60" w:line="276" w:lineRule="auto"/>
              <w:jc w:val="center"/>
              <w:rPr>
                <w:rFonts w:cstheme="minorHAnsi"/>
                <w:sz w:val="28"/>
                <w:szCs w:val="28"/>
              </w:rPr>
            </w:pPr>
            <w:r w:rsidRPr="005E1103">
              <w:rPr>
                <w:rFonts w:cstheme="minorHAnsi"/>
                <w:sz w:val="28"/>
                <w:szCs w:val="28"/>
              </w:rPr>
              <w:t>3</w:t>
            </w:r>
          </w:p>
        </w:tc>
        <w:tc>
          <w:tcPr>
            <w:tcW w:w="2398"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9B60AB" w:rsidRPr="005E1103" w:rsidRDefault="009B60AB" w:rsidP="003904C9">
            <w:pPr>
              <w:autoSpaceDE w:val="0"/>
              <w:autoSpaceDN w:val="0"/>
              <w:adjustRightInd w:val="0"/>
              <w:spacing w:before="60" w:line="276" w:lineRule="auto"/>
              <w:jc w:val="center"/>
              <w:rPr>
                <w:rFonts w:cstheme="minorHAnsi"/>
                <w:sz w:val="28"/>
                <w:szCs w:val="28"/>
              </w:rPr>
            </w:pPr>
            <w:r w:rsidRPr="005E1103">
              <w:rPr>
                <w:rFonts w:cstheme="minorHAnsi"/>
                <w:sz w:val="28"/>
                <w:szCs w:val="28"/>
              </w:rPr>
              <w:t>Elementos y Factores Del Proceso de Trabajo.</w:t>
            </w:r>
          </w:p>
        </w:tc>
        <w:tc>
          <w:tcPr>
            <w:tcW w:w="2109" w:type="dxa"/>
            <w:tcBorders>
              <w:top w:val="single" w:sz="4" w:space="0" w:color="auto"/>
              <w:left w:val="single" w:sz="4" w:space="0" w:color="auto"/>
              <w:bottom w:val="single" w:sz="4" w:space="0" w:color="auto"/>
              <w:right w:val="single" w:sz="4" w:space="0" w:color="auto"/>
            </w:tcBorders>
            <w:vAlign w:val="center"/>
            <w:hideMark/>
          </w:tcPr>
          <w:p w:rsidR="009B60AB" w:rsidRPr="005E1103" w:rsidRDefault="009B60AB" w:rsidP="003904C9">
            <w:pPr>
              <w:autoSpaceDE w:val="0"/>
              <w:autoSpaceDN w:val="0"/>
              <w:adjustRightInd w:val="0"/>
              <w:spacing w:before="60" w:line="276" w:lineRule="auto"/>
              <w:jc w:val="center"/>
              <w:rPr>
                <w:rFonts w:cstheme="minorHAnsi"/>
                <w:sz w:val="28"/>
                <w:szCs w:val="28"/>
              </w:rPr>
            </w:pPr>
            <w:r w:rsidRPr="005E1103">
              <w:rPr>
                <w:rFonts w:cstheme="minorHAnsi"/>
                <w:sz w:val="28"/>
                <w:szCs w:val="28"/>
              </w:rPr>
              <w:t>Juegos de expresión corporal y comunicación</w:t>
            </w:r>
          </w:p>
        </w:tc>
        <w:tc>
          <w:tcPr>
            <w:tcW w:w="3089" w:type="dxa"/>
            <w:tcBorders>
              <w:top w:val="single" w:sz="4" w:space="0" w:color="auto"/>
              <w:left w:val="single" w:sz="4" w:space="0" w:color="auto"/>
              <w:bottom w:val="single" w:sz="4" w:space="0" w:color="auto"/>
              <w:right w:val="single" w:sz="4" w:space="0" w:color="auto"/>
            </w:tcBorders>
            <w:vAlign w:val="center"/>
            <w:hideMark/>
          </w:tcPr>
          <w:p w:rsidR="009B60AB" w:rsidRPr="005E1103" w:rsidRDefault="009B60AB" w:rsidP="003904C9">
            <w:pPr>
              <w:autoSpaceDE w:val="0"/>
              <w:autoSpaceDN w:val="0"/>
              <w:adjustRightInd w:val="0"/>
              <w:spacing w:before="60" w:line="276" w:lineRule="auto"/>
              <w:jc w:val="center"/>
              <w:rPr>
                <w:rFonts w:cstheme="minorHAnsi"/>
                <w:sz w:val="28"/>
                <w:szCs w:val="28"/>
              </w:rPr>
            </w:pPr>
            <w:r w:rsidRPr="005E1103">
              <w:rPr>
                <w:rFonts w:cstheme="minorHAnsi"/>
                <w:sz w:val="28"/>
                <w:szCs w:val="28"/>
              </w:rPr>
              <w:t>Se trabajan situaciones grupales orientadas a la resolución de situaciones desconocidas o improvisadas con una implicación activa de todo el grupo en el proceso.</w:t>
            </w:r>
          </w:p>
        </w:tc>
      </w:tr>
      <w:tr w:rsidR="009B60AB" w:rsidRPr="005E1103" w:rsidTr="003904C9">
        <w:tc>
          <w:tcPr>
            <w:tcW w:w="1017"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rsidR="009B60AB" w:rsidRPr="005E1103" w:rsidRDefault="009B60AB" w:rsidP="003904C9">
            <w:pPr>
              <w:autoSpaceDE w:val="0"/>
              <w:autoSpaceDN w:val="0"/>
              <w:adjustRightInd w:val="0"/>
              <w:spacing w:before="60" w:line="276" w:lineRule="auto"/>
              <w:jc w:val="center"/>
              <w:rPr>
                <w:rFonts w:cstheme="minorHAnsi"/>
                <w:sz w:val="28"/>
                <w:szCs w:val="28"/>
              </w:rPr>
            </w:pPr>
            <w:r w:rsidRPr="005E1103">
              <w:rPr>
                <w:rFonts w:cstheme="minorHAnsi"/>
                <w:sz w:val="28"/>
                <w:szCs w:val="28"/>
              </w:rPr>
              <w:t>4</w:t>
            </w:r>
          </w:p>
        </w:tc>
        <w:tc>
          <w:tcPr>
            <w:tcW w:w="2398"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9B60AB" w:rsidRPr="005E1103" w:rsidRDefault="009B60AB" w:rsidP="003904C9">
            <w:pPr>
              <w:autoSpaceDE w:val="0"/>
              <w:autoSpaceDN w:val="0"/>
              <w:adjustRightInd w:val="0"/>
              <w:spacing w:before="60" w:line="276" w:lineRule="auto"/>
              <w:jc w:val="center"/>
              <w:rPr>
                <w:rFonts w:cstheme="minorHAnsi"/>
                <w:sz w:val="28"/>
                <w:szCs w:val="28"/>
              </w:rPr>
            </w:pPr>
            <w:r w:rsidRPr="005E1103">
              <w:rPr>
                <w:rFonts w:cstheme="minorHAnsi"/>
                <w:sz w:val="28"/>
                <w:szCs w:val="28"/>
              </w:rPr>
              <w:t>Informática aplicada a Tareas de Tienda y Almacén</w:t>
            </w:r>
          </w:p>
        </w:tc>
        <w:tc>
          <w:tcPr>
            <w:tcW w:w="2109" w:type="dxa"/>
            <w:tcBorders>
              <w:top w:val="single" w:sz="4" w:space="0" w:color="auto"/>
              <w:left w:val="single" w:sz="4" w:space="0" w:color="auto"/>
              <w:bottom w:val="single" w:sz="4" w:space="0" w:color="auto"/>
              <w:right w:val="single" w:sz="4" w:space="0" w:color="auto"/>
            </w:tcBorders>
            <w:vAlign w:val="center"/>
            <w:hideMark/>
          </w:tcPr>
          <w:p w:rsidR="009B60AB" w:rsidRPr="005E1103" w:rsidRDefault="009B60AB" w:rsidP="003904C9">
            <w:pPr>
              <w:autoSpaceDE w:val="0"/>
              <w:autoSpaceDN w:val="0"/>
              <w:adjustRightInd w:val="0"/>
              <w:spacing w:before="60" w:line="276" w:lineRule="auto"/>
              <w:jc w:val="center"/>
              <w:rPr>
                <w:rFonts w:cstheme="minorHAnsi"/>
                <w:sz w:val="28"/>
                <w:szCs w:val="28"/>
              </w:rPr>
            </w:pPr>
            <w:r w:rsidRPr="005E1103">
              <w:rPr>
                <w:rFonts w:cstheme="minorHAnsi"/>
                <w:sz w:val="28"/>
                <w:szCs w:val="28"/>
              </w:rPr>
              <w:t>Apps móviles para el fomento de la actividad física saludable</w:t>
            </w:r>
          </w:p>
        </w:tc>
        <w:tc>
          <w:tcPr>
            <w:tcW w:w="3089" w:type="dxa"/>
            <w:tcBorders>
              <w:top w:val="single" w:sz="4" w:space="0" w:color="auto"/>
              <w:left w:val="single" w:sz="4" w:space="0" w:color="auto"/>
              <w:bottom w:val="single" w:sz="4" w:space="0" w:color="auto"/>
              <w:right w:val="single" w:sz="4" w:space="0" w:color="auto"/>
            </w:tcBorders>
            <w:vAlign w:val="center"/>
            <w:hideMark/>
          </w:tcPr>
          <w:p w:rsidR="009B60AB" w:rsidRPr="005E1103" w:rsidRDefault="009B60AB" w:rsidP="003904C9">
            <w:pPr>
              <w:autoSpaceDE w:val="0"/>
              <w:autoSpaceDN w:val="0"/>
              <w:adjustRightInd w:val="0"/>
              <w:spacing w:before="60" w:line="276" w:lineRule="auto"/>
              <w:jc w:val="center"/>
              <w:rPr>
                <w:rFonts w:cstheme="minorHAnsi"/>
                <w:sz w:val="28"/>
                <w:szCs w:val="28"/>
              </w:rPr>
            </w:pPr>
            <w:r w:rsidRPr="005E1103">
              <w:rPr>
                <w:rFonts w:cstheme="minorHAnsi"/>
                <w:sz w:val="28"/>
                <w:szCs w:val="28"/>
              </w:rPr>
              <w:t xml:space="preserve">En colaboración con una empresa externa, se utiliza una App móvil de seguimiento de la actividad física, con aplicaciones de </w:t>
            </w:r>
            <w:r w:rsidRPr="005E1103">
              <w:rPr>
                <w:rFonts w:cstheme="minorHAnsi"/>
                <w:i/>
                <w:sz w:val="28"/>
                <w:szCs w:val="28"/>
              </w:rPr>
              <w:t>gamificación</w:t>
            </w:r>
            <w:r w:rsidRPr="005E1103">
              <w:rPr>
                <w:rFonts w:cstheme="minorHAnsi"/>
                <w:sz w:val="28"/>
                <w:szCs w:val="28"/>
              </w:rPr>
              <w:t xml:space="preserve"> del </w:t>
            </w:r>
            <w:r w:rsidRPr="005E1103">
              <w:rPr>
                <w:rFonts w:cstheme="minorHAnsi"/>
                <w:sz w:val="28"/>
                <w:szCs w:val="28"/>
              </w:rPr>
              <w:lastRenderedPageBreak/>
              <w:t>grupo que permita la adherencia a la práctica de actividad física y deportiva.</w:t>
            </w:r>
          </w:p>
        </w:tc>
      </w:tr>
      <w:tr w:rsidR="009B60AB" w:rsidRPr="005E1103" w:rsidTr="003904C9">
        <w:tc>
          <w:tcPr>
            <w:tcW w:w="1017"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rsidR="009B60AB" w:rsidRPr="005E1103" w:rsidRDefault="009B60AB" w:rsidP="003904C9">
            <w:pPr>
              <w:autoSpaceDE w:val="0"/>
              <w:autoSpaceDN w:val="0"/>
              <w:adjustRightInd w:val="0"/>
              <w:spacing w:before="60" w:line="276" w:lineRule="auto"/>
              <w:jc w:val="center"/>
              <w:rPr>
                <w:rFonts w:cstheme="minorHAnsi"/>
                <w:sz w:val="28"/>
                <w:szCs w:val="28"/>
              </w:rPr>
            </w:pPr>
            <w:r w:rsidRPr="005E1103">
              <w:rPr>
                <w:rFonts w:cstheme="minorHAnsi"/>
                <w:sz w:val="28"/>
                <w:szCs w:val="28"/>
              </w:rPr>
              <w:lastRenderedPageBreak/>
              <w:t>5</w:t>
            </w:r>
          </w:p>
        </w:tc>
        <w:tc>
          <w:tcPr>
            <w:tcW w:w="2398"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9B60AB" w:rsidRPr="005E1103" w:rsidRDefault="009B60AB" w:rsidP="003904C9">
            <w:pPr>
              <w:autoSpaceDE w:val="0"/>
              <w:autoSpaceDN w:val="0"/>
              <w:adjustRightInd w:val="0"/>
              <w:spacing w:before="60" w:line="276" w:lineRule="auto"/>
              <w:jc w:val="center"/>
              <w:rPr>
                <w:rFonts w:cstheme="minorHAnsi"/>
                <w:sz w:val="28"/>
                <w:szCs w:val="28"/>
              </w:rPr>
            </w:pPr>
            <w:r w:rsidRPr="005E1103">
              <w:rPr>
                <w:rFonts w:cstheme="minorHAnsi"/>
                <w:sz w:val="28"/>
                <w:szCs w:val="28"/>
              </w:rPr>
              <w:t>Diseño, Marketing y Venta de Producto</w:t>
            </w:r>
          </w:p>
        </w:tc>
        <w:tc>
          <w:tcPr>
            <w:tcW w:w="2109" w:type="dxa"/>
            <w:tcBorders>
              <w:top w:val="single" w:sz="4" w:space="0" w:color="auto"/>
              <w:left w:val="single" w:sz="4" w:space="0" w:color="auto"/>
              <w:bottom w:val="single" w:sz="4" w:space="0" w:color="auto"/>
              <w:right w:val="single" w:sz="4" w:space="0" w:color="auto"/>
            </w:tcBorders>
            <w:vAlign w:val="center"/>
            <w:hideMark/>
          </w:tcPr>
          <w:p w:rsidR="009B60AB" w:rsidRPr="005E1103" w:rsidRDefault="009B60AB" w:rsidP="003904C9">
            <w:pPr>
              <w:autoSpaceDE w:val="0"/>
              <w:autoSpaceDN w:val="0"/>
              <w:adjustRightInd w:val="0"/>
              <w:spacing w:before="60" w:line="276" w:lineRule="auto"/>
              <w:jc w:val="center"/>
              <w:rPr>
                <w:rFonts w:cstheme="minorHAnsi"/>
                <w:sz w:val="28"/>
                <w:szCs w:val="28"/>
              </w:rPr>
            </w:pPr>
            <w:r w:rsidRPr="005E1103">
              <w:rPr>
                <w:rFonts w:cstheme="minorHAnsi"/>
                <w:sz w:val="28"/>
                <w:szCs w:val="28"/>
              </w:rPr>
              <w:t>Juegos de rol 2</w:t>
            </w:r>
          </w:p>
        </w:tc>
        <w:tc>
          <w:tcPr>
            <w:tcW w:w="3089" w:type="dxa"/>
            <w:tcBorders>
              <w:top w:val="single" w:sz="4" w:space="0" w:color="auto"/>
              <w:left w:val="single" w:sz="4" w:space="0" w:color="auto"/>
              <w:bottom w:val="single" w:sz="4" w:space="0" w:color="auto"/>
              <w:right w:val="single" w:sz="4" w:space="0" w:color="auto"/>
            </w:tcBorders>
            <w:vAlign w:val="center"/>
            <w:hideMark/>
          </w:tcPr>
          <w:p w:rsidR="009B60AB" w:rsidRPr="005E1103" w:rsidRDefault="009B60AB" w:rsidP="003904C9">
            <w:pPr>
              <w:autoSpaceDE w:val="0"/>
              <w:autoSpaceDN w:val="0"/>
              <w:adjustRightInd w:val="0"/>
              <w:spacing w:before="60" w:line="276" w:lineRule="auto"/>
              <w:jc w:val="center"/>
              <w:rPr>
                <w:rFonts w:cstheme="minorHAnsi"/>
                <w:sz w:val="28"/>
                <w:szCs w:val="28"/>
              </w:rPr>
            </w:pPr>
            <w:r w:rsidRPr="005E1103">
              <w:rPr>
                <w:rFonts w:cstheme="minorHAnsi"/>
                <w:sz w:val="28"/>
                <w:szCs w:val="28"/>
              </w:rPr>
              <w:t>Juegos de rol orientados a la autonomía personal y la creatividad.</w:t>
            </w:r>
          </w:p>
        </w:tc>
      </w:tr>
      <w:tr w:rsidR="009B60AB" w:rsidRPr="005E1103" w:rsidTr="003904C9">
        <w:tc>
          <w:tcPr>
            <w:tcW w:w="1017"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rsidR="009B60AB" w:rsidRPr="005E1103" w:rsidRDefault="009B60AB" w:rsidP="003904C9">
            <w:pPr>
              <w:autoSpaceDE w:val="0"/>
              <w:autoSpaceDN w:val="0"/>
              <w:adjustRightInd w:val="0"/>
              <w:spacing w:before="60" w:line="276" w:lineRule="auto"/>
              <w:jc w:val="center"/>
              <w:rPr>
                <w:rFonts w:cstheme="minorHAnsi"/>
                <w:sz w:val="28"/>
                <w:szCs w:val="28"/>
              </w:rPr>
            </w:pPr>
            <w:r w:rsidRPr="005E1103">
              <w:rPr>
                <w:rFonts w:cstheme="minorHAnsi"/>
                <w:sz w:val="28"/>
                <w:szCs w:val="28"/>
              </w:rPr>
              <w:t>6</w:t>
            </w:r>
          </w:p>
        </w:tc>
        <w:tc>
          <w:tcPr>
            <w:tcW w:w="2398"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9B60AB" w:rsidRPr="005E1103" w:rsidRDefault="009B60AB" w:rsidP="003904C9">
            <w:pPr>
              <w:autoSpaceDE w:val="0"/>
              <w:autoSpaceDN w:val="0"/>
              <w:adjustRightInd w:val="0"/>
              <w:spacing w:before="60" w:line="276" w:lineRule="auto"/>
              <w:jc w:val="center"/>
              <w:rPr>
                <w:rFonts w:cstheme="minorHAnsi"/>
                <w:sz w:val="28"/>
                <w:szCs w:val="28"/>
              </w:rPr>
            </w:pPr>
            <w:r w:rsidRPr="005E1103">
              <w:rPr>
                <w:rFonts w:cstheme="minorHAnsi"/>
                <w:sz w:val="28"/>
                <w:szCs w:val="28"/>
              </w:rPr>
              <w:t>Prevención de Riesgos Laborales. Sensibilización Medioambiental.</w:t>
            </w:r>
          </w:p>
        </w:tc>
        <w:tc>
          <w:tcPr>
            <w:tcW w:w="2109" w:type="dxa"/>
            <w:tcBorders>
              <w:top w:val="single" w:sz="4" w:space="0" w:color="auto"/>
              <w:left w:val="single" w:sz="4" w:space="0" w:color="auto"/>
              <w:bottom w:val="single" w:sz="4" w:space="0" w:color="auto"/>
              <w:right w:val="single" w:sz="4" w:space="0" w:color="auto"/>
            </w:tcBorders>
            <w:vAlign w:val="center"/>
            <w:hideMark/>
          </w:tcPr>
          <w:p w:rsidR="009B60AB" w:rsidRPr="005E1103" w:rsidRDefault="009B60AB" w:rsidP="003904C9">
            <w:pPr>
              <w:autoSpaceDE w:val="0"/>
              <w:autoSpaceDN w:val="0"/>
              <w:adjustRightInd w:val="0"/>
              <w:spacing w:before="60" w:line="276" w:lineRule="auto"/>
              <w:jc w:val="center"/>
              <w:rPr>
                <w:rFonts w:cstheme="minorHAnsi"/>
                <w:sz w:val="28"/>
                <w:szCs w:val="28"/>
              </w:rPr>
            </w:pPr>
            <w:r w:rsidRPr="005E1103">
              <w:rPr>
                <w:rFonts w:cstheme="minorHAnsi"/>
                <w:sz w:val="28"/>
                <w:szCs w:val="28"/>
              </w:rPr>
              <w:t xml:space="preserve">Educación postural y </w:t>
            </w:r>
            <w:r w:rsidRPr="005E1103">
              <w:rPr>
                <w:rFonts w:cstheme="minorHAnsi"/>
                <w:i/>
                <w:sz w:val="28"/>
                <w:szCs w:val="28"/>
              </w:rPr>
              <w:t>core training</w:t>
            </w:r>
          </w:p>
        </w:tc>
        <w:tc>
          <w:tcPr>
            <w:tcW w:w="3089" w:type="dxa"/>
            <w:tcBorders>
              <w:top w:val="single" w:sz="4" w:space="0" w:color="auto"/>
              <w:left w:val="single" w:sz="4" w:space="0" w:color="auto"/>
              <w:bottom w:val="single" w:sz="4" w:space="0" w:color="auto"/>
              <w:right w:val="single" w:sz="4" w:space="0" w:color="auto"/>
            </w:tcBorders>
            <w:vAlign w:val="center"/>
            <w:hideMark/>
          </w:tcPr>
          <w:p w:rsidR="009B60AB" w:rsidRPr="005E1103" w:rsidRDefault="009B60AB" w:rsidP="003904C9">
            <w:pPr>
              <w:autoSpaceDE w:val="0"/>
              <w:autoSpaceDN w:val="0"/>
              <w:adjustRightInd w:val="0"/>
              <w:spacing w:before="60" w:line="276" w:lineRule="auto"/>
              <w:jc w:val="center"/>
              <w:rPr>
                <w:rFonts w:cstheme="minorHAnsi"/>
                <w:sz w:val="28"/>
                <w:szCs w:val="28"/>
              </w:rPr>
            </w:pPr>
            <w:r w:rsidRPr="005E1103">
              <w:rPr>
                <w:rFonts w:cstheme="minorHAnsi"/>
                <w:sz w:val="28"/>
                <w:szCs w:val="28"/>
              </w:rPr>
              <w:t xml:space="preserve">Se trabajan aspectos de ergonomía aplicados al puesto de trabajo mediante ejercicios de entrenamiento de la postura y el </w:t>
            </w:r>
            <w:r w:rsidRPr="005E1103">
              <w:rPr>
                <w:rFonts w:cstheme="minorHAnsi"/>
                <w:i/>
                <w:sz w:val="28"/>
                <w:szCs w:val="28"/>
              </w:rPr>
              <w:t>core</w:t>
            </w:r>
            <w:r w:rsidRPr="005E1103">
              <w:rPr>
                <w:rFonts w:cstheme="minorHAnsi"/>
                <w:sz w:val="28"/>
                <w:szCs w:val="28"/>
              </w:rPr>
              <w:t>, orientado a la prevención de anomalías posturales.</w:t>
            </w:r>
          </w:p>
        </w:tc>
      </w:tr>
      <w:tr w:rsidR="009B60AB" w:rsidRPr="005E1103" w:rsidTr="003904C9">
        <w:tc>
          <w:tcPr>
            <w:tcW w:w="1017"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rsidR="009B60AB" w:rsidRPr="005E1103" w:rsidRDefault="009B60AB" w:rsidP="003904C9">
            <w:pPr>
              <w:autoSpaceDE w:val="0"/>
              <w:autoSpaceDN w:val="0"/>
              <w:adjustRightInd w:val="0"/>
              <w:spacing w:before="60" w:line="276" w:lineRule="auto"/>
              <w:jc w:val="center"/>
              <w:rPr>
                <w:rFonts w:cstheme="minorHAnsi"/>
                <w:sz w:val="28"/>
                <w:szCs w:val="28"/>
              </w:rPr>
            </w:pPr>
            <w:r w:rsidRPr="005E1103">
              <w:rPr>
                <w:rFonts w:cstheme="minorHAnsi"/>
                <w:sz w:val="28"/>
                <w:szCs w:val="28"/>
              </w:rPr>
              <w:t>7</w:t>
            </w:r>
          </w:p>
        </w:tc>
        <w:tc>
          <w:tcPr>
            <w:tcW w:w="2398"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9B60AB" w:rsidRPr="005E1103" w:rsidRDefault="009B60AB" w:rsidP="003904C9">
            <w:pPr>
              <w:autoSpaceDE w:val="0"/>
              <w:autoSpaceDN w:val="0"/>
              <w:adjustRightInd w:val="0"/>
              <w:spacing w:before="60" w:line="276" w:lineRule="auto"/>
              <w:jc w:val="center"/>
              <w:rPr>
                <w:rFonts w:cstheme="minorHAnsi"/>
                <w:sz w:val="28"/>
                <w:szCs w:val="28"/>
              </w:rPr>
            </w:pPr>
            <w:r w:rsidRPr="005E1103">
              <w:rPr>
                <w:rFonts w:cstheme="minorHAnsi"/>
                <w:sz w:val="28"/>
                <w:szCs w:val="28"/>
              </w:rPr>
              <w:t>Formación y Orientación Laboral.</w:t>
            </w:r>
          </w:p>
        </w:tc>
        <w:tc>
          <w:tcPr>
            <w:tcW w:w="2109" w:type="dxa"/>
            <w:tcBorders>
              <w:top w:val="single" w:sz="4" w:space="0" w:color="auto"/>
              <w:left w:val="single" w:sz="4" w:space="0" w:color="auto"/>
              <w:bottom w:val="single" w:sz="4" w:space="0" w:color="auto"/>
              <w:right w:val="single" w:sz="4" w:space="0" w:color="auto"/>
            </w:tcBorders>
            <w:vAlign w:val="center"/>
            <w:hideMark/>
          </w:tcPr>
          <w:p w:rsidR="009B60AB" w:rsidRPr="005E1103" w:rsidRDefault="009B60AB" w:rsidP="003904C9">
            <w:pPr>
              <w:autoSpaceDE w:val="0"/>
              <w:autoSpaceDN w:val="0"/>
              <w:adjustRightInd w:val="0"/>
              <w:spacing w:before="60" w:line="276" w:lineRule="auto"/>
              <w:jc w:val="center"/>
              <w:rPr>
                <w:rFonts w:cstheme="minorHAnsi"/>
                <w:sz w:val="28"/>
                <w:szCs w:val="28"/>
              </w:rPr>
            </w:pPr>
            <w:r w:rsidRPr="005E1103">
              <w:rPr>
                <w:rFonts w:cstheme="minorHAnsi"/>
                <w:sz w:val="28"/>
                <w:szCs w:val="28"/>
              </w:rPr>
              <w:t>Acondicionamiento físico</w:t>
            </w:r>
          </w:p>
        </w:tc>
        <w:tc>
          <w:tcPr>
            <w:tcW w:w="3089" w:type="dxa"/>
            <w:tcBorders>
              <w:top w:val="single" w:sz="4" w:space="0" w:color="auto"/>
              <w:left w:val="single" w:sz="4" w:space="0" w:color="auto"/>
              <w:bottom w:val="single" w:sz="4" w:space="0" w:color="auto"/>
              <w:right w:val="single" w:sz="4" w:space="0" w:color="auto"/>
            </w:tcBorders>
            <w:vAlign w:val="center"/>
            <w:hideMark/>
          </w:tcPr>
          <w:p w:rsidR="009B60AB" w:rsidRPr="005E1103" w:rsidRDefault="009B60AB" w:rsidP="003904C9">
            <w:pPr>
              <w:autoSpaceDE w:val="0"/>
              <w:autoSpaceDN w:val="0"/>
              <w:adjustRightInd w:val="0"/>
              <w:spacing w:before="60" w:line="276" w:lineRule="auto"/>
              <w:jc w:val="center"/>
              <w:rPr>
                <w:rFonts w:cstheme="minorHAnsi"/>
                <w:sz w:val="28"/>
                <w:szCs w:val="28"/>
              </w:rPr>
            </w:pPr>
            <w:r w:rsidRPr="005E1103">
              <w:rPr>
                <w:rFonts w:cstheme="minorHAnsi"/>
                <w:sz w:val="28"/>
                <w:szCs w:val="28"/>
              </w:rPr>
              <w:t>Trabajo por estaciones donde se trabaja de forma autónoma diferentes aspectos condicionales por estaciones, ya de sea de forma individual o cooperativa.</w:t>
            </w:r>
          </w:p>
        </w:tc>
      </w:tr>
      <w:tr w:rsidR="009B60AB" w:rsidRPr="005E1103" w:rsidTr="003904C9">
        <w:tc>
          <w:tcPr>
            <w:tcW w:w="1017"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rsidR="009B60AB" w:rsidRPr="005E1103" w:rsidRDefault="009B60AB" w:rsidP="003904C9">
            <w:pPr>
              <w:autoSpaceDE w:val="0"/>
              <w:autoSpaceDN w:val="0"/>
              <w:adjustRightInd w:val="0"/>
              <w:spacing w:before="60" w:line="276" w:lineRule="auto"/>
              <w:jc w:val="center"/>
              <w:rPr>
                <w:rFonts w:cstheme="minorHAnsi"/>
                <w:sz w:val="28"/>
                <w:szCs w:val="28"/>
              </w:rPr>
            </w:pPr>
            <w:r w:rsidRPr="005E1103">
              <w:rPr>
                <w:rFonts w:cstheme="minorHAnsi"/>
                <w:sz w:val="28"/>
                <w:szCs w:val="28"/>
              </w:rPr>
              <w:t>8</w:t>
            </w:r>
          </w:p>
        </w:tc>
        <w:tc>
          <w:tcPr>
            <w:tcW w:w="2398"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9B60AB" w:rsidRPr="005E1103" w:rsidRDefault="009B60AB" w:rsidP="003904C9">
            <w:pPr>
              <w:autoSpaceDE w:val="0"/>
              <w:autoSpaceDN w:val="0"/>
              <w:adjustRightInd w:val="0"/>
              <w:spacing w:before="60" w:line="276" w:lineRule="auto"/>
              <w:jc w:val="center"/>
              <w:rPr>
                <w:rFonts w:cstheme="minorHAnsi"/>
                <w:sz w:val="28"/>
                <w:szCs w:val="28"/>
              </w:rPr>
            </w:pPr>
            <w:r w:rsidRPr="005E1103">
              <w:rPr>
                <w:rFonts w:cstheme="minorHAnsi"/>
                <w:sz w:val="28"/>
                <w:szCs w:val="28"/>
              </w:rPr>
              <w:t>Prácticas No Laborales</w:t>
            </w:r>
          </w:p>
        </w:tc>
        <w:tc>
          <w:tcPr>
            <w:tcW w:w="2109" w:type="dxa"/>
            <w:tcBorders>
              <w:top w:val="single" w:sz="4" w:space="0" w:color="auto"/>
              <w:left w:val="single" w:sz="4" w:space="0" w:color="auto"/>
              <w:bottom w:val="single" w:sz="4" w:space="0" w:color="auto"/>
              <w:right w:val="single" w:sz="4" w:space="0" w:color="auto"/>
            </w:tcBorders>
            <w:vAlign w:val="center"/>
            <w:hideMark/>
          </w:tcPr>
          <w:p w:rsidR="009B60AB" w:rsidRPr="005E1103" w:rsidRDefault="009B60AB" w:rsidP="003904C9">
            <w:pPr>
              <w:autoSpaceDE w:val="0"/>
              <w:autoSpaceDN w:val="0"/>
              <w:adjustRightInd w:val="0"/>
              <w:spacing w:before="60" w:line="276" w:lineRule="auto"/>
              <w:jc w:val="center"/>
              <w:rPr>
                <w:rFonts w:cstheme="minorHAnsi"/>
                <w:sz w:val="28"/>
                <w:szCs w:val="28"/>
              </w:rPr>
            </w:pPr>
            <w:r w:rsidRPr="005E1103">
              <w:rPr>
                <w:rFonts w:cstheme="minorHAnsi"/>
                <w:sz w:val="28"/>
                <w:szCs w:val="28"/>
              </w:rPr>
              <w:t>Actividades en el medio natural</w:t>
            </w:r>
          </w:p>
        </w:tc>
        <w:tc>
          <w:tcPr>
            <w:tcW w:w="3089" w:type="dxa"/>
            <w:tcBorders>
              <w:top w:val="single" w:sz="4" w:space="0" w:color="auto"/>
              <w:left w:val="single" w:sz="4" w:space="0" w:color="auto"/>
              <w:bottom w:val="single" w:sz="4" w:space="0" w:color="auto"/>
              <w:right w:val="single" w:sz="4" w:space="0" w:color="auto"/>
            </w:tcBorders>
            <w:vAlign w:val="center"/>
            <w:hideMark/>
          </w:tcPr>
          <w:p w:rsidR="009B60AB" w:rsidRPr="005E1103" w:rsidRDefault="009B60AB" w:rsidP="003904C9">
            <w:pPr>
              <w:autoSpaceDE w:val="0"/>
              <w:autoSpaceDN w:val="0"/>
              <w:adjustRightInd w:val="0"/>
              <w:spacing w:before="60" w:line="276" w:lineRule="auto"/>
              <w:jc w:val="center"/>
              <w:rPr>
                <w:rFonts w:cstheme="minorHAnsi"/>
                <w:sz w:val="28"/>
                <w:szCs w:val="28"/>
              </w:rPr>
            </w:pPr>
            <w:r w:rsidRPr="005E1103">
              <w:rPr>
                <w:rFonts w:cstheme="minorHAnsi"/>
                <w:sz w:val="28"/>
                <w:szCs w:val="28"/>
              </w:rPr>
              <w:t xml:space="preserve">Se trabajan otros contenidos en </w:t>
            </w:r>
            <w:r w:rsidRPr="005E1103">
              <w:rPr>
                <w:rFonts w:cstheme="minorHAnsi"/>
                <w:sz w:val="28"/>
                <w:szCs w:val="28"/>
              </w:rPr>
              <w:lastRenderedPageBreak/>
              <w:t>entornos menos familiares como golf u orientación por el campus universitario.</w:t>
            </w:r>
          </w:p>
        </w:tc>
      </w:tr>
      <w:tr w:rsidR="009B60AB" w:rsidRPr="005E1103" w:rsidTr="003904C9">
        <w:tc>
          <w:tcPr>
            <w:tcW w:w="1017"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rsidR="009B60AB" w:rsidRPr="005E1103" w:rsidRDefault="009B60AB" w:rsidP="003904C9">
            <w:pPr>
              <w:autoSpaceDE w:val="0"/>
              <w:autoSpaceDN w:val="0"/>
              <w:adjustRightInd w:val="0"/>
              <w:spacing w:before="60" w:line="276" w:lineRule="auto"/>
              <w:jc w:val="center"/>
              <w:rPr>
                <w:rFonts w:cstheme="minorHAnsi"/>
                <w:sz w:val="28"/>
                <w:szCs w:val="28"/>
              </w:rPr>
            </w:pPr>
            <w:r w:rsidRPr="005E1103">
              <w:rPr>
                <w:rFonts w:cstheme="minorHAnsi"/>
                <w:sz w:val="28"/>
                <w:szCs w:val="28"/>
              </w:rPr>
              <w:lastRenderedPageBreak/>
              <w:t>9</w:t>
            </w:r>
          </w:p>
        </w:tc>
        <w:tc>
          <w:tcPr>
            <w:tcW w:w="2398"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9B60AB" w:rsidRPr="005E1103" w:rsidRDefault="009B60AB" w:rsidP="003904C9">
            <w:pPr>
              <w:spacing w:before="60" w:line="276" w:lineRule="auto"/>
              <w:jc w:val="center"/>
              <w:rPr>
                <w:rFonts w:cstheme="minorHAnsi"/>
                <w:sz w:val="28"/>
                <w:szCs w:val="28"/>
              </w:rPr>
            </w:pPr>
            <w:r w:rsidRPr="005E1103">
              <w:rPr>
                <w:rFonts w:cstheme="minorHAnsi"/>
                <w:sz w:val="28"/>
                <w:szCs w:val="28"/>
              </w:rPr>
              <w:t>Racionalización del Ocio y Tiempo Libre Compartido</w:t>
            </w:r>
          </w:p>
        </w:tc>
        <w:tc>
          <w:tcPr>
            <w:tcW w:w="2109" w:type="dxa"/>
            <w:tcBorders>
              <w:top w:val="single" w:sz="4" w:space="0" w:color="auto"/>
              <w:left w:val="single" w:sz="4" w:space="0" w:color="auto"/>
              <w:bottom w:val="single" w:sz="4" w:space="0" w:color="auto"/>
              <w:right w:val="single" w:sz="4" w:space="0" w:color="auto"/>
            </w:tcBorders>
            <w:vAlign w:val="center"/>
            <w:hideMark/>
          </w:tcPr>
          <w:p w:rsidR="009B60AB" w:rsidRPr="005E1103" w:rsidRDefault="009B60AB" w:rsidP="003904C9">
            <w:pPr>
              <w:autoSpaceDE w:val="0"/>
              <w:autoSpaceDN w:val="0"/>
              <w:adjustRightInd w:val="0"/>
              <w:spacing w:before="60" w:line="276" w:lineRule="auto"/>
              <w:jc w:val="center"/>
              <w:rPr>
                <w:rFonts w:cstheme="minorHAnsi"/>
                <w:sz w:val="28"/>
                <w:szCs w:val="28"/>
              </w:rPr>
            </w:pPr>
            <w:r w:rsidRPr="005E1103">
              <w:rPr>
                <w:rFonts w:cstheme="minorHAnsi"/>
                <w:sz w:val="28"/>
                <w:szCs w:val="28"/>
              </w:rPr>
              <w:t>Juegos deportivos colectivos</w:t>
            </w:r>
          </w:p>
        </w:tc>
        <w:tc>
          <w:tcPr>
            <w:tcW w:w="3089" w:type="dxa"/>
            <w:tcBorders>
              <w:top w:val="single" w:sz="4" w:space="0" w:color="auto"/>
              <w:left w:val="single" w:sz="4" w:space="0" w:color="auto"/>
              <w:bottom w:val="single" w:sz="4" w:space="0" w:color="auto"/>
              <w:right w:val="single" w:sz="4" w:space="0" w:color="auto"/>
            </w:tcBorders>
            <w:vAlign w:val="center"/>
            <w:hideMark/>
          </w:tcPr>
          <w:p w:rsidR="009B60AB" w:rsidRPr="005E1103" w:rsidRDefault="009B60AB" w:rsidP="003904C9">
            <w:pPr>
              <w:autoSpaceDE w:val="0"/>
              <w:autoSpaceDN w:val="0"/>
              <w:adjustRightInd w:val="0"/>
              <w:spacing w:before="60" w:line="276" w:lineRule="auto"/>
              <w:jc w:val="center"/>
              <w:rPr>
                <w:rFonts w:cstheme="minorHAnsi"/>
                <w:sz w:val="28"/>
                <w:szCs w:val="28"/>
              </w:rPr>
            </w:pPr>
            <w:r w:rsidRPr="005E1103">
              <w:rPr>
                <w:rFonts w:cstheme="minorHAnsi"/>
                <w:sz w:val="28"/>
                <w:szCs w:val="28"/>
              </w:rPr>
              <w:t>Juegos recreativos que permiten resolver situaciones motrices de forma grupal.</w:t>
            </w:r>
          </w:p>
        </w:tc>
      </w:tr>
    </w:tbl>
    <w:p w:rsidR="009B60AB" w:rsidRPr="005E1103" w:rsidRDefault="009B60AB" w:rsidP="009B60AB">
      <w:pPr>
        <w:spacing w:line="360" w:lineRule="auto"/>
        <w:jc w:val="both"/>
        <w:rPr>
          <w:rFonts w:cstheme="minorHAnsi"/>
          <w:sz w:val="28"/>
          <w:szCs w:val="28"/>
        </w:rPr>
      </w:pPr>
    </w:p>
    <w:p w:rsidR="009B60AB" w:rsidRPr="005E1103" w:rsidRDefault="009B60AB" w:rsidP="009B60AB">
      <w:pPr>
        <w:spacing w:line="360" w:lineRule="auto"/>
        <w:ind w:firstLine="708"/>
        <w:jc w:val="both"/>
        <w:rPr>
          <w:rFonts w:cstheme="minorHAnsi"/>
          <w:sz w:val="28"/>
          <w:szCs w:val="28"/>
        </w:rPr>
      </w:pPr>
      <w:r w:rsidRPr="005E1103">
        <w:rPr>
          <w:rFonts w:cstheme="minorHAnsi"/>
          <w:sz w:val="28"/>
          <w:szCs w:val="28"/>
        </w:rPr>
        <w:t>Las primeras sesiones realizadas con 15 alumnos y alumnas de la primera promoción de este Título de Experto muestran una gran interés por parte de los implicados, siendo considerada la sesión AFA como una materia más de su formación.</w:t>
      </w:r>
    </w:p>
    <w:p w:rsidR="009B60AB" w:rsidRPr="005E1103" w:rsidRDefault="009B60AB" w:rsidP="009B60AB">
      <w:pPr>
        <w:spacing w:line="360" w:lineRule="auto"/>
        <w:jc w:val="both"/>
        <w:rPr>
          <w:rFonts w:cstheme="minorHAnsi"/>
          <w:b/>
          <w:sz w:val="28"/>
          <w:szCs w:val="28"/>
        </w:rPr>
      </w:pPr>
      <w:r w:rsidRPr="005E1103">
        <w:rPr>
          <w:rFonts w:cstheme="minorHAnsi"/>
          <w:b/>
          <w:sz w:val="28"/>
          <w:szCs w:val="28"/>
        </w:rPr>
        <w:t>Referencias</w:t>
      </w:r>
    </w:p>
    <w:p w:rsidR="009B60AB" w:rsidRPr="005E1103" w:rsidRDefault="009B60AB" w:rsidP="009B60AB">
      <w:pPr>
        <w:autoSpaceDE w:val="0"/>
        <w:autoSpaceDN w:val="0"/>
        <w:adjustRightInd w:val="0"/>
        <w:spacing w:after="0" w:line="360" w:lineRule="auto"/>
        <w:jc w:val="both"/>
        <w:rPr>
          <w:rFonts w:cstheme="minorHAnsi"/>
          <w:sz w:val="28"/>
          <w:szCs w:val="28"/>
        </w:rPr>
      </w:pPr>
      <w:r w:rsidRPr="005E1103">
        <w:rPr>
          <w:rFonts w:cstheme="minorHAnsi"/>
          <w:sz w:val="28"/>
          <w:szCs w:val="28"/>
        </w:rPr>
        <w:t xml:space="preserve">OMS, 2013: </w:t>
      </w:r>
      <w:hyperlink r:id="rId113" w:history="1">
        <w:r w:rsidRPr="005E1103">
          <w:rPr>
            <w:rStyle w:val="Hipervnculo"/>
            <w:rFonts w:cstheme="minorHAnsi"/>
            <w:sz w:val="28"/>
            <w:szCs w:val="28"/>
          </w:rPr>
          <w:t>http://www.who.int/mediacentre/factsheets/fs385/es/</w:t>
        </w:r>
      </w:hyperlink>
    </w:p>
    <w:p w:rsidR="009B60AB" w:rsidRPr="005E1103" w:rsidRDefault="009B60AB" w:rsidP="009B60AB">
      <w:pPr>
        <w:autoSpaceDE w:val="0"/>
        <w:autoSpaceDN w:val="0"/>
        <w:adjustRightInd w:val="0"/>
        <w:spacing w:after="0" w:line="360" w:lineRule="auto"/>
        <w:jc w:val="both"/>
        <w:rPr>
          <w:rFonts w:cstheme="minorHAnsi"/>
          <w:sz w:val="28"/>
          <w:szCs w:val="28"/>
          <w:lang w:val="en-GB"/>
        </w:rPr>
      </w:pPr>
      <w:r w:rsidRPr="005E1103">
        <w:rPr>
          <w:rFonts w:cstheme="minorHAnsi"/>
          <w:sz w:val="28"/>
          <w:szCs w:val="28"/>
        </w:rPr>
        <w:t xml:space="preserve">Rimmer, J. H. y Marques, A. C. (2012). </w:t>
      </w:r>
      <w:r w:rsidRPr="005E1103">
        <w:rPr>
          <w:rFonts w:cstheme="minorHAnsi"/>
          <w:sz w:val="28"/>
          <w:szCs w:val="28"/>
          <w:lang w:val="en-GB"/>
        </w:rPr>
        <w:t xml:space="preserve">Physical activity for people with disabilities. </w:t>
      </w:r>
      <w:r w:rsidRPr="005E1103">
        <w:rPr>
          <w:rFonts w:cstheme="minorHAnsi"/>
          <w:i/>
          <w:sz w:val="28"/>
          <w:szCs w:val="28"/>
          <w:lang w:val="en-GB"/>
        </w:rPr>
        <w:t>The Lancet</w:t>
      </w:r>
      <w:r w:rsidRPr="005E1103">
        <w:rPr>
          <w:rFonts w:cstheme="minorHAnsi"/>
          <w:sz w:val="28"/>
          <w:szCs w:val="28"/>
          <w:lang w:val="en-GB"/>
        </w:rPr>
        <w:t xml:space="preserve">, 380, 194-195. </w:t>
      </w:r>
      <w:hyperlink r:id="rId114" w:history="1">
        <w:r w:rsidRPr="005E1103">
          <w:rPr>
            <w:rStyle w:val="Hipervnculo"/>
            <w:rFonts w:cstheme="minorHAnsi"/>
            <w:sz w:val="28"/>
            <w:szCs w:val="28"/>
            <w:lang w:val="en-GB"/>
          </w:rPr>
          <w:t>http://dx.doi.org/10.1016/S0140-6736(12)61028-9</w:t>
        </w:r>
      </w:hyperlink>
    </w:p>
    <w:p w:rsidR="009B60AB" w:rsidRPr="005E1103" w:rsidRDefault="009B60AB" w:rsidP="009B60AB">
      <w:pPr>
        <w:autoSpaceDE w:val="0"/>
        <w:autoSpaceDN w:val="0"/>
        <w:adjustRightInd w:val="0"/>
        <w:spacing w:after="0" w:line="360" w:lineRule="auto"/>
        <w:jc w:val="both"/>
        <w:rPr>
          <w:rFonts w:cstheme="minorHAnsi"/>
          <w:sz w:val="28"/>
          <w:szCs w:val="28"/>
          <w:lang w:val="en-GB"/>
        </w:rPr>
      </w:pPr>
      <w:r w:rsidRPr="005E1103">
        <w:rPr>
          <w:rFonts w:cstheme="minorHAnsi"/>
          <w:sz w:val="28"/>
          <w:szCs w:val="28"/>
          <w:lang w:val="en-US"/>
        </w:rPr>
        <w:t xml:space="preserve">Super, S., Hermens, N., Verkooijen, K. y Koelen, M. (2014). </w:t>
      </w:r>
      <w:r w:rsidRPr="005E1103">
        <w:rPr>
          <w:rFonts w:cstheme="minorHAnsi"/>
          <w:sz w:val="28"/>
          <w:szCs w:val="28"/>
          <w:lang w:val="en-GB"/>
        </w:rPr>
        <w:t>«Enhancing life prospects of socially vulnerable youth through sport participation: a mixed methods study</w:t>
      </w:r>
      <w:r w:rsidRPr="005E1103">
        <w:rPr>
          <w:rFonts w:cstheme="minorHAnsi"/>
          <w:i/>
          <w:sz w:val="28"/>
          <w:szCs w:val="28"/>
          <w:lang w:val="en-GB"/>
        </w:rPr>
        <w:t>».</w:t>
      </w:r>
      <w:r w:rsidRPr="005E1103">
        <w:rPr>
          <w:rFonts w:cstheme="minorHAnsi"/>
          <w:b/>
          <w:bCs/>
          <w:i/>
          <w:iCs/>
          <w:color w:val="6A6A6A"/>
          <w:sz w:val="28"/>
          <w:szCs w:val="28"/>
          <w:shd w:val="clear" w:color="auto" w:fill="FFFFFF"/>
          <w:lang w:val="en-GB"/>
        </w:rPr>
        <w:t xml:space="preserve"> </w:t>
      </w:r>
      <w:r w:rsidRPr="005E1103">
        <w:rPr>
          <w:rFonts w:cstheme="minorHAnsi"/>
          <w:i/>
          <w:sz w:val="28"/>
          <w:szCs w:val="28"/>
          <w:lang w:val="en-GB"/>
        </w:rPr>
        <w:t>BMC Public Health</w:t>
      </w:r>
      <w:r w:rsidRPr="005E1103">
        <w:rPr>
          <w:rFonts w:cstheme="minorHAnsi"/>
          <w:sz w:val="28"/>
          <w:szCs w:val="28"/>
          <w:lang w:val="en-GB"/>
        </w:rPr>
        <w:t>, 14, 703.</w:t>
      </w:r>
    </w:p>
    <w:p w:rsidR="009B60AB" w:rsidRPr="005E1103" w:rsidRDefault="009B60AB" w:rsidP="009B60AB">
      <w:pPr>
        <w:autoSpaceDE w:val="0"/>
        <w:autoSpaceDN w:val="0"/>
        <w:adjustRightInd w:val="0"/>
        <w:spacing w:after="0" w:line="360" w:lineRule="auto"/>
        <w:jc w:val="both"/>
        <w:rPr>
          <w:rFonts w:cstheme="minorHAnsi"/>
          <w:sz w:val="28"/>
          <w:szCs w:val="28"/>
        </w:rPr>
      </w:pPr>
      <w:r w:rsidRPr="005E1103">
        <w:rPr>
          <w:rFonts w:cstheme="minorHAnsi"/>
          <w:sz w:val="28"/>
          <w:szCs w:val="28"/>
          <w:lang w:val="en-GB"/>
        </w:rPr>
        <w:t xml:space="preserve">United Nations (2006). </w:t>
      </w:r>
      <w:r w:rsidRPr="005E1103">
        <w:rPr>
          <w:rFonts w:cstheme="minorHAnsi"/>
          <w:i/>
          <w:sz w:val="28"/>
          <w:szCs w:val="28"/>
          <w:lang w:val="en-GB"/>
        </w:rPr>
        <w:t>UN Convention on the rights of persons with disabilities and optional protocol</w:t>
      </w:r>
      <w:r w:rsidRPr="005E1103">
        <w:rPr>
          <w:rFonts w:cstheme="minorHAnsi"/>
          <w:sz w:val="28"/>
          <w:szCs w:val="28"/>
          <w:lang w:val="en-GB"/>
        </w:rPr>
        <w:t xml:space="preserve">. </w:t>
      </w:r>
      <w:r w:rsidRPr="005E1103">
        <w:rPr>
          <w:rFonts w:cstheme="minorHAnsi"/>
          <w:sz w:val="28"/>
          <w:szCs w:val="28"/>
        </w:rPr>
        <w:t>New York, NY: United Nations.</w:t>
      </w:r>
    </w:p>
    <w:p w:rsidR="009B60AB" w:rsidRPr="005E1103" w:rsidRDefault="009B60AB">
      <w:pPr>
        <w:rPr>
          <w:rFonts w:cstheme="minorHAnsi"/>
          <w:sz w:val="28"/>
          <w:szCs w:val="28"/>
        </w:rPr>
      </w:pPr>
      <w:r w:rsidRPr="005E1103">
        <w:rPr>
          <w:rFonts w:cstheme="minorHAnsi"/>
          <w:sz w:val="28"/>
          <w:szCs w:val="28"/>
        </w:rPr>
        <w:br w:type="page"/>
      </w:r>
    </w:p>
    <w:p w:rsidR="009B60AB" w:rsidRPr="005E1103" w:rsidRDefault="009B60AB" w:rsidP="009B60AB">
      <w:pPr>
        <w:spacing w:line="360" w:lineRule="auto"/>
        <w:jc w:val="center"/>
        <w:rPr>
          <w:rFonts w:cstheme="minorHAnsi"/>
          <w:b/>
          <w:sz w:val="28"/>
          <w:szCs w:val="28"/>
        </w:rPr>
      </w:pPr>
      <w:r w:rsidRPr="005E1103">
        <w:rPr>
          <w:rFonts w:cstheme="minorHAnsi"/>
          <w:b/>
          <w:sz w:val="28"/>
          <w:szCs w:val="28"/>
        </w:rPr>
        <w:lastRenderedPageBreak/>
        <w:t>COMUNICACIÓN 13</w:t>
      </w:r>
    </w:p>
    <w:p w:rsidR="009B60AB" w:rsidRPr="005E1103" w:rsidRDefault="009B60AB" w:rsidP="009B60AB">
      <w:pPr>
        <w:pBdr>
          <w:top w:val="single" w:sz="4" w:space="1" w:color="auto"/>
          <w:left w:val="single" w:sz="4" w:space="4" w:color="auto"/>
          <w:bottom w:val="single" w:sz="4" w:space="1" w:color="auto"/>
          <w:right w:val="single" w:sz="4" w:space="4" w:color="auto"/>
        </w:pBdr>
        <w:spacing w:line="360" w:lineRule="auto"/>
        <w:jc w:val="center"/>
        <w:rPr>
          <w:rFonts w:cstheme="minorHAnsi"/>
          <w:sz w:val="28"/>
          <w:szCs w:val="28"/>
        </w:rPr>
      </w:pPr>
      <w:r w:rsidRPr="005E1103">
        <w:rPr>
          <w:rFonts w:cstheme="minorHAnsi"/>
          <w:sz w:val="28"/>
          <w:szCs w:val="28"/>
        </w:rPr>
        <w:t>Inclusión de los conceptos de accesibilidad universal y diseño para todas las personas en la formación universitaria</w:t>
      </w:r>
    </w:p>
    <w:p w:rsidR="009B60AB" w:rsidRPr="005E1103" w:rsidRDefault="009B60AB" w:rsidP="009B60AB">
      <w:pPr>
        <w:spacing w:line="360" w:lineRule="auto"/>
        <w:rPr>
          <w:rFonts w:cstheme="minorHAnsi"/>
          <w:sz w:val="28"/>
          <w:szCs w:val="28"/>
        </w:rPr>
      </w:pPr>
    </w:p>
    <w:p w:rsidR="009B60AB" w:rsidRPr="005E1103" w:rsidRDefault="009B60AB" w:rsidP="009B60AB">
      <w:pPr>
        <w:spacing w:line="360" w:lineRule="auto"/>
        <w:rPr>
          <w:rFonts w:cstheme="minorHAnsi"/>
          <w:sz w:val="28"/>
          <w:szCs w:val="28"/>
        </w:rPr>
      </w:pPr>
    </w:p>
    <w:p w:rsidR="009B60AB" w:rsidRPr="005E1103" w:rsidRDefault="009B60AB" w:rsidP="009B60AB">
      <w:pPr>
        <w:spacing w:line="360" w:lineRule="auto"/>
        <w:rPr>
          <w:rFonts w:cstheme="minorHAnsi"/>
          <w:sz w:val="28"/>
          <w:szCs w:val="28"/>
        </w:rPr>
      </w:pPr>
    </w:p>
    <w:p w:rsidR="009B60AB" w:rsidRPr="005E1103" w:rsidRDefault="009B60AB" w:rsidP="009B60AB">
      <w:pPr>
        <w:spacing w:line="360" w:lineRule="auto"/>
        <w:jc w:val="right"/>
        <w:rPr>
          <w:rFonts w:cstheme="minorHAnsi"/>
          <w:sz w:val="28"/>
          <w:szCs w:val="28"/>
        </w:rPr>
      </w:pPr>
      <w:r w:rsidRPr="005E1103">
        <w:rPr>
          <w:rFonts w:cstheme="minorHAnsi"/>
          <w:sz w:val="28"/>
          <w:szCs w:val="28"/>
        </w:rPr>
        <w:t>Jesús Hernández Galán</w:t>
      </w:r>
    </w:p>
    <w:p w:rsidR="009B60AB" w:rsidRPr="005E1103" w:rsidRDefault="009B60AB" w:rsidP="009B60AB">
      <w:pPr>
        <w:spacing w:line="360" w:lineRule="auto"/>
        <w:jc w:val="right"/>
        <w:rPr>
          <w:rFonts w:cstheme="minorHAnsi"/>
          <w:sz w:val="28"/>
          <w:szCs w:val="28"/>
        </w:rPr>
      </w:pPr>
      <w:r w:rsidRPr="005E1103">
        <w:rPr>
          <w:rFonts w:cstheme="minorHAnsi"/>
          <w:sz w:val="28"/>
          <w:szCs w:val="28"/>
        </w:rPr>
        <w:t>Director Accesibilidad Universal e Innovación</w:t>
      </w:r>
    </w:p>
    <w:p w:rsidR="009B60AB" w:rsidRPr="005E1103" w:rsidRDefault="009B60AB" w:rsidP="009B60AB">
      <w:pPr>
        <w:spacing w:line="360" w:lineRule="auto"/>
        <w:jc w:val="right"/>
        <w:rPr>
          <w:rFonts w:cstheme="minorHAnsi"/>
          <w:sz w:val="28"/>
          <w:szCs w:val="28"/>
        </w:rPr>
      </w:pPr>
      <w:r w:rsidRPr="005E1103">
        <w:rPr>
          <w:rFonts w:cstheme="minorHAnsi"/>
          <w:sz w:val="28"/>
          <w:szCs w:val="28"/>
        </w:rPr>
        <w:t>Fundación ONCE</w:t>
      </w:r>
    </w:p>
    <w:p w:rsidR="009B60AB" w:rsidRPr="005E1103" w:rsidRDefault="009B60AB" w:rsidP="009B60AB">
      <w:pPr>
        <w:spacing w:line="360" w:lineRule="auto"/>
        <w:jc w:val="right"/>
        <w:rPr>
          <w:rFonts w:cstheme="minorHAnsi"/>
          <w:sz w:val="28"/>
          <w:szCs w:val="28"/>
        </w:rPr>
      </w:pPr>
    </w:p>
    <w:p w:rsidR="009B60AB" w:rsidRPr="005E1103" w:rsidRDefault="009B60AB" w:rsidP="009B60AB">
      <w:pPr>
        <w:spacing w:line="360" w:lineRule="auto"/>
        <w:jc w:val="right"/>
        <w:rPr>
          <w:rFonts w:cstheme="minorHAnsi"/>
          <w:sz w:val="28"/>
          <w:szCs w:val="28"/>
        </w:rPr>
      </w:pPr>
      <w:r w:rsidRPr="005E1103">
        <w:rPr>
          <w:rFonts w:cstheme="minorHAnsi"/>
          <w:sz w:val="28"/>
          <w:szCs w:val="28"/>
        </w:rPr>
        <w:t>Mª Josefa Álvarez</w:t>
      </w:r>
    </w:p>
    <w:p w:rsidR="009B60AB" w:rsidRPr="005E1103" w:rsidRDefault="009B60AB" w:rsidP="009B60AB">
      <w:pPr>
        <w:spacing w:line="360" w:lineRule="auto"/>
        <w:jc w:val="right"/>
        <w:rPr>
          <w:rFonts w:cstheme="minorHAnsi"/>
          <w:sz w:val="28"/>
          <w:szCs w:val="28"/>
        </w:rPr>
      </w:pPr>
      <w:r w:rsidRPr="005E1103">
        <w:rPr>
          <w:rFonts w:cstheme="minorHAnsi"/>
          <w:sz w:val="28"/>
          <w:szCs w:val="28"/>
        </w:rPr>
        <w:t>Maribel Campo</w:t>
      </w:r>
    </w:p>
    <w:p w:rsidR="009B60AB" w:rsidRPr="005E1103" w:rsidRDefault="009B60AB" w:rsidP="009B60AB">
      <w:pPr>
        <w:spacing w:line="360" w:lineRule="auto"/>
        <w:jc w:val="right"/>
        <w:rPr>
          <w:rFonts w:cstheme="minorHAnsi"/>
          <w:sz w:val="28"/>
          <w:szCs w:val="28"/>
        </w:rPr>
      </w:pPr>
    </w:p>
    <w:p w:rsidR="009B60AB" w:rsidRPr="005E1103" w:rsidRDefault="009B60AB" w:rsidP="009B60AB">
      <w:pPr>
        <w:spacing w:line="360" w:lineRule="auto"/>
        <w:jc w:val="right"/>
        <w:rPr>
          <w:rFonts w:cstheme="minorHAnsi"/>
          <w:sz w:val="28"/>
          <w:szCs w:val="28"/>
        </w:rPr>
      </w:pPr>
    </w:p>
    <w:p w:rsidR="009B60AB" w:rsidRPr="005E1103" w:rsidRDefault="009B60AB" w:rsidP="009B60AB">
      <w:pPr>
        <w:spacing w:line="360" w:lineRule="auto"/>
        <w:jc w:val="right"/>
        <w:rPr>
          <w:rFonts w:cstheme="minorHAnsi"/>
          <w:sz w:val="28"/>
          <w:szCs w:val="28"/>
        </w:rPr>
      </w:pPr>
    </w:p>
    <w:p w:rsidR="009B60AB" w:rsidRPr="005E1103" w:rsidRDefault="009B60AB" w:rsidP="009B60AB">
      <w:pPr>
        <w:spacing w:line="360" w:lineRule="auto"/>
        <w:jc w:val="right"/>
        <w:rPr>
          <w:rFonts w:cstheme="minorHAnsi"/>
          <w:sz w:val="28"/>
          <w:szCs w:val="28"/>
        </w:rPr>
      </w:pPr>
    </w:p>
    <w:p w:rsidR="009B60AB" w:rsidRPr="005E1103" w:rsidRDefault="009B60AB" w:rsidP="009B60AB">
      <w:pPr>
        <w:spacing w:line="360" w:lineRule="auto"/>
        <w:jc w:val="right"/>
        <w:rPr>
          <w:rFonts w:cstheme="minorHAnsi"/>
          <w:sz w:val="28"/>
          <w:szCs w:val="28"/>
        </w:rPr>
      </w:pPr>
    </w:p>
    <w:p w:rsidR="009B60AB" w:rsidRPr="005E1103" w:rsidRDefault="009B60AB" w:rsidP="009B60AB">
      <w:pPr>
        <w:spacing w:line="360" w:lineRule="auto"/>
        <w:jc w:val="right"/>
        <w:rPr>
          <w:rFonts w:cstheme="minorHAnsi"/>
          <w:sz w:val="28"/>
          <w:szCs w:val="28"/>
        </w:rPr>
      </w:pPr>
    </w:p>
    <w:p w:rsidR="009B60AB" w:rsidRPr="005E1103" w:rsidRDefault="009B60AB" w:rsidP="009B60AB">
      <w:pPr>
        <w:spacing w:line="360" w:lineRule="auto"/>
        <w:jc w:val="right"/>
        <w:rPr>
          <w:rFonts w:cstheme="minorHAnsi"/>
          <w:sz w:val="28"/>
          <w:szCs w:val="28"/>
        </w:rPr>
      </w:pPr>
    </w:p>
    <w:p w:rsidR="009B60AB" w:rsidRPr="005E1103" w:rsidRDefault="009B60AB" w:rsidP="009B60AB">
      <w:pPr>
        <w:spacing w:line="360" w:lineRule="auto"/>
        <w:jc w:val="right"/>
        <w:rPr>
          <w:rFonts w:cstheme="minorHAnsi"/>
          <w:sz w:val="28"/>
          <w:szCs w:val="28"/>
        </w:rPr>
      </w:pPr>
    </w:p>
    <w:p w:rsidR="009B60AB" w:rsidRPr="005E1103" w:rsidRDefault="009B60AB" w:rsidP="009B60AB">
      <w:pPr>
        <w:spacing w:line="360" w:lineRule="auto"/>
        <w:jc w:val="right"/>
        <w:rPr>
          <w:rFonts w:cstheme="minorHAnsi"/>
          <w:sz w:val="28"/>
          <w:szCs w:val="28"/>
        </w:rPr>
      </w:pPr>
    </w:p>
    <w:p w:rsidR="009B60AB" w:rsidRPr="005E1103" w:rsidRDefault="009B60AB" w:rsidP="009B60AB">
      <w:pPr>
        <w:spacing w:line="360" w:lineRule="auto"/>
        <w:jc w:val="right"/>
        <w:rPr>
          <w:rFonts w:cstheme="minorHAnsi"/>
          <w:sz w:val="28"/>
          <w:szCs w:val="28"/>
        </w:rPr>
      </w:pPr>
    </w:p>
    <w:p w:rsidR="009B60AB" w:rsidRPr="005E1103" w:rsidRDefault="009B60AB" w:rsidP="009B60AB">
      <w:pPr>
        <w:spacing w:line="360" w:lineRule="auto"/>
        <w:jc w:val="right"/>
        <w:rPr>
          <w:rFonts w:cstheme="minorHAnsi"/>
          <w:sz w:val="28"/>
          <w:szCs w:val="28"/>
        </w:rPr>
      </w:pPr>
    </w:p>
    <w:p w:rsidR="009B60AB" w:rsidRPr="005E1103" w:rsidRDefault="009B60AB">
      <w:pPr>
        <w:rPr>
          <w:rFonts w:cstheme="minorHAnsi"/>
          <w:b/>
          <w:sz w:val="28"/>
          <w:szCs w:val="28"/>
        </w:rPr>
      </w:pPr>
      <w:r w:rsidRPr="005E1103">
        <w:rPr>
          <w:rFonts w:cstheme="minorHAnsi"/>
          <w:b/>
          <w:sz w:val="28"/>
          <w:szCs w:val="28"/>
        </w:rPr>
        <w:br w:type="page"/>
      </w:r>
    </w:p>
    <w:p w:rsidR="009B60AB" w:rsidRPr="005E1103" w:rsidRDefault="009B60AB" w:rsidP="009B60AB">
      <w:pPr>
        <w:spacing w:line="360" w:lineRule="auto"/>
        <w:rPr>
          <w:rFonts w:cstheme="minorHAnsi"/>
          <w:b/>
          <w:sz w:val="28"/>
          <w:szCs w:val="28"/>
        </w:rPr>
      </w:pPr>
      <w:r w:rsidRPr="005E1103">
        <w:rPr>
          <w:rFonts w:cstheme="minorHAnsi"/>
          <w:b/>
          <w:sz w:val="28"/>
          <w:szCs w:val="28"/>
        </w:rPr>
        <w:lastRenderedPageBreak/>
        <w:t>Introducción</w:t>
      </w:r>
    </w:p>
    <w:p w:rsidR="009B60AB" w:rsidRPr="005E1103" w:rsidRDefault="009B60AB" w:rsidP="009B60AB">
      <w:pPr>
        <w:spacing w:line="360" w:lineRule="auto"/>
        <w:jc w:val="both"/>
        <w:rPr>
          <w:rFonts w:cstheme="minorHAnsi"/>
          <w:sz w:val="28"/>
          <w:szCs w:val="28"/>
        </w:rPr>
      </w:pPr>
      <w:r w:rsidRPr="005E1103">
        <w:rPr>
          <w:rFonts w:cstheme="minorHAnsi"/>
          <w:sz w:val="28"/>
          <w:szCs w:val="28"/>
        </w:rPr>
        <w:t>Una medida para lograr una Sociedad Inclusiva es formar y sensibilizar a las personas, y un entorno propicio para ello es la universidad. Es importante que los planes de estudio universitarios contemplen formación en este ámbito.</w:t>
      </w:r>
    </w:p>
    <w:p w:rsidR="009B60AB" w:rsidRPr="005E1103" w:rsidRDefault="009B60AB" w:rsidP="009B60AB">
      <w:pPr>
        <w:spacing w:line="360" w:lineRule="auto"/>
        <w:jc w:val="both"/>
        <w:rPr>
          <w:rFonts w:cstheme="minorHAnsi"/>
          <w:sz w:val="28"/>
          <w:szCs w:val="28"/>
        </w:rPr>
      </w:pPr>
      <w:r w:rsidRPr="005E1103">
        <w:rPr>
          <w:rFonts w:cstheme="minorHAnsi"/>
          <w:sz w:val="28"/>
          <w:szCs w:val="28"/>
        </w:rPr>
        <w:t>El proyecto Inclusión de los criterios de accesibilidad universal y “diseño para todos” en la Universidad, financiado por el Real Patronato sobre Discapacidad y desarrollado por Crue Universidades Españolas y Fundación ONCE, pretende apoyar la labor universitaria a la hora de introducir los conceptos de Accesibilidad Universal y Diseño para Todas las Personas en los currículos formativos de los Grados Universitarios.</w:t>
      </w:r>
    </w:p>
    <w:p w:rsidR="009B60AB" w:rsidRPr="005E1103" w:rsidRDefault="009B60AB" w:rsidP="009B60AB">
      <w:pPr>
        <w:spacing w:line="360" w:lineRule="auto"/>
        <w:jc w:val="both"/>
        <w:rPr>
          <w:rFonts w:cstheme="minorHAnsi"/>
          <w:sz w:val="28"/>
          <w:szCs w:val="28"/>
        </w:rPr>
      </w:pPr>
      <w:r w:rsidRPr="005E1103">
        <w:rPr>
          <w:rFonts w:cstheme="minorHAnsi"/>
          <w:sz w:val="28"/>
          <w:szCs w:val="28"/>
        </w:rPr>
        <w:t>El objetivo del proyecto es doble. Por un lado pretende que todo el alumnado universitario adquiera competencias para el ejercicio de cada profesión en su relación con las personas con discapacidad, sus derechos, limitaciones y necesidades de apoyo, cómo resolverlas, cómo investigar en esta materia, etc. De esta manera estaremos formando a profesionales capaces de construir una Sociedad Inclusiva, una Sociedad Incluyente. Y por otra, sensibilizar a las Agencias de Evaluación de la Calidad y Acreditación para que valoren la inclusión de estas materias en los currículos formativos de las titulaciones universitarias.</w:t>
      </w:r>
    </w:p>
    <w:p w:rsidR="009B60AB" w:rsidRPr="005E1103" w:rsidRDefault="009B60AB" w:rsidP="009B60AB">
      <w:pPr>
        <w:spacing w:line="360" w:lineRule="auto"/>
        <w:jc w:val="both"/>
        <w:rPr>
          <w:rFonts w:cstheme="minorHAnsi"/>
          <w:sz w:val="28"/>
          <w:szCs w:val="28"/>
        </w:rPr>
      </w:pPr>
      <w:r w:rsidRPr="005E1103">
        <w:rPr>
          <w:rFonts w:cstheme="minorHAnsi"/>
          <w:sz w:val="28"/>
          <w:szCs w:val="28"/>
        </w:rPr>
        <w:t xml:space="preserve">Tras haber desarrollado propuestas en años anteriores sobre cómo introducir estos conceptos en los currículos formativos de Arquitectura, Diseño, Ingeniería Informática y Telecomunicaciones, Ingeniería de Canales, Caminos y Puertos, Ingeniería Industrial, Administración y Dirección de Empresas, Derecho, Medicina, Pedagogía, Psicología y Trabajo Social, durante el año 2016 se han desarrollado seis propuestas </w:t>
      </w:r>
      <w:r w:rsidRPr="005E1103">
        <w:rPr>
          <w:rFonts w:cstheme="minorHAnsi"/>
          <w:sz w:val="28"/>
          <w:szCs w:val="28"/>
        </w:rPr>
        <w:lastRenderedPageBreak/>
        <w:t>más: Ciencias Políticas, Enfermería, Farmacia, Periodismo, Sociología y Terapia Ocupacional.</w:t>
      </w:r>
    </w:p>
    <w:p w:rsidR="009B60AB" w:rsidRPr="005E1103" w:rsidRDefault="009B60AB" w:rsidP="009B60AB">
      <w:pPr>
        <w:spacing w:line="360" w:lineRule="auto"/>
        <w:jc w:val="both"/>
        <w:rPr>
          <w:rFonts w:cstheme="minorHAnsi"/>
          <w:sz w:val="28"/>
          <w:szCs w:val="28"/>
        </w:rPr>
      </w:pPr>
      <w:r w:rsidRPr="005E1103">
        <w:rPr>
          <w:rFonts w:cstheme="minorHAnsi"/>
          <w:sz w:val="28"/>
          <w:szCs w:val="28"/>
        </w:rPr>
        <w:t>Tanto las publicaciones resultantes del proyecto, como la involucración de las Agencias de Evaluación de la Calidad y Acreditación, lo convierten en una buena práctica de inclusión de los criterios del Diseño para Todas las Personas, en los títulos de Grado, buscando un futuro impacto en la sociedad.</w:t>
      </w:r>
    </w:p>
    <w:p w:rsidR="009B60AB" w:rsidRPr="005E1103" w:rsidRDefault="009B60AB" w:rsidP="009B60AB">
      <w:pPr>
        <w:rPr>
          <w:rFonts w:cstheme="minorHAnsi"/>
          <w:sz w:val="28"/>
          <w:szCs w:val="28"/>
        </w:rPr>
      </w:pPr>
    </w:p>
    <w:p w:rsidR="009B60AB" w:rsidRPr="005E1103" w:rsidRDefault="009B60AB" w:rsidP="009B60AB">
      <w:pPr>
        <w:rPr>
          <w:rFonts w:cstheme="minorHAnsi"/>
          <w:sz w:val="28"/>
          <w:szCs w:val="28"/>
        </w:rPr>
      </w:pPr>
    </w:p>
    <w:p w:rsidR="009B60AB" w:rsidRPr="005E1103" w:rsidRDefault="009B60AB" w:rsidP="009B60AB">
      <w:pPr>
        <w:rPr>
          <w:rFonts w:cstheme="minorHAnsi"/>
          <w:sz w:val="28"/>
          <w:szCs w:val="28"/>
        </w:rPr>
      </w:pPr>
    </w:p>
    <w:p w:rsidR="009B60AB" w:rsidRPr="005E1103" w:rsidRDefault="009B60AB" w:rsidP="009B60AB">
      <w:pPr>
        <w:rPr>
          <w:rFonts w:cstheme="minorHAnsi"/>
          <w:sz w:val="28"/>
          <w:szCs w:val="28"/>
        </w:rPr>
      </w:pPr>
    </w:p>
    <w:p w:rsidR="009B60AB" w:rsidRPr="005E1103" w:rsidRDefault="009B60AB" w:rsidP="009B60AB">
      <w:pPr>
        <w:spacing w:line="360" w:lineRule="auto"/>
        <w:jc w:val="both"/>
        <w:rPr>
          <w:rFonts w:cstheme="minorHAnsi"/>
          <w:b/>
          <w:sz w:val="28"/>
          <w:szCs w:val="28"/>
        </w:rPr>
      </w:pPr>
      <w:r w:rsidRPr="005E1103">
        <w:rPr>
          <w:rFonts w:cstheme="minorHAnsi"/>
          <w:b/>
          <w:sz w:val="28"/>
          <w:szCs w:val="28"/>
        </w:rPr>
        <w:t>Justificación</w:t>
      </w:r>
    </w:p>
    <w:p w:rsidR="009B60AB" w:rsidRPr="005E1103" w:rsidRDefault="009B60AB" w:rsidP="009B60AB">
      <w:pPr>
        <w:spacing w:line="360" w:lineRule="auto"/>
        <w:jc w:val="both"/>
        <w:rPr>
          <w:rFonts w:cstheme="minorHAnsi"/>
          <w:sz w:val="28"/>
          <w:szCs w:val="28"/>
        </w:rPr>
      </w:pPr>
      <w:r w:rsidRPr="005E1103">
        <w:rPr>
          <w:rFonts w:cstheme="minorHAnsi"/>
          <w:sz w:val="28"/>
          <w:szCs w:val="28"/>
        </w:rPr>
        <w:t>El término accesibilidad proviene de acceso, acción de llegar y acercarse, entrada o paso. Aplicado al uso del espacio y tecnologías y, especialmente, en relación a ciertos grupos sociales de población con dificultades funcionales, la palabra adquiere un matiz menos neutro, más expresivo de los beneficios que se derivan de la interacción con el entorno o con otras personas. La falta de accesibilidad imposibilita la participación  en determinados aspectos de la vida social y conlleva una pérdida de calidad de vida respecto a quienes no la presentan.</w:t>
      </w:r>
    </w:p>
    <w:p w:rsidR="009B60AB" w:rsidRPr="005E1103" w:rsidRDefault="009B60AB" w:rsidP="009B60AB">
      <w:pPr>
        <w:spacing w:line="360" w:lineRule="auto"/>
        <w:jc w:val="both"/>
        <w:rPr>
          <w:rFonts w:cstheme="minorHAnsi"/>
          <w:sz w:val="28"/>
          <w:szCs w:val="28"/>
        </w:rPr>
      </w:pPr>
      <w:r w:rsidRPr="005E1103">
        <w:rPr>
          <w:rFonts w:cstheme="minorHAnsi"/>
          <w:sz w:val="28"/>
          <w:szCs w:val="28"/>
        </w:rPr>
        <w:t>El Diseño para Todas las Personas es la intervención sobre entornos, productos y servicios con el fin de que todos, incluidas las generaciones futuras, independientemente de la edad, el sexo, el género, las capacidades o el bagaje cultural, puedan disfrutar participando en la construcción de nuestra sociedad.</w:t>
      </w:r>
    </w:p>
    <w:p w:rsidR="009B60AB" w:rsidRPr="005E1103" w:rsidRDefault="009B60AB" w:rsidP="009B60AB">
      <w:pPr>
        <w:spacing w:line="360" w:lineRule="auto"/>
        <w:jc w:val="both"/>
        <w:rPr>
          <w:rFonts w:cstheme="minorHAnsi"/>
          <w:sz w:val="28"/>
          <w:szCs w:val="28"/>
        </w:rPr>
      </w:pPr>
      <w:r w:rsidRPr="005E1103">
        <w:rPr>
          <w:rFonts w:cstheme="minorHAnsi"/>
          <w:sz w:val="28"/>
          <w:szCs w:val="28"/>
        </w:rPr>
        <w:lastRenderedPageBreak/>
        <w:t>La formación curricular define como necesaria la mejora de la capacitación de los recursos humanos, si se pretende superar los obstáculos a los que se enfrentan las personas con discapacidad. Para ello es necesario incorporar formación pertinente en materia de discapacidad en los currículos universitarios y programas de acreditación vigentes. Para adquirir esta formación se ha de lograr la introducción en los Planes de Estudio universitarios los objetivos mencionados en el Libro Blanco (2006):</w:t>
      </w:r>
    </w:p>
    <w:p w:rsidR="009B60AB" w:rsidRPr="005E1103" w:rsidRDefault="009B60AB" w:rsidP="009B60AB">
      <w:pPr>
        <w:pStyle w:val="Prrafodelista"/>
        <w:numPr>
          <w:ilvl w:val="0"/>
          <w:numId w:val="59"/>
        </w:numPr>
        <w:spacing w:before="0" w:after="160" w:line="360" w:lineRule="auto"/>
        <w:jc w:val="both"/>
        <w:rPr>
          <w:rFonts w:asciiTheme="minorHAnsi" w:hAnsiTheme="minorHAnsi" w:cstheme="minorHAnsi"/>
          <w:sz w:val="28"/>
          <w:szCs w:val="28"/>
        </w:rPr>
      </w:pPr>
      <w:r w:rsidRPr="005E1103">
        <w:rPr>
          <w:rFonts w:asciiTheme="minorHAnsi" w:hAnsiTheme="minorHAnsi" w:cstheme="minorHAnsi"/>
          <w:sz w:val="28"/>
          <w:szCs w:val="28"/>
        </w:rPr>
        <w:t>Concienciar al alumnado universitario de la necesidad de crear entornos respetuosos con la diversidad humana, incluyendo al propio entorno universitario.</w:t>
      </w:r>
    </w:p>
    <w:p w:rsidR="009B60AB" w:rsidRPr="005E1103" w:rsidRDefault="009B60AB" w:rsidP="009B60AB">
      <w:pPr>
        <w:pStyle w:val="Prrafodelista"/>
        <w:numPr>
          <w:ilvl w:val="0"/>
          <w:numId w:val="59"/>
        </w:numPr>
        <w:spacing w:before="0" w:after="160" w:line="360" w:lineRule="auto"/>
        <w:jc w:val="both"/>
        <w:rPr>
          <w:rFonts w:asciiTheme="minorHAnsi" w:hAnsiTheme="minorHAnsi" w:cstheme="minorHAnsi"/>
          <w:sz w:val="28"/>
          <w:szCs w:val="28"/>
        </w:rPr>
      </w:pPr>
      <w:r w:rsidRPr="005E1103">
        <w:rPr>
          <w:rFonts w:asciiTheme="minorHAnsi" w:hAnsiTheme="minorHAnsi" w:cstheme="minorHAnsi"/>
          <w:sz w:val="28"/>
          <w:szCs w:val="28"/>
        </w:rPr>
        <w:t>Dotar a los futuros profesionales, que intervendrán en el diseño de los entornos, de una herramienta que les permita abordar los problemas de accesibilidad de sus proyectos.</w:t>
      </w:r>
    </w:p>
    <w:p w:rsidR="009B60AB" w:rsidRPr="005E1103" w:rsidRDefault="009B60AB" w:rsidP="009B60AB">
      <w:pPr>
        <w:pStyle w:val="Prrafodelista"/>
        <w:numPr>
          <w:ilvl w:val="0"/>
          <w:numId w:val="59"/>
        </w:numPr>
        <w:spacing w:before="0" w:after="160" w:line="360" w:lineRule="auto"/>
        <w:jc w:val="both"/>
        <w:rPr>
          <w:rFonts w:asciiTheme="minorHAnsi" w:hAnsiTheme="minorHAnsi" w:cstheme="minorHAnsi"/>
          <w:sz w:val="28"/>
          <w:szCs w:val="28"/>
        </w:rPr>
      </w:pPr>
      <w:r w:rsidRPr="005E1103">
        <w:rPr>
          <w:rFonts w:asciiTheme="minorHAnsi" w:hAnsiTheme="minorHAnsi" w:cstheme="minorHAnsi"/>
          <w:sz w:val="28"/>
          <w:szCs w:val="28"/>
        </w:rPr>
        <w:t>Describir la realidad actual para que el alumnado conozca y pueda ser crítico a la hora de valorar los pros y contras de un diseño.</w:t>
      </w:r>
    </w:p>
    <w:p w:rsidR="009B60AB" w:rsidRPr="005E1103" w:rsidRDefault="009B60AB" w:rsidP="009B60AB">
      <w:pPr>
        <w:pStyle w:val="Prrafodelista"/>
        <w:numPr>
          <w:ilvl w:val="0"/>
          <w:numId w:val="59"/>
        </w:numPr>
        <w:spacing w:before="0" w:after="160" w:line="360" w:lineRule="auto"/>
        <w:jc w:val="both"/>
        <w:rPr>
          <w:rFonts w:asciiTheme="minorHAnsi" w:hAnsiTheme="minorHAnsi" w:cstheme="minorHAnsi"/>
          <w:sz w:val="28"/>
          <w:szCs w:val="28"/>
        </w:rPr>
      </w:pPr>
      <w:r w:rsidRPr="005E1103">
        <w:rPr>
          <w:rFonts w:asciiTheme="minorHAnsi" w:hAnsiTheme="minorHAnsi" w:cstheme="minorHAnsi"/>
          <w:sz w:val="28"/>
          <w:szCs w:val="28"/>
        </w:rPr>
        <w:t>Definir la aplicación e implicación del Diseño para Todas las Personas en los diferentes proyectos.</w:t>
      </w:r>
    </w:p>
    <w:p w:rsidR="009B60AB" w:rsidRPr="005E1103" w:rsidRDefault="009B60AB" w:rsidP="009B60AB">
      <w:pPr>
        <w:pStyle w:val="Prrafodelista"/>
        <w:numPr>
          <w:ilvl w:val="0"/>
          <w:numId w:val="59"/>
        </w:numPr>
        <w:spacing w:before="0" w:after="160" w:line="360" w:lineRule="auto"/>
        <w:jc w:val="both"/>
        <w:rPr>
          <w:rFonts w:asciiTheme="minorHAnsi" w:hAnsiTheme="minorHAnsi" w:cstheme="minorHAnsi"/>
          <w:sz w:val="28"/>
          <w:szCs w:val="28"/>
        </w:rPr>
      </w:pPr>
      <w:r w:rsidRPr="005E1103">
        <w:rPr>
          <w:rFonts w:asciiTheme="minorHAnsi" w:hAnsiTheme="minorHAnsi" w:cstheme="minorHAnsi"/>
          <w:sz w:val="28"/>
          <w:szCs w:val="28"/>
        </w:rPr>
        <w:t>Conseguir que los futuros profesionales introduzcan el Diseño para Todas las Personas, incluso en sus proyectos o Trabajos Fin de Grado.</w:t>
      </w:r>
    </w:p>
    <w:p w:rsidR="009B60AB" w:rsidRPr="005E1103" w:rsidRDefault="009B60AB" w:rsidP="009B60AB">
      <w:pPr>
        <w:pStyle w:val="Prrafodelista"/>
        <w:numPr>
          <w:ilvl w:val="0"/>
          <w:numId w:val="59"/>
        </w:numPr>
        <w:spacing w:before="0" w:after="160" w:line="360" w:lineRule="auto"/>
        <w:jc w:val="both"/>
        <w:rPr>
          <w:rFonts w:asciiTheme="minorHAnsi" w:hAnsiTheme="minorHAnsi" w:cstheme="minorHAnsi"/>
          <w:sz w:val="28"/>
          <w:szCs w:val="28"/>
        </w:rPr>
      </w:pPr>
      <w:r w:rsidRPr="005E1103">
        <w:rPr>
          <w:rFonts w:asciiTheme="minorHAnsi" w:hAnsiTheme="minorHAnsi" w:cstheme="minorHAnsi"/>
          <w:sz w:val="28"/>
          <w:szCs w:val="28"/>
        </w:rPr>
        <w:t>Desarrollar líneas de investigación relacionadas con el Diseño para Todas las Personas en los distintos ámbitos de conocimiento académico.</w:t>
      </w:r>
    </w:p>
    <w:p w:rsidR="009B60AB" w:rsidRPr="005E1103" w:rsidRDefault="009B60AB" w:rsidP="009B60AB">
      <w:pPr>
        <w:spacing w:line="360" w:lineRule="auto"/>
        <w:jc w:val="both"/>
        <w:rPr>
          <w:rFonts w:cstheme="minorHAnsi"/>
          <w:sz w:val="28"/>
          <w:szCs w:val="28"/>
        </w:rPr>
      </w:pPr>
      <w:r w:rsidRPr="005E1103">
        <w:rPr>
          <w:rFonts w:cstheme="minorHAnsi"/>
          <w:sz w:val="28"/>
          <w:szCs w:val="28"/>
        </w:rPr>
        <w:t>Todos ellos pueden incorporarse siguiendo diferentes fórmulas: asignaturas optativas o de libre elección, asignaturas troncales, proyectos, Trabajos Fin de Grado, Trabajos Fin de Máster, Tesis Doctorales, líneas de investigación y premios.</w:t>
      </w:r>
    </w:p>
    <w:p w:rsidR="009B60AB" w:rsidRPr="005E1103" w:rsidRDefault="009B60AB" w:rsidP="009B60AB">
      <w:pPr>
        <w:spacing w:line="360" w:lineRule="auto"/>
        <w:jc w:val="both"/>
        <w:rPr>
          <w:rFonts w:cstheme="minorHAnsi"/>
          <w:bCs/>
          <w:sz w:val="28"/>
          <w:szCs w:val="28"/>
        </w:rPr>
      </w:pPr>
      <w:r w:rsidRPr="005E1103">
        <w:rPr>
          <w:rFonts w:cstheme="minorHAnsi"/>
          <w:sz w:val="28"/>
          <w:szCs w:val="28"/>
        </w:rPr>
        <w:lastRenderedPageBreak/>
        <w:t>El Real Decreto</w:t>
      </w:r>
      <w:r w:rsidRPr="005E1103">
        <w:rPr>
          <w:rFonts w:cstheme="minorHAnsi"/>
          <w:bCs/>
          <w:sz w:val="28"/>
          <w:szCs w:val="28"/>
        </w:rPr>
        <w:t xml:space="preserve"> Legislativo 1/2013, de 29 de noviembre, por el que se aprueba el Texto Refundido de la Ley General de derechos de las personas con discapacidad y de su inclusión social </w:t>
      </w:r>
      <w:r w:rsidRPr="005E1103">
        <w:rPr>
          <w:rFonts w:cstheme="minorHAnsi"/>
          <w:sz w:val="28"/>
          <w:szCs w:val="28"/>
        </w:rPr>
        <w:t>sirve de base para respaldar legalmente la necesidad de las adaptaciones de los Grados al Diseño para Todas las Personas destacando especialmente tres aspectos:</w:t>
      </w:r>
    </w:p>
    <w:p w:rsidR="009B60AB" w:rsidRPr="005E1103" w:rsidRDefault="009B60AB" w:rsidP="009B60AB">
      <w:pPr>
        <w:pStyle w:val="Prrafodelista"/>
        <w:numPr>
          <w:ilvl w:val="0"/>
          <w:numId w:val="60"/>
        </w:numPr>
        <w:spacing w:before="0" w:after="160" w:line="360" w:lineRule="auto"/>
        <w:jc w:val="both"/>
        <w:rPr>
          <w:rFonts w:asciiTheme="minorHAnsi" w:hAnsiTheme="minorHAnsi" w:cstheme="minorHAnsi"/>
          <w:sz w:val="28"/>
          <w:szCs w:val="28"/>
        </w:rPr>
      </w:pPr>
      <w:r w:rsidRPr="005E1103">
        <w:rPr>
          <w:rFonts w:asciiTheme="minorHAnsi" w:hAnsiTheme="minorHAnsi" w:cstheme="minorHAnsi"/>
          <w:sz w:val="28"/>
          <w:szCs w:val="28"/>
        </w:rPr>
        <w:t>Obligación de los poderes públicos: Toma de conciencia social.</w:t>
      </w:r>
    </w:p>
    <w:p w:rsidR="009B60AB" w:rsidRPr="005E1103" w:rsidRDefault="009B60AB" w:rsidP="009B60AB">
      <w:pPr>
        <w:pStyle w:val="Prrafodelista"/>
        <w:numPr>
          <w:ilvl w:val="0"/>
          <w:numId w:val="60"/>
        </w:numPr>
        <w:spacing w:before="0" w:after="160" w:line="360" w:lineRule="auto"/>
        <w:jc w:val="both"/>
        <w:rPr>
          <w:rFonts w:asciiTheme="minorHAnsi" w:hAnsiTheme="minorHAnsi" w:cstheme="minorHAnsi"/>
          <w:sz w:val="28"/>
          <w:szCs w:val="28"/>
        </w:rPr>
      </w:pPr>
      <w:r w:rsidRPr="005E1103">
        <w:rPr>
          <w:rFonts w:asciiTheme="minorHAnsi" w:hAnsiTheme="minorHAnsi" w:cstheme="minorHAnsi"/>
          <w:sz w:val="28"/>
          <w:szCs w:val="28"/>
        </w:rPr>
        <w:t>Necesidad de la formación de personal especializado y profesionales que trabajen con personas con discapacidad.</w:t>
      </w:r>
    </w:p>
    <w:p w:rsidR="009B60AB" w:rsidRPr="005E1103" w:rsidRDefault="009B60AB" w:rsidP="009B60AB">
      <w:pPr>
        <w:pStyle w:val="Prrafodelista"/>
        <w:numPr>
          <w:ilvl w:val="0"/>
          <w:numId w:val="60"/>
        </w:numPr>
        <w:spacing w:before="0" w:after="160" w:line="360" w:lineRule="auto"/>
        <w:jc w:val="both"/>
        <w:rPr>
          <w:rFonts w:asciiTheme="minorHAnsi" w:hAnsiTheme="minorHAnsi" w:cstheme="minorHAnsi"/>
          <w:sz w:val="28"/>
          <w:szCs w:val="28"/>
        </w:rPr>
      </w:pPr>
      <w:r w:rsidRPr="005E1103">
        <w:rPr>
          <w:rFonts w:asciiTheme="minorHAnsi" w:hAnsiTheme="minorHAnsi" w:cstheme="minorHAnsi"/>
          <w:sz w:val="28"/>
          <w:szCs w:val="28"/>
        </w:rPr>
        <w:t>Formación en Diseño Universal o Diseño para Todas las Personas.</w:t>
      </w:r>
    </w:p>
    <w:p w:rsidR="009B60AB" w:rsidRPr="005E1103" w:rsidRDefault="009B60AB" w:rsidP="009B60AB">
      <w:pPr>
        <w:spacing w:line="360" w:lineRule="auto"/>
        <w:jc w:val="both"/>
        <w:rPr>
          <w:rFonts w:cstheme="minorHAnsi"/>
          <w:sz w:val="28"/>
          <w:szCs w:val="28"/>
        </w:rPr>
      </w:pPr>
      <w:r w:rsidRPr="005E1103">
        <w:rPr>
          <w:rFonts w:cstheme="minorHAnsi"/>
          <w:sz w:val="28"/>
          <w:szCs w:val="28"/>
        </w:rPr>
        <w:t>En este sentido, también el marco legislativo de la Ordenación de las Enseñanzas Universitarias Oficiales refleja la voluntad para introducir los criterios de accesibilidad y las mejoras en la concepción del Diseño para Todas las Personas en el ámbito universitario. “El Gobierno fomentará que las universidades contemplen medidas para que en el desarrollo de los currículos de sus titulaciones se incluya la formación en Diseño para Todas las Personas”.</w:t>
      </w:r>
    </w:p>
    <w:p w:rsidR="009B60AB" w:rsidRPr="005E1103" w:rsidRDefault="009B60AB" w:rsidP="009B60AB">
      <w:pPr>
        <w:spacing w:line="360" w:lineRule="auto"/>
        <w:jc w:val="both"/>
        <w:rPr>
          <w:rFonts w:cstheme="minorHAnsi"/>
          <w:b/>
          <w:sz w:val="28"/>
          <w:szCs w:val="28"/>
        </w:rPr>
      </w:pPr>
      <w:r w:rsidRPr="005E1103">
        <w:rPr>
          <w:rFonts w:cstheme="minorHAnsi"/>
          <w:b/>
          <w:sz w:val="28"/>
          <w:szCs w:val="28"/>
        </w:rPr>
        <w:t>Antecedentes</w:t>
      </w:r>
    </w:p>
    <w:p w:rsidR="009B60AB" w:rsidRPr="005E1103" w:rsidRDefault="009B60AB" w:rsidP="009B60AB">
      <w:pPr>
        <w:spacing w:line="360" w:lineRule="auto"/>
        <w:jc w:val="both"/>
        <w:rPr>
          <w:rFonts w:cstheme="minorHAnsi"/>
          <w:sz w:val="28"/>
          <w:szCs w:val="28"/>
        </w:rPr>
      </w:pPr>
      <w:r w:rsidRPr="005E1103">
        <w:rPr>
          <w:rFonts w:cstheme="minorHAnsi"/>
          <w:sz w:val="28"/>
          <w:szCs w:val="28"/>
        </w:rPr>
        <w:t>El Libro Blanco del Diseño para Todos en la Universidad (2006), elaborado por la Coordinadora del Diseño para Todas las Personas, el Instituto de Mayores y Servicios Sociales (IMSERSO) y la Fundación ONCE, supuso un punto de partida para avanzar en que el concepto de Diseño para Todas las Personas permeabilizara los currículos universitarios.</w:t>
      </w:r>
    </w:p>
    <w:p w:rsidR="009B60AB" w:rsidRPr="005E1103" w:rsidRDefault="009B60AB" w:rsidP="009B60AB">
      <w:pPr>
        <w:spacing w:line="360" w:lineRule="auto"/>
        <w:jc w:val="both"/>
        <w:rPr>
          <w:rFonts w:cstheme="minorHAnsi"/>
          <w:sz w:val="28"/>
          <w:szCs w:val="28"/>
        </w:rPr>
      </w:pPr>
      <w:r w:rsidRPr="005E1103">
        <w:rPr>
          <w:rFonts w:cstheme="minorHAnsi"/>
          <w:sz w:val="28"/>
          <w:szCs w:val="28"/>
        </w:rPr>
        <w:t xml:space="preserve">Con ese trabajo inicial y con el compromiso y la convicción de que la mejor manera de lograr una sociedad inclusiva es acercar las limitaciones y necesidades que tienen las personas con discapacidad a la universidad, la Fundación ONCE para la Cooperación e Inclusión Social de las personas </w:t>
      </w:r>
      <w:r w:rsidRPr="005E1103">
        <w:rPr>
          <w:rFonts w:cstheme="minorHAnsi"/>
          <w:sz w:val="28"/>
          <w:szCs w:val="28"/>
        </w:rPr>
        <w:lastRenderedPageBreak/>
        <w:t xml:space="preserve">con discapacidad abordó la realización de publicaciones sobre esta materia en distintas disciplinas universitarias. </w:t>
      </w:r>
    </w:p>
    <w:p w:rsidR="009B60AB" w:rsidRPr="005E1103" w:rsidRDefault="009B60AB" w:rsidP="009B60AB">
      <w:pPr>
        <w:spacing w:line="360" w:lineRule="auto"/>
        <w:jc w:val="both"/>
        <w:rPr>
          <w:rFonts w:cstheme="minorHAnsi"/>
          <w:sz w:val="28"/>
          <w:szCs w:val="28"/>
        </w:rPr>
      </w:pPr>
      <w:r w:rsidRPr="005E1103">
        <w:rPr>
          <w:rFonts w:cstheme="minorHAnsi"/>
          <w:sz w:val="28"/>
          <w:szCs w:val="28"/>
        </w:rPr>
        <w:t>En un primer momento se desarrollaron cinco propuestas, las referidas a los currículos más técnicos, más cercanos a los conceptos tradicionales de accesibilidad: Arquitectura, Diseño, Ingeniería de Caminos, Canales y Puertos, Ingeniería Industrial e Ingeniería Informática y Telecomunicaciones. Más adelante, en el marco de un convenio con la Conferencia de Rectores de las Universidades Españolas, CRUE (en adelante Crue Universidades Españolas), con el objetivo de llegar directamente al mundo universitario, se realizaron seis propuestas más: Administración y Dirección de Empresas, Derecho, Medicina, Pedagogía, Psicología y Trabajo Social. Ya en 2016, gracias al decidido apoyo del Real Patronato sobre Discapacidad y de nuevo junto a Crue Universidades Españolas se desarrollan seis publicaciones a modo de herramientas para incorporar el Diseño para Todas las Personas en los currículos universitarios de Ciencias Políticas, Enfermería, Farmacia, Periodismo, Sociología y Terapia Ocupacional.</w:t>
      </w:r>
    </w:p>
    <w:p w:rsidR="009B60AB" w:rsidRPr="005E1103" w:rsidRDefault="009B60AB" w:rsidP="009B60AB">
      <w:pPr>
        <w:spacing w:line="360" w:lineRule="auto"/>
        <w:jc w:val="both"/>
        <w:rPr>
          <w:rFonts w:cstheme="minorHAnsi"/>
          <w:sz w:val="28"/>
          <w:szCs w:val="28"/>
        </w:rPr>
      </w:pPr>
      <w:r w:rsidRPr="005E1103">
        <w:rPr>
          <w:rFonts w:cstheme="minorHAnsi"/>
          <w:sz w:val="28"/>
          <w:szCs w:val="28"/>
        </w:rPr>
        <w:t>Todas estas publicaciones tienen un nexo en común y es el de llevar a la universidad el mensaje de que es imprescindible que el estudiantado, profesionales del mañana, comprendan la diversidad de las personas y sepan abordar las diferentes necesidades desde el primer momento en que conciban y diseñen un entorno, un bien o un servicio.</w:t>
      </w:r>
    </w:p>
    <w:p w:rsidR="009B60AB" w:rsidRPr="005E1103" w:rsidRDefault="009B60AB" w:rsidP="009B60AB">
      <w:pPr>
        <w:spacing w:line="360" w:lineRule="auto"/>
        <w:jc w:val="both"/>
        <w:rPr>
          <w:rFonts w:cstheme="minorHAnsi"/>
          <w:sz w:val="28"/>
          <w:szCs w:val="28"/>
        </w:rPr>
      </w:pPr>
      <w:r w:rsidRPr="005E1103">
        <w:rPr>
          <w:rFonts w:cstheme="minorHAnsi"/>
          <w:sz w:val="28"/>
          <w:szCs w:val="28"/>
        </w:rPr>
        <w:t>Pensar en la generalidad supone excluir a los diferentes, lastimar sus derechos. Una sociedad de iguales necesita de concepciones que tengan en cuenta las diferencias entre las personas.</w:t>
      </w:r>
    </w:p>
    <w:p w:rsidR="009B60AB" w:rsidRPr="005E1103" w:rsidRDefault="009B60AB" w:rsidP="009B60AB">
      <w:pPr>
        <w:spacing w:line="360" w:lineRule="auto"/>
        <w:jc w:val="both"/>
        <w:rPr>
          <w:rFonts w:cstheme="minorHAnsi"/>
          <w:sz w:val="28"/>
          <w:szCs w:val="28"/>
        </w:rPr>
      </w:pPr>
      <w:r w:rsidRPr="005E1103">
        <w:rPr>
          <w:rFonts w:cstheme="minorHAnsi"/>
          <w:sz w:val="28"/>
          <w:szCs w:val="28"/>
        </w:rPr>
        <w:lastRenderedPageBreak/>
        <w:t>La Fundación ONCE para la Cooperación e Inclusión Social de las personas con discapacidad defiende la promoción de la Accesibilidad Universal y la inclusión de los criterios del Diseño para Todas las Personas en todos los aspectos y ámbitos de la sociedad, de manera que se garantice que todas las personas, independientemente de sus capacidades individuales y con los apoyos necesarios, tengan los mismos derechos y las mismas oportunidades de aprovechar los recursos que una sociedad justa nos ofrezca.</w:t>
      </w:r>
    </w:p>
    <w:p w:rsidR="009B60AB" w:rsidRPr="005E1103" w:rsidRDefault="009B60AB" w:rsidP="009B60AB">
      <w:pPr>
        <w:spacing w:line="360" w:lineRule="auto"/>
        <w:jc w:val="both"/>
        <w:rPr>
          <w:rFonts w:cstheme="minorHAnsi"/>
          <w:sz w:val="28"/>
          <w:szCs w:val="28"/>
        </w:rPr>
      </w:pPr>
      <w:r w:rsidRPr="005E1103">
        <w:rPr>
          <w:rFonts w:cstheme="minorHAnsi"/>
          <w:sz w:val="28"/>
          <w:szCs w:val="28"/>
        </w:rPr>
        <w:t>Diseñar para Todas las Personas es diseñar desde la inclusión y es, por tanto, diseñar un futuro más justo.</w:t>
      </w:r>
    </w:p>
    <w:p w:rsidR="009B60AB" w:rsidRPr="005E1103" w:rsidRDefault="009B60AB" w:rsidP="009B60AB">
      <w:pPr>
        <w:spacing w:line="360" w:lineRule="auto"/>
        <w:jc w:val="both"/>
        <w:rPr>
          <w:rFonts w:cstheme="minorHAnsi"/>
          <w:sz w:val="28"/>
          <w:szCs w:val="28"/>
        </w:rPr>
      </w:pPr>
      <w:r w:rsidRPr="005E1103">
        <w:rPr>
          <w:rFonts w:cstheme="minorHAnsi"/>
          <w:b/>
          <w:sz w:val="28"/>
          <w:szCs w:val="28"/>
        </w:rPr>
        <w:t>Objetivos</w:t>
      </w:r>
    </w:p>
    <w:p w:rsidR="009B60AB" w:rsidRPr="005E1103" w:rsidRDefault="009B60AB" w:rsidP="009B60AB">
      <w:pPr>
        <w:spacing w:line="360" w:lineRule="auto"/>
        <w:jc w:val="both"/>
        <w:rPr>
          <w:rFonts w:cstheme="minorHAnsi"/>
          <w:sz w:val="28"/>
          <w:szCs w:val="28"/>
        </w:rPr>
      </w:pPr>
      <w:r w:rsidRPr="005E1103">
        <w:rPr>
          <w:rFonts w:cstheme="minorHAnsi"/>
          <w:sz w:val="28"/>
          <w:szCs w:val="28"/>
        </w:rPr>
        <w:t>El objeto del proyecto es garantizar el aprendizaje de las competencias que el alumnado universitario debe adquirir para el ejercicio de cada profesión en su relación con las personas con discapacidad, sus derechos, necesidades, cómo resolverlas y cómo investigar en esta materia.</w:t>
      </w:r>
    </w:p>
    <w:p w:rsidR="009B60AB" w:rsidRPr="005E1103" w:rsidRDefault="009B60AB" w:rsidP="009B60AB">
      <w:pPr>
        <w:spacing w:line="360" w:lineRule="auto"/>
        <w:jc w:val="both"/>
        <w:rPr>
          <w:rFonts w:cstheme="minorHAnsi"/>
          <w:sz w:val="28"/>
          <w:szCs w:val="28"/>
        </w:rPr>
      </w:pPr>
      <w:r w:rsidRPr="005E1103">
        <w:rPr>
          <w:rFonts w:cstheme="minorHAnsi"/>
          <w:sz w:val="28"/>
          <w:szCs w:val="28"/>
        </w:rPr>
        <w:t>Este proyecto está diseñado y desarrollado con los siguientes objetivos:</w:t>
      </w:r>
    </w:p>
    <w:p w:rsidR="009B60AB" w:rsidRPr="005E1103" w:rsidRDefault="009B60AB" w:rsidP="009B60AB">
      <w:pPr>
        <w:pStyle w:val="Prrafodelista"/>
        <w:numPr>
          <w:ilvl w:val="0"/>
          <w:numId w:val="61"/>
        </w:numPr>
        <w:spacing w:before="0" w:after="160" w:line="360" w:lineRule="auto"/>
        <w:jc w:val="both"/>
        <w:rPr>
          <w:rFonts w:asciiTheme="minorHAnsi" w:hAnsiTheme="minorHAnsi" w:cstheme="minorHAnsi"/>
          <w:sz w:val="28"/>
          <w:szCs w:val="28"/>
        </w:rPr>
      </w:pPr>
      <w:r w:rsidRPr="005E1103">
        <w:rPr>
          <w:rFonts w:asciiTheme="minorHAnsi" w:hAnsiTheme="minorHAnsi" w:cstheme="minorHAnsi"/>
          <w:sz w:val="28"/>
          <w:szCs w:val="28"/>
        </w:rPr>
        <w:t>Objetivo 1: Que todo el alumnado universitario adquiera competencias para el ejercicio de cada profesión en su relación con las personas con discapacidad, sus derechos, limitaciones y necesidades de apoyo, cómo resolverlas, cómo investigar en esta materia, etc. De esta manera estaremos formando a profesionales capaces de construir una Sociedad Inclusiva, una Sociedad Incluyente.</w:t>
      </w:r>
    </w:p>
    <w:p w:rsidR="009B60AB" w:rsidRPr="005E1103" w:rsidRDefault="009B60AB" w:rsidP="009B60AB">
      <w:pPr>
        <w:pStyle w:val="Prrafodelista"/>
        <w:numPr>
          <w:ilvl w:val="0"/>
          <w:numId w:val="61"/>
        </w:numPr>
        <w:spacing w:before="0" w:after="160" w:line="360" w:lineRule="auto"/>
        <w:jc w:val="both"/>
        <w:rPr>
          <w:rFonts w:asciiTheme="minorHAnsi" w:hAnsiTheme="minorHAnsi" w:cstheme="minorHAnsi"/>
          <w:sz w:val="28"/>
          <w:szCs w:val="28"/>
        </w:rPr>
      </w:pPr>
      <w:r w:rsidRPr="005E1103">
        <w:rPr>
          <w:rFonts w:asciiTheme="minorHAnsi" w:hAnsiTheme="minorHAnsi" w:cstheme="minorHAnsi"/>
          <w:sz w:val="28"/>
          <w:szCs w:val="28"/>
        </w:rPr>
        <w:t>Objetivo 2: Sensibilizar a las Agencias de Evaluación de la Calidad y Acreditación para que valoren la inclusión de estas materias en los currículos formativos de las titulaciones universitarias.</w:t>
      </w:r>
    </w:p>
    <w:p w:rsidR="009B60AB" w:rsidRPr="005E1103" w:rsidRDefault="009B60AB" w:rsidP="009B60AB">
      <w:pPr>
        <w:spacing w:line="360" w:lineRule="auto"/>
        <w:jc w:val="both"/>
        <w:rPr>
          <w:rFonts w:cstheme="minorHAnsi"/>
          <w:sz w:val="28"/>
          <w:szCs w:val="28"/>
        </w:rPr>
      </w:pPr>
      <w:r w:rsidRPr="005E1103">
        <w:rPr>
          <w:rFonts w:cstheme="minorHAnsi"/>
          <w:sz w:val="28"/>
          <w:szCs w:val="28"/>
        </w:rPr>
        <w:lastRenderedPageBreak/>
        <w:t>A continuación se describen las actividades llevadas a cabo para dar cumplimiento a los objetivos principales de este proyecto.</w:t>
      </w:r>
    </w:p>
    <w:p w:rsidR="009B60AB" w:rsidRPr="005E1103" w:rsidRDefault="009B60AB" w:rsidP="009B60AB">
      <w:pPr>
        <w:spacing w:line="360" w:lineRule="auto"/>
        <w:jc w:val="both"/>
        <w:rPr>
          <w:rFonts w:cstheme="minorHAnsi"/>
          <w:sz w:val="28"/>
          <w:szCs w:val="28"/>
        </w:rPr>
      </w:pPr>
      <w:r w:rsidRPr="005E1103">
        <w:rPr>
          <w:rFonts w:cstheme="minorHAnsi"/>
          <w:b/>
          <w:sz w:val="28"/>
          <w:szCs w:val="28"/>
        </w:rPr>
        <w:t>Inclusión de los conceptos de Accesibilidad Universal y Diseño para Todas las Personas en la formación universitaria</w:t>
      </w:r>
    </w:p>
    <w:p w:rsidR="009B60AB" w:rsidRPr="005E1103" w:rsidRDefault="009B60AB" w:rsidP="009B60AB">
      <w:pPr>
        <w:spacing w:line="360" w:lineRule="auto"/>
        <w:jc w:val="both"/>
        <w:rPr>
          <w:rFonts w:cstheme="minorHAnsi"/>
          <w:sz w:val="28"/>
          <w:szCs w:val="28"/>
        </w:rPr>
      </w:pPr>
      <w:r w:rsidRPr="005E1103">
        <w:rPr>
          <w:rFonts w:cstheme="minorHAnsi"/>
          <w:sz w:val="28"/>
          <w:szCs w:val="28"/>
        </w:rPr>
        <w:t>Con la finalidad de facilitar la inclusión de los conceptos de Accesibilidad Universal y el Diseño para Todas las Personas en la formación universitaria y contribuir de forma activa a dotar de herramientas para la incorporación de estos conceptos en los currículos universitarios, en esta tercera fase del proyecto se han realizado tareas de difusión de las guías Formación Curricular en Diseño Para todas las Personas en los Vicerrectorados de Docencia y Planificación Académica de diferentes Universidades, se ha presentado y difundido en diferentes Congresos y se han elaborado seis nuevas guías correspondientes a las titulaciones de Ciencias Políticas, Enfermería, Farmacia, Periodismo, Sociología y Terapia Ocupacional. Algunas de las actuaciones realizadas:</w:t>
      </w:r>
    </w:p>
    <w:p w:rsidR="009B60AB" w:rsidRPr="005E1103" w:rsidRDefault="009B60AB" w:rsidP="009B60AB">
      <w:pPr>
        <w:pStyle w:val="Prrafodelista"/>
        <w:numPr>
          <w:ilvl w:val="0"/>
          <w:numId w:val="62"/>
        </w:numPr>
        <w:spacing w:before="0" w:after="160" w:line="360" w:lineRule="auto"/>
        <w:jc w:val="both"/>
        <w:rPr>
          <w:rFonts w:asciiTheme="minorHAnsi" w:hAnsiTheme="minorHAnsi" w:cstheme="minorHAnsi"/>
          <w:sz w:val="28"/>
          <w:szCs w:val="28"/>
        </w:rPr>
      </w:pPr>
      <w:r w:rsidRPr="005E1103">
        <w:rPr>
          <w:rFonts w:asciiTheme="minorHAnsi" w:hAnsiTheme="minorHAnsi" w:cstheme="minorHAnsi"/>
          <w:sz w:val="28"/>
          <w:szCs w:val="28"/>
        </w:rPr>
        <w:t xml:space="preserve">Difusión del proyecto: </w:t>
      </w:r>
    </w:p>
    <w:p w:rsidR="009B60AB" w:rsidRPr="005E1103" w:rsidRDefault="009B60AB" w:rsidP="009B60AB">
      <w:pPr>
        <w:pStyle w:val="Prrafodelista"/>
        <w:numPr>
          <w:ilvl w:val="0"/>
          <w:numId w:val="63"/>
        </w:numPr>
        <w:spacing w:before="0" w:after="160" w:line="360" w:lineRule="auto"/>
        <w:jc w:val="both"/>
        <w:rPr>
          <w:rFonts w:asciiTheme="minorHAnsi" w:hAnsiTheme="minorHAnsi" w:cstheme="minorHAnsi"/>
          <w:sz w:val="28"/>
          <w:szCs w:val="28"/>
        </w:rPr>
      </w:pPr>
      <w:r w:rsidRPr="005E1103">
        <w:rPr>
          <w:rFonts w:asciiTheme="minorHAnsi" w:hAnsiTheme="minorHAnsi" w:cstheme="minorHAnsi"/>
          <w:sz w:val="28"/>
          <w:szCs w:val="28"/>
        </w:rPr>
        <w:t>Se han visitado los Vicerrectorados de Docencia y/o Planificación Académica de la Universidad de Castilla la Mancha, la Universidad de la Laguna, la Universidad de León, la Universidad de Valladolid, la Universidad de Jaén, la Universidad Pablo de Olavide de Sevilla, la Universidad de A Coruña, la Universidad de Santiago de Compostela, el centro universitario CIESE Fundación Comillas, la Universidad de Cantabria, la Universidad Internacional Menéndez Pelayo, la Universidad de Córdoba y la Universidad de Burgos.</w:t>
      </w:r>
    </w:p>
    <w:p w:rsidR="009B60AB" w:rsidRPr="005E1103" w:rsidRDefault="009B60AB" w:rsidP="009B60AB">
      <w:pPr>
        <w:pStyle w:val="Prrafodelista"/>
        <w:numPr>
          <w:ilvl w:val="0"/>
          <w:numId w:val="63"/>
        </w:numPr>
        <w:spacing w:before="0" w:after="160" w:line="360" w:lineRule="auto"/>
        <w:jc w:val="both"/>
        <w:rPr>
          <w:rFonts w:asciiTheme="minorHAnsi" w:hAnsiTheme="minorHAnsi" w:cstheme="minorHAnsi"/>
          <w:sz w:val="28"/>
          <w:szCs w:val="28"/>
        </w:rPr>
      </w:pPr>
      <w:r w:rsidRPr="005E1103">
        <w:rPr>
          <w:rFonts w:asciiTheme="minorHAnsi" w:hAnsiTheme="minorHAnsi" w:cstheme="minorHAnsi"/>
          <w:sz w:val="28"/>
          <w:szCs w:val="28"/>
        </w:rPr>
        <w:lastRenderedPageBreak/>
        <w:t>Se han enviado las publicaciones de Formación Curricular en Diseño para Todas las Personas y enlaces web a las mismas, a la Universidad de Murcia, a la Universidad del País Vasco, a la Universidad de Gijón, a distintos Departamentos de la Universidad de Granada, a la Universidad de La Rioja, al Ministerio de Fomento y a la Universidad Politécnica de Madrid.</w:t>
      </w:r>
    </w:p>
    <w:p w:rsidR="009B60AB" w:rsidRPr="005E1103" w:rsidRDefault="009B60AB" w:rsidP="009B60AB">
      <w:pPr>
        <w:pStyle w:val="Prrafodelista"/>
        <w:numPr>
          <w:ilvl w:val="0"/>
          <w:numId w:val="63"/>
        </w:numPr>
        <w:spacing w:before="0" w:after="160" w:line="360" w:lineRule="auto"/>
        <w:jc w:val="both"/>
        <w:rPr>
          <w:rFonts w:asciiTheme="minorHAnsi" w:hAnsiTheme="minorHAnsi" w:cstheme="minorHAnsi"/>
          <w:sz w:val="28"/>
          <w:szCs w:val="28"/>
        </w:rPr>
      </w:pPr>
      <w:r w:rsidRPr="005E1103">
        <w:rPr>
          <w:rFonts w:asciiTheme="minorHAnsi" w:hAnsiTheme="minorHAnsi" w:cstheme="minorHAnsi"/>
          <w:sz w:val="28"/>
          <w:szCs w:val="28"/>
        </w:rPr>
        <w:t>Se ha difundido el proyecto en universidades extranjeras:</w:t>
      </w:r>
    </w:p>
    <w:p w:rsidR="009B60AB" w:rsidRPr="005E1103" w:rsidRDefault="009B60AB" w:rsidP="009B60AB">
      <w:pPr>
        <w:pStyle w:val="Prrafodelista"/>
        <w:numPr>
          <w:ilvl w:val="0"/>
          <w:numId w:val="64"/>
        </w:numPr>
        <w:spacing w:before="0" w:after="160" w:line="360" w:lineRule="auto"/>
        <w:jc w:val="both"/>
        <w:rPr>
          <w:rFonts w:asciiTheme="minorHAnsi" w:hAnsiTheme="minorHAnsi" w:cstheme="minorHAnsi"/>
          <w:sz w:val="28"/>
          <w:szCs w:val="28"/>
        </w:rPr>
      </w:pPr>
      <w:r w:rsidRPr="005E1103">
        <w:rPr>
          <w:rFonts w:asciiTheme="minorHAnsi" w:hAnsiTheme="minorHAnsi" w:cstheme="minorHAnsi"/>
          <w:sz w:val="28"/>
          <w:szCs w:val="28"/>
        </w:rPr>
        <w:t>Reunión con la Pontificia Universidad Católica de Chile.</w:t>
      </w:r>
    </w:p>
    <w:p w:rsidR="009B60AB" w:rsidRPr="005E1103" w:rsidRDefault="009B60AB" w:rsidP="009B60AB">
      <w:pPr>
        <w:pStyle w:val="Prrafodelista"/>
        <w:numPr>
          <w:ilvl w:val="0"/>
          <w:numId w:val="64"/>
        </w:numPr>
        <w:spacing w:before="0" w:after="160" w:line="360" w:lineRule="auto"/>
        <w:jc w:val="both"/>
        <w:rPr>
          <w:rFonts w:asciiTheme="minorHAnsi" w:hAnsiTheme="minorHAnsi" w:cstheme="minorHAnsi"/>
          <w:sz w:val="28"/>
          <w:szCs w:val="28"/>
        </w:rPr>
      </w:pPr>
      <w:r w:rsidRPr="005E1103">
        <w:rPr>
          <w:rFonts w:asciiTheme="minorHAnsi" w:hAnsiTheme="minorHAnsi" w:cstheme="minorHAnsi"/>
          <w:sz w:val="28"/>
          <w:szCs w:val="28"/>
        </w:rPr>
        <w:t>Videoconferencia con la Universidad Metropolitana de México.</w:t>
      </w:r>
    </w:p>
    <w:p w:rsidR="009B60AB" w:rsidRPr="005E1103" w:rsidRDefault="009B60AB" w:rsidP="009B60AB">
      <w:pPr>
        <w:pStyle w:val="Prrafodelista"/>
        <w:numPr>
          <w:ilvl w:val="0"/>
          <w:numId w:val="62"/>
        </w:numPr>
        <w:spacing w:before="0" w:after="160" w:line="360" w:lineRule="auto"/>
        <w:jc w:val="both"/>
        <w:rPr>
          <w:rFonts w:asciiTheme="minorHAnsi" w:hAnsiTheme="minorHAnsi" w:cstheme="minorHAnsi"/>
          <w:sz w:val="28"/>
          <w:szCs w:val="28"/>
        </w:rPr>
      </w:pPr>
      <w:r w:rsidRPr="005E1103">
        <w:rPr>
          <w:rFonts w:asciiTheme="minorHAnsi" w:hAnsiTheme="minorHAnsi" w:cstheme="minorHAnsi"/>
          <w:sz w:val="28"/>
          <w:szCs w:val="28"/>
        </w:rPr>
        <w:t>Congresos y Jornadas:</w:t>
      </w:r>
    </w:p>
    <w:p w:rsidR="009B60AB" w:rsidRPr="005E1103" w:rsidRDefault="009B60AB" w:rsidP="009B60AB">
      <w:pPr>
        <w:pStyle w:val="Prrafodelista"/>
        <w:numPr>
          <w:ilvl w:val="0"/>
          <w:numId w:val="63"/>
        </w:numPr>
        <w:spacing w:before="0" w:after="160" w:line="360" w:lineRule="auto"/>
        <w:jc w:val="both"/>
        <w:rPr>
          <w:rFonts w:asciiTheme="minorHAnsi" w:hAnsiTheme="minorHAnsi" w:cstheme="minorHAnsi"/>
          <w:sz w:val="28"/>
          <w:szCs w:val="28"/>
        </w:rPr>
      </w:pPr>
      <w:r w:rsidRPr="005E1103">
        <w:rPr>
          <w:rFonts w:asciiTheme="minorHAnsi" w:hAnsiTheme="minorHAnsi" w:cstheme="minorHAnsi"/>
          <w:sz w:val="28"/>
          <w:szCs w:val="28"/>
        </w:rPr>
        <w:t>Se presentó el proyecto en el XX Aniversario del Instituto Universitario de Integración en la Comunidad, INICO, de la Universidad de Salamanca, en el IV Congreso Internacional sobre el Síndrome de Down, en el IX Congreso Iberoamericano de Docencia Universitaria, en el II Congreso Internacional de Trabajo Social, en el 8ª Congreso Iberoamericano CEISAL 2016, y en el XII Congreso Nacional de Sociología.</w:t>
      </w:r>
    </w:p>
    <w:p w:rsidR="009B60AB" w:rsidRPr="005E1103" w:rsidRDefault="009B60AB" w:rsidP="009B60AB">
      <w:pPr>
        <w:pStyle w:val="Prrafodelista"/>
        <w:numPr>
          <w:ilvl w:val="0"/>
          <w:numId w:val="63"/>
        </w:numPr>
        <w:spacing w:before="0" w:after="160" w:line="360" w:lineRule="auto"/>
        <w:jc w:val="both"/>
        <w:rPr>
          <w:rFonts w:asciiTheme="minorHAnsi" w:hAnsiTheme="minorHAnsi" w:cstheme="minorHAnsi"/>
          <w:sz w:val="28"/>
          <w:szCs w:val="28"/>
        </w:rPr>
      </w:pPr>
      <w:r w:rsidRPr="005E1103">
        <w:rPr>
          <w:rFonts w:asciiTheme="minorHAnsi" w:hAnsiTheme="minorHAnsi" w:cstheme="minorHAnsi"/>
          <w:sz w:val="28"/>
          <w:szCs w:val="28"/>
        </w:rPr>
        <w:t>Se ha participado en diferentes Jornadas organizadas por PREDIF Castilla y León y PREDIF Andalucía.</w:t>
      </w:r>
    </w:p>
    <w:p w:rsidR="009B60AB" w:rsidRPr="005E1103" w:rsidRDefault="009B60AB" w:rsidP="009B60AB">
      <w:pPr>
        <w:spacing w:line="360" w:lineRule="auto"/>
        <w:ind w:left="1080"/>
        <w:jc w:val="both"/>
        <w:rPr>
          <w:rFonts w:cstheme="minorHAnsi"/>
          <w:sz w:val="28"/>
          <w:szCs w:val="28"/>
        </w:rPr>
      </w:pPr>
      <w:r w:rsidRPr="005E1103">
        <w:rPr>
          <w:rFonts w:cstheme="minorHAnsi"/>
          <w:sz w:val="28"/>
          <w:szCs w:val="28"/>
        </w:rPr>
        <w:t>En estos Congresos y Jornadas se han difundido las 11 publicaciones en Comunicaciones y Ponencias, haciendo entrega a los asistentes de resúmenes del proyecto y códigos QR con las herramientas en pdf.</w:t>
      </w:r>
    </w:p>
    <w:p w:rsidR="009B60AB" w:rsidRPr="005E1103" w:rsidRDefault="009B60AB" w:rsidP="009B60AB">
      <w:pPr>
        <w:pStyle w:val="Prrafodelista"/>
        <w:numPr>
          <w:ilvl w:val="0"/>
          <w:numId w:val="62"/>
        </w:numPr>
        <w:spacing w:before="0" w:after="160" w:line="360" w:lineRule="auto"/>
        <w:jc w:val="both"/>
        <w:rPr>
          <w:rFonts w:asciiTheme="minorHAnsi" w:hAnsiTheme="minorHAnsi" w:cstheme="minorHAnsi"/>
          <w:sz w:val="28"/>
          <w:szCs w:val="28"/>
        </w:rPr>
      </w:pPr>
      <w:r w:rsidRPr="005E1103">
        <w:rPr>
          <w:rFonts w:asciiTheme="minorHAnsi" w:hAnsiTheme="minorHAnsi" w:cstheme="minorHAnsi"/>
          <w:sz w:val="28"/>
          <w:szCs w:val="28"/>
        </w:rPr>
        <w:lastRenderedPageBreak/>
        <w:t>Nuevas guías de Formación Curricular en Diseño Para Todas Las Personas:</w:t>
      </w:r>
    </w:p>
    <w:p w:rsidR="009B60AB" w:rsidRPr="005E1103" w:rsidRDefault="009B60AB" w:rsidP="009B60AB">
      <w:pPr>
        <w:pStyle w:val="Prrafodelista"/>
        <w:numPr>
          <w:ilvl w:val="0"/>
          <w:numId w:val="65"/>
        </w:numPr>
        <w:spacing w:before="0" w:after="160" w:line="360" w:lineRule="auto"/>
        <w:jc w:val="both"/>
        <w:rPr>
          <w:rFonts w:asciiTheme="minorHAnsi" w:hAnsiTheme="minorHAnsi" w:cstheme="minorHAnsi"/>
          <w:sz w:val="28"/>
          <w:szCs w:val="28"/>
        </w:rPr>
      </w:pPr>
      <w:r w:rsidRPr="005E1103">
        <w:rPr>
          <w:rFonts w:asciiTheme="minorHAnsi" w:hAnsiTheme="minorHAnsi" w:cstheme="minorHAnsi"/>
          <w:sz w:val="28"/>
          <w:szCs w:val="28"/>
        </w:rPr>
        <w:t>Formación Curricular en Diseño Para Todas las Personas en Ciencias Políticas.</w:t>
      </w:r>
    </w:p>
    <w:p w:rsidR="009B60AB" w:rsidRPr="005E1103" w:rsidRDefault="009B60AB" w:rsidP="009B60AB">
      <w:pPr>
        <w:pStyle w:val="Prrafodelista"/>
        <w:numPr>
          <w:ilvl w:val="0"/>
          <w:numId w:val="65"/>
        </w:numPr>
        <w:spacing w:before="0" w:after="160" w:line="360" w:lineRule="auto"/>
        <w:jc w:val="both"/>
        <w:rPr>
          <w:rFonts w:asciiTheme="minorHAnsi" w:hAnsiTheme="minorHAnsi" w:cstheme="minorHAnsi"/>
          <w:sz w:val="28"/>
          <w:szCs w:val="28"/>
        </w:rPr>
      </w:pPr>
      <w:r w:rsidRPr="005E1103">
        <w:rPr>
          <w:rFonts w:asciiTheme="minorHAnsi" w:hAnsiTheme="minorHAnsi" w:cstheme="minorHAnsi"/>
          <w:sz w:val="28"/>
          <w:szCs w:val="28"/>
        </w:rPr>
        <w:t>Formación Curricular en Diseño Para Todas las Personas en Enfermería.</w:t>
      </w:r>
    </w:p>
    <w:p w:rsidR="009B60AB" w:rsidRPr="005E1103" w:rsidRDefault="009B60AB" w:rsidP="009B60AB">
      <w:pPr>
        <w:pStyle w:val="Prrafodelista"/>
        <w:numPr>
          <w:ilvl w:val="0"/>
          <w:numId w:val="65"/>
        </w:numPr>
        <w:spacing w:before="0" w:after="160" w:line="360" w:lineRule="auto"/>
        <w:jc w:val="both"/>
        <w:rPr>
          <w:rFonts w:asciiTheme="minorHAnsi" w:hAnsiTheme="minorHAnsi" w:cstheme="minorHAnsi"/>
          <w:sz w:val="28"/>
          <w:szCs w:val="28"/>
        </w:rPr>
      </w:pPr>
      <w:r w:rsidRPr="005E1103">
        <w:rPr>
          <w:rFonts w:asciiTheme="minorHAnsi" w:hAnsiTheme="minorHAnsi" w:cstheme="minorHAnsi"/>
          <w:sz w:val="28"/>
          <w:szCs w:val="28"/>
        </w:rPr>
        <w:t>Formación Curricular en Diseño Para Todas las Personas en Farmacia.</w:t>
      </w:r>
    </w:p>
    <w:p w:rsidR="009B60AB" w:rsidRPr="005E1103" w:rsidRDefault="009B60AB" w:rsidP="009B60AB">
      <w:pPr>
        <w:pStyle w:val="Prrafodelista"/>
        <w:numPr>
          <w:ilvl w:val="0"/>
          <w:numId w:val="65"/>
        </w:numPr>
        <w:spacing w:before="0" w:after="160" w:line="360" w:lineRule="auto"/>
        <w:jc w:val="both"/>
        <w:rPr>
          <w:rFonts w:asciiTheme="minorHAnsi" w:hAnsiTheme="minorHAnsi" w:cstheme="minorHAnsi"/>
          <w:sz w:val="28"/>
          <w:szCs w:val="28"/>
        </w:rPr>
      </w:pPr>
      <w:r w:rsidRPr="005E1103">
        <w:rPr>
          <w:rFonts w:asciiTheme="minorHAnsi" w:hAnsiTheme="minorHAnsi" w:cstheme="minorHAnsi"/>
          <w:sz w:val="28"/>
          <w:szCs w:val="28"/>
        </w:rPr>
        <w:t>Formación Curricular en Diseño Para Todas las Personas en Periodismo.</w:t>
      </w:r>
    </w:p>
    <w:p w:rsidR="009B60AB" w:rsidRPr="005E1103" w:rsidRDefault="009B60AB" w:rsidP="009B60AB">
      <w:pPr>
        <w:pStyle w:val="Prrafodelista"/>
        <w:numPr>
          <w:ilvl w:val="0"/>
          <w:numId w:val="65"/>
        </w:numPr>
        <w:spacing w:before="0" w:after="160" w:line="360" w:lineRule="auto"/>
        <w:jc w:val="both"/>
        <w:rPr>
          <w:rFonts w:asciiTheme="minorHAnsi" w:hAnsiTheme="minorHAnsi" w:cstheme="minorHAnsi"/>
          <w:sz w:val="28"/>
          <w:szCs w:val="28"/>
        </w:rPr>
      </w:pPr>
      <w:r w:rsidRPr="005E1103">
        <w:rPr>
          <w:rFonts w:asciiTheme="minorHAnsi" w:hAnsiTheme="minorHAnsi" w:cstheme="minorHAnsi"/>
          <w:sz w:val="28"/>
          <w:szCs w:val="28"/>
        </w:rPr>
        <w:t>Formación Curricular en Diseño Para Todas las Personas en Sociología.</w:t>
      </w:r>
    </w:p>
    <w:p w:rsidR="009B60AB" w:rsidRPr="005E1103" w:rsidRDefault="009B60AB" w:rsidP="009B60AB">
      <w:pPr>
        <w:pStyle w:val="Prrafodelista"/>
        <w:numPr>
          <w:ilvl w:val="0"/>
          <w:numId w:val="65"/>
        </w:numPr>
        <w:spacing w:before="0" w:after="160" w:line="360" w:lineRule="auto"/>
        <w:jc w:val="both"/>
        <w:rPr>
          <w:rFonts w:asciiTheme="minorHAnsi" w:hAnsiTheme="minorHAnsi" w:cstheme="minorHAnsi"/>
          <w:sz w:val="28"/>
          <w:szCs w:val="28"/>
        </w:rPr>
      </w:pPr>
      <w:r w:rsidRPr="005E1103">
        <w:rPr>
          <w:rFonts w:asciiTheme="minorHAnsi" w:hAnsiTheme="minorHAnsi" w:cstheme="minorHAnsi"/>
          <w:sz w:val="28"/>
          <w:szCs w:val="28"/>
        </w:rPr>
        <w:t>Formación Curricular en Diseño Para Todas las Personas en Terapia Ocupacional.</w:t>
      </w:r>
    </w:p>
    <w:p w:rsidR="009B60AB" w:rsidRPr="005E1103" w:rsidRDefault="009B60AB" w:rsidP="009B60AB">
      <w:pPr>
        <w:spacing w:line="360" w:lineRule="auto"/>
        <w:jc w:val="both"/>
        <w:rPr>
          <w:rFonts w:cstheme="minorHAnsi"/>
          <w:sz w:val="28"/>
          <w:szCs w:val="28"/>
        </w:rPr>
      </w:pPr>
      <w:r w:rsidRPr="005E1103">
        <w:rPr>
          <w:rFonts w:cstheme="minorHAnsi"/>
          <w:sz w:val="28"/>
          <w:szCs w:val="28"/>
        </w:rPr>
        <w:t>Serán presentadas el próximo 28 de noviembre de 2016 en Zaragoza.</w:t>
      </w:r>
    </w:p>
    <w:p w:rsidR="009B60AB" w:rsidRPr="005E1103" w:rsidRDefault="009B60AB" w:rsidP="009B60AB">
      <w:pPr>
        <w:spacing w:line="360" w:lineRule="auto"/>
        <w:jc w:val="both"/>
        <w:rPr>
          <w:rFonts w:cstheme="minorHAnsi"/>
          <w:b/>
          <w:sz w:val="28"/>
          <w:szCs w:val="28"/>
        </w:rPr>
      </w:pPr>
      <w:r w:rsidRPr="005E1103">
        <w:rPr>
          <w:rFonts w:cstheme="minorHAnsi"/>
          <w:b/>
          <w:sz w:val="28"/>
          <w:szCs w:val="28"/>
        </w:rPr>
        <w:t>Difusión y formación en la Agencia Nacional de Evaluación de la Calidad y Acreditación ANECA y Agencias de Calidad Autonómicas</w:t>
      </w:r>
    </w:p>
    <w:p w:rsidR="009B60AB" w:rsidRPr="005E1103" w:rsidRDefault="009B60AB" w:rsidP="009B60AB">
      <w:pPr>
        <w:spacing w:line="360" w:lineRule="auto"/>
        <w:jc w:val="both"/>
        <w:rPr>
          <w:rFonts w:cstheme="minorHAnsi"/>
          <w:sz w:val="28"/>
          <w:szCs w:val="28"/>
        </w:rPr>
      </w:pPr>
      <w:r w:rsidRPr="005E1103">
        <w:rPr>
          <w:rFonts w:cstheme="minorHAnsi"/>
          <w:sz w:val="28"/>
          <w:szCs w:val="28"/>
        </w:rPr>
        <w:t>La Agencia Nacional de Evaluación de la Calidad y Acreditación, ANECA, debe estar involucrada y así dar cumplimiento al artículo 3.5.b del Real Decreto 1393/2007, de 29 de octubre, que establece la ordenación de las enseñanzas universitarias oficiales en España, en el que se describen los principios en los que debe estar basado el diseño de los títulos, entre los que se encuentran el respeto y promoción de los Derechos Humanos y los principios de Accesibilidad Universal y Diseño para Todos.</w:t>
      </w:r>
    </w:p>
    <w:p w:rsidR="009B60AB" w:rsidRPr="005E1103" w:rsidRDefault="009B60AB" w:rsidP="009B60AB">
      <w:pPr>
        <w:spacing w:line="360" w:lineRule="auto"/>
        <w:jc w:val="both"/>
        <w:rPr>
          <w:rFonts w:cstheme="minorHAnsi"/>
          <w:sz w:val="28"/>
          <w:szCs w:val="28"/>
        </w:rPr>
      </w:pPr>
      <w:r w:rsidRPr="005E1103">
        <w:rPr>
          <w:rFonts w:cstheme="minorHAnsi"/>
          <w:sz w:val="28"/>
          <w:szCs w:val="28"/>
        </w:rPr>
        <w:t>Se han visitado algunas de las Agencias de Calidad y Acreditación:</w:t>
      </w:r>
    </w:p>
    <w:p w:rsidR="009B60AB" w:rsidRPr="005E1103" w:rsidRDefault="009B60AB" w:rsidP="009B60AB">
      <w:pPr>
        <w:pStyle w:val="Prrafodelista"/>
        <w:numPr>
          <w:ilvl w:val="0"/>
          <w:numId w:val="62"/>
        </w:numPr>
        <w:spacing w:before="0" w:after="160" w:line="360" w:lineRule="auto"/>
        <w:jc w:val="both"/>
        <w:rPr>
          <w:rFonts w:asciiTheme="minorHAnsi" w:hAnsiTheme="minorHAnsi" w:cstheme="minorHAnsi"/>
          <w:sz w:val="28"/>
          <w:szCs w:val="28"/>
        </w:rPr>
      </w:pPr>
      <w:r w:rsidRPr="005E1103">
        <w:rPr>
          <w:rFonts w:asciiTheme="minorHAnsi" w:hAnsiTheme="minorHAnsi" w:cstheme="minorHAnsi"/>
          <w:sz w:val="28"/>
          <w:szCs w:val="28"/>
        </w:rPr>
        <w:lastRenderedPageBreak/>
        <w:t>Se han mantenido varias reuniones con la Agencia Nacional de Evaluación de la Calidad y Acreditación, ANECA, y su director Miguel Ángel Galindo. La Agencia se muestra sensible y ve necesaria la inclusión de estos criterios en los currículos universitarios, además de valorar esta inclusión.</w:t>
      </w:r>
    </w:p>
    <w:p w:rsidR="009B60AB" w:rsidRPr="005E1103" w:rsidRDefault="009B60AB" w:rsidP="009B60AB">
      <w:pPr>
        <w:pStyle w:val="Prrafodelista"/>
        <w:numPr>
          <w:ilvl w:val="0"/>
          <w:numId w:val="62"/>
        </w:numPr>
        <w:spacing w:before="0" w:after="160" w:line="360" w:lineRule="auto"/>
        <w:jc w:val="both"/>
        <w:rPr>
          <w:rFonts w:asciiTheme="minorHAnsi" w:hAnsiTheme="minorHAnsi" w:cstheme="minorHAnsi"/>
          <w:sz w:val="28"/>
          <w:szCs w:val="28"/>
        </w:rPr>
      </w:pPr>
      <w:r w:rsidRPr="005E1103">
        <w:rPr>
          <w:rFonts w:asciiTheme="minorHAnsi" w:hAnsiTheme="minorHAnsi" w:cstheme="minorHAnsi"/>
          <w:sz w:val="28"/>
          <w:szCs w:val="28"/>
        </w:rPr>
        <w:t>Agencia de Calidad y Prospectiva Universitaria de Aragón, ACPUA: En la reunión mantenida en Zaragoza su director, Antonio Serrano, aportó muchas ideas para incluir el Diseño para Todos en las titulaciones de las universidades de Aragón. Entiende la necesidad de formación del profesorado evaluador de su Agencia, además de su equipo de Técnicos y Comisiones Estudiantiles. Se realizará una jornada de formación el día 28 de noviembre en ACPUA.</w:t>
      </w:r>
    </w:p>
    <w:p w:rsidR="009B60AB" w:rsidRPr="005E1103" w:rsidRDefault="009B60AB" w:rsidP="009B60AB">
      <w:pPr>
        <w:pStyle w:val="Prrafodelista"/>
        <w:numPr>
          <w:ilvl w:val="0"/>
          <w:numId w:val="62"/>
        </w:numPr>
        <w:spacing w:before="0" w:after="160" w:line="360" w:lineRule="auto"/>
        <w:jc w:val="both"/>
        <w:rPr>
          <w:rFonts w:asciiTheme="minorHAnsi" w:hAnsiTheme="minorHAnsi" w:cstheme="minorHAnsi"/>
          <w:sz w:val="28"/>
          <w:szCs w:val="28"/>
        </w:rPr>
      </w:pPr>
      <w:r w:rsidRPr="005E1103">
        <w:rPr>
          <w:rFonts w:asciiTheme="minorHAnsi" w:hAnsiTheme="minorHAnsi" w:cstheme="minorHAnsi"/>
          <w:sz w:val="28"/>
          <w:szCs w:val="28"/>
        </w:rPr>
        <w:t>Agencia de Calidad del Sistema Universitario Vasco, UNIBASQ: Se mantiene una reunión con la directora de la Agencia, Eva Ferreira, y varios de sus técnicos. Se dialoga sobre la implantación que ya tienen y valoran la necesidad de ir a más. Si bien las universidades del País Vasco están muy sensibilizadas, se plantea que aún faltan muchas cosas por hacer. Solicitan guías y protocolos de valoración para incluir estos criterios y conceptos en la memoria solicitada a sus universidades, para mejorar la accesibilidad de las páginas web y para formar a sus comités evaluadores y técnicos. Se dará formación en esta Agencia durante el próximo año 2017.</w:t>
      </w:r>
    </w:p>
    <w:p w:rsidR="009B60AB" w:rsidRPr="005E1103" w:rsidRDefault="009B60AB" w:rsidP="009B60AB">
      <w:pPr>
        <w:pStyle w:val="Prrafodelista"/>
        <w:numPr>
          <w:ilvl w:val="0"/>
          <w:numId w:val="62"/>
        </w:numPr>
        <w:spacing w:before="0" w:after="160" w:line="360" w:lineRule="auto"/>
        <w:jc w:val="both"/>
        <w:rPr>
          <w:rFonts w:asciiTheme="minorHAnsi" w:hAnsiTheme="minorHAnsi" w:cstheme="minorHAnsi"/>
          <w:sz w:val="28"/>
          <w:szCs w:val="28"/>
        </w:rPr>
      </w:pPr>
      <w:r w:rsidRPr="005E1103">
        <w:rPr>
          <w:rFonts w:asciiTheme="minorHAnsi" w:hAnsiTheme="minorHAnsi" w:cstheme="minorHAnsi"/>
          <w:sz w:val="28"/>
          <w:szCs w:val="28"/>
        </w:rPr>
        <w:t>Axencia para a Calidade do Sistema Universitario de Galicia, ACSUG: Se visita esta Agencia concretando un próximo encuentro y formación en el año 2017.</w:t>
      </w:r>
    </w:p>
    <w:p w:rsidR="009B60AB" w:rsidRPr="005E1103" w:rsidRDefault="009B60AB" w:rsidP="009B60AB">
      <w:pPr>
        <w:pStyle w:val="Prrafodelista"/>
        <w:numPr>
          <w:ilvl w:val="0"/>
          <w:numId w:val="62"/>
        </w:numPr>
        <w:spacing w:before="0" w:after="160" w:line="360" w:lineRule="auto"/>
        <w:jc w:val="both"/>
        <w:rPr>
          <w:rFonts w:asciiTheme="minorHAnsi" w:hAnsiTheme="minorHAnsi" w:cstheme="minorHAnsi"/>
          <w:sz w:val="28"/>
          <w:szCs w:val="28"/>
        </w:rPr>
      </w:pPr>
      <w:r w:rsidRPr="005E1103">
        <w:rPr>
          <w:rFonts w:asciiTheme="minorHAnsi" w:hAnsiTheme="minorHAnsi" w:cstheme="minorHAnsi"/>
          <w:sz w:val="28"/>
          <w:szCs w:val="28"/>
        </w:rPr>
        <w:lastRenderedPageBreak/>
        <w:t>Dirección de Evaluación y Acreditación - Agencia Andaluza del Conocimiento, DEVA: En la visita se concretó con su director Francisco Gracia un próximo encuentro para el año 2017.</w:t>
      </w:r>
    </w:p>
    <w:p w:rsidR="009B60AB" w:rsidRPr="005E1103" w:rsidRDefault="009B60AB" w:rsidP="009B60AB">
      <w:pPr>
        <w:spacing w:line="360" w:lineRule="auto"/>
        <w:jc w:val="both"/>
        <w:rPr>
          <w:rFonts w:cstheme="minorHAnsi"/>
          <w:sz w:val="28"/>
          <w:szCs w:val="28"/>
        </w:rPr>
      </w:pPr>
      <w:r w:rsidRPr="005E1103">
        <w:rPr>
          <w:rFonts w:cstheme="minorHAnsi"/>
          <w:sz w:val="28"/>
          <w:szCs w:val="28"/>
        </w:rPr>
        <w:t>Se mantiene contacto con el resto de Agencias de Calidad y Acreditación de las Comunidades Autónomas. Se han acordado encuentros con las Agencias de Canarias, ACECAU, Castilla y León, ACSUCYL, Catalunya, AQU, Comunidad Valenciana, AVAP, Islas Baleares, AQUIB, y Comunidad de Madrid, MADRID +, en el año 2017.</w:t>
      </w:r>
    </w:p>
    <w:p w:rsidR="009B60AB" w:rsidRPr="005E1103" w:rsidRDefault="009B60AB" w:rsidP="009B60AB">
      <w:pPr>
        <w:spacing w:line="360" w:lineRule="auto"/>
        <w:jc w:val="both"/>
        <w:rPr>
          <w:rFonts w:cstheme="minorHAnsi"/>
          <w:noProof/>
          <w:sz w:val="28"/>
          <w:szCs w:val="28"/>
          <w:lang w:eastAsia="es-ES"/>
        </w:rPr>
      </w:pPr>
      <w:r w:rsidRPr="005E1103">
        <w:rPr>
          <w:rFonts w:cstheme="minorHAnsi"/>
          <w:sz w:val="28"/>
          <w:szCs w:val="28"/>
        </w:rPr>
        <w:t xml:space="preserve">Fruto de estos encuentros mantenidos con las Agencias de Calidad, se celebró el pasado 3 de octubre en el Salón de Actos de Fundación ONCE, la </w:t>
      </w:r>
      <w:r w:rsidRPr="005E1103">
        <w:rPr>
          <w:rFonts w:cstheme="minorHAnsi"/>
          <w:i/>
          <w:sz w:val="28"/>
          <w:szCs w:val="28"/>
        </w:rPr>
        <w:t>Jornada-Encuentro Inclusión de los criterios de Accesibilidad Universal y el Diseño para Todos en la Universidad</w:t>
      </w:r>
      <w:r w:rsidRPr="005E1103">
        <w:rPr>
          <w:rFonts w:cstheme="minorHAnsi"/>
          <w:sz w:val="28"/>
          <w:szCs w:val="28"/>
        </w:rPr>
        <w:t>. Esta jornada de formación, se celebró con la colaboración de Fundación ONCE, la Agencia Nacional de Evaluación de la Calidad y Acreditación, ANECA, Crue Universidades Españolas y el Real Patronato sobre Discapacidad, a la que asistieren representantes de instituciones, profesorado evaluador de la ANECA y la Agencia Madrid +, además de profesorado de diferentes universidades madrileñas. Esta jornada ha tenido gran repercusión en medios de comunicación, en distintas organizaciones y entidades relacionadas con las personas con discapacidad, en las universidades madrileñas y entre el profesorado en general. Dado el éxito obtenido y la demanda del profesorado, se está preparando una nueva jornada de formación para el día 14 de diciembre de 2016.</w:t>
      </w:r>
    </w:p>
    <w:p w:rsidR="009B60AB" w:rsidRPr="005E1103" w:rsidRDefault="009B60AB" w:rsidP="009B60AB">
      <w:pPr>
        <w:spacing w:line="360" w:lineRule="auto"/>
        <w:jc w:val="both"/>
        <w:rPr>
          <w:rFonts w:cstheme="minorHAnsi"/>
          <w:noProof/>
          <w:sz w:val="28"/>
          <w:szCs w:val="28"/>
          <w:lang w:eastAsia="es-ES"/>
        </w:rPr>
      </w:pPr>
    </w:p>
    <w:p w:rsidR="009B60AB" w:rsidRPr="005E1103" w:rsidRDefault="009B60AB" w:rsidP="009B60AB">
      <w:pPr>
        <w:spacing w:line="360" w:lineRule="auto"/>
        <w:jc w:val="center"/>
        <w:rPr>
          <w:rFonts w:cstheme="minorHAnsi"/>
          <w:sz w:val="28"/>
          <w:szCs w:val="28"/>
        </w:rPr>
      </w:pPr>
      <w:r w:rsidRPr="005E1103">
        <w:rPr>
          <w:rFonts w:cstheme="minorHAnsi"/>
          <w:noProof/>
          <w:sz w:val="28"/>
          <w:szCs w:val="28"/>
          <w:lang w:eastAsia="es-ES"/>
        </w:rPr>
        <w:lastRenderedPageBreak/>
        <w:drawing>
          <wp:inline distT="0" distB="0" distL="0" distR="0" wp14:anchorId="59B16558" wp14:editId="0589D7E2">
            <wp:extent cx="3126111" cy="2560737"/>
            <wp:effectExtent l="0" t="285750" r="0" b="258663"/>
            <wp:docPr id="17" name="Imagen 1" descr="C:\Users\Usuario\Desktop\GEMA\ANECA\aneca central\jornadas\jornada_fonce_aneca_03_10_2016\fotos\IMG_1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GEMA\ANECA\aneca central\jornadas\jornada_fonce_aneca_03_10_2016\fotos\IMG_1489.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rot="5400000">
                      <a:off x="0" y="0"/>
                      <a:ext cx="3127422" cy="2561811"/>
                    </a:xfrm>
                    <a:prstGeom prst="rect">
                      <a:avLst/>
                    </a:prstGeom>
                    <a:noFill/>
                    <a:ln>
                      <a:noFill/>
                    </a:ln>
                  </pic:spPr>
                </pic:pic>
              </a:graphicData>
            </a:graphic>
          </wp:inline>
        </w:drawing>
      </w:r>
    </w:p>
    <w:p w:rsidR="009B60AB" w:rsidRPr="005E1103" w:rsidRDefault="009B60AB" w:rsidP="009B60AB">
      <w:pPr>
        <w:spacing w:line="360" w:lineRule="auto"/>
        <w:jc w:val="center"/>
        <w:rPr>
          <w:rFonts w:cstheme="minorHAnsi"/>
          <w:sz w:val="28"/>
          <w:szCs w:val="28"/>
        </w:rPr>
      </w:pPr>
      <w:r w:rsidRPr="005E1103">
        <w:rPr>
          <w:rFonts w:cstheme="minorHAnsi"/>
          <w:sz w:val="28"/>
          <w:szCs w:val="28"/>
        </w:rPr>
        <w:t>Imagen de la presentación de la Jornada: Mesa inauguración y público</w:t>
      </w:r>
    </w:p>
    <w:p w:rsidR="009B60AB" w:rsidRPr="005E1103" w:rsidRDefault="009B60AB" w:rsidP="009B60AB">
      <w:pPr>
        <w:spacing w:line="360" w:lineRule="auto"/>
        <w:jc w:val="center"/>
        <w:rPr>
          <w:rFonts w:cstheme="minorHAnsi"/>
          <w:b/>
          <w:sz w:val="28"/>
          <w:szCs w:val="28"/>
        </w:rPr>
      </w:pPr>
    </w:p>
    <w:p w:rsidR="009B60AB" w:rsidRPr="005E1103" w:rsidRDefault="009B60AB" w:rsidP="009B60AB">
      <w:pPr>
        <w:spacing w:line="360" w:lineRule="auto"/>
        <w:jc w:val="both"/>
        <w:rPr>
          <w:rFonts w:cstheme="minorHAnsi"/>
          <w:b/>
          <w:sz w:val="28"/>
          <w:szCs w:val="28"/>
        </w:rPr>
      </w:pPr>
      <w:r w:rsidRPr="005E1103">
        <w:rPr>
          <w:rFonts w:cstheme="minorHAnsi"/>
          <w:b/>
          <w:sz w:val="28"/>
          <w:szCs w:val="28"/>
        </w:rPr>
        <w:t>Conclusiones</w:t>
      </w:r>
    </w:p>
    <w:p w:rsidR="009B60AB" w:rsidRPr="005E1103" w:rsidRDefault="009B60AB" w:rsidP="009B60AB">
      <w:pPr>
        <w:spacing w:line="360" w:lineRule="auto"/>
        <w:jc w:val="both"/>
        <w:rPr>
          <w:rFonts w:cstheme="minorHAnsi"/>
          <w:sz w:val="28"/>
          <w:szCs w:val="28"/>
        </w:rPr>
      </w:pPr>
      <w:r w:rsidRPr="005E1103">
        <w:rPr>
          <w:rFonts w:cstheme="minorHAnsi"/>
          <w:sz w:val="28"/>
          <w:szCs w:val="28"/>
        </w:rPr>
        <w:t xml:space="preserve">Una Sociedad Inclusiva tiene que pensar en cómo ofrecer oportunidades y servicios a todas las personas, independientemente de sus situaciones personales. </w:t>
      </w:r>
    </w:p>
    <w:p w:rsidR="009B60AB" w:rsidRPr="005E1103" w:rsidRDefault="009B60AB" w:rsidP="009B60AB">
      <w:pPr>
        <w:spacing w:line="360" w:lineRule="auto"/>
        <w:jc w:val="both"/>
        <w:rPr>
          <w:rFonts w:cstheme="minorHAnsi"/>
          <w:sz w:val="28"/>
          <w:szCs w:val="28"/>
        </w:rPr>
      </w:pPr>
      <w:r w:rsidRPr="005E1103">
        <w:rPr>
          <w:rFonts w:cstheme="minorHAnsi"/>
          <w:sz w:val="28"/>
          <w:szCs w:val="28"/>
        </w:rPr>
        <w:t>Y, ¿quién hace que la sociedad funcione?, ¿quién genera y ofrece esos servicios y esas oportunidades? Muchas de esas personas son profesionales que han egresado de las aulas universitarias de las diferentes titulaciones que el sistema educativo español ofrece.</w:t>
      </w:r>
    </w:p>
    <w:p w:rsidR="009B60AB" w:rsidRPr="005E1103" w:rsidRDefault="009B60AB" w:rsidP="009B60AB">
      <w:pPr>
        <w:spacing w:line="360" w:lineRule="auto"/>
        <w:jc w:val="both"/>
        <w:rPr>
          <w:rFonts w:cstheme="minorHAnsi"/>
          <w:sz w:val="28"/>
          <w:szCs w:val="28"/>
        </w:rPr>
      </w:pPr>
      <w:r w:rsidRPr="005E1103">
        <w:rPr>
          <w:rFonts w:cstheme="minorHAnsi"/>
          <w:sz w:val="28"/>
          <w:szCs w:val="28"/>
        </w:rPr>
        <w:t xml:space="preserve">Los universitarios y universitarias deben recibir formación en materia de discapacidad, deben saber cuáles son los derechos, deberes, limitaciones y necesidades de las personas en situación de discapacidad, y así saber qué </w:t>
      </w:r>
      <w:r w:rsidRPr="005E1103">
        <w:rPr>
          <w:rFonts w:cstheme="minorHAnsi"/>
          <w:sz w:val="28"/>
          <w:szCs w:val="28"/>
        </w:rPr>
        <w:lastRenderedPageBreak/>
        <w:t>apoyos ofrecerles para que tengan las mismas oportunidades que quienes no presentan discapacidad.</w:t>
      </w:r>
    </w:p>
    <w:p w:rsidR="009B60AB" w:rsidRPr="005E1103" w:rsidRDefault="009B60AB" w:rsidP="009B60AB">
      <w:pPr>
        <w:spacing w:line="360" w:lineRule="auto"/>
        <w:jc w:val="both"/>
        <w:rPr>
          <w:rFonts w:cstheme="minorHAnsi"/>
          <w:sz w:val="28"/>
          <w:szCs w:val="28"/>
        </w:rPr>
      </w:pPr>
      <w:r w:rsidRPr="005E1103">
        <w:rPr>
          <w:rFonts w:cstheme="minorHAnsi"/>
          <w:sz w:val="28"/>
          <w:szCs w:val="28"/>
        </w:rPr>
        <w:t>El estudiantado sensibilizado y formado en discapacidad se convertirá en defensor de los principios de Accesibilidad Universal y Diseño para Todas las Personas en el desarrollo de su profesión, y contribuirá a formar una Sociedad Inclusiva, una Sociedad Incluyente.</w:t>
      </w:r>
    </w:p>
    <w:p w:rsidR="009B60AB" w:rsidRPr="005E1103" w:rsidRDefault="009B60AB" w:rsidP="009B60AB">
      <w:pPr>
        <w:spacing w:line="360" w:lineRule="auto"/>
        <w:jc w:val="both"/>
        <w:rPr>
          <w:rFonts w:cstheme="minorHAnsi"/>
          <w:i/>
          <w:sz w:val="28"/>
          <w:szCs w:val="28"/>
        </w:rPr>
      </w:pPr>
      <w:r w:rsidRPr="005E1103">
        <w:rPr>
          <w:rFonts w:cstheme="minorHAnsi"/>
          <w:i/>
          <w:sz w:val="28"/>
          <w:szCs w:val="28"/>
        </w:rPr>
        <w:t>Nota de Maribel Campo:</w:t>
      </w:r>
    </w:p>
    <w:p w:rsidR="003904C9" w:rsidRPr="005E1103" w:rsidRDefault="009B60AB" w:rsidP="009B60AB">
      <w:pPr>
        <w:spacing w:line="360" w:lineRule="auto"/>
        <w:jc w:val="both"/>
        <w:rPr>
          <w:rFonts w:cstheme="minorHAnsi"/>
          <w:sz w:val="28"/>
          <w:szCs w:val="28"/>
        </w:rPr>
      </w:pPr>
      <w:r w:rsidRPr="005E1103">
        <w:rPr>
          <w:rFonts w:cstheme="minorHAnsi"/>
          <w:sz w:val="28"/>
          <w:szCs w:val="28"/>
        </w:rPr>
        <w:t xml:space="preserve">Desde esta publicación agradezco al profesorado universitario colaborador y coordinador de las publicaciones </w:t>
      </w:r>
      <w:r w:rsidRPr="005E1103">
        <w:rPr>
          <w:rFonts w:cstheme="minorHAnsi"/>
          <w:i/>
          <w:sz w:val="28"/>
          <w:szCs w:val="28"/>
        </w:rPr>
        <w:t>Formación Curricular en Diseño para Todas las Personas en Ciencias Políticas, Enfermería, Farmacia, Periodismo, Sociología y Terapia Ocupacional</w:t>
      </w:r>
      <w:r w:rsidRPr="005E1103">
        <w:rPr>
          <w:rFonts w:cstheme="minorHAnsi"/>
          <w:sz w:val="28"/>
          <w:szCs w:val="28"/>
        </w:rPr>
        <w:t>, su implicación y esfuerzo para generar estas nuevas herramientas. De la misma forma se pone en valor el apoyo del Real Patronato sobre Discapacidad y Crue Universidades Españolas, así como la coordinación y gestión de Fundación ONCE en las figuras de su director y directora adjunta de Accesibilidad Universal e Innovación Jesús Hernández y Fefa Álvarez.</w:t>
      </w:r>
    </w:p>
    <w:p w:rsidR="003904C9" w:rsidRPr="005E1103" w:rsidRDefault="003904C9">
      <w:pPr>
        <w:rPr>
          <w:rFonts w:cstheme="minorHAnsi"/>
          <w:sz w:val="28"/>
          <w:szCs w:val="28"/>
        </w:rPr>
      </w:pPr>
      <w:r w:rsidRPr="005E1103">
        <w:rPr>
          <w:rFonts w:cstheme="minorHAnsi"/>
          <w:sz w:val="28"/>
          <w:szCs w:val="28"/>
        </w:rPr>
        <w:br w:type="page"/>
      </w:r>
    </w:p>
    <w:p w:rsidR="003904C9" w:rsidRPr="005E1103" w:rsidRDefault="003904C9" w:rsidP="003904C9">
      <w:pPr>
        <w:rPr>
          <w:rFonts w:cstheme="minorHAnsi"/>
          <w:sz w:val="28"/>
          <w:szCs w:val="28"/>
        </w:rPr>
      </w:pPr>
    </w:p>
    <w:p w:rsidR="003904C9" w:rsidRPr="005E1103" w:rsidRDefault="003904C9" w:rsidP="003904C9">
      <w:pPr>
        <w:jc w:val="center"/>
        <w:rPr>
          <w:rFonts w:cstheme="minorHAnsi"/>
          <w:sz w:val="28"/>
          <w:szCs w:val="28"/>
        </w:rPr>
      </w:pPr>
      <w:r w:rsidRPr="005E1103">
        <w:rPr>
          <w:rFonts w:cstheme="minorHAnsi"/>
          <w:noProof/>
          <w:sz w:val="28"/>
          <w:szCs w:val="28"/>
          <w:lang w:eastAsia="es-ES"/>
        </w:rPr>
        <w:drawing>
          <wp:inline distT="0" distB="0" distL="0" distR="0" wp14:anchorId="142BB6B2" wp14:editId="6C0C89FA">
            <wp:extent cx="4111777" cy="542925"/>
            <wp:effectExtent l="0" t="0" r="3175" b="0"/>
            <wp:docPr id="1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11294" cy="542861"/>
                    </a:xfrm>
                    <a:prstGeom prst="rect">
                      <a:avLst/>
                    </a:prstGeom>
                    <a:noFill/>
                    <a:ln>
                      <a:noFill/>
                    </a:ln>
                  </pic:spPr>
                </pic:pic>
              </a:graphicData>
            </a:graphic>
          </wp:inline>
        </w:drawing>
      </w:r>
    </w:p>
    <w:p w:rsidR="003904C9" w:rsidRPr="005E1103" w:rsidRDefault="003904C9" w:rsidP="003904C9">
      <w:pPr>
        <w:spacing w:after="360"/>
        <w:jc w:val="center"/>
        <w:rPr>
          <w:rFonts w:cstheme="minorHAnsi"/>
          <w:b/>
          <w:color w:val="3F5570"/>
          <w:sz w:val="28"/>
          <w:szCs w:val="28"/>
        </w:rPr>
      </w:pPr>
      <w:r w:rsidRPr="005E1103">
        <w:rPr>
          <w:rFonts w:cstheme="minorHAnsi"/>
          <w:b/>
          <w:color w:val="3F5570"/>
          <w:sz w:val="28"/>
          <w:szCs w:val="28"/>
        </w:rPr>
        <w:t>10 y 11 de noviembre de 2016</w:t>
      </w:r>
    </w:p>
    <w:p w:rsidR="003904C9" w:rsidRPr="005E1103" w:rsidRDefault="003904C9" w:rsidP="003904C9">
      <w:pPr>
        <w:spacing w:before="240"/>
        <w:jc w:val="center"/>
        <w:rPr>
          <w:rFonts w:cstheme="minorHAnsi"/>
          <w:b/>
          <w:color w:val="D20116"/>
          <w:sz w:val="28"/>
          <w:szCs w:val="28"/>
        </w:rPr>
      </w:pPr>
      <w:r w:rsidRPr="005E1103">
        <w:rPr>
          <w:rFonts w:cstheme="minorHAnsi"/>
          <w:b/>
          <w:color w:val="D20116"/>
          <w:sz w:val="28"/>
          <w:szCs w:val="28"/>
        </w:rPr>
        <w:t>COMUNICACIONES PRESENTADAS</w:t>
      </w:r>
    </w:p>
    <w:p w:rsidR="003904C9" w:rsidRPr="005E1103" w:rsidRDefault="003904C9" w:rsidP="003904C9">
      <w:pPr>
        <w:spacing w:before="240"/>
        <w:jc w:val="center"/>
        <w:rPr>
          <w:rFonts w:cstheme="minorHAnsi"/>
          <w:b/>
          <w:color w:val="D20116"/>
          <w:sz w:val="28"/>
          <w:szCs w:val="28"/>
        </w:rPr>
      </w:pPr>
      <w:r w:rsidRPr="005E1103">
        <w:rPr>
          <w:rFonts w:cstheme="minorHAnsi"/>
          <w:b/>
          <w:color w:val="D20116"/>
          <w:sz w:val="28"/>
          <w:szCs w:val="28"/>
        </w:rPr>
        <w:t>GRUPO 3</w:t>
      </w:r>
    </w:p>
    <w:p w:rsidR="003904C9" w:rsidRPr="005E1103" w:rsidRDefault="003904C9" w:rsidP="003904C9">
      <w:pPr>
        <w:spacing w:before="240"/>
        <w:jc w:val="center"/>
        <w:rPr>
          <w:rFonts w:cstheme="minorHAnsi"/>
          <w:b/>
          <w:color w:val="C00000"/>
          <w:sz w:val="28"/>
          <w:szCs w:val="28"/>
        </w:rPr>
      </w:pPr>
      <w:r w:rsidRPr="005E1103">
        <w:rPr>
          <w:rFonts w:eastAsia="Times New Roman" w:cstheme="minorHAnsi"/>
          <w:b/>
          <w:bCs/>
          <w:color w:val="C00000"/>
          <w:sz w:val="28"/>
          <w:szCs w:val="28"/>
          <w:lang w:eastAsia="es-ES"/>
        </w:rPr>
        <w:t>COMPETENCIAS, EMPLEABILIDAD, EMPLEO, Y PROGRAMAS DE APOYO A LA INCLUSIÓN LABORAL</w:t>
      </w:r>
      <w:r w:rsidRPr="005E1103">
        <w:rPr>
          <w:rFonts w:cstheme="minorHAnsi"/>
          <w:b/>
          <w:color w:val="C00000"/>
          <w:sz w:val="28"/>
          <w:szCs w:val="28"/>
        </w:rPr>
        <w:t xml:space="preserve"> </w:t>
      </w:r>
    </w:p>
    <w:p w:rsidR="009B60AB" w:rsidRPr="005E1103" w:rsidRDefault="00954B58" w:rsidP="009B60AB">
      <w:pPr>
        <w:spacing w:line="360" w:lineRule="auto"/>
        <w:jc w:val="both"/>
        <w:rPr>
          <w:rFonts w:cstheme="minorHAnsi"/>
          <w:sz w:val="28"/>
          <w:szCs w:val="28"/>
        </w:rPr>
      </w:pPr>
      <w:r w:rsidRPr="005E1103">
        <w:rPr>
          <w:rFonts w:cstheme="minorHAnsi"/>
          <w:b/>
          <w:i/>
          <w:noProof/>
          <w:color w:val="D20116"/>
          <w:sz w:val="28"/>
          <w:szCs w:val="28"/>
          <w:lang w:eastAsia="es-ES"/>
        </w:rPr>
        <w:drawing>
          <wp:anchor distT="0" distB="0" distL="114300" distR="114300" simplePos="0" relativeHeight="251667456" behindDoc="0" locked="0" layoutInCell="1" allowOverlap="1" wp14:anchorId="38162851" wp14:editId="451585DD">
            <wp:simplePos x="0" y="0"/>
            <wp:positionH relativeFrom="column">
              <wp:posOffset>2034540</wp:posOffset>
            </wp:positionH>
            <wp:positionV relativeFrom="paragraph">
              <wp:posOffset>323215</wp:posOffset>
            </wp:positionV>
            <wp:extent cx="1952625" cy="1207135"/>
            <wp:effectExtent l="0" t="0" r="0" b="0"/>
            <wp:wrapNone/>
            <wp:docPr id="1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52625" cy="12071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B60AB" w:rsidRPr="005E1103" w:rsidRDefault="009B60AB" w:rsidP="009B60AB">
      <w:pPr>
        <w:autoSpaceDE w:val="0"/>
        <w:autoSpaceDN w:val="0"/>
        <w:adjustRightInd w:val="0"/>
        <w:spacing w:after="0" w:line="360" w:lineRule="auto"/>
        <w:jc w:val="both"/>
        <w:rPr>
          <w:rFonts w:cstheme="minorHAnsi"/>
          <w:sz w:val="28"/>
          <w:szCs w:val="28"/>
        </w:rPr>
      </w:pPr>
    </w:p>
    <w:p w:rsidR="009B60AB" w:rsidRPr="005E1103" w:rsidRDefault="009B60AB" w:rsidP="009B60AB">
      <w:pPr>
        <w:shd w:val="clear" w:color="auto" w:fill="FFFFFF"/>
        <w:spacing w:after="0" w:line="360" w:lineRule="auto"/>
        <w:jc w:val="both"/>
        <w:rPr>
          <w:rFonts w:eastAsia="Times New Roman" w:cstheme="minorHAnsi"/>
          <w:sz w:val="28"/>
          <w:szCs w:val="28"/>
          <w:lang w:eastAsia="es-ES"/>
        </w:rPr>
      </w:pPr>
    </w:p>
    <w:p w:rsidR="00954B58" w:rsidRPr="005E1103" w:rsidRDefault="00954B58" w:rsidP="007B19F2">
      <w:pPr>
        <w:spacing w:line="360" w:lineRule="auto"/>
        <w:jc w:val="both"/>
        <w:rPr>
          <w:rFonts w:eastAsia="Times New Roman" w:cstheme="minorHAnsi"/>
          <w:bCs/>
          <w:color w:val="222222"/>
          <w:sz w:val="28"/>
          <w:szCs w:val="28"/>
          <w:lang w:eastAsia="es-CO"/>
        </w:rPr>
      </w:pPr>
    </w:p>
    <w:p w:rsidR="00954B58" w:rsidRPr="005E1103" w:rsidRDefault="00954B58" w:rsidP="00954B58">
      <w:pPr>
        <w:rPr>
          <w:rFonts w:eastAsia="Times New Roman" w:cstheme="minorHAnsi"/>
          <w:sz w:val="28"/>
          <w:szCs w:val="28"/>
          <w:lang w:eastAsia="es-CO"/>
        </w:rPr>
      </w:pPr>
    </w:p>
    <w:p w:rsidR="00954B58" w:rsidRPr="005E1103" w:rsidRDefault="00954B58" w:rsidP="00954B58">
      <w:pPr>
        <w:rPr>
          <w:rFonts w:eastAsia="Times New Roman" w:cstheme="minorHAnsi"/>
          <w:sz w:val="28"/>
          <w:szCs w:val="28"/>
          <w:lang w:eastAsia="es-CO"/>
        </w:rPr>
      </w:pPr>
    </w:p>
    <w:p w:rsidR="00954B58" w:rsidRPr="005E1103" w:rsidRDefault="00954B58" w:rsidP="00954B58">
      <w:pPr>
        <w:tabs>
          <w:tab w:val="left" w:pos="6960"/>
        </w:tabs>
        <w:rPr>
          <w:rFonts w:eastAsia="Times New Roman" w:cstheme="minorHAnsi"/>
          <w:sz w:val="28"/>
          <w:szCs w:val="28"/>
          <w:lang w:eastAsia="es-CO"/>
        </w:rPr>
      </w:pPr>
      <w:r w:rsidRPr="005E1103">
        <w:rPr>
          <w:rFonts w:eastAsia="Times New Roman" w:cstheme="minorHAnsi"/>
          <w:sz w:val="28"/>
          <w:szCs w:val="28"/>
          <w:lang w:eastAsia="es-CO"/>
        </w:rPr>
        <w:tab/>
      </w:r>
    </w:p>
    <w:tbl>
      <w:tblPr>
        <w:tblW w:w="0" w:type="auto"/>
        <w:jc w:val="center"/>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3118"/>
        <w:gridCol w:w="5602"/>
      </w:tblGrid>
      <w:tr w:rsidR="00954B58" w:rsidRPr="005E1103" w:rsidTr="00954B58">
        <w:trPr>
          <w:trHeight w:val="1200"/>
          <w:jc w:val="center"/>
        </w:trPr>
        <w:tc>
          <w:tcPr>
            <w:tcW w:w="3243" w:type="dxa"/>
            <w:shd w:val="clear" w:color="auto" w:fill="auto"/>
            <w:vAlign w:val="center"/>
          </w:tcPr>
          <w:p w:rsidR="00954B58" w:rsidRPr="005E1103" w:rsidRDefault="00954B58" w:rsidP="00954B58">
            <w:pPr>
              <w:spacing w:after="0" w:line="360" w:lineRule="auto"/>
              <w:jc w:val="both"/>
              <w:rPr>
                <w:rFonts w:eastAsia="Times New Roman" w:cstheme="minorHAnsi"/>
                <w:b/>
                <w:bCs/>
                <w:color w:val="002060"/>
                <w:sz w:val="28"/>
                <w:szCs w:val="28"/>
                <w:lang w:eastAsia="es-ES"/>
              </w:rPr>
            </w:pPr>
            <w:r w:rsidRPr="005E1103">
              <w:rPr>
                <w:rFonts w:eastAsia="Times New Roman" w:cstheme="minorHAnsi"/>
                <w:b/>
                <w:bCs/>
                <w:color w:val="002060"/>
                <w:sz w:val="28"/>
                <w:szCs w:val="28"/>
                <w:lang w:eastAsia="es-ES"/>
              </w:rPr>
              <w:t>Grupo de trabajo 3</w:t>
            </w:r>
          </w:p>
          <w:p w:rsidR="00954B58" w:rsidRPr="005E1103" w:rsidRDefault="00954B58" w:rsidP="00954B58">
            <w:pPr>
              <w:spacing w:after="0" w:line="360" w:lineRule="auto"/>
              <w:jc w:val="both"/>
              <w:rPr>
                <w:rFonts w:eastAsia="Times New Roman" w:cstheme="minorHAnsi"/>
                <w:b/>
                <w:bCs/>
                <w:color w:val="002060"/>
                <w:sz w:val="28"/>
                <w:szCs w:val="28"/>
                <w:lang w:eastAsia="es-ES"/>
              </w:rPr>
            </w:pPr>
            <w:r w:rsidRPr="005E1103">
              <w:rPr>
                <w:rFonts w:eastAsia="Times New Roman" w:cstheme="minorHAnsi"/>
                <w:b/>
                <w:bCs/>
                <w:color w:val="002060"/>
                <w:sz w:val="28"/>
                <w:szCs w:val="28"/>
                <w:lang w:eastAsia="es-ES"/>
              </w:rPr>
              <w:t>Competencias, empleabilidad,  empleo, y programas de apoyo a la inclusión laboral</w:t>
            </w:r>
          </w:p>
        </w:tc>
        <w:tc>
          <w:tcPr>
            <w:tcW w:w="6001" w:type="dxa"/>
            <w:shd w:val="clear" w:color="auto" w:fill="auto"/>
          </w:tcPr>
          <w:p w:rsidR="00954B58" w:rsidRPr="005E1103" w:rsidRDefault="00954B58" w:rsidP="00954B58">
            <w:pPr>
              <w:spacing w:after="0" w:line="360" w:lineRule="auto"/>
              <w:jc w:val="both"/>
              <w:rPr>
                <w:rFonts w:eastAsia="Times New Roman" w:cstheme="minorHAnsi"/>
                <w:color w:val="002060"/>
                <w:sz w:val="28"/>
                <w:szCs w:val="28"/>
                <w:lang w:eastAsia="es-ES"/>
              </w:rPr>
            </w:pPr>
            <w:r w:rsidRPr="005E1103">
              <w:rPr>
                <w:rFonts w:eastAsia="Times New Roman" w:cstheme="minorHAnsi"/>
                <w:color w:val="002060"/>
                <w:sz w:val="28"/>
                <w:szCs w:val="28"/>
                <w:lang w:eastAsia="es-ES"/>
              </w:rPr>
              <w:t>Experiencias y programas que mejoran la empleabilidad y las oportunidades de empleo de las personas con discapacidad en empleos cualificados y puestos directivos</w:t>
            </w:r>
          </w:p>
        </w:tc>
      </w:tr>
    </w:tbl>
    <w:p w:rsidR="007B19F2" w:rsidRPr="005E1103" w:rsidRDefault="007B19F2" w:rsidP="00954B58">
      <w:pPr>
        <w:tabs>
          <w:tab w:val="left" w:pos="6960"/>
        </w:tabs>
        <w:rPr>
          <w:rFonts w:eastAsia="Times New Roman" w:cstheme="minorHAnsi"/>
          <w:sz w:val="28"/>
          <w:szCs w:val="28"/>
          <w:lang w:eastAsia="es-CO"/>
        </w:rPr>
      </w:pPr>
    </w:p>
    <w:p w:rsidR="00954B58" w:rsidRPr="005E1103" w:rsidRDefault="00954B58" w:rsidP="00954B58">
      <w:pPr>
        <w:spacing w:after="0" w:line="360" w:lineRule="auto"/>
        <w:jc w:val="both"/>
        <w:rPr>
          <w:rFonts w:cstheme="minorHAnsi"/>
          <w:b/>
          <w:sz w:val="28"/>
          <w:szCs w:val="28"/>
        </w:rPr>
      </w:pPr>
      <w:r w:rsidRPr="005E1103">
        <w:rPr>
          <w:rFonts w:cstheme="minorHAnsi"/>
          <w:b/>
          <w:sz w:val="28"/>
          <w:szCs w:val="28"/>
        </w:rPr>
        <w:t>Descripción:</w:t>
      </w:r>
    </w:p>
    <w:p w:rsidR="00954B58" w:rsidRPr="005E1103" w:rsidRDefault="00954B58" w:rsidP="00954B58">
      <w:pPr>
        <w:tabs>
          <w:tab w:val="left" w:pos="6960"/>
        </w:tabs>
        <w:rPr>
          <w:rFonts w:eastAsia="Calibri" w:cstheme="minorHAnsi"/>
          <w:sz w:val="28"/>
          <w:szCs w:val="28"/>
        </w:rPr>
      </w:pPr>
      <w:r w:rsidRPr="005E1103">
        <w:rPr>
          <w:rFonts w:eastAsia="Calibri" w:cstheme="minorHAnsi"/>
          <w:sz w:val="28"/>
          <w:szCs w:val="28"/>
        </w:rPr>
        <w:t>La inserción laboral es el último paso dentro de todo el engranaje universitario para facilitar el desarrollo personal y profesional de los jóvenes universitarios.</w:t>
      </w:r>
    </w:p>
    <w:p w:rsidR="00954B58" w:rsidRPr="005E1103" w:rsidRDefault="00954B58">
      <w:pPr>
        <w:rPr>
          <w:rFonts w:eastAsia="Calibri" w:cstheme="minorHAnsi"/>
          <w:sz w:val="28"/>
          <w:szCs w:val="28"/>
        </w:rPr>
      </w:pPr>
      <w:r w:rsidRPr="005E1103">
        <w:rPr>
          <w:rFonts w:eastAsia="Calibri" w:cstheme="minorHAnsi"/>
          <w:sz w:val="28"/>
          <w:szCs w:val="28"/>
        </w:rPr>
        <w:br w:type="page"/>
      </w:r>
    </w:p>
    <w:p w:rsidR="00954B58" w:rsidRPr="005E1103" w:rsidRDefault="00954B58" w:rsidP="00954B58">
      <w:pPr>
        <w:spacing w:after="0"/>
        <w:jc w:val="both"/>
        <w:rPr>
          <w:rFonts w:eastAsia="Calibri" w:cstheme="minorHAnsi"/>
          <w:sz w:val="28"/>
          <w:szCs w:val="28"/>
        </w:rPr>
      </w:pPr>
      <w:r w:rsidRPr="005E1103">
        <w:rPr>
          <w:rFonts w:eastAsia="Calibri" w:cstheme="minorHAnsi"/>
          <w:sz w:val="28"/>
          <w:szCs w:val="28"/>
        </w:rPr>
        <w:lastRenderedPageBreak/>
        <w:t xml:space="preserve">Así lo han entendido las Universidades, que han puesto a disposición de sus estudiantes servicios de orientación y promoción al empleo, para facilitar el comienzo de una nueva etapa en sus vidas. </w:t>
      </w:r>
    </w:p>
    <w:p w:rsidR="00954B58" w:rsidRPr="005E1103" w:rsidRDefault="00954B58" w:rsidP="00954B58">
      <w:pPr>
        <w:spacing w:after="0"/>
        <w:jc w:val="both"/>
        <w:rPr>
          <w:rFonts w:eastAsia="Calibri" w:cstheme="minorHAnsi"/>
          <w:iCs/>
          <w:sz w:val="28"/>
          <w:szCs w:val="28"/>
        </w:rPr>
      </w:pPr>
      <w:r w:rsidRPr="005E1103">
        <w:rPr>
          <w:rFonts w:eastAsia="Calibri" w:cstheme="minorHAnsi"/>
          <w:sz w:val="28"/>
          <w:szCs w:val="28"/>
        </w:rPr>
        <w:t xml:space="preserve">En el caso de las personas con discapacidad, conocemos por los últimos informes, que acceden en menor medida a las prácticas académicas externas, a los programas de movilidad y a otras iniciativas que mejoran su empleabilidad. Por eso es importante conocer y poner en marcha medidas específicas que redunden en una mayor  inclusión laboral y capacidad de encontrar empleos técnicos y altamente cualificados. Al mismo tiempo cada vez hay más empresas comprometidas socialmente con la discapacidad y con la contratación de personas con discapacidad dentro de sus políticas de diversidad de recursos humanos. Se considera importante por tanto, conocer y diseñar estrategias e iniciativas que mejoran la </w:t>
      </w:r>
      <w:r w:rsidRPr="005E1103">
        <w:rPr>
          <w:rFonts w:eastAsia="Calibri" w:cstheme="minorHAnsi"/>
          <w:iCs/>
          <w:sz w:val="28"/>
          <w:szCs w:val="28"/>
        </w:rPr>
        <w:t xml:space="preserve"> empleabilidad de este colectivo y sus necesidades formativas y de aprendizaje y que redunden en último término en una mayor inclusión laboral del colectivo.</w:t>
      </w:r>
    </w:p>
    <w:p w:rsidR="00954B58" w:rsidRPr="005E1103" w:rsidRDefault="00954B58" w:rsidP="00954B58">
      <w:pPr>
        <w:spacing w:after="0"/>
        <w:jc w:val="both"/>
        <w:rPr>
          <w:rFonts w:eastAsia="Calibri" w:cstheme="minorHAnsi"/>
          <w:b/>
          <w:sz w:val="28"/>
          <w:szCs w:val="28"/>
        </w:rPr>
      </w:pPr>
    </w:p>
    <w:p w:rsidR="00954B58" w:rsidRPr="005E1103" w:rsidRDefault="00954B58" w:rsidP="00954B58">
      <w:pPr>
        <w:spacing w:after="0"/>
        <w:jc w:val="both"/>
        <w:rPr>
          <w:rFonts w:eastAsia="Calibri" w:cstheme="minorHAnsi"/>
          <w:sz w:val="28"/>
          <w:szCs w:val="28"/>
        </w:rPr>
      </w:pPr>
      <w:r w:rsidRPr="005E1103">
        <w:rPr>
          <w:rFonts w:eastAsia="Calibri" w:cstheme="minorHAnsi"/>
          <w:sz w:val="28"/>
          <w:szCs w:val="28"/>
        </w:rPr>
        <w:t xml:space="preserve">Objetivos: </w:t>
      </w:r>
    </w:p>
    <w:p w:rsidR="00954B58" w:rsidRPr="005E1103" w:rsidRDefault="00954B58" w:rsidP="00954B58">
      <w:pPr>
        <w:spacing w:after="0"/>
        <w:jc w:val="both"/>
        <w:rPr>
          <w:rFonts w:eastAsia="Calibri" w:cstheme="minorHAnsi"/>
          <w:sz w:val="28"/>
          <w:szCs w:val="28"/>
        </w:rPr>
      </w:pPr>
    </w:p>
    <w:p w:rsidR="00954B58" w:rsidRPr="005E1103" w:rsidRDefault="00954B58" w:rsidP="00954B58">
      <w:pPr>
        <w:numPr>
          <w:ilvl w:val="0"/>
          <w:numId w:val="66"/>
        </w:numPr>
        <w:shd w:val="clear" w:color="auto" w:fill="FFFFFF"/>
        <w:spacing w:after="0" w:line="276" w:lineRule="auto"/>
        <w:ind w:right="240"/>
        <w:jc w:val="both"/>
        <w:rPr>
          <w:rFonts w:eastAsia="Times New Roman" w:cstheme="minorHAnsi"/>
          <w:sz w:val="28"/>
          <w:szCs w:val="28"/>
          <w:lang w:eastAsia="es-ES"/>
        </w:rPr>
      </w:pPr>
      <w:r w:rsidRPr="005E1103">
        <w:rPr>
          <w:rFonts w:eastAsia="Times New Roman" w:cstheme="minorHAnsi"/>
          <w:sz w:val="28"/>
          <w:szCs w:val="28"/>
          <w:lang w:eastAsia="es-ES"/>
        </w:rPr>
        <w:t>Divulgar estudios e investigaciones que nos permitan conocer mejor la realidad sociolaboral de los universitarios con discapacidad</w:t>
      </w:r>
    </w:p>
    <w:p w:rsidR="00954B58" w:rsidRPr="005E1103" w:rsidRDefault="00954B58" w:rsidP="00954B58">
      <w:pPr>
        <w:numPr>
          <w:ilvl w:val="0"/>
          <w:numId w:val="66"/>
        </w:numPr>
        <w:shd w:val="clear" w:color="auto" w:fill="FFFFFF"/>
        <w:spacing w:after="0" w:line="276" w:lineRule="auto"/>
        <w:ind w:right="240"/>
        <w:jc w:val="both"/>
        <w:rPr>
          <w:rFonts w:eastAsia="Times New Roman" w:cstheme="minorHAnsi"/>
          <w:sz w:val="28"/>
          <w:szCs w:val="28"/>
          <w:lang w:eastAsia="es-ES"/>
        </w:rPr>
      </w:pPr>
      <w:r w:rsidRPr="005E1103">
        <w:rPr>
          <w:rFonts w:eastAsia="Times New Roman" w:cstheme="minorHAnsi"/>
          <w:sz w:val="28"/>
          <w:szCs w:val="28"/>
          <w:lang w:eastAsia="es-ES"/>
        </w:rPr>
        <w:t>Presentar ejemplos de buenas prácticas en la coordinación de los distintos servicios que intervienen en el proceso de transición de la Universidad al Empleo, servicios de orientación laboral, servicicos de atención a la discapacidad, etc.</w:t>
      </w:r>
    </w:p>
    <w:p w:rsidR="00954B58" w:rsidRPr="005E1103" w:rsidRDefault="00954B58" w:rsidP="00954B58">
      <w:pPr>
        <w:numPr>
          <w:ilvl w:val="0"/>
          <w:numId w:val="66"/>
        </w:numPr>
        <w:shd w:val="clear" w:color="auto" w:fill="FFFFFF"/>
        <w:spacing w:after="0" w:line="276" w:lineRule="auto"/>
        <w:ind w:right="240"/>
        <w:jc w:val="both"/>
        <w:rPr>
          <w:rFonts w:eastAsia="Times New Roman" w:cstheme="minorHAnsi"/>
          <w:sz w:val="28"/>
          <w:szCs w:val="28"/>
          <w:lang w:eastAsia="es-ES"/>
        </w:rPr>
      </w:pPr>
      <w:r w:rsidRPr="005E1103">
        <w:rPr>
          <w:rFonts w:eastAsia="Calibri" w:cstheme="minorHAnsi"/>
          <w:sz w:val="28"/>
          <w:szCs w:val="28"/>
        </w:rPr>
        <w:t>Promover y difundir programas y acciones que mejoren la empleabilidad de universitarios/as y egresados/as con discapacidad a través de la prestación del asesoramiento y los apoyos necesarios para el desarrollo de sus competencias profesionales.</w:t>
      </w:r>
    </w:p>
    <w:p w:rsidR="00954B58" w:rsidRPr="005E1103" w:rsidRDefault="00954B58" w:rsidP="00954B58">
      <w:pPr>
        <w:numPr>
          <w:ilvl w:val="0"/>
          <w:numId w:val="66"/>
        </w:numPr>
        <w:shd w:val="clear" w:color="auto" w:fill="FFFFFF"/>
        <w:spacing w:after="0" w:line="276" w:lineRule="auto"/>
        <w:ind w:right="240"/>
        <w:jc w:val="both"/>
        <w:rPr>
          <w:rFonts w:eastAsia="Times New Roman" w:cstheme="minorHAnsi"/>
          <w:sz w:val="28"/>
          <w:szCs w:val="28"/>
          <w:lang w:eastAsia="es-ES"/>
        </w:rPr>
      </w:pPr>
      <w:r w:rsidRPr="005E1103">
        <w:rPr>
          <w:rFonts w:eastAsia="Times New Roman" w:cstheme="minorHAnsi"/>
          <w:sz w:val="28"/>
          <w:szCs w:val="28"/>
          <w:lang w:eastAsia="es-ES"/>
        </w:rPr>
        <w:t>Identificar buenas prácticas en la inclusión laboral de los estudiantes con discapacidad por parte de las empresas y otras instituciones a nivel global.</w:t>
      </w:r>
    </w:p>
    <w:p w:rsidR="00954B58" w:rsidRPr="005E1103" w:rsidRDefault="00954B58" w:rsidP="00954B58">
      <w:pPr>
        <w:numPr>
          <w:ilvl w:val="0"/>
          <w:numId w:val="66"/>
        </w:numPr>
        <w:shd w:val="clear" w:color="auto" w:fill="FFFFFF"/>
        <w:spacing w:after="0" w:line="276" w:lineRule="auto"/>
        <w:ind w:right="240"/>
        <w:jc w:val="both"/>
        <w:rPr>
          <w:rFonts w:eastAsia="Times New Roman" w:cstheme="minorHAnsi"/>
          <w:sz w:val="28"/>
          <w:szCs w:val="28"/>
          <w:lang w:eastAsia="es-ES"/>
        </w:rPr>
      </w:pPr>
      <w:r w:rsidRPr="005E1103">
        <w:rPr>
          <w:rFonts w:eastAsia="Times New Roman" w:cstheme="minorHAnsi"/>
          <w:sz w:val="28"/>
          <w:szCs w:val="28"/>
          <w:lang w:eastAsia="es-ES"/>
        </w:rPr>
        <w:lastRenderedPageBreak/>
        <w:t>Realizar propuestas de Coaching y otras estrategias de orientación para mejorar  las competencias y habilidades de los universitarios, para encontrar oportunidades en nuevos empleos.</w:t>
      </w:r>
    </w:p>
    <w:p w:rsidR="00954B58" w:rsidRPr="005E1103" w:rsidRDefault="00954B58" w:rsidP="00954B58">
      <w:pPr>
        <w:shd w:val="clear" w:color="auto" w:fill="FFFFFF"/>
        <w:spacing w:after="0"/>
        <w:ind w:right="240"/>
        <w:jc w:val="both"/>
        <w:rPr>
          <w:rFonts w:eastAsia="Times New Roman" w:cstheme="minorHAnsi"/>
          <w:sz w:val="28"/>
          <w:szCs w:val="28"/>
          <w:lang w:eastAsia="es-ES"/>
        </w:rPr>
      </w:pPr>
    </w:p>
    <w:p w:rsidR="00954B58" w:rsidRPr="005E1103" w:rsidRDefault="00954B58" w:rsidP="00954B58">
      <w:pPr>
        <w:shd w:val="clear" w:color="auto" w:fill="FFFFFF"/>
        <w:spacing w:after="0"/>
        <w:ind w:right="240"/>
        <w:jc w:val="both"/>
        <w:rPr>
          <w:rFonts w:eastAsia="Times New Roman" w:cstheme="minorHAnsi"/>
          <w:sz w:val="28"/>
          <w:szCs w:val="28"/>
          <w:lang w:eastAsia="es-ES"/>
        </w:rPr>
      </w:pPr>
    </w:p>
    <w:p w:rsidR="00954B58" w:rsidRPr="005E1103" w:rsidRDefault="00954B58" w:rsidP="00954B58">
      <w:pPr>
        <w:shd w:val="clear" w:color="auto" w:fill="FFFFFF"/>
        <w:spacing w:after="0"/>
        <w:ind w:right="240"/>
        <w:jc w:val="both"/>
        <w:rPr>
          <w:rFonts w:eastAsia="Times New Roman" w:cstheme="minorHAnsi"/>
          <w:sz w:val="28"/>
          <w:szCs w:val="28"/>
          <w:lang w:eastAsia="es-ES"/>
        </w:rPr>
      </w:pPr>
    </w:p>
    <w:p w:rsidR="00954B58" w:rsidRPr="005E1103" w:rsidRDefault="00954B58" w:rsidP="00954B58">
      <w:pPr>
        <w:spacing w:after="0" w:line="240" w:lineRule="auto"/>
        <w:rPr>
          <w:rFonts w:eastAsia="Times New Roman" w:cstheme="minorHAnsi"/>
          <w:sz w:val="28"/>
          <w:szCs w:val="28"/>
          <w:lang w:eastAsia="es-ES"/>
        </w:rPr>
      </w:pPr>
    </w:p>
    <w:p w:rsidR="00954B58" w:rsidRPr="005E1103" w:rsidRDefault="00954B58" w:rsidP="00954B58">
      <w:pPr>
        <w:spacing w:after="0" w:line="240" w:lineRule="auto"/>
        <w:rPr>
          <w:rFonts w:eastAsia="Times New Roman" w:cstheme="minorHAnsi"/>
          <w:sz w:val="28"/>
          <w:szCs w:val="28"/>
          <w:lang w:eastAsia="es-ES"/>
        </w:rPr>
      </w:pPr>
    </w:p>
    <w:p w:rsidR="00954B58" w:rsidRPr="005E1103" w:rsidRDefault="00954B58" w:rsidP="00954B58">
      <w:pPr>
        <w:spacing w:after="0" w:line="240" w:lineRule="auto"/>
        <w:rPr>
          <w:rFonts w:eastAsia="Times New Roman" w:cstheme="minorHAnsi"/>
          <w:sz w:val="28"/>
          <w:szCs w:val="28"/>
          <w:lang w:eastAsia="es-ES"/>
        </w:rPr>
      </w:pPr>
    </w:p>
    <w:p w:rsidR="00954B58" w:rsidRPr="005E1103" w:rsidRDefault="00954B58" w:rsidP="00954B58">
      <w:pPr>
        <w:spacing w:after="0" w:line="240" w:lineRule="auto"/>
        <w:rPr>
          <w:rFonts w:eastAsia="Times New Roman" w:cstheme="minorHAnsi"/>
          <w:sz w:val="28"/>
          <w:szCs w:val="28"/>
          <w:lang w:eastAsia="es-ES"/>
        </w:rPr>
      </w:pPr>
    </w:p>
    <w:p w:rsidR="00954B58" w:rsidRPr="005E1103" w:rsidRDefault="00954B58" w:rsidP="00954B58">
      <w:pPr>
        <w:spacing w:after="0" w:line="240" w:lineRule="auto"/>
        <w:jc w:val="center"/>
        <w:rPr>
          <w:rFonts w:eastAsia="Times New Roman" w:cstheme="minorHAnsi"/>
          <w:b/>
          <w:sz w:val="28"/>
          <w:szCs w:val="28"/>
          <w:lang w:eastAsia="es-ES"/>
        </w:rPr>
      </w:pPr>
    </w:p>
    <w:p w:rsidR="00954B58" w:rsidRPr="005E1103" w:rsidRDefault="00954B58" w:rsidP="00954B58">
      <w:pPr>
        <w:spacing w:after="0" w:line="240" w:lineRule="auto"/>
        <w:rPr>
          <w:rFonts w:eastAsia="Times New Roman" w:cstheme="minorHAnsi"/>
          <w:b/>
          <w:sz w:val="28"/>
          <w:szCs w:val="28"/>
          <w:lang w:eastAsia="es-ES"/>
        </w:rPr>
      </w:pPr>
    </w:p>
    <w:p w:rsidR="00954B58" w:rsidRPr="005E1103" w:rsidRDefault="00954B58" w:rsidP="00954B58">
      <w:pPr>
        <w:spacing w:after="0" w:line="240" w:lineRule="auto"/>
        <w:jc w:val="center"/>
        <w:rPr>
          <w:rFonts w:eastAsia="Times New Roman" w:cstheme="minorHAnsi"/>
          <w:b/>
          <w:sz w:val="28"/>
          <w:szCs w:val="28"/>
          <w:lang w:eastAsia="es-ES"/>
        </w:rPr>
      </w:pPr>
      <w:r w:rsidRPr="005E1103">
        <w:rPr>
          <w:rFonts w:eastAsia="Times New Roman" w:cstheme="minorHAnsi"/>
          <w:b/>
          <w:sz w:val="28"/>
          <w:szCs w:val="28"/>
          <w:lang w:eastAsia="es-ES"/>
        </w:rPr>
        <w:t>El tiempo de intervención en cada una de las comunicaciones es de 10 minutos por presentación.</w:t>
      </w:r>
    </w:p>
    <w:p w:rsidR="00954B58" w:rsidRPr="005E1103" w:rsidRDefault="00954B58" w:rsidP="00954B58">
      <w:pPr>
        <w:spacing w:after="0" w:line="240" w:lineRule="auto"/>
        <w:rPr>
          <w:rFonts w:eastAsia="Times New Roman" w:cstheme="minorHAnsi"/>
          <w:b/>
          <w:sz w:val="28"/>
          <w:szCs w:val="28"/>
          <w:lang w:eastAsia="es-ES"/>
        </w:rPr>
      </w:pPr>
    </w:p>
    <w:p w:rsidR="00954B58" w:rsidRPr="005E1103" w:rsidRDefault="00954B58" w:rsidP="00954B58">
      <w:pPr>
        <w:spacing w:line="360" w:lineRule="auto"/>
        <w:rPr>
          <w:rFonts w:cstheme="minorHAnsi"/>
          <w:sz w:val="28"/>
          <w:szCs w:val="28"/>
        </w:rPr>
      </w:pPr>
    </w:p>
    <w:p w:rsidR="00954B58" w:rsidRPr="005E1103" w:rsidRDefault="00954B58" w:rsidP="00954B58">
      <w:pPr>
        <w:spacing w:after="0" w:line="240" w:lineRule="auto"/>
        <w:jc w:val="center"/>
        <w:rPr>
          <w:rFonts w:eastAsia="Times New Roman" w:cstheme="minorHAnsi"/>
          <w:b/>
          <w:sz w:val="28"/>
          <w:szCs w:val="28"/>
          <w:lang w:eastAsia="es-ES"/>
        </w:rPr>
      </w:pPr>
      <w:r w:rsidRPr="005E1103">
        <w:rPr>
          <w:rFonts w:eastAsia="Times New Roman" w:cstheme="minorHAnsi"/>
          <w:b/>
          <w:sz w:val="28"/>
          <w:szCs w:val="28"/>
          <w:lang w:eastAsia="es-ES"/>
        </w:rPr>
        <w:t>ÍNDICE Y ORDEN DE COMUNICACIONES</w:t>
      </w:r>
    </w:p>
    <w:p w:rsidR="00954B58" w:rsidRPr="005E1103" w:rsidRDefault="00954B58" w:rsidP="00954B58">
      <w:pPr>
        <w:spacing w:after="0" w:line="240" w:lineRule="auto"/>
        <w:jc w:val="both"/>
        <w:rPr>
          <w:rFonts w:eastAsia="Times New Roman" w:cstheme="minorHAnsi"/>
          <w:sz w:val="28"/>
          <w:szCs w:val="28"/>
          <w:lang w:eastAsia="es-ES"/>
        </w:rPr>
      </w:pPr>
    </w:p>
    <w:tbl>
      <w:tblPr>
        <w:tblW w:w="8923" w:type="dxa"/>
        <w:jc w:val="center"/>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576"/>
        <w:gridCol w:w="1728"/>
        <w:gridCol w:w="2891"/>
        <w:gridCol w:w="3728"/>
      </w:tblGrid>
      <w:tr w:rsidR="00954B58" w:rsidRPr="005E1103" w:rsidTr="00954B58">
        <w:trPr>
          <w:trHeight w:val="675"/>
          <w:jc w:val="center"/>
        </w:trPr>
        <w:tc>
          <w:tcPr>
            <w:tcW w:w="636" w:type="dxa"/>
            <w:shd w:val="clear" w:color="auto" w:fill="C00000"/>
          </w:tcPr>
          <w:p w:rsidR="00954B58" w:rsidRPr="005E1103" w:rsidRDefault="00954B58" w:rsidP="00954B58">
            <w:pPr>
              <w:spacing w:after="0" w:line="240" w:lineRule="auto"/>
              <w:jc w:val="center"/>
              <w:rPr>
                <w:rFonts w:eastAsia="Times New Roman" w:cstheme="minorHAnsi"/>
                <w:b/>
                <w:bCs/>
                <w:color w:val="000000"/>
                <w:sz w:val="28"/>
                <w:szCs w:val="28"/>
                <w:lang w:eastAsia="es-ES"/>
              </w:rPr>
            </w:pPr>
          </w:p>
        </w:tc>
        <w:tc>
          <w:tcPr>
            <w:tcW w:w="1728" w:type="dxa"/>
            <w:tcBorders>
              <w:top w:val="single" w:sz="12" w:space="0" w:color="auto"/>
              <w:bottom w:val="single" w:sz="8" w:space="0" w:color="auto"/>
            </w:tcBorders>
            <w:shd w:val="clear" w:color="auto" w:fill="C00000"/>
            <w:noWrap/>
            <w:vAlign w:val="center"/>
            <w:hideMark/>
          </w:tcPr>
          <w:p w:rsidR="00954B58" w:rsidRPr="005E1103" w:rsidRDefault="00954B58" w:rsidP="00954B58">
            <w:pPr>
              <w:spacing w:after="0" w:line="240" w:lineRule="auto"/>
              <w:jc w:val="center"/>
              <w:rPr>
                <w:rFonts w:eastAsia="Times New Roman" w:cstheme="minorHAnsi"/>
                <w:b/>
                <w:bCs/>
                <w:color w:val="000000"/>
                <w:sz w:val="28"/>
                <w:szCs w:val="28"/>
                <w:lang w:eastAsia="es-ES"/>
              </w:rPr>
            </w:pPr>
            <w:r w:rsidRPr="005E1103">
              <w:rPr>
                <w:rFonts w:eastAsia="Times New Roman" w:cstheme="minorHAnsi"/>
                <w:b/>
                <w:bCs/>
                <w:color w:val="000000"/>
                <w:sz w:val="28"/>
                <w:szCs w:val="28"/>
                <w:lang w:eastAsia="es-ES"/>
              </w:rPr>
              <w:t>Autores</w:t>
            </w:r>
          </w:p>
        </w:tc>
        <w:tc>
          <w:tcPr>
            <w:tcW w:w="2831" w:type="dxa"/>
            <w:tcBorders>
              <w:bottom w:val="single" w:sz="8" w:space="0" w:color="auto"/>
            </w:tcBorders>
            <w:shd w:val="clear" w:color="auto" w:fill="C00000"/>
            <w:noWrap/>
            <w:vAlign w:val="center"/>
            <w:hideMark/>
          </w:tcPr>
          <w:p w:rsidR="00954B58" w:rsidRPr="005E1103" w:rsidRDefault="00954B58" w:rsidP="00954B58">
            <w:pPr>
              <w:spacing w:after="0" w:line="240" w:lineRule="auto"/>
              <w:jc w:val="center"/>
              <w:rPr>
                <w:rFonts w:eastAsia="Times New Roman" w:cstheme="minorHAnsi"/>
                <w:b/>
                <w:bCs/>
                <w:color w:val="000000"/>
                <w:sz w:val="28"/>
                <w:szCs w:val="28"/>
                <w:lang w:eastAsia="es-ES"/>
              </w:rPr>
            </w:pPr>
            <w:r w:rsidRPr="005E1103">
              <w:rPr>
                <w:rFonts w:eastAsia="Times New Roman" w:cstheme="minorHAnsi"/>
                <w:b/>
                <w:bCs/>
                <w:color w:val="000000"/>
                <w:sz w:val="28"/>
                <w:szCs w:val="28"/>
                <w:lang w:eastAsia="es-ES"/>
              </w:rPr>
              <w:t>Universidad/Institución</w:t>
            </w:r>
          </w:p>
        </w:tc>
        <w:tc>
          <w:tcPr>
            <w:tcW w:w="3728" w:type="dxa"/>
            <w:shd w:val="clear" w:color="auto" w:fill="C00000"/>
            <w:noWrap/>
            <w:vAlign w:val="center"/>
            <w:hideMark/>
          </w:tcPr>
          <w:p w:rsidR="00954B58" w:rsidRPr="005E1103" w:rsidRDefault="00954B58" w:rsidP="00954B58">
            <w:pPr>
              <w:spacing w:after="0" w:line="240" w:lineRule="auto"/>
              <w:jc w:val="center"/>
              <w:rPr>
                <w:rFonts w:eastAsia="Times New Roman" w:cstheme="minorHAnsi"/>
                <w:b/>
                <w:bCs/>
                <w:color w:val="000000"/>
                <w:sz w:val="28"/>
                <w:szCs w:val="28"/>
                <w:lang w:eastAsia="es-ES"/>
              </w:rPr>
            </w:pPr>
            <w:r w:rsidRPr="005E1103">
              <w:rPr>
                <w:rFonts w:eastAsia="Times New Roman" w:cstheme="minorHAnsi"/>
                <w:b/>
                <w:bCs/>
                <w:color w:val="000000"/>
                <w:sz w:val="28"/>
                <w:szCs w:val="28"/>
                <w:lang w:eastAsia="es-ES"/>
              </w:rPr>
              <w:t>Título</w:t>
            </w:r>
          </w:p>
        </w:tc>
      </w:tr>
      <w:tr w:rsidR="00954B58" w:rsidRPr="005E1103" w:rsidTr="00954B58">
        <w:trPr>
          <w:trHeight w:val="315"/>
          <w:jc w:val="center"/>
        </w:trPr>
        <w:tc>
          <w:tcPr>
            <w:tcW w:w="636" w:type="dxa"/>
            <w:shd w:val="clear" w:color="auto" w:fill="C00000"/>
            <w:vAlign w:val="center"/>
          </w:tcPr>
          <w:p w:rsidR="00954B58" w:rsidRPr="005E1103" w:rsidRDefault="00954B58" w:rsidP="00954B58">
            <w:pPr>
              <w:spacing w:after="0" w:line="240" w:lineRule="auto"/>
              <w:rPr>
                <w:rFonts w:eastAsia="Times New Roman" w:cstheme="minorHAnsi"/>
                <w:b/>
                <w:bCs/>
                <w:sz w:val="28"/>
                <w:szCs w:val="28"/>
                <w:lang w:eastAsia="es-ES"/>
              </w:rPr>
            </w:pPr>
            <w:r w:rsidRPr="005E1103">
              <w:rPr>
                <w:rFonts w:eastAsia="Times New Roman" w:cstheme="minorHAnsi"/>
                <w:b/>
                <w:bCs/>
                <w:sz w:val="28"/>
                <w:szCs w:val="28"/>
                <w:lang w:eastAsia="es-ES"/>
              </w:rPr>
              <w:t>1</w:t>
            </w:r>
          </w:p>
        </w:tc>
        <w:tc>
          <w:tcPr>
            <w:tcW w:w="1728" w:type="dxa"/>
            <w:tcBorders>
              <w:top w:val="single" w:sz="8" w:space="0" w:color="auto"/>
            </w:tcBorders>
            <w:shd w:val="clear" w:color="auto" w:fill="C00000"/>
            <w:noWrap/>
            <w:vAlign w:val="center"/>
          </w:tcPr>
          <w:p w:rsidR="00954B58" w:rsidRPr="005E1103" w:rsidRDefault="00954B58" w:rsidP="00954B58">
            <w:pPr>
              <w:spacing w:after="0" w:line="240" w:lineRule="auto"/>
              <w:jc w:val="both"/>
              <w:rPr>
                <w:rFonts w:eastAsia="Times New Roman" w:cstheme="minorHAnsi"/>
                <w:b/>
                <w:bCs/>
                <w:sz w:val="28"/>
                <w:szCs w:val="28"/>
                <w:lang w:eastAsia="es-ES"/>
              </w:rPr>
            </w:pPr>
            <w:r w:rsidRPr="005E1103">
              <w:rPr>
                <w:rFonts w:eastAsia="Times New Roman" w:cstheme="minorHAnsi"/>
                <w:b/>
                <w:bCs/>
                <w:sz w:val="28"/>
                <w:szCs w:val="28"/>
                <w:lang w:eastAsia="es-ES"/>
              </w:rPr>
              <w:t>Esther Gallego Baeza,</w:t>
            </w:r>
          </w:p>
          <w:p w:rsidR="00954B58" w:rsidRPr="005E1103" w:rsidRDefault="00954B58" w:rsidP="00954B58">
            <w:pPr>
              <w:spacing w:after="0" w:line="240" w:lineRule="auto"/>
              <w:jc w:val="both"/>
              <w:rPr>
                <w:rFonts w:eastAsia="Times New Roman" w:cstheme="minorHAnsi"/>
                <w:b/>
                <w:bCs/>
                <w:sz w:val="28"/>
                <w:szCs w:val="28"/>
                <w:lang w:eastAsia="es-ES"/>
              </w:rPr>
            </w:pPr>
            <w:r w:rsidRPr="005E1103">
              <w:rPr>
                <w:rFonts w:eastAsia="Times New Roman" w:cstheme="minorHAnsi"/>
                <w:b/>
                <w:bCs/>
                <w:sz w:val="28"/>
                <w:szCs w:val="28"/>
                <w:lang w:eastAsia="es-ES"/>
              </w:rPr>
              <w:t>Patricia Soler Javaloy</w:t>
            </w:r>
          </w:p>
          <w:p w:rsidR="00954B58" w:rsidRPr="005E1103" w:rsidRDefault="00954B58" w:rsidP="00954B58">
            <w:pPr>
              <w:spacing w:after="0" w:line="240" w:lineRule="auto"/>
              <w:jc w:val="both"/>
              <w:rPr>
                <w:rFonts w:eastAsia="Times New Roman" w:cstheme="minorHAnsi"/>
                <w:b/>
                <w:bCs/>
                <w:sz w:val="28"/>
                <w:szCs w:val="28"/>
                <w:lang w:eastAsia="es-ES"/>
              </w:rPr>
            </w:pPr>
            <w:r w:rsidRPr="005E1103">
              <w:rPr>
                <w:rFonts w:eastAsia="Times New Roman" w:cstheme="minorHAnsi"/>
                <w:b/>
                <w:bCs/>
                <w:sz w:val="28"/>
                <w:szCs w:val="28"/>
                <w:lang w:eastAsia="es-ES"/>
              </w:rPr>
              <w:t>Joaquina Murcia Rodriguez</w:t>
            </w:r>
          </w:p>
          <w:p w:rsidR="00954B58" w:rsidRPr="005E1103" w:rsidRDefault="00954B58" w:rsidP="00954B58">
            <w:pPr>
              <w:spacing w:after="0" w:line="240" w:lineRule="auto"/>
              <w:jc w:val="both"/>
              <w:rPr>
                <w:rFonts w:eastAsia="Times New Roman" w:cstheme="minorHAnsi"/>
                <w:b/>
                <w:bCs/>
                <w:sz w:val="28"/>
                <w:szCs w:val="28"/>
                <w:lang w:eastAsia="es-ES"/>
              </w:rPr>
            </w:pPr>
          </w:p>
        </w:tc>
        <w:tc>
          <w:tcPr>
            <w:tcW w:w="2831" w:type="dxa"/>
            <w:tcBorders>
              <w:top w:val="single" w:sz="8" w:space="0" w:color="auto"/>
              <w:bottom w:val="single" w:sz="8" w:space="0" w:color="auto"/>
            </w:tcBorders>
            <w:shd w:val="clear" w:color="auto" w:fill="BFBFBF" w:themeFill="background1" w:themeFillShade="BF"/>
            <w:noWrap/>
            <w:vAlign w:val="center"/>
          </w:tcPr>
          <w:p w:rsidR="00954B58" w:rsidRPr="005E1103" w:rsidRDefault="00954B58" w:rsidP="00954B58">
            <w:pPr>
              <w:spacing w:after="0" w:line="240" w:lineRule="auto"/>
              <w:jc w:val="both"/>
              <w:rPr>
                <w:rFonts w:eastAsia="Times New Roman" w:cstheme="minorHAnsi"/>
                <w:b/>
                <w:sz w:val="28"/>
                <w:szCs w:val="28"/>
                <w:lang w:eastAsia="es-ES"/>
              </w:rPr>
            </w:pPr>
            <w:r w:rsidRPr="005E1103">
              <w:rPr>
                <w:rFonts w:eastAsia="Times New Roman" w:cstheme="minorHAnsi"/>
                <w:b/>
                <w:sz w:val="28"/>
                <w:szCs w:val="28"/>
                <w:lang w:eastAsia="es-ES"/>
              </w:rPr>
              <w:t>Universidad de Alicante</w:t>
            </w:r>
          </w:p>
        </w:tc>
        <w:tc>
          <w:tcPr>
            <w:tcW w:w="3728" w:type="dxa"/>
            <w:shd w:val="clear" w:color="auto" w:fill="BFBFBF" w:themeFill="background1" w:themeFillShade="BF"/>
            <w:vAlign w:val="center"/>
          </w:tcPr>
          <w:p w:rsidR="00954B58" w:rsidRPr="005E1103" w:rsidRDefault="00954B58" w:rsidP="00954B58">
            <w:pPr>
              <w:spacing w:after="0" w:line="240" w:lineRule="auto"/>
              <w:jc w:val="both"/>
              <w:rPr>
                <w:rFonts w:eastAsia="Times New Roman" w:cstheme="minorHAnsi"/>
                <w:sz w:val="28"/>
                <w:szCs w:val="28"/>
                <w:lang w:eastAsia="es-ES"/>
              </w:rPr>
            </w:pPr>
            <w:r w:rsidRPr="005E1103">
              <w:rPr>
                <w:rFonts w:eastAsia="Times New Roman" w:cstheme="minorHAnsi"/>
                <w:sz w:val="28"/>
                <w:szCs w:val="28"/>
                <w:lang w:eastAsia="es-ES"/>
              </w:rPr>
              <w:t>Proactividad y sensibilización: Gestionar nuestro propio talento.</w:t>
            </w:r>
          </w:p>
        </w:tc>
      </w:tr>
      <w:tr w:rsidR="00954B58" w:rsidRPr="005E1103" w:rsidTr="00954B58">
        <w:trPr>
          <w:trHeight w:val="315"/>
          <w:jc w:val="center"/>
        </w:trPr>
        <w:tc>
          <w:tcPr>
            <w:tcW w:w="636" w:type="dxa"/>
            <w:shd w:val="clear" w:color="auto" w:fill="C00000"/>
            <w:vAlign w:val="center"/>
          </w:tcPr>
          <w:p w:rsidR="00954B58" w:rsidRPr="005E1103" w:rsidRDefault="00954B58" w:rsidP="00954B58">
            <w:pPr>
              <w:spacing w:after="0" w:line="240" w:lineRule="auto"/>
              <w:rPr>
                <w:rFonts w:eastAsia="Times New Roman" w:cstheme="minorHAnsi"/>
                <w:b/>
                <w:bCs/>
                <w:sz w:val="28"/>
                <w:szCs w:val="28"/>
                <w:lang w:eastAsia="es-ES"/>
              </w:rPr>
            </w:pPr>
            <w:r w:rsidRPr="005E1103">
              <w:rPr>
                <w:rFonts w:eastAsia="Times New Roman" w:cstheme="minorHAnsi"/>
                <w:b/>
                <w:bCs/>
                <w:sz w:val="28"/>
                <w:szCs w:val="28"/>
                <w:lang w:eastAsia="es-ES"/>
              </w:rPr>
              <w:t>2</w:t>
            </w:r>
          </w:p>
        </w:tc>
        <w:tc>
          <w:tcPr>
            <w:tcW w:w="1728" w:type="dxa"/>
            <w:shd w:val="clear" w:color="auto" w:fill="C00000"/>
            <w:noWrap/>
            <w:vAlign w:val="center"/>
          </w:tcPr>
          <w:p w:rsidR="00954B58" w:rsidRPr="005E1103" w:rsidRDefault="00954B58" w:rsidP="00954B58">
            <w:pPr>
              <w:spacing w:after="0" w:line="240" w:lineRule="auto"/>
              <w:jc w:val="both"/>
              <w:rPr>
                <w:rFonts w:eastAsia="Times New Roman" w:cstheme="minorHAnsi"/>
                <w:b/>
                <w:bCs/>
                <w:sz w:val="28"/>
                <w:szCs w:val="28"/>
                <w:lang w:eastAsia="es-ES"/>
              </w:rPr>
            </w:pPr>
            <w:r w:rsidRPr="005E1103">
              <w:rPr>
                <w:rFonts w:eastAsia="Times New Roman" w:cstheme="minorHAnsi"/>
                <w:b/>
                <w:bCs/>
                <w:sz w:val="28"/>
                <w:szCs w:val="28"/>
                <w:lang w:eastAsia="es-ES"/>
              </w:rPr>
              <w:t>Emiliano Díez Villoria</w:t>
            </w:r>
          </w:p>
          <w:p w:rsidR="00954B58" w:rsidRPr="005E1103" w:rsidRDefault="00954B58" w:rsidP="00954B58">
            <w:pPr>
              <w:spacing w:after="0" w:line="240" w:lineRule="auto"/>
              <w:jc w:val="both"/>
              <w:rPr>
                <w:rFonts w:eastAsia="Times New Roman" w:cstheme="minorHAnsi"/>
                <w:b/>
                <w:bCs/>
                <w:sz w:val="28"/>
                <w:szCs w:val="28"/>
                <w:lang w:eastAsia="es-ES"/>
              </w:rPr>
            </w:pPr>
            <w:r w:rsidRPr="005E1103">
              <w:rPr>
                <w:rFonts w:eastAsia="Times New Roman" w:cstheme="minorHAnsi"/>
                <w:b/>
                <w:bCs/>
                <w:sz w:val="28"/>
                <w:szCs w:val="28"/>
                <w:lang w:eastAsia="es-ES"/>
              </w:rPr>
              <w:t>Natividad Rodriguez</w:t>
            </w:r>
          </w:p>
          <w:p w:rsidR="00954B58" w:rsidRPr="005E1103" w:rsidRDefault="00954B58" w:rsidP="00954B58">
            <w:pPr>
              <w:spacing w:after="0" w:line="240" w:lineRule="auto"/>
              <w:jc w:val="both"/>
              <w:rPr>
                <w:rFonts w:eastAsia="Times New Roman" w:cstheme="minorHAnsi"/>
                <w:b/>
                <w:bCs/>
                <w:sz w:val="28"/>
                <w:szCs w:val="28"/>
                <w:lang w:eastAsia="es-ES"/>
              </w:rPr>
            </w:pPr>
            <w:r w:rsidRPr="005E1103">
              <w:rPr>
                <w:rFonts w:eastAsia="Times New Roman" w:cstheme="minorHAnsi"/>
                <w:b/>
                <w:bCs/>
                <w:sz w:val="28"/>
                <w:szCs w:val="28"/>
                <w:lang w:eastAsia="es-ES"/>
              </w:rPr>
              <w:t>Maribel Campo</w:t>
            </w:r>
          </w:p>
        </w:tc>
        <w:tc>
          <w:tcPr>
            <w:tcW w:w="2831" w:type="dxa"/>
            <w:tcBorders>
              <w:top w:val="single" w:sz="8" w:space="0" w:color="auto"/>
            </w:tcBorders>
            <w:shd w:val="clear" w:color="auto" w:fill="BFBFBF" w:themeFill="background1" w:themeFillShade="BF"/>
            <w:noWrap/>
            <w:vAlign w:val="center"/>
          </w:tcPr>
          <w:p w:rsidR="00954B58" w:rsidRPr="005E1103" w:rsidRDefault="00954B58" w:rsidP="00954B58">
            <w:pPr>
              <w:spacing w:after="0" w:line="240" w:lineRule="auto"/>
              <w:jc w:val="both"/>
              <w:rPr>
                <w:rFonts w:eastAsia="Times New Roman" w:cstheme="minorHAnsi"/>
                <w:b/>
                <w:sz w:val="28"/>
                <w:szCs w:val="28"/>
                <w:lang w:eastAsia="es-ES"/>
              </w:rPr>
            </w:pPr>
            <w:r w:rsidRPr="005E1103">
              <w:rPr>
                <w:rFonts w:eastAsia="Times New Roman" w:cstheme="minorHAnsi"/>
                <w:b/>
                <w:sz w:val="28"/>
                <w:szCs w:val="28"/>
                <w:lang w:eastAsia="es-ES"/>
              </w:rPr>
              <w:t>Universidad de Salamanca</w:t>
            </w:r>
          </w:p>
        </w:tc>
        <w:tc>
          <w:tcPr>
            <w:tcW w:w="3728" w:type="dxa"/>
            <w:shd w:val="clear" w:color="auto" w:fill="BFBFBF" w:themeFill="background1" w:themeFillShade="BF"/>
            <w:vAlign w:val="center"/>
          </w:tcPr>
          <w:p w:rsidR="00954B58" w:rsidRPr="005E1103" w:rsidRDefault="00954B58" w:rsidP="00954B58">
            <w:pPr>
              <w:spacing w:after="0" w:line="240" w:lineRule="auto"/>
              <w:jc w:val="both"/>
              <w:rPr>
                <w:rFonts w:eastAsia="Times New Roman" w:cstheme="minorHAnsi"/>
                <w:sz w:val="28"/>
                <w:szCs w:val="28"/>
                <w:lang w:eastAsia="es-ES"/>
              </w:rPr>
            </w:pPr>
            <w:r w:rsidRPr="005E1103">
              <w:rPr>
                <w:rFonts w:eastAsia="Times New Roman" w:cstheme="minorHAnsi"/>
                <w:sz w:val="28"/>
                <w:szCs w:val="28"/>
                <w:lang w:eastAsia="es-ES"/>
              </w:rPr>
              <w:t>Formación online sobre competencias transversales y empleabilidad bajo los principios del diseño universal para el aprendizaje</w:t>
            </w:r>
          </w:p>
        </w:tc>
      </w:tr>
      <w:tr w:rsidR="00954B58" w:rsidRPr="005E1103" w:rsidTr="00954B58">
        <w:trPr>
          <w:trHeight w:val="315"/>
          <w:jc w:val="center"/>
        </w:trPr>
        <w:tc>
          <w:tcPr>
            <w:tcW w:w="636" w:type="dxa"/>
            <w:shd w:val="clear" w:color="auto" w:fill="C00000"/>
            <w:vAlign w:val="center"/>
          </w:tcPr>
          <w:p w:rsidR="00954B58" w:rsidRPr="005E1103" w:rsidRDefault="00954B58" w:rsidP="00954B58">
            <w:pPr>
              <w:spacing w:after="0" w:line="240" w:lineRule="auto"/>
              <w:rPr>
                <w:rFonts w:eastAsia="Times New Roman" w:cstheme="minorHAnsi"/>
                <w:b/>
                <w:bCs/>
                <w:sz w:val="28"/>
                <w:szCs w:val="28"/>
                <w:lang w:eastAsia="es-ES"/>
              </w:rPr>
            </w:pPr>
            <w:r w:rsidRPr="005E1103">
              <w:rPr>
                <w:rFonts w:eastAsia="Times New Roman" w:cstheme="minorHAnsi"/>
                <w:b/>
                <w:bCs/>
                <w:sz w:val="28"/>
                <w:szCs w:val="28"/>
                <w:lang w:eastAsia="es-ES"/>
              </w:rPr>
              <w:t>3</w:t>
            </w:r>
          </w:p>
        </w:tc>
        <w:tc>
          <w:tcPr>
            <w:tcW w:w="1728" w:type="dxa"/>
            <w:shd w:val="clear" w:color="auto" w:fill="C00000"/>
            <w:noWrap/>
            <w:vAlign w:val="center"/>
            <w:hideMark/>
          </w:tcPr>
          <w:p w:rsidR="00954B58" w:rsidRPr="005E1103" w:rsidRDefault="00954B58" w:rsidP="00954B58">
            <w:pPr>
              <w:spacing w:after="0" w:line="240" w:lineRule="auto"/>
              <w:jc w:val="both"/>
              <w:rPr>
                <w:rFonts w:eastAsia="Times New Roman" w:cstheme="minorHAnsi"/>
                <w:b/>
                <w:bCs/>
                <w:sz w:val="28"/>
                <w:szCs w:val="28"/>
                <w:lang w:eastAsia="es-ES"/>
              </w:rPr>
            </w:pPr>
            <w:r w:rsidRPr="005E1103">
              <w:rPr>
                <w:rFonts w:eastAsia="Times New Roman" w:cstheme="minorHAnsi"/>
                <w:b/>
                <w:bCs/>
                <w:sz w:val="28"/>
                <w:szCs w:val="28"/>
                <w:lang w:eastAsia="es-ES"/>
              </w:rPr>
              <w:t>Maria del Carmen Ortega Navas</w:t>
            </w:r>
          </w:p>
        </w:tc>
        <w:tc>
          <w:tcPr>
            <w:tcW w:w="2831" w:type="dxa"/>
            <w:shd w:val="clear" w:color="auto" w:fill="BFBFBF" w:themeFill="background1" w:themeFillShade="BF"/>
            <w:noWrap/>
            <w:vAlign w:val="center"/>
            <w:hideMark/>
          </w:tcPr>
          <w:p w:rsidR="00954B58" w:rsidRPr="005E1103" w:rsidRDefault="00954B58" w:rsidP="00954B58">
            <w:pPr>
              <w:spacing w:after="0" w:line="240" w:lineRule="auto"/>
              <w:jc w:val="both"/>
              <w:rPr>
                <w:rFonts w:eastAsia="Times New Roman" w:cstheme="minorHAnsi"/>
                <w:b/>
                <w:sz w:val="28"/>
                <w:szCs w:val="28"/>
                <w:lang w:eastAsia="es-ES"/>
              </w:rPr>
            </w:pPr>
            <w:r w:rsidRPr="005E1103">
              <w:rPr>
                <w:rFonts w:eastAsia="Times New Roman" w:cstheme="minorHAnsi"/>
                <w:b/>
                <w:sz w:val="28"/>
                <w:szCs w:val="28"/>
                <w:lang w:eastAsia="es-ES"/>
              </w:rPr>
              <w:t>UNED</w:t>
            </w:r>
          </w:p>
        </w:tc>
        <w:tc>
          <w:tcPr>
            <w:tcW w:w="3728" w:type="dxa"/>
            <w:shd w:val="clear" w:color="auto" w:fill="BFBFBF" w:themeFill="background1" w:themeFillShade="BF"/>
            <w:vAlign w:val="center"/>
            <w:hideMark/>
          </w:tcPr>
          <w:p w:rsidR="00954B58" w:rsidRPr="005E1103" w:rsidRDefault="00954B58" w:rsidP="00954B58">
            <w:pPr>
              <w:spacing w:after="0" w:line="240" w:lineRule="auto"/>
              <w:jc w:val="both"/>
              <w:rPr>
                <w:rFonts w:eastAsia="Times New Roman" w:cstheme="minorHAnsi"/>
                <w:sz w:val="28"/>
                <w:szCs w:val="28"/>
                <w:lang w:eastAsia="es-ES"/>
              </w:rPr>
            </w:pPr>
            <w:r w:rsidRPr="005E1103">
              <w:rPr>
                <w:rFonts w:cstheme="minorHAnsi"/>
                <w:sz w:val="28"/>
                <w:szCs w:val="28"/>
              </w:rPr>
              <w:t xml:space="preserve">La practica de la inteligencia emocional: Competencia educativa para un mejor </w:t>
            </w:r>
            <w:r w:rsidRPr="005E1103">
              <w:rPr>
                <w:rFonts w:cstheme="minorHAnsi"/>
                <w:sz w:val="28"/>
                <w:szCs w:val="28"/>
              </w:rPr>
              <w:lastRenderedPageBreak/>
              <w:t>liderazgo de los universitarios con discapacidad.</w:t>
            </w:r>
          </w:p>
        </w:tc>
      </w:tr>
      <w:tr w:rsidR="00954B58" w:rsidRPr="005E1103" w:rsidTr="00954B58">
        <w:trPr>
          <w:trHeight w:val="315"/>
          <w:jc w:val="center"/>
        </w:trPr>
        <w:tc>
          <w:tcPr>
            <w:tcW w:w="636" w:type="dxa"/>
            <w:shd w:val="clear" w:color="auto" w:fill="C00000"/>
            <w:vAlign w:val="center"/>
          </w:tcPr>
          <w:p w:rsidR="00954B58" w:rsidRPr="005E1103" w:rsidRDefault="00954B58" w:rsidP="00954B58">
            <w:pPr>
              <w:spacing w:after="0" w:line="240" w:lineRule="auto"/>
              <w:rPr>
                <w:rFonts w:eastAsia="Times New Roman" w:cstheme="minorHAnsi"/>
                <w:b/>
                <w:bCs/>
                <w:sz w:val="28"/>
                <w:szCs w:val="28"/>
                <w:lang w:eastAsia="es-ES"/>
              </w:rPr>
            </w:pPr>
            <w:r w:rsidRPr="005E1103">
              <w:rPr>
                <w:rFonts w:eastAsia="Times New Roman" w:cstheme="minorHAnsi"/>
                <w:b/>
                <w:bCs/>
                <w:sz w:val="28"/>
                <w:szCs w:val="28"/>
                <w:lang w:eastAsia="es-ES"/>
              </w:rPr>
              <w:lastRenderedPageBreak/>
              <w:t>4</w:t>
            </w:r>
          </w:p>
        </w:tc>
        <w:tc>
          <w:tcPr>
            <w:tcW w:w="1728" w:type="dxa"/>
            <w:shd w:val="clear" w:color="auto" w:fill="C00000"/>
            <w:noWrap/>
            <w:vAlign w:val="center"/>
            <w:hideMark/>
          </w:tcPr>
          <w:p w:rsidR="00954B58" w:rsidRPr="005E1103" w:rsidRDefault="00954B58" w:rsidP="00954B58">
            <w:pPr>
              <w:spacing w:after="0" w:line="240" w:lineRule="auto"/>
              <w:jc w:val="both"/>
              <w:rPr>
                <w:rFonts w:eastAsia="Times New Roman" w:cstheme="minorHAnsi"/>
                <w:b/>
                <w:bCs/>
                <w:sz w:val="28"/>
                <w:szCs w:val="28"/>
                <w:lang w:eastAsia="es-ES"/>
              </w:rPr>
            </w:pPr>
            <w:r w:rsidRPr="005E1103">
              <w:rPr>
                <w:rFonts w:eastAsia="Times New Roman" w:cstheme="minorHAnsi"/>
                <w:b/>
                <w:bCs/>
                <w:sz w:val="28"/>
                <w:szCs w:val="28"/>
                <w:lang w:eastAsia="es-ES"/>
              </w:rPr>
              <w:t>Fidel Hernández Hernández</w:t>
            </w:r>
          </w:p>
        </w:tc>
        <w:tc>
          <w:tcPr>
            <w:tcW w:w="2831" w:type="dxa"/>
            <w:shd w:val="clear" w:color="auto" w:fill="BFBFBF" w:themeFill="background1" w:themeFillShade="BF"/>
            <w:noWrap/>
            <w:vAlign w:val="center"/>
            <w:hideMark/>
          </w:tcPr>
          <w:p w:rsidR="00954B58" w:rsidRPr="005E1103" w:rsidRDefault="00954B58" w:rsidP="00954B58">
            <w:pPr>
              <w:spacing w:after="0" w:line="240" w:lineRule="auto"/>
              <w:jc w:val="both"/>
              <w:rPr>
                <w:rFonts w:eastAsia="Times New Roman" w:cstheme="minorHAnsi"/>
                <w:b/>
                <w:sz w:val="28"/>
                <w:szCs w:val="28"/>
                <w:lang w:eastAsia="es-ES"/>
              </w:rPr>
            </w:pPr>
            <w:r w:rsidRPr="005E1103">
              <w:rPr>
                <w:rFonts w:eastAsia="Times New Roman" w:cstheme="minorHAnsi"/>
                <w:b/>
                <w:sz w:val="28"/>
                <w:szCs w:val="28"/>
                <w:lang w:eastAsia="es-ES"/>
              </w:rPr>
              <w:t>Psicodis Orientación y Apoyo</w:t>
            </w:r>
          </w:p>
        </w:tc>
        <w:tc>
          <w:tcPr>
            <w:tcW w:w="3728" w:type="dxa"/>
            <w:shd w:val="clear" w:color="auto" w:fill="BFBFBF" w:themeFill="background1" w:themeFillShade="BF"/>
            <w:noWrap/>
            <w:vAlign w:val="center"/>
            <w:hideMark/>
          </w:tcPr>
          <w:p w:rsidR="00954B58" w:rsidRPr="005E1103" w:rsidRDefault="00954B58" w:rsidP="00954B58">
            <w:pPr>
              <w:spacing w:after="0" w:line="240" w:lineRule="auto"/>
              <w:jc w:val="both"/>
              <w:rPr>
                <w:rFonts w:eastAsia="Times New Roman" w:cstheme="minorHAnsi"/>
                <w:sz w:val="28"/>
                <w:szCs w:val="28"/>
                <w:lang w:eastAsia="es-ES"/>
              </w:rPr>
            </w:pPr>
            <w:r w:rsidRPr="005E1103">
              <w:rPr>
                <w:rFonts w:eastAsia="Times New Roman" w:cstheme="minorHAnsi"/>
                <w:sz w:val="28"/>
                <w:szCs w:val="28"/>
                <w:lang w:eastAsia="es-ES"/>
              </w:rPr>
              <w:t xml:space="preserve">Programa de asesoría y formación a estudiantes con discapacidad para la promoción del emprendimiento y autoempleo. </w:t>
            </w:r>
          </w:p>
        </w:tc>
      </w:tr>
      <w:tr w:rsidR="00954B58" w:rsidRPr="005E1103" w:rsidTr="00954B58">
        <w:trPr>
          <w:trHeight w:val="315"/>
          <w:jc w:val="center"/>
        </w:trPr>
        <w:tc>
          <w:tcPr>
            <w:tcW w:w="636" w:type="dxa"/>
            <w:shd w:val="clear" w:color="auto" w:fill="C00000"/>
            <w:vAlign w:val="center"/>
          </w:tcPr>
          <w:p w:rsidR="00954B58" w:rsidRPr="005E1103" w:rsidRDefault="00954B58" w:rsidP="00954B58">
            <w:pPr>
              <w:spacing w:after="0" w:line="240" w:lineRule="auto"/>
              <w:rPr>
                <w:rFonts w:eastAsia="Times New Roman" w:cstheme="minorHAnsi"/>
                <w:b/>
                <w:bCs/>
                <w:sz w:val="28"/>
                <w:szCs w:val="28"/>
                <w:lang w:eastAsia="es-ES"/>
              </w:rPr>
            </w:pPr>
            <w:r w:rsidRPr="005E1103">
              <w:rPr>
                <w:rFonts w:eastAsia="Times New Roman" w:cstheme="minorHAnsi"/>
                <w:b/>
                <w:bCs/>
                <w:sz w:val="28"/>
                <w:szCs w:val="28"/>
                <w:lang w:eastAsia="es-ES"/>
              </w:rPr>
              <w:t>5</w:t>
            </w:r>
          </w:p>
        </w:tc>
        <w:tc>
          <w:tcPr>
            <w:tcW w:w="1728" w:type="dxa"/>
            <w:shd w:val="clear" w:color="auto" w:fill="C00000"/>
            <w:noWrap/>
            <w:vAlign w:val="center"/>
          </w:tcPr>
          <w:p w:rsidR="00954B58" w:rsidRPr="005E1103" w:rsidRDefault="00954B58" w:rsidP="00954B58">
            <w:pPr>
              <w:spacing w:after="0" w:line="240" w:lineRule="auto"/>
              <w:jc w:val="both"/>
              <w:rPr>
                <w:rFonts w:eastAsia="Times New Roman" w:cstheme="minorHAnsi"/>
                <w:b/>
                <w:bCs/>
                <w:sz w:val="28"/>
                <w:szCs w:val="28"/>
                <w:lang w:eastAsia="es-ES"/>
              </w:rPr>
            </w:pPr>
            <w:r w:rsidRPr="005E1103">
              <w:rPr>
                <w:rFonts w:eastAsia="Times New Roman" w:cstheme="minorHAnsi"/>
                <w:b/>
                <w:bCs/>
                <w:sz w:val="28"/>
                <w:szCs w:val="28"/>
                <w:lang w:eastAsia="es-ES"/>
              </w:rPr>
              <w:t>Juana Iglesias González</w:t>
            </w:r>
          </w:p>
        </w:tc>
        <w:tc>
          <w:tcPr>
            <w:tcW w:w="2831" w:type="dxa"/>
            <w:shd w:val="clear" w:color="auto" w:fill="BFBFBF" w:themeFill="background1" w:themeFillShade="BF"/>
            <w:noWrap/>
            <w:vAlign w:val="center"/>
          </w:tcPr>
          <w:p w:rsidR="00954B58" w:rsidRPr="005E1103" w:rsidRDefault="00954B58" w:rsidP="00954B58">
            <w:pPr>
              <w:spacing w:after="0" w:line="240" w:lineRule="auto"/>
              <w:jc w:val="both"/>
              <w:rPr>
                <w:rFonts w:eastAsia="Times New Roman" w:cstheme="minorHAnsi"/>
                <w:b/>
                <w:sz w:val="28"/>
                <w:szCs w:val="28"/>
                <w:lang w:eastAsia="es-ES"/>
              </w:rPr>
            </w:pPr>
            <w:r w:rsidRPr="005E1103">
              <w:rPr>
                <w:rFonts w:eastAsia="Times New Roman" w:cstheme="minorHAnsi"/>
                <w:b/>
                <w:sz w:val="28"/>
                <w:szCs w:val="28"/>
                <w:lang w:eastAsia="es-ES"/>
              </w:rPr>
              <w:t>Plena Inclusión Montijo</w:t>
            </w:r>
          </w:p>
        </w:tc>
        <w:tc>
          <w:tcPr>
            <w:tcW w:w="3728" w:type="dxa"/>
            <w:shd w:val="clear" w:color="auto" w:fill="BFBFBF" w:themeFill="background1" w:themeFillShade="BF"/>
            <w:noWrap/>
            <w:vAlign w:val="center"/>
          </w:tcPr>
          <w:p w:rsidR="00954B58" w:rsidRPr="005E1103" w:rsidRDefault="00954B58" w:rsidP="00954B58">
            <w:pPr>
              <w:jc w:val="both"/>
              <w:rPr>
                <w:rFonts w:cstheme="minorHAnsi"/>
                <w:b/>
                <w:sz w:val="28"/>
                <w:szCs w:val="28"/>
              </w:rPr>
            </w:pPr>
            <w:r w:rsidRPr="005E1103">
              <w:rPr>
                <w:rFonts w:eastAsia="Times New Roman" w:cstheme="minorHAnsi"/>
                <w:sz w:val="28"/>
                <w:szCs w:val="28"/>
                <w:lang w:eastAsia="es-ES"/>
              </w:rPr>
              <w:t>Calidad de vida en personas con discapacidad intelectual en entornos de formación y empleo protegido</w:t>
            </w:r>
          </w:p>
        </w:tc>
      </w:tr>
      <w:tr w:rsidR="00954B58" w:rsidRPr="005E1103" w:rsidTr="00954B58">
        <w:trPr>
          <w:trHeight w:val="315"/>
          <w:jc w:val="center"/>
        </w:trPr>
        <w:tc>
          <w:tcPr>
            <w:tcW w:w="636" w:type="dxa"/>
            <w:shd w:val="clear" w:color="auto" w:fill="C00000"/>
            <w:vAlign w:val="center"/>
          </w:tcPr>
          <w:p w:rsidR="00954B58" w:rsidRPr="005E1103" w:rsidRDefault="00954B58" w:rsidP="00954B58">
            <w:pPr>
              <w:spacing w:after="0" w:line="240" w:lineRule="auto"/>
              <w:rPr>
                <w:rFonts w:eastAsia="Times New Roman" w:cstheme="minorHAnsi"/>
                <w:b/>
                <w:bCs/>
                <w:sz w:val="28"/>
                <w:szCs w:val="28"/>
                <w:lang w:eastAsia="es-ES"/>
              </w:rPr>
            </w:pPr>
            <w:r w:rsidRPr="005E1103">
              <w:rPr>
                <w:rFonts w:eastAsia="Times New Roman" w:cstheme="minorHAnsi"/>
                <w:b/>
                <w:bCs/>
                <w:sz w:val="28"/>
                <w:szCs w:val="28"/>
                <w:lang w:eastAsia="es-ES"/>
              </w:rPr>
              <w:t>6</w:t>
            </w:r>
          </w:p>
        </w:tc>
        <w:tc>
          <w:tcPr>
            <w:tcW w:w="1728" w:type="dxa"/>
            <w:shd w:val="clear" w:color="auto" w:fill="C00000"/>
            <w:noWrap/>
            <w:vAlign w:val="center"/>
          </w:tcPr>
          <w:p w:rsidR="00954B58" w:rsidRPr="005E1103" w:rsidRDefault="00954B58" w:rsidP="00954B58">
            <w:pPr>
              <w:spacing w:after="0" w:line="240" w:lineRule="auto"/>
              <w:jc w:val="both"/>
              <w:rPr>
                <w:rFonts w:eastAsia="Times New Roman" w:cstheme="minorHAnsi"/>
                <w:b/>
                <w:bCs/>
                <w:sz w:val="28"/>
                <w:szCs w:val="28"/>
                <w:lang w:eastAsia="es-ES"/>
              </w:rPr>
            </w:pPr>
            <w:r w:rsidRPr="005E1103">
              <w:rPr>
                <w:rFonts w:eastAsia="Times New Roman" w:cstheme="minorHAnsi"/>
                <w:b/>
                <w:bCs/>
                <w:sz w:val="28"/>
                <w:szCs w:val="28"/>
                <w:lang w:eastAsia="es-ES"/>
              </w:rPr>
              <w:t>Pablo Anglada</w:t>
            </w:r>
          </w:p>
          <w:p w:rsidR="00954B58" w:rsidRPr="005E1103" w:rsidRDefault="00954B58" w:rsidP="00954B58">
            <w:pPr>
              <w:spacing w:after="0" w:line="240" w:lineRule="auto"/>
              <w:jc w:val="both"/>
              <w:rPr>
                <w:rFonts w:eastAsia="Times New Roman" w:cstheme="minorHAnsi"/>
                <w:b/>
                <w:bCs/>
                <w:sz w:val="28"/>
                <w:szCs w:val="28"/>
                <w:lang w:eastAsia="es-ES"/>
              </w:rPr>
            </w:pPr>
            <w:r w:rsidRPr="005E1103">
              <w:rPr>
                <w:rFonts w:eastAsia="Times New Roman" w:cstheme="minorHAnsi"/>
                <w:b/>
                <w:bCs/>
                <w:sz w:val="28"/>
                <w:szCs w:val="28"/>
                <w:lang w:eastAsia="es-ES"/>
              </w:rPr>
              <w:t>José Luis Aguilera, Adela Rodriguez Quesada</w:t>
            </w:r>
          </w:p>
          <w:p w:rsidR="00954B58" w:rsidRPr="005E1103" w:rsidRDefault="00954B58" w:rsidP="00954B58">
            <w:pPr>
              <w:spacing w:after="0" w:line="240" w:lineRule="auto"/>
              <w:jc w:val="both"/>
              <w:rPr>
                <w:rFonts w:eastAsia="Times New Roman" w:cstheme="minorHAnsi"/>
                <w:b/>
                <w:bCs/>
                <w:sz w:val="28"/>
                <w:szCs w:val="28"/>
                <w:lang w:eastAsia="es-ES"/>
              </w:rPr>
            </w:pPr>
            <w:r w:rsidRPr="005E1103">
              <w:rPr>
                <w:rFonts w:eastAsia="Times New Roman" w:cstheme="minorHAnsi"/>
                <w:b/>
                <w:bCs/>
                <w:sz w:val="28"/>
                <w:szCs w:val="28"/>
                <w:lang w:eastAsia="es-ES"/>
              </w:rPr>
              <w:t>Francisco Mendoza</w:t>
            </w:r>
          </w:p>
        </w:tc>
        <w:tc>
          <w:tcPr>
            <w:tcW w:w="2831" w:type="dxa"/>
            <w:shd w:val="clear" w:color="auto" w:fill="BFBFBF" w:themeFill="background1" w:themeFillShade="BF"/>
            <w:noWrap/>
            <w:vAlign w:val="center"/>
          </w:tcPr>
          <w:p w:rsidR="00954B58" w:rsidRPr="005E1103" w:rsidRDefault="00954B58" w:rsidP="00954B58">
            <w:pPr>
              <w:spacing w:after="0" w:line="240" w:lineRule="auto"/>
              <w:jc w:val="both"/>
              <w:rPr>
                <w:rFonts w:eastAsia="Times New Roman" w:cstheme="minorHAnsi"/>
                <w:b/>
                <w:sz w:val="28"/>
                <w:szCs w:val="28"/>
                <w:lang w:eastAsia="es-ES"/>
              </w:rPr>
            </w:pPr>
            <w:r w:rsidRPr="005E1103">
              <w:rPr>
                <w:rFonts w:eastAsia="Times New Roman" w:cstheme="minorHAnsi"/>
                <w:b/>
                <w:sz w:val="28"/>
                <w:szCs w:val="28"/>
                <w:lang w:eastAsia="es-ES"/>
              </w:rPr>
              <w:t>Universidad Autónoma de Madrid</w:t>
            </w:r>
          </w:p>
        </w:tc>
        <w:tc>
          <w:tcPr>
            <w:tcW w:w="3728" w:type="dxa"/>
            <w:shd w:val="clear" w:color="auto" w:fill="BFBFBF" w:themeFill="background1" w:themeFillShade="BF"/>
            <w:noWrap/>
            <w:vAlign w:val="center"/>
          </w:tcPr>
          <w:p w:rsidR="00954B58" w:rsidRPr="005E1103" w:rsidRDefault="00954B58" w:rsidP="00954B58">
            <w:pPr>
              <w:spacing w:line="240" w:lineRule="auto"/>
              <w:jc w:val="both"/>
              <w:rPr>
                <w:rFonts w:cstheme="minorHAnsi"/>
                <w:sz w:val="28"/>
                <w:szCs w:val="28"/>
              </w:rPr>
            </w:pPr>
            <w:r w:rsidRPr="005E1103">
              <w:rPr>
                <w:rFonts w:cstheme="minorHAnsi"/>
                <w:sz w:val="28"/>
                <w:szCs w:val="28"/>
                <w:lang w:val="es-ES_tradnl"/>
              </w:rPr>
              <w:t>Percepción de Adquisición de Competencias genéricas de estudiantes universitarios con discapacidad en las universidades españolas</w:t>
            </w:r>
          </w:p>
        </w:tc>
      </w:tr>
      <w:tr w:rsidR="00954B58" w:rsidRPr="005E1103" w:rsidTr="00954B58">
        <w:trPr>
          <w:trHeight w:val="315"/>
          <w:jc w:val="center"/>
        </w:trPr>
        <w:tc>
          <w:tcPr>
            <w:tcW w:w="636" w:type="dxa"/>
            <w:shd w:val="clear" w:color="auto" w:fill="C00000"/>
            <w:vAlign w:val="center"/>
          </w:tcPr>
          <w:p w:rsidR="00954B58" w:rsidRPr="005E1103" w:rsidRDefault="00954B58" w:rsidP="00954B58">
            <w:pPr>
              <w:spacing w:after="0" w:line="240" w:lineRule="auto"/>
              <w:rPr>
                <w:rFonts w:eastAsia="Times New Roman" w:cstheme="minorHAnsi"/>
                <w:b/>
                <w:bCs/>
                <w:sz w:val="28"/>
                <w:szCs w:val="28"/>
                <w:lang w:eastAsia="es-ES"/>
              </w:rPr>
            </w:pPr>
            <w:r w:rsidRPr="005E1103">
              <w:rPr>
                <w:rFonts w:eastAsia="Times New Roman" w:cstheme="minorHAnsi"/>
                <w:b/>
                <w:bCs/>
                <w:sz w:val="28"/>
                <w:szCs w:val="28"/>
                <w:lang w:eastAsia="es-ES"/>
              </w:rPr>
              <w:t>7</w:t>
            </w:r>
          </w:p>
        </w:tc>
        <w:tc>
          <w:tcPr>
            <w:tcW w:w="1728" w:type="dxa"/>
            <w:shd w:val="clear" w:color="auto" w:fill="C00000"/>
            <w:noWrap/>
            <w:vAlign w:val="center"/>
          </w:tcPr>
          <w:p w:rsidR="00954B58" w:rsidRPr="005E1103" w:rsidRDefault="00954B58" w:rsidP="00954B58">
            <w:pPr>
              <w:spacing w:after="0" w:line="240" w:lineRule="auto"/>
              <w:jc w:val="both"/>
              <w:rPr>
                <w:rFonts w:eastAsia="Times New Roman" w:cstheme="minorHAnsi"/>
                <w:b/>
                <w:bCs/>
                <w:sz w:val="28"/>
                <w:szCs w:val="28"/>
                <w:lang w:eastAsia="es-ES"/>
              </w:rPr>
            </w:pPr>
            <w:r w:rsidRPr="005E1103">
              <w:rPr>
                <w:rFonts w:eastAsia="Times New Roman" w:cstheme="minorHAnsi"/>
                <w:b/>
                <w:bCs/>
                <w:sz w:val="28"/>
                <w:szCs w:val="28"/>
                <w:lang w:eastAsia="es-ES"/>
              </w:rPr>
              <w:t>Ana Berásategui Pedro-Viejo</w:t>
            </w:r>
          </w:p>
        </w:tc>
        <w:tc>
          <w:tcPr>
            <w:tcW w:w="2831" w:type="dxa"/>
            <w:shd w:val="clear" w:color="auto" w:fill="BFBFBF" w:themeFill="background1" w:themeFillShade="BF"/>
            <w:noWrap/>
            <w:vAlign w:val="center"/>
          </w:tcPr>
          <w:p w:rsidR="00954B58" w:rsidRPr="005E1103" w:rsidRDefault="00954B58" w:rsidP="00954B58">
            <w:pPr>
              <w:spacing w:after="0" w:line="240" w:lineRule="auto"/>
              <w:jc w:val="both"/>
              <w:rPr>
                <w:rFonts w:eastAsia="Times New Roman" w:cstheme="minorHAnsi"/>
                <w:b/>
                <w:sz w:val="28"/>
                <w:szCs w:val="28"/>
                <w:lang w:eastAsia="es-ES"/>
              </w:rPr>
            </w:pPr>
            <w:r w:rsidRPr="005E1103">
              <w:rPr>
                <w:rFonts w:eastAsia="Times New Roman" w:cstheme="minorHAnsi"/>
                <w:b/>
                <w:sz w:val="28"/>
                <w:szCs w:val="28"/>
                <w:lang w:eastAsia="es-ES"/>
              </w:rPr>
              <w:t>Universidad Pontificia de Comillas</w:t>
            </w:r>
          </w:p>
        </w:tc>
        <w:tc>
          <w:tcPr>
            <w:tcW w:w="3728" w:type="dxa"/>
            <w:shd w:val="clear" w:color="auto" w:fill="BFBFBF" w:themeFill="background1" w:themeFillShade="BF"/>
            <w:noWrap/>
            <w:vAlign w:val="center"/>
          </w:tcPr>
          <w:p w:rsidR="00954B58" w:rsidRPr="005E1103" w:rsidRDefault="00954B58" w:rsidP="00954B58">
            <w:pPr>
              <w:spacing w:after="0" w:line="240" w:lineRule="auto"/>
              <w:jc w:val="both"/>
              <w:rPr>
                <w:rFonts w:eastAsia="Times New Roman" w:cstheme="minorHAnsi"/>
                <w:sz w:val="28"/>
                <w:szCs w:val="28"/>
                <w:lang w:eastAsia="es-ES"/>
              </w:rPr>
            </w:pPr>
            <w:r w:rsidRPr="005E1103">
              <w:rPr>
                <w:rFonts w:eastAsia="Times New Roman" w:cstheme="minorHAnsi"/>
                <w:sz w:val="28"/>
                <w:szCs w:val="28"/>
                <w:lang w:eastAsia="es-ES"/>
              </w:rPr>
              <w:t>La participación en la Universidad como promotor de la inclusión social de los jovenes con discapacidad intelectual</w:t>
            </w:r>
          </w:p>
        </w:tc>
      </w:tr>
      <w:tr w:rsidR="00954B58" w:rsidRPr="005E1103" w:rsidTr="00954B58">
        <w:trPr>
          <w:trHeight w:val="315"/>
          <w:jc w:val="center"/>
        </w:trPr>
        <w:tc>
          <w:tcPr>
            <w:tcW w:w="636" w:type="dxa"/>
            <w:shd w:val="clear" w:color="auto" w:fill="C00000"/>
            <w:vAlign w:val="center"/>
          </w:tcPr>
          <w:p w:rsidR="00954B58" w:rsidRPr="005E1103" w:rsidRDefault="00954B58" w:rsidP="00954B58">
            <w:pPr>
              <w:spacing w:after="0" w:line="240" w:lineRule="auto"/>
              <w:rPr>
                <w:rFonts w:eastAsia="Times New Roman" w:cstheme="minorHAnsi"/>
                <w:b/>
                <w:bCs/>
                <w:sz w:val="28"/>
                <w:szCs w:val="28"/>
                <w:lang w:eastAsia="es-ES"/>
              </w:rPr>
            </w:pPr>
            <w:r w:rsidRPr="005E1103">
              <w:rPr>
                <w:rFonts w:eastAsia="Times New Roman" w:cstheme="minorHAnsi"/>
                <w:b/>
                <w:bCs/>
                <w:sz w:val="28"/>
                <w:szCs w:val="28"/>
                <w:lang w:eastAsia="es-ES"/>
              </w:rPr>
              <w:t>8</w:t>
            </w:r>
          </w:p>
        </w:tc>
        <w:tc>
          <w:tcPr>
            <w:tcW w:w="1728" w:type="dxa"/>
            <w:shd w:val="clear" w:color="auto" w:fill="C00000"/>
            <w:noWrap/>
            <w:vAlign w:val="center"/>
          </w:tcPr>
          <w:p w:rsidR="00954B58" w:rsidRPr="005E1103" w:rsidRDefault="00954B58" w:rsidP="00954B58">
            <w:pPr>
              <w:spacing w:after="0" w:line="240" w:lineRule="auto"/>
              <w:jc w:val="both"/>
              <w:rPr>
                <w:rFonts w:eastAsia="Times New Roman" w:cstheme="minorHAnsi"/>
                <w:b/>
                <w:bCs/>
                <w:sz w:val="28"/>
                <w:szCs w:val="28"/>
                <w:lang w:eastAsia="es-ES"/>
              </w:rPr>
            </w:pPr>
            <w:r w:rsidRPr="005E1103">
              <w:rPr>
                <w:rFonts w:eastAsia="Times New Roman" w:cstheme="minorHAnsi"/>
                <w:b/>
                <w:bCs/>
                <w:sz w:val="28"/>
                <w:szCs w:val="28"/>
                <w:lang w:eastAsia="es-ES"/>
              </w:rPr>
              <w:t>Pilar Sanchez López</w:t>
            </w:r>
          </w:p>
        </w:tc>
        <w:tc>
          <w:tcPr>
            <w:tcW w:w="2831" w:type="dxa"/>
            <w:shd w:val="clear" w:color="auto" w:fill="BFBFBF" w:themeFill="background1" w:themeFillShade="BF"/>
            <w:noWrap/>
            <w:vAlign w:val="center"/>
          </w:tcPr>
          <w:p w:rsidR="00954B58" w:rsidRPr="005E1103" w:rsidRDefault="00954B58" w:rsidP="00954B58">
            <w:pPr>
              <w:spacing w:after="0" w:line="240" w:lineRule="auto"/>
              <w:jc w:val="both"/>
              <w:rPr>
                <w:rFonts w:eastAsia="Times New Roman" w:cstheme="minorHAnsi"/>
                <w:b/>
                <w:sz w:val="28"/>
                <w:szCs w:val="28"/>
                <w:lang w:eastAsia="es-ES"/>
              </w:rPr>
            </w:pPr>
            <w:r w:rsidRPr="005E1103">
              <w:rPr>
                <w:rFonts w:eastAsia="Times New Roman" w:cstheme="minorHAnsi"/>
                <w:b/>
                <w:sz w:val="28"/>
                <w:szCs w:val="28"/>
                <w:lang w:eastAsia="es-ES"/>
              </w:rPr>
              <w:t>Universidad de Almería</w:t>
            </w:r>
          </w:p>
        </w:tc>
        <w:tc>
          <w:tcPr>
            <w:tcW w:w="3728" w:type="dxa"/>
            <w:shd w:val="clear" w:color="auto" w:fill="BFBFBF" w:themeFill="background1" w:themeFillShade="BF"/>
            <w:noWrap/>
            <w:vAlign w:val="center"/>
          </w:tcPr>
          <w:p w:rsidR="00954B58" w:rsidRPr="005E1103" w:rsidRDefault="00954B58" w:rsidP="00954B58">
            <w:pPr>
              <w:spacing w:after="0" w:line="240" w:lineRule="auto"/>
              <w:jc w:val="both"/>
              <w:rPr>
                <w:rFonts w:eastAsia="Times New Roman" w:cstheme="minorHAnsi"/>
                <w:sz w:val="28"/>
                <w:szCs w:val="28"/>
                <w:lang w:eastAsia="es-ES"/>
              </w:rPr>
            </w:pPr>
            <w:r w:rsidRPr="005E1103">
              <w:rPr>
                <w:rFonts w:eastAsia="Times New Roman" w:cstheme="minorHAnsi"/>
                <w:sz w:val="28"/>
                <w:szCs w:val="28"/>
                <w:lang w:eastAsia="es-ES"/>
              </w:rPr>
              <w:t>Las personas con discapacidad intelectual en la universidad: El programa UAL a Toda Vela:Un programa de Educación Continua, autonomía personal y capacitación para la inclusión laboral.</w:t>
            </w:r>
          </w:p>
        </w:tc>
      </w:tr>
      <w:tr w:rsidR="00954B58" w:rsidRPr="005E1103" w:rsidTr="00954B58">
        <w:trPr>
          <w:trHeight w:val="315"/>
          <w:jc w:val="center"/>
        </w:trPr>
        <w:tc>
          <w:tcPr>
            <w:tcW w:w="636" w:type="dxa"/>
            <w:shd w:val="clear" w:color="auto" w:fill="C00000"/>
            <w:vAlign w:val="center"/>
          </w:tcPr>
          <w:p w:rsidR="00954B58" w:rsidRPr="005E1103" w:rsidRDefault="00954B58" w:rsidP="00954B58">
            <w:pPr>
              <w:spacing w:after="0" w:line="240" w:lineRule="auto"/>
              <w:rPr>
                <w:rFonts w:eastAsia="Times New Roman" w:cstheme="minorHAnsi"/>
                <w:b/>
                <w:bCs/>
                <w:sz w:val="28"/>
                <w:szCs w:val="28"/>
                <w:lang w:eastAsia="es-ES"/>
              </w:rPr>
            </w:pPr>
            <w:r w:rsidRPr="005E1103">
              <w:rPr>
                <w:rFonts w:eastAsia="Times New Roman" w:cstheme="minorHAnsi"/>
                <w:b/>
                <w:bCs/>
                <w:sz w:val="28"/>
                <w:szCs w:val="28"/>
                <w:lang w:eastAsia="es-ES"/>
              </w:rPr>
              <w:t>9</w:t>
            </w:r>
          </w:p>
        </w:tc>
        <w:tc>
          <w:tcPr>
            <w:tcW w:w="1728" w:type="dxa"/>
            <w:shd w:val="clear" w:color="auto" w:fill="C00000"/>
            <w:noWrap/>
            <w:vAlign w:val="center"/>
          </w:tcPr>
          <w:p w:rsidR="00954B58" w:rsidRPr="005E1103" w:rsidRDefault="00954B58" w:rsidP="00954B58">
            <w:pPr>
              <w:spacing w:after="0" w:line="240" w:lineRule="auto"/>
              <w:jc w:val="both"/>
              <w:rPr>
                <w:rFonts w:eastAsia="Times New Roman" w:cstheme="minorHAnsi"/>
                <w:b/>
                <w:bCs/>
                <w:sz w:val="28"/>
                <w:szCs w:val="28"/>
                <w:lang w:eastAsia="es-ES"/>
              </w:rPr>
            </w:pPr>
            <w:r w:rsidRPr="005E1103">
              <w:rPr>
                <w:rFonts w:eastAsia="Times New Roman" w:cstheme="minorHAnsi"/>
                <w:b/>
                <w:bCs/>
                <w:sz w:val="28"/>
                <w:szCs w:val="28"/>
                <w:lang w:eastAsia="es-ES"/>
              </w:rPr>
              <w:t>Marisa Shocrón</w:t>
            </w:r>
          </w:p>
        </w:tc>
        <w:tc>
          <w:tcPr>
            <w:tcW w:w="2831" w:type="dxa"/>
            <w:shd w:val="clear" w:color="auto" w:fill="BFBFBF" w:themeFill="background1" w:themeFillShade="BF"/>
            <w:noWrap/>
            <w:vAlign w:val="center"/>
          </w:tcPr>
          <w:p w:rsidR="00954B58" w:rsidRPr="005E1103" w:rsidRDefault="00954B58" w:rsidP="00954B58">
            <w:pPr>
              <w:spacing w:after="0" w:line="240" w:lineRule="auto"/>
              <w:jc w:val="both"/>
              <w:rPr>
                <w:rFonts w:eastAsia="Times New Roman" w:cstheme="minorHAnsi"/>
                <w:b/>
                <w:sz w:val="28"/>
                <w:szCs w:val="28"/>
                <w:lang w:eastAsia="es-ES"/>
              </w:rPr>
            </w:pPr>
            <w:r w:rsidRPr="005E1103">
              <w:rPr>
                <w:rFonts w:eastAsia="Times New Roman" w:cstheme="minorHAnsi"/>
                <w:b/>
                <w:sz w:val="28"/>
                <w:szCs w:val="28"/>
                <w:lang w:eastAsia="es-ES"/>
              </w:rPr>
              <w:t>Universidad Argentina de la Empresa</w:t>
            </w:r>
          </w:p>
        </w:tc>
        <w:tc>
          <w:tcPr>
            <w:tcW w:w="3728" w:type="dxa"/>
            <w:shd w:val="clear" w:color="auto" w:fill="BFBFBF" w:themeFill="background1" w:themeFillShade="BF"/>
            <w:noWrap/>
            <w:vAlign w:val="center"/>
          </w:tcPr>
          <w:p w:rsidR="00954B58" w:rsidRPr="005E1103" w:rsidRDefault="00954B58" w:rsidP="00954B58">
            <w:pPr>
              <w:spacing w:after="0" w:line="240" w:lineRule="auto"/>
              <w:jc w:val="both"/>
              <w:rPr>
                <w:rFonts w:eastAsia="Times New Roman" w:cstheme="minorHAnsi"/>
                <w:sz w:val="28"/>
                <w:szCs w:val="28"/>
                <w:lang w:eastAsia="es-ES"/>
              </w:rPr>
            </w:pPr>
            <w:r w:rsidRPr="005E1103">
              <w:rPr>
                <w:rFonts w:eastAsia="Times New Roman" w:cstheme="minorHAnsi"/>
                <w:sz w:val="28"/>
                <w:szCs w:val="28"/>
                <w:lang w:eastAsia="es-ES"/>
              </w:rPr>
              <w:t>La inclusión de las personas con discapacidad intelectual en el mercado laboral ordinario por medio del programa de empleo con apoyo en Argentina</w:t>
            </w:r>
          </w:p>
        </w:tc>
      </w:tr>
      <w:tr w:rsidR="00954B58" w:rsidRPr="005E1103" w:rsidTr="00954B58">
        <w:trPr>
          <w:trHeight w:val="315"/>
          <w:jc w:val="center"/>
        </w:trPr>
        <w:tc>
          <w:tcPr>
            <w:tcW w:w="636" w:type="dxa"/>
            <w:shd w:val="clear" w:color="auto" w:fill="C00000"/>
            <w:vAlign w:val="center"/>
          </w:tcPr>
          <w:p w:rsidR="00954B58" w:rsidRPr="005E1103" w:rsidRDefault="00954B58" w:rsidP="00954B58">
            <w:pPr>
              <w:spacing w:after="0" w:line="240" w:lineRule="auto"/>
              <w:rPr>
                <w:rFonts w:eastAsia="Times New Roman" w:cstheme="minorHAnsi"/>
                <w:b/>
                <w:bCs/>
                <w:sz w:val="28"/>
                <w:szCs w:val="28"/>
                <w:lang w:eastAsia="es-ES"/>
              </w:rPr>
            </w:pPr>
            <w:r w:rsidRPr="005E1103">
              <w:rPr>
                <w:rFonts w:eastAsia="Times New Roman" w:cstheme="minorHAnsi"/>
                <w:b/>
                <w:bCs/>
                <w:sz w:val="28"/>
                <w:szCs w:val="28"/>
                <w:lang w:eastAsia="es-ES"/>
              </w:rPr>
              <w:lastRenderedPageBreak/>
              <w:t>10</w:t>
            </w:r>
          </w:p>
        </w:tc>
        <w:tc>
          <w:tcPr>
            <w:tcW w:w="1728" w:type="dxa"/>
            <w:shd w:val="clear" w:color="auto" w:fill="C00000"/>
            <w:noWrap/>
            <w:vAlign w:val="center"/>
          </w:tcPr>
          <w:p w:rsidR="00954B58" w:rsidRPr="005E1103" w:rsidRDefault="00954B58" w:rsidP="00954B58">
            <w:pPr>
              <w:spacing w:after="0" w:line="240" w:lineRule="auto"/>
              <w:jc w:val="both"/>
              <w:rPr>
                <w:rFonts w:eastAsia="Times New Roman" w:cstheme="minorHAnsi"/>
                <w:b/>
                <w:bCs/>
                <w:sz w:val="28"/>
                <w:szCs w:val="28"/>
                <w:lang w:eastAsia="es-ES"/>
              </w:rPr>
            </w:pPr>
            <w:r w:rsidRPr="005E1103">
              <w:rPr>
                <w:rFonts w:eastAsia="Times New Roman" w:cstheme="minorHAnsi"/>
                <w:b/>
                <w:bCs/>
                <w:sz w:val="28"/>
                <w:szCs w:val="28"/>
                <w:lang w:eastAsia="es-ES"/>
              </w:rPr>
              <w:t>Almudena Bermejo , Dale Sindell, Fernando Alfageme</w:t>
            </w:r>
          </w:p>
        </w:tc>
        <w:tc>
          <w:tcPr>
            <w:tcW w:w="2831" w:type="dxa"/>
            <w:shd w:val="clear" w:color="auto" w:fill="BFBFBF" w:themeFill="background1" w:themeFillShade="BF"/>
            <w:noWrap/>
            <w:vAlign w:val="center"/>
          </w:tcPr>
          <w:p w:rsidR="00954B58" w:rsidRPr="005E1103" w:rsidRDefault="00954B58" w:rsidP="00954B58">
            <w:pPr>
              <w:spacing w:after="0" w:line="240" w:lineRule="auto"/>
              <w:jc w:val="both"/>
              <w:rPr>
                <w:rFonts w:eastAsia="Times New Roman" w:cstheme="minorHAnsi"/>
                <w:b/>
                <w:sz w:val="28"/>
                <w:szCs w:val="28"/>
                <w:lang w:eastAsia="es-ES"/>
              </w:rPr>
            </w:pPr>
            <w:r w:rsidRPr="005E1103">
              <w:rPr>
                <w:rFonts w:eastAsia="Times New Roman" w:cstheme="minorHAnsi"/>
                <w:b/>
                <w:sz w:val="28"/>
                <w:szCs w:val="28"/>
                <w:lang w:eastAsia="es-ES"/>
              </w:rPr>
              <w:t>Universidad Autónoma de Madrid</w:t>
            </w:r>
          </w:p>
        </w:tc>
        <w:tc>
          <w:tcPr>
            <w:tcW w:w="3728" w:type="dxa"/>
            <w:shd w:val="clear" w:color="auto" w:fill="BFBFBF" w:themeFill="background1" w:themeFillShade="BF"/>
            <w:noWrap/>
            <w:vAlign w:val="center"/>
          </w:tcPr>
          <w:p w:rsidR="00954B58" w:rsidRPr="005E1103" w:rsidRDefault="00954B58" w:rsidP="00954B58">
            <w:pPr>
              <w:spacing w:after="0" w:line="240" w:lineRule="auto"/>
              <w:jc w:val="both"/>
              <w:rPr>
                <w:rFonts w:eastAsia="Times New Roman" w:cstheme="minorHAnsi"/>
                <w:sz w:val="28"/>
                <w:szCs w:val="28"/>
                <w:lang w:eastAsia="es-ES"/>
              </w:rPr>
            </w:pPr>
            <w:r w:rsidRPr="005E1103">
              <w:rPr>
                <w:rFonts w:eastAsia="Times New Roman" w:cstheme="minorHAnsi"/>
                <w:sz w:val="28"/>
                <w:szCs w:val="28"/>
                <w:lang w:eastAsia="es-ES"/>
              </w:rPr>
              <w:t>Aumento de empleabilidad de personas con discapacidad auditiva -con Implantes cocleares o audífonos- mediante aprendizaje de inglés,  a través de universitarios americanos</w:t>
            </w:r>
          </w:p>
        </w:tc>
      </w:tr>
    </w:tbl>
    <w:p w:rsidR="00954B58" w:rsidRPr="005E1103" w:rsidRDefault="00954B58" w:rsidP="00954B58">
      <w:pPr>
        <w:tabs>
          <w:tab w:val="left" w:pos="6960"/>
        </w:tabs>
        <w:rPr>
          <w:rFonts w:eastAsia="Times New Roman" w:cstheme="minorHAnsi"/>
          <w:sz w:val="28"/>
          <w:szCs w:val="28"/>
          <w:lang w:eastAsia="es-CO"/>
        </w:rPr>
      </w:pPr>
    </w:p>
    <w:p w:rsidR="00954B58" w:rsidRPr="005E1103" w:rsidRDefault="00954B58">
      <w:pPr>
        <w:rPr>
          <w:rFonts w:eastAsia="Times New Roman" w:cstheme="minorHAnsi"/>
          <w:sz w:val="28"/>
          <w:szCs w:val="28"/>
          <w:lang w:eastAsia="es-CO"/>
        </w:rPr>
      </w:pPr>
      <w:r w:rsidRPr="005E1103">
        <w:rPr>
          <w:rFonts w:eastAsia="Times New Roman" w:cstheme="minorHAnsi"/>
          <w:sz w:val="28"/>
          <w:szCs w:val="28"/>
          <w:lang w:eastAsia="es-CO"/>
        </w:rPr>
        <w:br w:type="page"/>
      </w:r>
    </w:p>
    <w:p w:rsidR="00954B58" w:rsidRPr="005E1103" w:rsidRDefault="00954B58" w:rsidP="00954B58">
      <w:pPr>
        <w:jc w:val="center"/>
        <w:rPr>
          <w:rFonts w:cstheme="minorHAnsi"/>
          <w:b/>
          <w:sz w:val="28"/>
          <w:szCs w:val="28"/>
        </w:rPr>
      </w:pPr>
      <w:r w:rsidRPr="005E1103">
        <w:rPr>
          <w:rFonts w:cstheme="minorHAnsi"/>
          <w:b/>
          <w:sz w:val="28"/>
          <w:szCs w:val="28"/>
        </w:rPr>
        <w:lastRenderedPageBreak/>
        <w:t>COMUNICACIÓN 1</w:t>
      </w:r>
    </w:p>
    <w:p w:rsidR="00954B58" w:rsidRPr="005E1103" w:rsidRDefault="00954B58" w:rsidP="00954B58">
      <w:pPr>
        <w:spacing w:line="360" w:lineRule="auto"/>
        <w:rPr>
          <w:rFonts w:cstheme="minorHAnsi"/>
          <w:sz w:val="28"/>
          <w:szCs w:val="28"/>
        </w:rPr>
      </w:pPr>
    </w:p>
    <w:p w:rsidR="00954B58" w:rsidRPr="005E1103" w:rsidRDefault="00954B58" w:rsidP="00954B58">
      <w:pPr>
        <w:pBdr>
          <w:top w:val="single" w:sz="4" w:space="1" w:color="auto"/>
          <w:left w:val="single" w:sz="4" w:space="4" w:color="auto"/>
          <w:bottom w:val="single" w:sz="4" w:space="1" w:color="auto"/>
          <w:right w:val="single" w:sz="4" w:space="4" w:color="auto"/>
        </w:pBdr>
        <w:jc w:val="center"/>
        <w:rPr>
          <w:rFonts w:cstheme="minorHAnsi"/>
          <w:b/>
          <w:sz w:val="28"/>
          <w:szCs w:val="28"/>
        </w:rPr>
      </w:pPr>
      <w:r w:rsidRPr="005E1103">
        <w:rPr>
          <w:rFonts w:cstheme="minorHAnsi"/>
          <w:b/>
          <w:sz w:val="28"/>
          <w:szCs w:val="28"/>
        </w:rPr>
        <w:t>PROACTIVIDAD Y SENSIBILIZACIÓN: GESTIONAR NUESTRO PROPIO TALENTO</w:t>
      </w:r>
    </w:p>
    <w:p w:rsidR="00954B58" w:rsidRPr="005E1103" w:rsidRDefault="00954B58" w:rsidP="00954B58">
      <w:pPr>
        <w:jc w:val="right"/>
        <w:rPr>
          <w:rFonts w:cstheme="minorHAnsi"/>
          <w:sz w:val="28"/>
          <w:szCs w:val="28"/>
        </w:rPr>
      </w:pPr>
      <w:r w:rsidRPr="005E1103">
        <w:rPr>
          <w:rFonts w:cstheme="minorHAnsi"/>
          <w:sz w:val="28"/>
          <w:szCs w:val="28"/>
        </w:rPr>
        <w:t>Esther Gallego Baeza</w:t>
      </w:r>
    </w:p>
    <w:p w:rsidR="00954B58" w:rsidRPr="005E1103" w:rsidRDefault="00954B58" w:rsidP="00954B58">
      <w:pPr>
        <w:jc w:val="right"/>
        <w:rPr>
          <w:rFonts w:cstheme="minorHAnsi"/>
          <w:sz w:val="28"/>
          <w:szCs w:val="28"/>
        </w:rPr>
      </w:pPr>
      <w:r w:rsidRPr="005E1103">
        <w:rPr>
          <w:rFonts w:cstheme="minorHAnsi"/>
          <w:sz w:val="28"/>
          <w:szCs w:val="28"/>
        </w:rPr>
        <w:t>Patricia Soler Javaloy</w:t>
      </w:r>
    </w:p>
    <w:p w:rsidR="00954B58" w:rsidRPr="005E1103" w:rsidRDefault="00954B58" w:rsidP="00954B58">
      <w:pPr>
        <w:jc w:val="right"/>
        <w:rPr>
          <w:rFonts w:cstheme="minorHAnsi"/>
          <w:sz w:val="28"/>
          <w:szCs w:val="28"/>
        </w:rPr>
      </w:pPr>
      <w:r w:rsidRPr="005E1103">
        <w:rPr>
          <w:rFonts w:cstheme="minorHAnsi"/>
          <w:sz w:val="28"/>
          <w:szCs w:val="28"/>
        </w:rPr>
        <w:t>Joaquina Murcia Rodríguez.</w:t>
      </w:r>
    </w:p>
    <w:p w:rsidR="00954B58" w:rsidRPr="005E1103" w:rsidRDefault="00954B58" w:rsidP="00954B58">
      <w:pPr>
        <w:jc w:val="right"/>
        <w:rPr>
          <w:rFonts w:cstheme="minorHAnsi"/>
          <w:sz w:val="28"/>
          <w:szCs w:val="28"/>
        </w:rPr>
      </w:pPr>
      <w:r w:rsidRPr="005E1103">
        <w:rPr>
          <w:rFonts w:cstheme="minorHAnsi"/>
          <w:sz w:val="28"/>
          <w:szCs w:val="28"/>
        </w:rPr>
        <w:t>Técnicos del Centro de Apoyo al Estudiante,</w:t>
      </w:r>
    </w:p>
    <w:p w:rsidR="00954B58" w:rsidRPr="005E1103" w:rsidRDefault="00954B58" w:rsidP="00954B58">
      <w:pPr>
        <w:jc w:val="right"/>
        <w:rPr>
          <w:rFonts w:cstheme="minorHAnsi"/>
          <w:sz w:val="28"/>
          <w:szCs w:val="28"/>
        </w:rPr>
      </w:pPr>
      <w:r w:rsidRPr="005E1103">
        <w:rPr>
          <w:rFonts w:cstheme="minorHAnsi"/>
          <w:sz w:val="28"/>
          <w:szCs w:val="28"/>
        </w:rPr>
        <w:t>Universidad de Alicante.</w:t>
      </w:r>
    </w:p>
    <w:p w:rsidR="00954B58" w:rsidRPr="005E1103" w:rsidRDefault="00954B58" w:rsidP="00954B58">
      <w:pPr>
        <w:jc w:val="right"/>
        <w:rPr>
          <w:rFonts w:cstheme="minorHAnsi"/>
          <w:b/>
          <w:sz w:val="28"/>
          <w:szCs w:val="28"/>
        </w:rPr>
      </w:pPr>
    </w:p>
    <w:p w:rsidR="00954B58" w:rsidRPr="005E1103" w:rsidRDefault="00954B58" w:rsidP="00954B58">
      <w:pPr>
        <w:jc w:val="both"/>
        <w:rPr>
          <w:rFonts w:cstheme="minorHAnsi"/>
          <w:b/>
          <w:sz w:val="28"/>
          <w:szCs w:val="28"/>
          <w:u w:val="single"/>
        </w:rPr>
      </w:pPr>
      <w:r w:rsidRPr="005E1103">
        <w:rPr>
          <w:rFonts w:cstheme="minorHAnsi"/>
          <w:b/>
          <w:sz w:val="28"/>
          <w:szCs w:val="28"/>
          <w:u w:val="single"/>
        </w:rPr>
        <w:t xml:space="preserve">Proactividad y sensibilización: Gestionar nuestro propio talento. </w:t>
      </w:r>
    </w:p>
    <w:p w:rsidR="00954B58" w:rsidRPr="005E1103" w:rsidRDefault="00954B58" w:rsidP="00954B58">
      <w:pPr>
        <w:jc w:val="both"/>
        <w:rPr>
          <w:rFonts w:cstheme="minorHAnsi"/>
          <w:sz w:val="28"/>
          <w:szCs w:val="28"/>
        </w:rPr>
      </w:pPr>
      <w:r w:rsidRPr="005E1103">
        <w:rPr>
          <w:rFonts w:cstheme="minorHAnsi"/>
          <w:sz w:val="28"/>
          <w:szCs w:val="28"/>
        </w:rPr>
        <w:t xml:space="preserve">La comunicación que vamos a presentar en las siguientes páginas se basa en una iniciativa del Programa de Orientación Laboral que el Centro de Apoyo al Estudiante lleva a cabo en la Universidad de Alicante. Consiste en incluir una línea de trabajo que profundice en las actividades que los propios estudiantes lleven a cabo a fin de mejorar sus competencias en la búsqueda de oportunidades. La nueva actividad radica en que los estudiantes definan, diseñen y ejecuten un plan de adaptación personal a un puesto de trabajo que ellos mismos escojan y que de éste modo en ese proceso mejoren su empleabilidad. </w:t>
      </w:r>
    </w:p>
    <w:p w:rsidR="00954B58" w:rsidRPr="005E1103" w:rsidRDefault="00954B58" w:rsidP="00954B58">
      <w:pPr>
        <w:jc w:val="both"/>
        <w:rPr>
          <w:rFonts w:cstheme="minorHAnsi"/>
          <w:sz w:val="28"/>
          <w:szCs w:val="28"/>
        </w:rPr>
      </w:pPr>
      <w:r w:rsidRPr="005E1103">
        <w:rPr>
          <w:rFonts w:cstheme="minorHAnsi"/>
          <w:sz w:val="28"/>
          <w:szCs w:val="28"/>
        </w:rPr>
        <w:t xml:space="preserve">Se trata de promover la proactividad de los estudiantes universitarios con discapacidad incluyendo nuevas acciones en el programa de Orientación Laboral y Profesional para estudiantes con discapacidad. Se va a plantear como si se tratara de un circuito de autoconocimiento y promoción donde el resultado inmediato no tiene porqué ser únicamente la contratación directa (que también) sino además y sobre todo trabajar la autonomía del estudiante. Vamos a ver cómo: </w:t>
      </w:r>
    </w:p>
    <w:p w:rsidR="00954B58" w:rsidRPr="005E1103" w:rsidRDefault="00954B58" w:rsidP="00954B58">
      <w:pPr>
        <w:jc w:val="both"/>
        <w:rPr>
          <w:rFonts w:cstheme="minorHAnsi"/>
          <w:sz w:val="28"/>
          <w:szCs w:val="28"/>
        </w:rPr>
      </w:pPr>
      <w:r w:rsidRPr="005E1103">
        <w:rPr>
          <w:rFonts w:cstheme="minorHAnsi"/>
          <w:sz w:val="28"/>
          <w:szCs w:val="28"/>
        </w:rPr>
        <w:t xml:space="preserve">El funcionamiento básico de la iniciativa radica en que  un grupo de estudiantes de últimos cursos y recién egresados que estén interesados en buscar trabajo activamente y que se involucren en dicho proceso de búsqueda escojan las empresas en las que les gustaría trabajar (sus empresas diana, donde quieren enfocar su objetivo profesional), un total </w:t>
      </w:r>
      <w:r w:rsidRPr="005E1103">
        <w:rPr>
          <w:rFonts w:cstheme="minorHAnsi"/>
          <w:sz w:val="28"/>
          <w:szCs w:val="28"/>
        </w:rPr>
        <w:lastRenderedPageBreak/>
        <w:t xml:space="preserve">de entre tres y cinco empresas por alumno es lo idóneo, pero se deja a elección del estudiante. Se va a trabajar con ellos el objetivo profesional y salidas profesionales adecuadas tanto a sus estudios como a su objetivo a fin de perfilar a qué empresas pueden dirigirse. Nos gustaría que escogieran empresas de nuestro entorno, pero en principio no va a haber límites en este sentido; han de enfocar su máximo objetivo, sea donde sea.  </w:t>
      </w:r>
    </w:p>
    <w:p w:rsidR="00954B58" w:rsidRPr="005E1103" w:rsidRDefault="00954B58" w:rsidP="00954B58">
      <w:pPr>
        <w:jc w:val="both"/>
        <w:rPr>
          <w:rFonts w:cstheme="minorHAnsi"/>
          <w:sz w:val="28"/>
          <w:szCs w:val="28"/>
        </w:rPr>
      </w:pPr>
      <w:r w:rsidRPr="005E1103">
        <w:rPr>
          <w:rFonts w:cstheme="minorHAnsi"/>
          <w:sz w:val="28"/>
          <w:szCs w:val="28"/>
        </w:rPr>
        <w:t xml:space="preserve">Una vez definido el punto de a qué empresas van a dirigirse, han de elaborar un plan estratégico de por qué esas empresa han de contratarles (pueden aludir a lo que consideren: motivación, rendimiento, idoneidad, legislación…..). Y a lo largo del desarrollo del curso académico se  trabaja en el plan con ayuda del Centro de Apoyo al Estudiante y otros servicios universitarios afines. Han de redactarlo y enfocarlo como si tuvieran la oportunidad de contarlo al responsable de contratación de esa empresa que ellos mismos han escogido. Para elaborar esos argumentos contarán con la participación de expertos que mediante la celebración de talleres ad hoc abordarán las cuestiones pertinentes a fin de amoldar las propuestas y trabajarlas en casos prácticos.  </w:t>
      </w:r>
    </w:p>
    <w:p w:rsidR="00954B58" w:rsidRPr="005E1103" w:rsidRDefault="00954B58" w:rsidP="00954B58">
      <w:pPr>
        <w:jc w:val="both"/>
        <w:rPr>
          <w:rFonts w:cstheme="minorHAnsi"/>
          <w:sz w:val="28"/>
          <w:szCs w:val="28"/>
        </w:rPr>
      </w:pPr>
    </w:p>
    <w:p w:rsidR="00954B58" w:rsidRPr="005E1103" w:rsidRDefault="00954B58" w:rsidP="00954B58">
      <w:pPr>
        <w:jc w:val="both"/>
        <w:rPr>
          <w:rFonts w:cstheme="minorHAnsi"/>
          <w:sz w:val="28"/>
          <w:szCs w:val="28"/>
        </w:rPr>
      </w:pPr>
      <w:r w:rsidRPr="005E1103">
        <w:rPr>
          <w:rFonts w:cstheme="minorHAnsi"/>
          <w:sz w:val="28"/>
          <w:szCs w:val="28"/>
        </w:rPr>
        <w:t xml:space="preserve">Al final del proceso (que coincide con el final del curso) las empresas son invitadas a escuchar los argumentos de los estudiantes, valorarán diferentes variables en la exposición y votarán cuál es el mejor proyecto. Para ello se invitará a las diferentes empresas que han escogido los estudiantes y se les propondrá que la universidad les invita a un participar en un proyecto de empleo sin compromiso ninguno de contratación; únicamente a que escuchen a los estudiantes y voten la propuesta que más les ha gustado (habrá tres categorías: adecuación al puesto, impacto e innovación). Para evitar que la empresa pueda influenciarse y votar al estudiante que le ha escogido, cada empresa vota pero sin incluir al estudiante que previamente les ha escogido a ellos, si bien puede comentar y valorar las aportaciones de los alumnos que les hayan escogido, incluso aludir a si les ofrecerían esa oportunidad. </w:t>
      </w:r>
    </w:p>
    <w:p w:rsidR="00954B58" w:rsidRPr="005E1103" w:rsidRDefault="00954B58" w:rsidP="00954B58">
      <w:pPr>
        <w:jc w:val="both"/>
        <w:rPr>
          <w:rFonts w:cstheme="minorHAnsi"/>
          <w:sz w:val="28"/>
          <w:szCs w:val="28"/>
        </w:rPr>
      </w:pPr>
      <w:r w:rsidRPr="005E1103">
        <w:rPr>
          <w:rFonts w:cstheme="minorHAnsi"/>
          <w:sz w:val="28"/>
          <w:szCs w:val="28"/>
        </w:rPr>
        <w:t xml:space="preserve">Como se aprecia: no hay compromiso de contratación palpable, se trata de un compromiso de participación y de una involucración plena en todo momento; se premiarán las propuestas ganadoras lo que supone un aliciente para la participación e involucración de los estudiantes.  </w:t>
      </w:r>
    </w:p>
    <w:p w:rsidR="00954B58" w:rsidRPr="005E1103" w:rsidRDefault="00954B58" w:rsidP="00954B58">
      <w:pPr>
        <w:jc w:val="both"/>
        <w:rPr>
          <w:rFonts w:cstheme="minorHAnsi"/>
          <w:sz w:val="28"/>
          <w:szCs w:val="28"/>
        </w:rPr>
      </w:pPr>
      <w:r w:rsidRPr="005E1103">
        <w:rPr>
          <w:rFonts w:cstheme="minorHAnsi"/>
          <w:sz w:val="28"/>
          <w:szCs w:val="28"/>
        </w:rPr>
        <w:lastRenderedPageBreak/>
        <w:t xml:space="preserve">Como habíamos adelantado, cada estudiante puede escoger entre dos y cinco empresas para elaborar su proyecto/s profesional/es. En la última fase podrán exponer entre uno y tres de los proyectos elaborados (a más proyectos presentados más posibilidades de lograr buenos resultados).  </w:t>
      </w:r>
    </w:p>
    <w:p w:rsidR="00954B58" w:rsidRPr="005E1103" w:rsidRDefault="00954B58" w:rsidP="00954B58">
      <w:pPr>
        <w:jc w:val="both"/>
        <w:rPr>
          <w:rFonts w:cstheme="minorHAnsi"/>
          <w:sz w:val="28"/>
          <w:szCs w:val="28"/>
        </w:rPr>
      </w:pPr>
      <w:r w:rsidRPr="005E1103">
        <w:rPr>
          <w:rFonts w:cstheme="minorHAnsi"/>
          <w:sz w:val="28"/>
          <w:szCs w:val="28"/>
        </w:rPr>
        <w:t>Las empresas serán asesoradas sobre el procedimiento para la votación de proyectos y el jurado estará compuesto por los responsables de selección de personal de las empresas escogidas por los alumnos (si les fuera imposible acudir se pactará con expertos en RR.HH. que quieran colaborar con la iniciativa); profesores del máster de RR.HH. de la Universidad de Alicante, miembros del Gabinete de Iniciativas para el Empleo (GIPE) de la Universidad de Alicante, también claro representantes del Centro de Apoyo al Estudiante y Vicerrectorado de Estudiantes</w:t>
      </w:r>
    </w:p>
    <w:p w:rsidR="00954B58" w:rsidRPr="005E1103" w:rsidRDefault="00954B58" w:rsidP="00954B58">
      <w:pPr>
        <w:jc w:val="both"/>
        <w:rPr>
          <w:rFonts w:cstheme="minorHAnsi"/>
          <w:sz w:val="28"/>
          <w:szCs w:val="28"/>
        </w:rPr>
      </w:pPr>
      <w:r w:rsidRPr="005E1103">
        <w:rPr>
          <w:rFonts w:cstheme="minorHAnsi"/>
          <w:sz w:val="28"/>
          <w:szCs w:val="28"/>
        </w:rPr>
        <w:t xml:space="preserve">Se ha valorado incentivar la participación del estudiante con la incorporación al proyecto de menciones especiales (además del diploma correspondiente por ganar el concurso –en la modalidad indicada- y de los certificados por la participación en los talleres vinculados). Se tratará por tanto de tres premios en función de tres categorías diferentes: 1.Mejor proyecto profesional (donde primará la adecuación al puesto) 2. Valorar Impacto (donde primará la originalidad) y 3.  Innovación profesional. Ello se ha formulado como un aliciente a la participación en el proyecto, desconocemos si realmente era preciso incluir este tipo de estímulo en este tipo de actividad, pero nos interesa fomentar una participación auténtica y enfocada a objetivos reales, donde los proyectos sean creíbles y bien trabajados, de modo que introducir una gratificación  no es descabellado; además no deja de ser una distinción que formará parte del currículum del participante.  </w:t>
      </w:r>
    </w:p>
    <w:p w:rsidR="00954B58" w:rsidRPr="005E1103" w:rsidRDefault="00954B58" w:rsidP="00954B58">
      <w:pPr>
        <w:jc w:val="both"/>
        <w:rPr>
          <w:rFonts w:cstheme="minorHAnsi"/>
          <w:sz w:val="28"/>
          <w:szCs w:val="28"/>
        </w:rPr>
      </w:pPr>
      <w:r w:rsidRPr="005E1103">
        <w:rPr>
          <w:rFonts w:cstheme="minorHAnsi"/>
          <w:sz w:val="28"/>
          <w:szCs w:val="28"/>
        </w:rPr>
        <w:t xml:space="preserve">Por otro lado se solicitará a las empresas si quieren ofrecer una bolsa al estudio a modo de ayuda a los estudiantes que les han escogido,  pero por supuesto siempre se tratará de un punto a decidir por la empresa; por lo tanto cuánto más detallada sea la presentación que el estudiante haga a la empresa mucho mejor en este sentido y así en caso de que la empresa decida realizar la ayuda tiene más detalles concretos para definir dicha ayuda. </w:t>
      </w:r>
    </w:p>
    <w:p w:rsidR="00954B58" w:rsidRPr="005E1103" w:rsidRDefault="00954B58" w:rsidP="00954B58">
      <w:pPr>
        <w:jc w:val="both"/>
        <w:rPr>
          <w:rFonts w:cstheme="minorHAnsi"/>
          <w:sz w:val="28"/>
          <w:szCs w:val="28"/>
        </w:rPr>
      </w:pPr>
      <w:r w:rsidRPr="005E1103">
        <w:rPr>
          <w:rFonts w:cstheme="minorHAnsi"/>
          <w:sz w:val="28"/>
          <w:szCs w:val="28"/>
        </w:rPr>
        <w:t>Aunque realmente las empresas desempeñarán su papel principal al final del proyecto, no sólo con la colaboración mencionada sino con la participación en la valoración de los mejores proyectos.</w:t>
      </w:r>
    </w:p>
    <w:p w:rsidR="00954B58" w:rsidRPr="005E1103" w:rsidRDefault="00954B58" w:rsidP="00954B58">
      <w:pPr>
        <w:jc w:val="both"/>
        <w:rPr>
          <w:rFonts w:cstheme="minorHAnsi"/>
          <w:sz w:val="28"/>
          <w:szCs w:val="28"/>
        </w:rPr>
      </w:pPr>
      <w:r w:rsidRPr="005E1103">
        <w:rPr>
          <w:rFonts w:cstheme="minorHAnsi"/>
          <w:sz w:val="28"/>
          <w:szCs w:val="28"/>
        </w:rPr>
        <w:lastRenderedPageBreak/>
        <w:t xml:space="preserve">Objetivos generales a lograr y resultados esperados. </w:t>
      </w:r>
    </w:p>
    <w:p w:rsidR="00954B58" w:rsidRPr="005E1103" w:rsidRDefault="00954B58" w:rsidP="00954B58">
      <w:pPr>
        <w:jc w:val="both"/>
        <w:rPr>
          <w:rFonts w:cstheme="minorHAnsi"/>
          <w:sz w:val="28"/>
          <w:szCs w:val="28"/>
        </w:rPr>
      </w:pPr>
      <w:r w:rsidRPr="005E1103">
        <w:rPr>
          <w:rFonts w:cstheme="minorHAnsi"/>
          <w:sz w:val="28"/>
          <w:szCs w:val="28"/>
        </w:rPr>
        <w:t xml:space="preserve">El objetivo de éste proyecto es doble: Al tiempo que se persigue la sensibilización de las empresas se trabaja la proactividad del usuario. Y todo ello de una manera que está ligada a los procesos clásicos de la orientación laboral (asesoramiento al estudiante en la revisión y pertinencia del objetivo profesional y actividades ligadas a su desarrollo, es decir, como es inevitable en este campo se tratarán las cuestiones que acompañan a un proceso de orientación laboral, que siendo más convencional es también necesario) pero que también  va más allá pues se llega a una puesta en práctica de los mismos; y esto es así ya que a modo de una “liga de debates” los participantes han de convencer a las empresas escogidas de por qué han de contratarles, lo que les entrena en un elenco de habilidades y situaciones a resolver que les va a valer cuando afronten en un futuro cercano situaciones similares. Se trata pues de una prueba para el alumno en la que va a profundizar en el autoconocimiento y provocará que empresas consideradas líderes por los estudiantes conozcan de primera mano los intereses de los futuros profesionales universitarios.  </w:t>
      </w:r>
    </w:p>
    <w:p w:rsidR="00954B58" w:rsidRPr="005E1103" w:rsidRDefault="00954B58" w:rsidP="00954B58">
      <w:pPr>
        <w:jc w:val="both"/>
        <w:rPr>
          <w:rFonts w:cstheme="minorHAnsi"/>
          <w:sz w:val="28"/>
          <w:szCs w:val="28"/>
        </w:rPr>
      </w:pPr>
      <w:r w:rsidRPr="005E1103">
        <w:rPr>
          <w:rFonts w:cstheme="minorHAnsi"/>
          <w:sz w:val="28"/>
          <w:szCs w:val="28"/>
        </w:rPr>
        <w:t xml:space="preserve">Por tanto podemos hablar de: </w:t>
      </w:r>
    </w:p>
    <w:p w:rsidR="00954B58" w:rsidRPr="005E1103" w:rsidRDefault="00954B58" w:rsidP="00954B58">
      <w:pPr>
        <w:jc w:val="both"/>
        <w:rPr>
          <w:rFonts w:cstheme="minorHAnsi"/>
          <w:sz w:val="28"/>
          <w:szCs w:val="28"/>
        </w:rPr>
      </w:pPr>
      <w:r w:rsidRPr="005E1103">
        <w:rPr>
          <w:rFonts w:cstheme="minorHAnsi"/>
          <w:sz w:val="28"/>
          <w:szCs w:val="28"/>
        </w:rPr>
        <w:t xml:space="preserve">-Objetivos Generales: </w:t>
      </w:r>
    </w:p>
    <w:p w:rsidR="00954B58" w:rsidRPr="005E1103" w:rsidRDefault="00954B58" w:rsidP="00954B58">
      <w:pPr>
        <w:jc w:val="both"/>
        <w:rPr>
          <w:rFonts w:cstheme="minorHAnsi"/>
          <w:sz w:val="28"/>
          <w:szCs w:val="28"/>
        </w:rPr>
      </w:pPr>
      <w:r w:rsidRPr="005E1103">
        <w:rPr>
          <w:rFonts w:cstheme="minorHAnsi"/>
          <w:sz w:val="28"/>
          <w:szCs w:val="28"/>
        </w:rPr>
        <w:t xml:space="preserve">-Trabajar la proactividad del estudiante universitario con discapacidad </w:t>
      </w:r>
    </w:p>
    <w:p w:rsidR="00954B58" w:rsidRPr="005E1103" w:rsidRDefault="00954B58" w:rsidP="00954B58">
      <w:pPr>
        <w:jc w:val="both"/>
        <w:rPr>
          <w:rFonts w:cstheme="minorHAnsi"/>
          <w:sz w:val="28"/>
          <w:szCs w:val="28"/>
        </w:rPr>
      </w:pPr>
      <w:r w:rsidRPr="005E1103">
        <w:rPr>
          <w:rFonts w:cstheme="minorHAnsi"/>
          <w:sz w:val="28"/>
          <w:szCs w:val="28"/>
        </w:rPr>
        <w:t>-Acercamiento entre la empresa y la realidad del futuro profesional.</w:t>
      </w:r>
    </w:p>
    <w:p w:rsidR="00954B58" w:rsidRPr="005E1103" w:rsidRDefault="00954B58" w:rsidP="00954B58">
      <w:pPr>
        <w:jc w:val="both"/>
        <w:rPr>
          <w:rFonts w:cstheme="minorHAnsi"/>
          <w:sz w:val="28"/>
          <w:szCs w:val="28"/>
        </w:rPr>
      </w:pPr>
    </w:p>
    <w:p w:rsidR="00954B58" w:rsidRPr="005E1103" w:rsidRDefault="00954B58" w:rsidP="00954B58">
      <w:pPr>
        <w:jc w:val="both"/>
        <w:rPr>
          <w:rFonts w:cstheme="minorHAnsi"/>
          <w:sz w:val="28"/>
          <w:szCs w:val="28"/>
        </w:rPr>
      </w:pPr>
      <w:r w:rsidRPr="005E1103">
        <w:rPr>
          <w:rFonts w:cstheme="minorHAnsi"/>
          <w:sz w:val="28"/>
          <w:szCs w:val="28"/>
        </w:rPr>
        <w:t xml:space="preserve">Para abordar en esos objetivos tan amplios se trabaja con las siguientes actividades:  </w:t>
      </w:r>
    </w:p>
    <w:p w:rsidR="00954B58" w:rsidRPr="005E1103" w:rsidRDefault="00954B58" w:rsidP="00954B58">
      <w:pPr>
        <w:jc w:val="both"/>
        <w:rPr>
          <w:rFonts w:cstheme="minorHAnsi"/>
          <w:sz w:val="28"/>
          <w:szCs w:val="28"/>
        </w:rPr>
      </w:pPr>
      <w:r w:rsidRPr="005E1103">
        <w:rPr>
          <w:rFonts w:cstheme="minorHAnsi"/>
          <w:sz w:val="28"/>
          <w:szCs w:val="28"/>
        </w:rPr>
        <w:t xml:space="preserve">-Sesiones informativas con los usuarios del Programa de Orientación Laboral y Profesional para estudiantes con discapacidad para informar de la iniciativa. Donde además de explicar se valora la participación. </w:t>
      </w:r>
    </w:p>
    <w:p w:rsidR="00954B58" w:rsidRPr="005E1103" w:rsidRDefault="00954B58" w:rsidP="00954B58">
      <w:pPr>
        <w:jc w:val="both"/>
        <w:rPr>
          <w:rFonts w:cstheme="minorHAnsi"/>
          <w:sz w:val="28"/>
          <w:szCs w:val="28"/>
        </w:rPr>
      </w:pPr>
      <w:r w:rsidRPr="005E1103">
        <w:rPr>
          <w:rFonts w:cstheme="minorHAnsi"/>
          <w:sz w:val="28"/>
          <w:szCs w:val="28"/>
        </w:rPr>
        <w:t xml:space="preserve">-Sesiones individuales con los participantes para fijar plan de trabajo y ahondar en la proyección del objetivo diseñado. </w:t>
      </w:r>
    </w:p>
    <w:p w:rsidR="00954B58" w:rsidRPr="005E1103" w:rsidRDefault="00954B58" w:rsidP="00954B58">
      <w:pPr>
        <w:jc w:val="both"/>
        <w:rPr>
          <w:rFonts w:cstheme="minorHAnsi"/>
          <w:sz w:val="28"/>
          <w:szCs w:val="28"/>
        </w:rPr>
      </w:pPr>
      <w:r w:rsidRPr="005E1103">
        <w:rPr>
          <w:rFonts w:cstheme="minorHAnsi"/>
          <w:sz w:val="28"/>
          <w:szCs w:val="28"/>
        </w:rPr>
        <w:t xml:space="preserve">-Paralelamente: talleres grupales y sesiones individuales sobre temática diversa siempre vinculada con la búsqueda de oportunidades, en función </w:t>
      </w:r>
      <w:r w:rsidRPr="005E1103">
        <w:rPr>
          <w:rFonts w:cstheme="minorHAnsi"/>
          <w:sz w:val="28"/>
          <w:szCs w:val="28"/>
        </w:rPr>
        <w:lastRenderedPageBreak/>
        <w:t xml:space="preserve">de las cuestiones que vayan surgiendo en la elaboración del objetivo profesional, elección de las empresas y adecuación al puesto.  </w:t>
      </w:r>
    </w:p>
    <w:p w:rsidR="00954B58" w:rsidRPr="005E1103" w:rsidRDefault="00954B58" w:rsidP="00954B58">
      <w:pPr>
        <w:jc w:val="both"/>
        <w:rPr>
          <w:rFonts w:cstheme="minorHAnsi"/>
          <w:sz w:val="28"/>
          <w:szCs w:val="28"/>
        </w:rPr>
      </w:pPr>
      <w:r w:rsidRPr="005E1103">
        <w:rPr>
          <w:rFonts w:cstheme="minorHAnsi"/>
          <w:sz w:val="28"/>
          <w:szCs w:val="28"/>
        </w:rPr>
        <w:t xml:space="preserve">-Actividades con las empresas: proponer a las empresas escogidas la participación en la exposición pública que los estudiantes harán de los diferentes proyectos </w:t>
      </w:r>
    </w:p>
    <w:p w:rsidR="00954B58" w:rsidRPr="005E1103" w:rsidRDefault="00954B58" w:rsidP="00954B58">
      <w:pPr>
        <w:jc w:val="both"/>
        <w:rPr>
          <w:rFonts w:cstheme="minorHAnsi"/>
          <w:sz w:val="28"/>
          <w:szCs w:val="28"/>
        </w:rPr>
      </w:pPr>
      <w:r w:rsidRPr="005E1103">
        <w:rPr>
          <w:rFonts w:cstheme="minorHAnsi"/>
          <w:sz w:val="28"/>
          <w:szCs w:val="28"/>
        </w:rPr>
        <w:t xml:space="preserve">-Celebración de las jornadas de exposición de proyectos profesionales.  </w:t>
      </w:r>
    </w:p>
    <w:p w:rsidR="00954B58" w:rsidRPr="005E1103" w:rsidRDefault="00954B58" w:rsidP="00954B58">
      <w:pPr>
        <w:jc w:val="both"/>
        <w:rPr>
          <w:rFonts w:cstheme="minorHAnsi"/>
          <w:sz w:val="28"/>
          <w:szCs w:val="28"/>
        </w:rPr>
      </w:pPr>
      <w:r w:rsidRPr="005E1103">
        <w:rPr>
          <w:rFonts w:cstheme="minorHAnsi"/>
          <w:sz w:val="28"/>
          <w:szCs w:val="28"/>
        </w:rPr>
        <w:t>-Difusión de los resultados y promoción del proyecto.</w:t>
      </w:r>
    </w:p>
    <w:p w:rsidR="00954B58" w:rsidRPr="005E1103" w:rsidRDefault="00954B58" w:rsidP="00954B58">
      <w:pPr>
        <w:jc w:val="both"/>
        <w:rPr>
          <w:rFonts w:cstheme="minorHAnsi"/>
          <w:sz w:val="28"/>
          <w:szCs w:val="28"/>
        </w:rPr>
      </w:pPr>
      <w:r w:rsidRPr="005E1103">
        <w:rPr>
          <w:rFonts w:cstheme="minorHAnsi"/>
          <w:sz w:val="28"/>
          <w:szCs w:val="28"/>
        </w:rPr>
        <w:t xml:space="preserve">-Resultados previstos: </w:t>
      </w:r>
    </w:p>
    <w:p w:rsidR="00954B58" w:rsidRPr="005E1103" w:rsidRDefault="00954B58" w:rsidP="00954B58">
      <w:pPr>
        <w:jc w:val="both"/>
        <w:rPr>
          <w:rFonts w:cstheme="minorHAnsi"/>
          <w:sz w:val="28"/>
          <w:szCs w:val="28"/>
        </w:rPr>
      </w:pPr>
      <w:r w:rsidRPr="005E1103">
        <w:rPr>
          <w:rFonts w:cstheme="minorHAnsi"/>
          <w:sz w:val="28"/>
          <w:szCs w:val="28"/>
        </w:rPr>
        <w:t xml:space="preserve">-Mejora de la empleabilidad de los universitarios participantes </w:t>
      </w:r>
    </w:p>
    <w:p w:rsidR="00954B58" w:rsidRPr="005E1103" w:rsidRDefault="00954B58" w:rsidP="00954B58">
      <w:pPr>
        <w:jc w:val="both"/>
        <w:rPr>
          <w:rFonts w:cstheme="minorHAnsi"/>
          <w:sz w:val="28"/>
          <w:szCs w:val="28"/>
        </w:rPr>
      </w:pPr>
      <w:r w:rsidRPr="005E1103">
        <w:rPr>
          <w:rFonts w:cstheme="minorHAnsi"/>
          <w:sz w:val="28"/>
          <w:szCs w:val="28"/>
        </w:rPr>
        <w:t xml:space="preserve">-Fomento de la autonomía en los participantes </w:t>
      </w:r>
    </w:p>
    <w:p w:rsidR="00954B58" w:rsidRPr="005E1103" w:rsidRDefault="00954B58" w:rsidP="00954B58">
      <w:pPr>
        <w:jc w:val="both"/>
        <w:rPr>
          <w:rFonts w:cstheme="minorHAnsi"/>
          <w:sz w:val="28"/>
          <w:szCs w:val="28"/>
        </w:rPr>
      </w:pPr>
      <w:r w:rsidRPr="005E1103">
        <w:rPr>
          <w:rFonts w:cstheme="minorHAnsi"/>
          <w:sz w:val="28"/>
          <w:szCs w:val="28"/>
        </w:rPr>
        <w:t xml:space="preserve">-Aumento comunicación con empresas </w:t>
      </w:r>
    </w:p>
    <w:p w:rsidR="00954B58" w:rsidRPr="005E1103" w:rsidRDefault="00954B58" w:rsidP="00954B58">
      <w:pPr>
        <w:jc w:val="both"/>
        <w:rPr>
          <w:rFonts w:cstheme="minorHAnsi"/>
          <w:sz w:val="28"/>
          <w:szCs w:val="28"/>
        </w:rPr>
      </w:pPr>
      <w:r w:rsidRPr="005E1103">
        <w:rPr>
          <w:rFonts w:cstheme="minorHAnsi"/>
          <w:sz w:val="28"/>
          <w:szCs w:val="28"/>
        </w:rPr>
        <w:t xml:space="preserve">-Favorecer la información que reciban las empresas por parte de los usuarios </w:t>
      </w:r>
    </w:p>
    <w:p w:rsidR="00954B58" w:rsidRPr="005E1103" w:rsidRDefault="00954B58" w:rsidP="00954B58">
      <w:pPr>
        <w:jc w:val="both"/>
        <w:rPr>
          <w:rFonts w:cstheme="minorHAnsi"/>
          <w:sz w:val="28"/>
          <w:szCs w:val="28"/>
        </w:rPr>
      </w:pPr>
      <w:r w:rsidRPr="005E1103">
        <w:rPr>
          <w:rFonts w:cstheme="minorHAnsi"/>
          <w:sz w:val="28"/>
          <w:szCs w:val="28"/>
        </w:rPr>
        <w:t xml:space="preserve">-Impulso de la sensibilización en la contratación de profesionales con discapacidad </w:t>
      </w:r>
    </w:p>
    <w:p w:rsidR="00954B58" w:rsidRPr="005E1103" w:rsidRDefault="00954B58" w:rsidP="00954B58">
      <w:pPr>
        <w:jc w:val="both"/>
        <w:rPr>
          <w:rFonts w:cstheme="minorHAnsi"/>
          <w:sz w:val="28"/>
          <w:szCs w:val="28"/>
        </w:rPr>
      </w:pPr>
      <w:r w:rsidRPr="005E1103">
        <w:rPr>
          <w:rFonts w:cstheme="minorHAnsi"/>
          <w:sz w:val="28"/>
          <w:szCs w:val="28"/>
        </w:rPr>
        <w:t xml:space="preserve">-Diversificar las actuaciones del Programa de Orientación Laboral para estudiantes y titulados con discapacidad   </w:t>
      </w:r>
    </w:p>
    <w:p w:rsidR="00954B58" w:rsidRPr="005E1103" w:rsidRDefault="00954B58" w:rsidP="00954B58">
      <w:pPr>
        <w:jc w:val="both"/>
        <w:rPr>
          <w:rFonts w:cstheme="minorHAnsi"/>
          <w:sz w:val="28"/>
          <w:szCs w:val="28"/>
        </w:rPr>
      </w:pPr>
    </w:p>
    <w:p w:rsidR="00954B58" w:rsidRPr="005E1103" w:rsidRDefault="00954B58" w:rsidP="00954B58">
      <w:pPr>
        <w:jc w:val="both"/>
        <w:rPr>
          <w:rFonts w:cstheme="minorHAnsi"/>
          <w:sz w:val="28"/>
          <w:szCs w:val="28"/>
        </w:rPr>
      </w:pPr>
      <w:r w:rsidRPr="005E1103">
        <w:rPr>
          <w:rFonts w:cstheme="minorHAnsi"/>
          <w:sz w:val="28"/>
          <w:szCs w:val="28"/>
        </w:rPr>
        <w:t xml:space="preserve">-Conclusiones. </w:t>
      </w:r>
    </w:p>
    <w:p w:rsidR="00954B58" w:rsidRPr="005E1103" w:rsidRDefault="00954B58" w:rsidP="00954B58">
      <w:pPr>
        <w:jc w:val="both"/>
        <w:rPr>
          <w:rFonts w:cstheme="minorHAnsi"/>
          <w:sz w:val="28"/>
          <w:szCs w:val="28"/>
        </w:rPr>
      </w:pPr>
      <w:r w:rsidRPr="005E1103">
        <w:rPr>
          <w:rFonts w:cstheme="minorHAnsi"/>
          <w:sz w:val="28"/>
          <w:szCs w:val="28"/>
        </w:rPr>
        <w:t xml:space="preserve">Se trata de un proyecto modesto, más bien de un conjunto de actividades que finalizan en una especie de concurso de ideas. Pero a pesar de ser modesto sí que consideramos que se puede hablar de impacto en la medida en que se incide en el autoconocimiento del participante. Y por supuesto del impacto mediático que se le vaya a dar a la reunión de empresas líderes para valorar el punto de vista de los egresados universitarios. </w:t>
      </w:r>
    </w:p>
    <w:p w:rsidR="00954B58" w:rsidRPr="005E1103" w:rsidRDefault="00954B58" w:rsidP="00954B58">
      <w:pPr>
        <w:jc w:val="both"/>
        <w:rPr>
          <w:rFonts w:cstheme="minorHAnsi"/>
          <w:sz w:val="28"/>
          <w:szCs w:val="28"/>
        </w:rPr>
      </w:pPr>
      <w:r w:rsidRPr="005E1103">
        <w:rPr>
          <w:rFonts w:cstheme="minorHAnsi"/>
          <w:sz w:val="28"/>
          <w:szCs w:val="28"/>
        </w:rPr>
        <w:t xml:space="preserve">En orientación laboral hay una serie de cuestiones clásicas que siempre se abordan y, además, ha de ser así si se quiere consolidar la configuración del perfil profesional que pedimos a los usuarios que trabajen para avanzar en la búsqueda de empleo. Ello se hará hoy en día recurriendo y utilizando nuevas tecnologías, nuevos métodos de  búsqueda, aplicando la </w:t>
      </w:r>
      <w:r w:rsidRPr="005E1103">
        <w:rPr>
          <w:rFonts w:cstheme="minorHAnsi"/>
          <w:sz w:val="28"/>
          <w:szCs w:val="28"/>
        </w:rPr>
        <w:lastRenderedPageBreak/>
        <w:t xml:space="preserve">innovación, la creatividad, sostenibilidad….. y cuantas competencias profesionales estén a nuestro alcance. Pero recordemos que en todo ello existen dos axiomas recurrentes en la orientación, dos aspectos ineludibles: La proactividad del buscador de empleo y, para el caso que nos ocupa, la sensibilización de la empresa.  </w:t>
      </w:r>
    </w:p>
    <w:p w:rsidR="00954B58" w:rsidRPr="005E1103" w:rsidRDefault="00954B58" w:rsidP="00954B58">
      <w:pPr>
        <w:jc w:val="both"/>
        <w:rPr>
          <w:rFonts w:cstheme="minorHAnsi"/>
          <w:sz w:val="28"/>
          <w:szCs w:val="28"/>
        </w:rPr>
      </w:pPr>
      <w:r w:rsidRPr="005E1103">
        <w:rPr>
          <w:rFonts w:cstheme="minorHAnsi"/>
          <w:sz w:val="28"/>
          <w:szCs w:val="28"/>
        </w:rPr>
        <w:t xml:space="preserve">Uno de los puntos fuertes que observamos es que este proyecto persigue trabajar ambos aspectos al mismo tiempo. </w:t>
      </w:r>
    </w:p>
    <w:p w:rsidR="00954B58" w:rsidRPr="005E1103" w:rsidRDefault="00954B58" w:rsidP="00954B58">
      <w:pPr>
        <w:jc w:val="both"/>
        <w:rPr>
          <w:rFonts w:cstheme="minorHAnsi"/>
          <w:sz w:val="28"/>
          <w:szCs w:val="28"/>
        </w:rPr>
      </w:pPr>
      <w:r w:rsidRPr="005E1103">
        <w:rPr>
          <w:rFonts w:cstheme="minorHAnsi"/>
          <w:sz w:val="28"/>
          <w:szCs w:val="28"/>
        </w:rPr>
        <w:t xml:space="preserve">Los resultados esperados más inmediatos y más visibles van a afectar al participante: en la medida en que preparen su proyecto para presentar a la empresa y ofrecerse como candidato para un puesto van a poner en juego muchas variables y factores que afectan a su empleabilidad; van a conjugar aspectos relacionados con el mercado de trabajo, identificación de oportunidades, normativa laboral, auto candidatura, conocimiento de su oferta, ……….etc., esto es: todo aquello que sabemos está vinculado a la búsqueda activa de empleo pero sin la presión de tener que hacerlo en una empresa a puerta fría. Cuanto más se involucre el usuario en este proceso más va a entrenar su búsqueda para un futuro. Sabemos que hoy en día las prácticas profesionales son un factor que computa para el éxito profesional y en cierto modo, sin ser una práctica curricular, este proceso es una práctica de vida. Habrá que incorporar además el valor añadido que el participante sepa extraer de ésta experiencia.  </w:t>
      </w:r>
    </w:p>
    <w:p w:rsidR="00954B58" w:rsidRPr="005E1103" w:rsidRDefault="00954B58" w:rsidP="00954B58">
      <w:pPr>
        <w:jc w:val="both"/>
        <w:rPr>
          <w:rFonts w:cstheme="minorHAnsi"/>
          <w:sz w:val="28"/>
          <w:szCs w:val="28"/>
        </w:rPr>
      </w:pPr>
      <w:r w:rsidRPr="005E1103">
        <w:rPr>
          <w:rFonts w:cstheme="minorHAnsi"/>
          <w:sz w:val="28"/>
          <w:szCs w:val="28"/>
        </w:rPr>
        <w:t xml:space="preserve">Una consecuencia menos visible, pero no por ello menos importante radica en el impacto que la esencia de las presentaciones va a tener en la empresa. Desconocemos aún qué empresas van a ser las escogidas por los participantes (recordemos que han de seleccionar aquellas en las que les gustaría trabajar, su empresa diana, donde les gustaría trabajar si ellos pudieran elegir su trabajo preferido), puede tratarse de empresas grandes, pequeñas, con sucursales, internacionales o no, de diferentes sectores, familiares, con departamento de recursos humanos o sin él, etc.  Y, además,  desconocemos si la trayectoria de la empresa incluye la experiencia de contratar a personas con discapacidad, pero tanto si es así como si no, la exposición de los participantes les va a hacer reflexionar sobre el talento del titulado actual. Van a escuchar de primera voz propuestas de jóvenes universitarios, ese acercamiento universidad empresa es crucial, porque aunque es uno de los puntales de la educación superior actual no siempre es el universitario quien hace de canal para </w:t>
      </w:r>
      <w:r w:rsidRPr="005E1103">
        <w:rPr>
          <w:rFonts w:cstheme="minorHAnsi"/>
          <w:sz w:val="28"/>
          <w:szCs w:val="28"/>
        </w:rPr>
        <w:lastRenderedPageBreak/>
        <w:t xml:space="preserve">transmitir pasión por el trabajo a los empleadores, a quienes tienen la capacidad de contratarles. Las empresas participantes van a conocer las inquietudes del universitario de hoy en día, van a oir a universitarios con discapacidad que van a transmitir también aspectos de su situación particular (o no, ellos enfocaran la cuestión como consideren) como un factor más en su candidatura.  </w:t>
      </w:r>
    </w:p>
    <w:p w:rsidR="00954B58" w:rsidRPr="005E1103" w:rsidRDefault="00954B58" w:rsidP="00954B58">
      <w:pPr>
        <w:jc w:val="both"/>
        <w:rPr>
          <w:rFonts w:cstheme="minorHAnsi"/>
          <w:sz w:val="28"/>
          <w:szCs w:val="28"/>
        </w:rPr>
      </w:pPr>
      <w:r w:rsidRPr="005E1103">
        <w:rPr>
          <w:rFonts w:cstheme="minorHAnsi"/>
          <w:sz w:val="28"/>
          <w:szCs w:val="28"/>
        </w:rPr>
        <w:t>En los objetivos nos referíamos a dos elementos básicos como propósito de esta iniciativa, y también por tanto en el impacto nos encontramos con una doble repercusión. Hablar de esta doble dirección consideramos que es parte de la ventaja de un proyecto sencillo pero con capacidad de dejar su huella tanto en los universitarios como en las empresas.</w:t>
      </w:r>
    </w:p>
    <w:p w:rsidR="00954B58" w:rsidRPr="005E1103" w:rsidRDefault="00954B58" w:rsidP="00954B58">
      <w:pPr>
        <w:jc w:val="both"/>
        <w:rPr>
          <w:rFonts w:cstheme="minorHAnsi"/>
          <w:sz w:val="28"/>
          <w:szCs w:val="28"/>
        </w:rPr>
      </w:pPr>
      <w:r w:rsidRPr="005E1103">
        <w:rPr>
          <w:rFonts w:cstheme="minorHAnsi"/>
          <w:sz w:val="28"/>
          <w:szCs w:val="28"/>
        </w:rPr>
        <w:t xml:space="preserve">Por último en cuanto a gestión de los resultados, tanto las categorías de menciones especiales obtenidas por los participantes como la experiencia y vivencias de los involucrados, así como el trabajo con las empresas ha de hacerse con una implicación en ganar visibilidad, dando a conocer la iniciativa a fin de que en futuras ediciones sean las empresas quienes opten por participar y se involucren en el proceso también en la parte económica, por lo que la idea es que a partir de la segunda edición sea el tejido empresarial quien asuma la cantidad destinada a premios. </w:t>
      </w:r>
    </w:p>
    <w:p w:rsidR="00954B58" w:rsidRPr="005E1103" w:rsidRDefault="00954B58" w:rsidP="00954B58">
      <w:pPr>
        <w:jc w:val="both"/>
        <w:rPr>
          <w:rFonts w:cstheme="minorHAnsi"/>
          <w:sz w:val="28"/>
          <w:szCs w:val="28"/>
        </w:rPr>
      </w:pPr>
      <w:r w:rsidRPr="005E1103">
        <w:rPr>
          <w:rFonts w:cstheme="minorHAnsi"/>
          <w:sz w:val="28"/>
          <w:szCs w:val="28"/>
        </w:rPr>
        <w:t xml:space="preserve">Además de que los propios participantes recomienden la actividad entre el colectivo estudiantil, aludiendo a todas las ventajas (no sólo al premio, aunque que duda cabe que obtener una mención es un aliciente para animarse a participar) para que se vea que al margen de eso involucrarse en diseñar tu propio proceso de introducción a la empresa tiene ventajas competitivas. </w:t>
      </w:r>
    </w:p>
    <w:p w:rsidR="00954B58" w:rsidRPr="005E1103" w:rsidRDefault="00954B58" w:rsidP="00954B58">
      <w:pPr>
        <w:jc w:val="both"/>
        <w:rPr>
          <w:rFonts w:cstheme="minorHAnsi"/>
          <w:sz w:val="28"/>
          <w:szCs w:val="28"/>
        </w:rPr>
      </w:pPr>
      <w:r w:rsidRPr="005E1103">
        <w:rPr>
          <w:rFonts w:cstheme="minorHAnsi"/>
          <w:sz w:val="28"/>
          <w:szCs w:val="28"/>
        </w:rPr>
        <w:t>Si se logra el impacto en esta primera edición, nuestra intención es darle continuidad con el apoyo del sector empresarial, adaptándolo a las circunstancias si así fuera preciso, pero ofreciendo la posibilidad de potenciar la proactividad a todos los usuarios del Programa de Orientación  Laboral</w:t>
      </w:r>
    </w:p>
    <w:p w:rsidR="00954B58" w:rsidRPr="005E1103" w:rsidRDefault="00954B58" w:rsidP="00954B58">
      <w:pPr>
        <w:jc w:val="both"/>
        <w:rPr>
          <w:rFonts w:cstheme="minorHAnsi"/>
          <w:sz w:val="28"/>
          <w:szCs w:val="28"/>
        </w:rPr>
      </w:pPr>
    </w:p>
    <w:p w:rsidR="00954B58" w:rsidRPr="005E1103" w:rsidRDefault="00954B58" w:rsidP="00954B58">
      <w:pPr>
        <w:jc w:val="both"/>
        <w:rPr>
          <w:rFonts w:cstheme="minorHAnsi"/>
          <w:sz w:val="28"/>
          <w:szCs w:val="28"/>
        </w:rPr>
      </w:pPr>
    </w:p>
    <w:p w:rsidR="00954B58" w:rsidRPr="005E1103" w:rsidRDefault="00954B58" w:rsidP="00954B58">
      <w:pPr>
        <w:jc w:val="both"/>
        <w:rPr>
          <w:rFonts w:cstheme="minorHAnsi"/>
          <w:sz w:val="28"/>
          <w:szCs w:val="28"/>
        </w:rPr>
      </w:pPr>
      <w:r w:rsidRPr="005E1103">
        <w:rPr>
          <w:rFonts w:cstheme="minorHAnsi"/>
          <w:b/>
          <w:sz w:val="28"/>
          <w:szCs w:val="28"/>
        </w:rPr>
        <w:t>Palabras clave:</w:t>
      </w:r>
      <w:r w:rsidRPr="005E1103">
        <w:rPr>
          <w:rFonts w:cstheme="minorHAnsi"/>
          <w:sz w:val="28"/>
          <w:szCs w:val="28"/>
        </w:rPr>
        <w:t xml:space="preserve"> proactividad, sensibilización, habilidades en autogestión y diseño objetivo profesional. </w:t>
      </w:r>
    </w:p>
    <w:p w:rsidR="00954B58" w:rsidRPr="005E1103" w:rsidRDefault="00954B58" w:rsidP="00954B58">
      <w:pPr>
        <w:jc w:val="both"/>
        <w:rPr>
          <w:rFonts w:cstheme="minorHAnsi"/>
          <w:b/>
          <w:sz w:val="28"/>
          <w:szCs w:val="28"/>
        </w:rPr>
      </w:pPr>
      <w:r w:rsidRPr="005E1103">
        <w:rPr>
          <w:rFonts w:cstheme="minorHAnsi"/>
          <w:b/>
          <w:sz w:val="28"/>
          <w:szCs w:val="28"/>
        </w:rPr>
        <w:lastRenderedPageBreak/>
        <w:t xml:space="preserve">Bibliografía </w:t>
      </w:r>
    </w:p>
    <w:p w:rsidR="00954B58" w:rsidRPr="005E1103" w:rsidRDefault="00954B58" w:rsidP="00954B58">
      <w:pPr>
        <w:jc w:val="both"/>
        <w:rPr>
          <w:rFonts w:cstheme="minorHAnsi"/>
          <w:sz w:val="28"/>
          <w:szCs w:val="28"/>
        </w:rPr>
      </w:pPr>
      <w:r w:rsidRPr="005E1103">
        <w:rPr>
          <w:rFonts w:cstheme="minorHAnsi"/>
          <w:sz w:val="28"/>
          <w:szCs w:val="28"/>
        </w:rPr>
        <w:t>Ares Parra, A. “La conducta proactiva de los emprendedores”. Portularia, 4 (2004), págs. 493-498.</w:t>
      </w:r>
    </w:p>
    <w:p w:rsidR="00954B58" w:rsidRPr="005E1103" w:rsidRDefault="00954B58" w:rsidP="00954B58">
      <w:pPr>
        <w:jc w:val="both"/>
        <w:rPr>
          <w:rFonts w:cstheme="minorHAnsi"/>
          <w:sz w:val="28"/>
          <w:szCs w:val="28"/>
        </w:rPr>
      </w:pPr>
      <w:r w:rsidRPr="005E1103">
        <w:rPr>
          <w:rFonts w:cstheme="minorHAnsi"/>
          <w:sz w:val="28"/>
          <w:szCs w:val="28"/>
        </w:rPr>
        <w:t>Bautista-Vallejo, J.M. (2000). La universidad en la encrucijada de la formación. La tensión permanente por la mejora de la calidad. Huelva: Herqué Editores.</w:t>
      </w:r>
    </w:p>
    <w:p w:rsidR="00954B58" w:rsidRPr="005E1103" w:rsidRDefault="00954B58" w:rsidP="00954B58">
      <w:pPr>
        <w:jc w:val="both"/>
        <w:rPr>
          <w:rFonts w:cstheme="minorHAnsi"/>
          <w:sz w:val="28"/>
          <w:szCs w:val="28"/>
        </w:rPr>
      </w:pPr>
      <w:r w:rsidRPr="005E1103">
        <w:rPr>
          <w:rFonts w:cstheme="minorHAnsi"/>
          <w:sz w:val="28"/>
          <w:szCs w:val="28"/>
        </w:rPr>
        <w:t>Gallego Baeza, E. “La Búsqueda Activa de Empleo”, en van-der Hofstad, C.  y Gómez-Gras, J.M.(Coord.) Competencias y Habilidades Profesionales para Universitarios (2006). Madrid: Díaz de Santos.</w:t>
      </w:r>
    </w:p>
    <w:p w:rsidR="00954B58" w:rsidRPr="005E1103" w:rsidRDefault="00954B58" w:rsidP="00954B58">
      <w:pPr>
        <w:jc w:val="both"/>
        <w:rPr>
          <w:rFonts w:cstheme="minorHAnsi"/>
          <w:sz w:val="28"/>
          <w:szCs w:val="28"/>
        </w:rPr>
      </w:pPr>
      <w:r w:rsidRPr="005E1103">
        <w:rPr>
          <w:rFonts w:cstheme="minorHAnsi"/>
          <w:sz w:val="28"/>
          <w:szCs w:val="28"/>
        </w:rPr>
        <w:t xml:space="preserve">Gallego Baeza, E. “Habilidades Interpersonales”, en AA.VVMás de cien actividades para desarrollar competencias profesionales en el ámbito universitario.(2006). Edita: Universidad Miguel Hernández de Elche. </w:t>
      </w:r>
    </w:p>
    <w:p w:rsidR="00954B58" w:rsidRPr="005E1103" w:rsidRDefault="00954B58" w:rsidP="00954B58">
      <w:pPr>
        <w:jc w:val="both"/>
        <w:rPr>
          <w:rFonts w:cstheme="minorHAnsi"/>
          <w:sz w:val="28"/>
          <w:szCs w:val="28"/>
        </w:rPr>
      </w:pPr>
      <w:r w:rsidRPr="005E1103">
        <w:rPr>
          <w:rFonts w:cstheme="minorHAnsi"/>
          <w:sz w:val="28"/>
          <w:szCs w:val="28"/>
        </w:rPr>
        <w:t>Gallego Baeza, E. “Buenas prácticas para la Inserción Laboral”, en Bueno Bueno, A. (Coord.) Guía de Buenas Prácticas de Apoyo a la Discapacidad en la Universidad. (2010). Alicante: Limencop.</w:t>
      </w:r>
    </w:p>
    <w:p w:rsidR="00954B58" w:rsidRPr="005E1103" w:rsidRDefault="00954B58" w:rsidP="00954B58">
      <w:pPr>
        <w:jc w:val="both"/>
        <w:rPr>
          <w:rFonts w:cstheme="minorHAnsi"/>
          <w:sz w:val="28"/>
          <w:szCs w:val="28"/>
        </w:rPr>
      </w:pPr>
      <w:r w:rsidRPr="005E1103">
        <w:rPr>
          <w:rFonts w:cstheme="minorHAnsi"/>
          <w:sz w:val="28"/>
          <w:szCs w:val="28"/>
        </w:rPr>
        <w:t xml:space="preserve">Marina, A. “La competencia de emprender”. Revista de Educación, 351. Enero-abril (2010), pp. 49-71. </w:t>
      </w:r>
    </w:p>
    <w:p w:rsidR="00954B58" w:rsidRPr="005E1103" w:rsidRDefault="00954B58" w:rsidP="00954B58">
      <w:pPr>
        <w:jc w:val="both"/>
        <w:rPr>
          <w:rFonts w:cstheme="minorHAnsi"/>
          <w:sz w:val="28"/>
          <w:szCs w:val="28"/>
        </w:rPr>
      </w:pPr>
      <w:r w:rsidRPr="005E1103">
        <w:rPr>
          <w:rFonts w:cstheme="minorHAnsi"/>
          <w:sz w:val="28"/>
          <w:szCs w:val="28"/>
        </w:rPr>
        <w:t xml:space="preserve">Mira Solves, I. (2006), “La creación de empresas por titulados universitarios. Una aproximación a los factores de influencia del ámbito de la Universidad”. Tesis Doctoral. Universidad Miguel Hernández. </w:t>
      </w:r>
    </w:p>
    <w:p w:rsidR="00954B58" w:rsidRPr="005E1103" w:rsidRDefault="00954B58" w:rsidP="00954B58">
      <w:pPr>
        <w:jc w:val="both"/>
        <w:rPr>
          <w:rFonts w:cstheme="minorHAnsi"/>
          <w:sz w:val="28"/>
          <w:szCs w:val="28"/>
        </w:rPr>
      </w:pPr>
      <w:r w:rsidRPr="005E1103">
        <w:rPr>
          <w:rFonts w:cstheme="minorHAnsi"/>
          <w:sz w:val="28"/>
          <w:szCs w:val="28"/>
        </w:rPr>
        <w:t>Neira,I.; Portela, M.; Maseda; Fernandez, L.; Rodeiro, D., “Actitud emprendedora: un enfoque a través de los jóvenes y el género”. En López, A.  (2010) Emprender: Una perspectiva de género, pp. 69-84.</w:t>
      </w:r>
    </w:p>
    <w:p w:rsidR="00954B58" w:rsidRPr="005E1103" w:rsidRDefault="00954B58" w:rsidP="00954B58">
      <w:pPr>
        <w:jc w:val="both"/>
        <w:rPr>
          <w:rFonts w:cstheme="minorHAnsi"/>
          <w:sz w:val="28"/>
          <w:szCs w:val="28"/>
        </w:rPr>
      </w:pPr>
      <w:r w:rsidRPr="005E1103">
        <w:rPr>
          <w:rFonts w:cstheme="minorHAnsi"/>
          <w:sz w:val="28"/>
          <w:szCs w:val="28"/>
        </w:rPr>
        <w:t>Sánchez, J.C.; Lanero, A.; Yurrebaso, A. (2005): “Variables determinantes de la intención emprendedora en el contexto universitario”. Revista de psicología social aplicada. 15, 1-2, 37-60.</w:t>
      </w:r>
    </w:p>
    <w:p w:rsidR="00954B58" w:rsidRPr="005E1103" w:rsidRDefault="00954B58">
      <w:pPr>
        <w:rPr>
          <w:rFonts w:cstheme="minorHAnsi"/>
          <w:sz w:val="28"/>
          <w:szCs w:val="28"/>
        </w:rPr>
      </w:pPr>
      <w:r w:rsidRPr="005E1103">
        <w:rPr>
          <w:rFonts w:cstheme="minorHAnsi"/>
          <w:sz w:val="28"/>
          <w:szCs w:val="28"/>
        </w:rPr>
        <w:br w:type="page"/>
      </w:r>
    </w:p>
    <w:p w:rsidR="00954B58" w:rsidRPr="005E1103" w:rsidRDefault="00954B58" w:rsidP="00954B58">
      <w:pPr>
        <w:spacing w:line="360" w:lineRule="auto"/>
        <w:rPr>
          <w:rFonts w:cstheme="minorHAnsi"/>
          <w:sz w:val="28"/>
          <w:szCs w:val="28"/>
        </w:rPr>
      </w:pPr>
    </w:p>
    <w:p w:rsidR="00954B58" w:rsidRPr="005E1103" w:rsidRDefault="00954B58" w:rsidP="00954B58">
      <w:pPr>
        <w:pBdr>
          <w:top w:val="single" w:sz="4" w:space="1" w:color="auto"/>
          <w:left w:val="single" w:sz="4" w:space="4" w:color="auto"/>
          <w:bottom w:val="single" w:sz="4" w:space="1" w:color="auto"/>
          <w:right w:val="single" w:sz="4" w:space="4" w:color="auto"/>
        </w:pBdr>
        <w:jc w:val="center"/>
        <w:rPr>
          <w:rFonts w:cstheme="minorHAnsi"/>
          <w:b/>
          <w:sz w:val="28"/>
          <w:szCs w:val="28"/>
        </w:rPr>
      </w:pPr>
      <w:r w:rsidRPr="005E1103">
        <w:rPr>
          <w:rFonts w:cstheme="minorHAnsi"/>
          <w:b/>
          <w:sz w:val="28"/>
          <w:szCs w:val="28"/>
        </w:rPr>
        <w:t>COMUNICACIÓN 2</w:t>
      </w:r>
    </w:p>
    <w:p w:rsidR="00954B58" w:rsidRPr="005E1103" w:rsidRDefault="00954B58" w:rsidP="00954B58">
      <w:pPr>
        <w:pBdr>
          <w:top w:val="single" w:sz="4" w:space="1" w:color="auto"/>
          <w:left w:val="single" w:sz="4" w:space="4" w:color="auto"/>
          <w:bottom w:val="single" w:sz="4" w:space="1" w:color="auto"/>
          <w:right w:val="single" w:sz="4" w:space="4" w:color="auto"/>
        </w:pBdr>
        <w:jc w:val="center"/>
        <w:rPr>
          <w:rFonts w:cstheme="minorHAnsi"/>
          <w:b/>
          <w:sz w:val="28"/>
          <w:szCs w:val="28"/>
        </w:rPr>
      </w:pPr>
      <w:r w:rsidRPr="005E1103">
        <w:rPr>
          <w:rFonts w:cstheme="minorHAnsi"/>
          <w:b/>
          <w:sz w:val="28"/>
          <w:szCs w:val="28"/>
        </w:rPr>
        <w:t>FORMACIÓN ONLINE SOBRE COMPETENCIAS TRANSVERSALES Y EMPLEABILIDAD BAJO LOS PRINCIPIOS DEL DISEÑO UNIVERSAL PARA EL APRENDIZAJE</w:t>
      </w:r>
    </w:p>
    <w:p w:rsidR="00954B58" w:rsidRPr="005E1103" w:rsidRDefault="00954B58" w:rsidP="00954B58">
      <w:pPr>
        <w:jc w:val="both"/>
        <w:rPr>
          <w:rFonts w:cstheme="minorHAnsi"/>
          <w:sz w:val="28"/>
          <w:szCs w:val="28"/>
        </w:rPr>
      </w:pPr>
    </w:p>
    <w:p w:rsidR="00954B58" w:rsidRPr="005E1103" w:rsidRDefault="00954B58" w:rsidP="00954B58">
      <w:pPr>
        <w:jc w:val="right"/>
        <w:rPr>
          <w:rFonts w:cstheme="minorHAnsi"/>
          <w:sz w:val="28"/>
          <w:szCs w:val="28"/>
        </w:rPr>
      </w:pPr>
      <w:r w:rsidRPr="005E1103">
        <w:rPr>
          <w:rFonts w:cstheme="minorHAnsi"/>
          <w:sz w:val="28"/>
          <w:szCs w:val="28"/>
        </w:rPr>
        <w:t>Emiliano Díez Villoria</w:t>
      </w:r>
    </w:p>
    <w:p w:rsidR="00954B58" w:rsidRPr="005E1103" w:rsidRDefault="00954B58" w:rsidP="00954B58">
      <w:pPr>
        <w:jc w:val="right"/>
        <w:rPr>
          <w:rFonts w:cstheme="minorHAnsi"/>
          <w:sz w:val="28"/>
          <w:szCs w:val="28"/>
        </w:rPr>
      </w:pPr>
      <w:r w:rsidRPr="005E1103">
        <w:rPr>
          <w:rFonts w:cstheme="minorHAnsi"/>
          <w:sz w:val="28"/>
          <w:szCs w:val="28"/>
        </w:rPr>
        <w:t>Profesor Titular</w:t>
      </w:r>
    </w:p>
    <w:p w:rsidR="00954B58" w:rsidRPr="005E1103" w:rsidRDefault="00954B58" w:rsidP="00954B58">
      <w:pPr>
        <w:jc w:val="right"/>
        <w:rPr>
          <w:rFonts w:cstheme="minorHAnsi"/>
          <w:sz w:val="28"/>
          <w:szCs w:val="28"/>
        </w:rPr>
      </w:pPr>
      <w:r w:rsidRPr="005E1103">
        <w:rPr>
          <w:rFonts w:cstheme="minorHAnsi"/>
          <w:sz w:val="28"/>
          <w:szCs w:val="28"/>
        </w:rPr>
        <w:t>Instituto Universitario de Integración en la Comunidad (INICO)</w:t>
      </w:r>
    </w:p>
    <w:p w:rsidR="00954B58" w:rsidRPr="005E1103" w:rsidRDefault="00954B58" w:rsidP="00954B58">
      <w:pPr>
        <w:jc w:val="right"/>
        <w:rPr>
          <w:rFonts w:cstheme="minorHAnsi"/>
          <w:sz w:val="28"/>
          <w:szCs w:val="28"/>
        </w:rPr>
      </w:pPr>
      <w:r w:rsidRPr="005E1103">
        <w:rPr>
          <w:rFonts w:cstheme="minorHAnsi"/>
          <w:sz w:val="28"/>
          <w:szCs w:val="28"/>
        </w:rPr>
        <w:t>Universidad de Salamanca</w:t>
      </w:r>
    </w:p>
    <w:p w:rsidR="00954B58" w:rsidRPr="005E1103" w:rsidRDefault="00954B58" w:rsidP="00954B58">
      <w:pPr>
        <w:jc w:val="right"/>
        <w:rPr>
          <w:rFonts w:cstheme="minorHAnsi"/>
          <w:sz w:val="28"/>
          <w:szCs w:val="28"/>
        </w:rPr>
      </w:pPr>
    </w:p>
    <w:p w:rsidR="00954B58" w:rsidRPr="005E1103" w:rsidRDefault="00954B58" w:rsidP="00954B58">
      <w:pPr>
        <w:jc w:val="right"/>
        <w:rPr>
          <w:rFonts w:cstheme="minorHAnsi"/>
          <w:sz w:val="28"/>
          <w:szCs w:val="28"/>
        </w:rPr>
      </w:pPr>
      <w:r w:rsidRPr="005E1103">
        <w:rPr>
          <w:rFonts w:cstheme="minorHAnsi"/>
          <w:sz w:val="28"/>
          <w:szCs w:val="28"/>
        </w:rPr>
        <w:t>Natividad Rodríguez</w:t>
      </w:r>
    </w:p>
    <w:p w:rsidR="00954B58" w:rsidRPr="005E1103" w:rsidRDefault="00954B58" w:rsidP="00954B58">
      <w:pPr>
        <w:jc w:val="right"/>
        <w:rPr>
          <w:rFonts w:cstheme="minorHAnsi"/>
          <w:sz w:val="28"/>
          <w:szCs w:val="28"/>
        </w:rPr>
      </w:pPr>
      <w:r w:rsidRPr="005E1103">
        <w:rPr>
          <w:rFonts w:cstheme="minorHAnsi"/>
          <w:sz w:val="28"/>
          <w:szCs w:val="28"/>
        </w:rPr>
        <w:t>Maribel Campo</w:t>
      </w:r>
    </w:p>
    <w:p w:rsidR="00954B58" w:rsidRPr="005E1103" w:rsidRDefault="00954B58" w:rsidP="00954B58">
      <w:pPr>
        <w:jc w:val="both"/>
        <w:rPr>
          <w:rFonts w:cstheme="minorHAnsi"/>
          <w:sz w:val="28"/>
          <w:szCs w:val="28"/>
        </w:rPr>
      </w:pPr>
      <w:r w:rsidRPr="005E1103">
        <w:rPr>
          <w:rFonts w:cstheme="minorHAnsi"/>
          <w:sz w:val="28"/>
          <w:szCs w:val="28"/>
        </w:rPr>
        <w:t>Introducción</w:t>
      </w:r>
    </w:p>
    <w:p w:rsidR="00954B58" w:rsidRPr="005E1103" w:rsidRDefault="00954B58" w:rsidP="00954B58">
      <w:pPr>
        <w:jc w:val="both"/>
        <w:rPr>
          <w:rFonts w:cstheme="minorHAnsi"/>
          <w:sz w:val="28"/>
          <w:szCs w:val="28"/>
        </w:rPr>
      </w:pPr>
      <w:r w:rsidRPr="005E1103">
        <w:rPr>
          <w:rFonts w:cstheme="minorHAnsi"/>
          <w:sz w:val="28"/>
          <w:szCs w:val="28"/>
        </w:rPr>
        <w:t xml:space="preserve">La atención a la diversidad en el sistema educativo universitario debería ser una prioridad y por ello es necesario desarrollar acciones de carácter proactivo, con el objetivo de que todas las personas, independientemente de sus características, puedan acceder a los currículos en igualdad de oportunidades. Este es uno de los objetivos de la acción formativa online que se describe en esta comunicación. </w:t>
      </w:r>
    </w:p>
    <w:p w:rsidR="00954B58" w:rsidRPr="005E1103" w:rsidRDefault="00954B58" w:rsidP="00954B58">
      <w:pPr>
        <w:jc w:val="both"/>
        <w:rPr>
          <w:rFonts w:cstheme="minorHAnsi"/>
          <w:sz w:val="28"/>
          <w:szCs w:val="28"/>
        </w:rPr>
      </w:pPr>
      <w:r w:rsidRPr="005E1103">
        <w:rPr>
          <w:rFonts w:cstheme="minorHAnsi"/>
          <w:sz w:val="28"/>
          <w:szCs w:val="28"/>
        </w:rPr>
        <w:t>Se presenta el planteamiento y los principales resultados de una experiencia de formación online sobre competencias transversales (inico.usal.es/competencias) desarrollada bajo los principios del Diseño Universal para el Aprendizaje (DUA) y en la que han participado más de 250 adultos con discapacidad en cinco ediciones desarrolladas entre 2012 y 2015. Esta formación arrancó como un proyecto competitivo del Ministerio de Educación (proyecto CAIE063) a través de la Fundación para la Proyección Internacional de las Universidades Españolas, y continuó con el apoyo de Fundación Universia, Fundación Vodafone España y, actualmente, la Fundación ONCE para la Cooperación e Inclusión Social de Personas con Discapacidad.</w:t>
      </w:r>
    </w:p>
    <w:p w:rsidR="00954B58" w:rsidRPr="005E1103" w:rsidRDefault="00954B58" w:rsidP="00954B58">
      <w:pPr>
        <w:jc w:val="both"/>
        <w:rPr>
          <w:rFonts w:cstheme="minorHAnsi"/>
          <w:sz w:val="28"/>
          <w:szCs w:val="28"/>
        </w:rPr>
      </w:pPr>
      <w:r w:rsidRPr="005E1103">
        <w:rPr>
          <w:rFonts w:cstheme="minorHAnsi"/>
          <w:sz w:val="28"/>
          <w:szCs w:val="28"/>
        </w:rPr>
        <w:lastRenderedPageBreak/>
        <w:t>En la comunicación se discuten también las ventajas de utilizar enfoques de diseño curricular inclusivos (como el planteado por el DUA) y su utilidad y viabilidad en la formación para el empleo de personas en situación de discapacidad. Los principios del  Diseño Universal para el Aprendizaje son necesarios para garantizar el cumplimiento de los criterios de usabilidad y accesibilidad de la plataforma, así como los contenidos y actividades de aprendizaje.</w:t>
      </w:r>
    </w:p>
    <w:p w:rsidR="00954B58" w:rsidRPr="005E1103" w:rsidRDefault="00954B58" w:rsidP="00954B58">
      <w:pPr>
        <w:jc w:val="both"/>
        <w:rPr>
          <w:rFonts w:cstheme="minorHAnsi"/>
          <w:sz w:val="28"/>
          <w:szCs w:val="28"/>
        </w:rPr>
      </w:pPr>
      <w:r w:rsidRPr="005E1103">
        <w:rPr>
          <w:rFonts w:cstheme="minorHAnsi"/>
          <w:sz w:val="28"/>
          <w:szCs w:val="28"/>
        </w:rPr>
        <w:t xml:space="preserve">La formación, los contenidos y el asesoramiento que se describen pretenden mejorar la empleabilidad y fomentar el emprendimiento de personas con discapacidad mediante un modelo formativo online centrado en el desarrollo de las competencias transversales más demandadas en el ámbito laboral, y a través de acciones formativas y de asesoramiento sobre habilidades de búsqueda de empleo, vida independiente y emprendimiento. </w:t>
      </w:r>
    </w:p>
    <w:p w:rsidR="00954B58" w:rsidRPr="005E1103" w:rsidRDefault="00954B58" w:rsidP="00954B58">
      <w:pPr>
        <w:jc w:val="both"/>
        <w:rPr>
          <w:rFonts w:cstheme="minorHAnsi"/>
          <w:sz w:val="28"/>
          <w:szCs w:val="28"/>
        </w:rPr>
      </w:pPr>
      <w:r w:rsidRPr="005E1103">
        <w:rPr>
          <w:rFonts w:cstheme="minorHAnsi"/>
          <w:sz w:val="28"/>
          <w:szCs w:val="28"/>
        </w:rPr>
        <w:t>Para finalizar, se describe cómo esta formación online también puede mejorar la empleabilidad de las personas con discapacidad inscritas en el Sistema de Garantía Juvenil, estrategia europea de emprendimiento y empleo joven.</w:t>
      </w:r>
    </w:p>
    <w:p w:rsidR="00954B58" w:rsidRPr="005E1103" w:rsidRDefault="00954B58" w:rsidP="00954B58">
      <w:pPr>
        <w:jc w:val="both"/>
        <w:rPr>
          <w:rFonts w:cstheme="minorHAnsi"/>
          <w:sz w:val="28"/>
          <w:szCs w:val="28"/>
        </w:rPr>
      </w:pPr>
    </w:p>
    <w:p w:rsidR="00954B58" w:rsidRPr="005E1103" w:rsidRDefault="00954B58" w:rsidP="00954B58">
      <w:pPr>
        <w:jc w:val="both"/>
        <w:rPr>
          <w:rFonts w:cstheme="minorHAnsi"/>
          <w:sz w:val="28"/>
          <w:szCs w:val="28"/>
        </w:rPr>
      </w:pPr>
      <w:r w:rsidRPr="005E1103">
        <w:rPr>
          <w:rFonts w:cstheme="minorHAnsi"/>
          <w:sz w:val="28"/>
          <w:szCs w:val="28"/>
        </w:rPr>
        <w:t>Diseño Universal para el Aprendizaje</w:t>
      </w:r>
    </w:p>
    <w:p w:rsidR="00954B58" w:rsidRPr="005E1103" w:rsidRDefault="00954B58" w:rsidP="00954B58">
      <w:pPr>
        <w:jc w:val="both"/>
        <w:rPr>
          <w:rFonts w:cstheme="minorHAnsi"/>
          <w:sz w:val="28"/>
          <w:szCs w:val="28"/>
        </w:rPr>
      </w:pPr>
      <w:r w:rsidRPr="005E1103">
        <w:rPr>
          <w:rFonts w:cstheme="minorHAnsi"/>
          <w:sz w:val="28"/>
          <w:szCs w:val="28"/>
        </w:rPr>
        <w:t xml:space="preserve">Las adaptaciones curriculares “razonables”, es decir, aquellas modificaciones o ajustes de un curso, programa, servicio, puesto de trabajo o actividad que permiten el acceso en igualdad de oportunidades a una persona con una discapacidad acreditada, son un elemento esencial en la atención a estudiantes con discapacidad en la universidad española. Aun así, las adaptaciones no siempre son la solución, o al menos no la única, al problema de la atención a la diversidad en las aulas universitarias. De hecho, la tendencia actual en la educación superior de muchos países desde hace más de una década (Schwanke, Smith y Edyburn, 2001) es minimizar las medidas reactivas basadas en las adaptaciones y sustituir ese modelo de atención por acciones de carácter proactivo que promueven la creación de currículos bajo los principios del Diseño Universal para el Aprendizaje, es decir, diseñar las acciones educativas teniendo en cuenta, a priori, las necesidades de todos los </w:t>
      </w:r>
      <w:r w:rsidRPr="005E1103">
        <w:rPr>
          <w:rFonts w:cstheme="minorHAnsi"/>
          <w:sz w:val="28"/>
          <w:szCs w:val="28"/>
        </w:rPr>
        <w:lastRenderedPageBreak/>
        <w:t>estudiantes (Ruiz, Solé, Echeita, Sala, y Datsira, 2012; Sánchez y Díez, 2013).</w:t>
      </w:r>
    </w:p>
    <w:p w:rsidR="00954B58" w:rsidRPr="005E1103" w:rsidRDefault="00954B58" w:rsidP="00954B58">
      <w:pPr>
        <w:jc w:val="both"/>
        <w:rPr>
          <w:rFonts w:cstheme="minorHAnsi"/>
          <w:sz w:val="28"/>
          <w:szCs w:val="28"/>
        </w:rPr>
      </w:pPr>
      <w:r w:rsidRPr="005E1103">
        <w:rPr>
          <w:rFonts w:cstheme="minorHAnsi"/>
          <w:sz w:val="28"/>
          <w:szCs w:val="28"/>
        </w:rPr>
        <w:t>La experiencia formativa que se presenta en esta comunicación se diseñó, desde un principio, teniendo en cuenta distintas pautas y estándares sobre Diseño Universal para el Aprendizaje y con el objetivo de minimizar la necesidad de adaptaciones especiales. El curso se diseñó siguiendo el proceso descrito por Burgstahler (2012) para la implementación efectiva de medidas de diseño universal en un servicio o producto. Y más concretamente, se utilizaron las Pautas del Diseño Universal para el Aprendizaje (CAST, 2011) y sus tres principios fundamentales: medidas relacionadas con la variedad en las formas de representación (e.g., accesibilidad del entorno de aprendizaje y contenidos), de acción y expresión (e.g., ayudas a la planificación), y de participación (e.g., opciones para mantener el esfuerzo y la persistencia). La adopción de estas pautas implica la aplicación de medidas relativas a los materiales, la presentación de los contenidos, la motivación, la metodología y la evaluación. Destacamos, por ejemplo, aquellas medidas que aseguran la accesibilidad de entorno de aprendizaje y contenidos (e.g., plataforma accesible, contenidos en distintos formatos digitales y accesibles como PDF, EPUB, Audiolibro, Libro Daisy 3.0, Kindle, o vídeos subtitulados, descritos y con transcripciones, entre otras) o las dirigidas a proporcionar opciones para mantener el esfuerzo y la persistencia, de gran importancia en una acción formativa online de larga duración (e.g., control del progreso con feedback prácticamente inmediato por parte tutores o demandas adaptables al nivel del estudiante, entre otras).</w:t>
      </w:r>
    </w:p>
    <w:p w:rsidR="00954B58" w:rsidRPr="005E1103" w:rsidRDefault="00954B58" w:rsidP="00954B58">
      <w:pPr>
        <w:jc w:val="both"/>
        <w:rPr>
          <w:rFonts w:cstheme="minorHAnsi"/>
          <w:sz w:val="28"/>
          <w:szCs w:val="28"/>
        </w:rPr>
      </w:pPr>
      <w:r w:rsidRPr="005E1103">
        <w:rPr>
          <w:rFonts w:cstheme="minorHAnsi"/>
          <w:sz w:val="28"/>
          <w:szCs w:val="28"/>
        </w:rPr>
        <w:t>Competencias transversales y empleabilidad</w:t>
      </w:r>
    </w:p>
    <w:p w:rsidR="00954B58" w:rsidRPr="005E1103" w:rsidRDefault="00954B58" w:rsidP="00954B58">
      <w:pPr>
        <w:jc w:val="both"/>
        <w:rPr>
          <w:rFonts w:cstheme="minorHAnsi"/>
          <w:sz w:val="28"/>
          <w:szCs w:val="28"/>
        </w:rPr>
      </w:pPr>
      <w:r w:rsidRPr="005E1103">
        <w:rPr>
          <w:rFonts w:cstheme="minorHAnsi"/>
          <w:sz w:val="28"/>
          <w:szCs w:val="28"/>
        </w:rPr>
        <w:t>Dos de los aspectos más relevantes implicados en la empleabilidad son la formación en competencias transversales y el desarrollo de la madurez vocacional.</w:t>
      </w:r>
    </w:p>
    <w:p w:rsidR="00954B58" w:rsidRPr="005E1103" w:rsidRDefault="00954B58" w:rsidP="00954B58">
      <w:pPr>
        <w:jc w:val="both"/>
        <w:rPr>
          <w:rFonts w:cstheme="minorHAnsi"/>
          <w:sz w:val="28"/>
          <w:szCs w:val="28"/>
        </w:rPr>
      </w:pPr>
      <w:r w:rsidRPr="005E1103">
        <w:rPr>
          <w:rFonts w:cstheme="minorHAnsi"/>
          <w:sz w:val="28"/>
          <w:szCs w:val="28"/>
        </w:rPr>
        <w:t>Las competencias son el conjunto de conocimientos, capacidades, habilidades y actitudes necesarias para realizar actividades diversas con un cierto nivel de eficacia. Pero, ¿por qué es necesario formar en competencias transversales para el desarrollo profesional a las personas con discapacidad?</w:t>
      </w:r>
    </w:p>
    <w:p w:rsidR="00954B58" w:rsidRPr="005E1103" w:rsidRDefault="00954B58" w:rsidP="00954B58">
      <w:pPr>
        <w:jc w:val="both"/>
        <w:rPr>
          <w:rFonts w:cstheme="minorHAnsi"/>
          <w:sz w:val="28"/>
          <w:szCs w:val="28"/>
        </w:rPr>
      </w:pPr>
      <w:r w:rsidRPr="005E1103">
        <w:rPr>
          <w:rFonts w:cstheme="minorHAnsi"/>
          <w:sz w:val="28"/>
          <w:szCs w:val="28"/>
        </w:rPr>
        <w:lastRenderedPageBreak/>
        <w:t>Los factores relacionados con las dificultades de inserción laboral de las personas con discapacidad, manifestadas en sus menores tasas de ocupación, son muy variados. Por ejemplo, Dalmau, Llinares y Sala (2013) encuestaron a un grupo de 687 titulados universitarios para preguntarles acerca de los obstáculos que percibían para su integración laboral. Aunque las principales razones que manifestaron los participantes tenían que ver con los problemas actitudinales respecto a la discapacidad por parte de la sociedad y de los empleadores, los problemas de accesibilidad o sus propias limitaciones, muchos apuntaron también la “falta de competencias profesionales y personales” como un obstáculo para su acceso al mercado laboral. De hecho, algunos otros estudios han puesto de manifiesto que el desajuste entre la formación y la cualificación profesional y las competencias demandadas por el mercado laboral es uno de los problemas para el acceso al mercado laboral de los estudiantes universitarios (Allen y van der Velden, 2011).</w:t>
      </w:r>
    </w:p>
    <w:p w:rsidR="00954B58" w:rsidRPr="005E1103" w:rsidRDefault="00954B58" w:rsidP="00954B58">
      <w:pPr>
        <w:jc w:val="both"/>
        <w:rPr>
          <w:rFonts w:cstheme="minorHAnsi"/>
          <w:sz w:val="28"/>
          <w:szCs w:val="28"/>
        </w:rPr>
      </w:pPr>
      <w:r w:rsidRPr="005E1103">
        <w:rPr>
          <w:rFonts w:cstheme="minorHAnsi"/>
          <w:sz w:val="28"/>
          <w:szCs w:val="28"/>
        </w:rPr>
        <w:t>Las competencias se consideraron un tema central en la reforma del sistema universitario conocida como Proceso de Bolonia. De hecho, todos los nuevos títulos universitarios de Grado y Máster han sido diseñados teniendo en cuenta catálogos de competencias específicas (i.e., las propias de una profesión) y transversales (i.e., las que sirven para todas las profesiones) creados desde los distintos ámbitos profesionales. En este contexto parece clara la importancia de promover entre los estudiantes universitarios la adquisición de las competencias transversales más demandadas por los empleadores aunque poco desarrolladas en los currículos universitarios, tales como, las habilidades de comunicación, el trabajo en equipo, la delegación, la toma de decisiones o la capacidad de organización y planificación, por citar algunas de las más relevantes.</w:t>
      </w:r>
    </w:p>
    <w:p w:rsidR="00954B58" w:rsidRPr="005E1103" w:rsidRDefault="00954B58" w:rsidP="00954B58">
      <w:pPr>
        <w:jc w:val="both"/>
        <w:rPr>
          <w:rFonts w:cstheme="minorHAnsi"/>
          <w:sz w:val="28"/>
          <w:szCs w:val="28"/>
        </w:rPr>
      </w:pPr>
      <w:r w:rsidRPr="005E1103">
        <w:rPr>
          <w:rFonts w:cstheme="minorHAnsi"/>
          <w:sz w:val="28"/>
          <w:szCs w:val="28"/>
        </w:rPr>
        <w:t xml:space="preserve">Además de las competencias transversales hay otros aspectos importantes implicados en la empleabilidad de las personas con discapacidad como es el caso de la madurez vocacional. </w:t>
      </w:r>
    </w:p>
    <w:p w:rsidR="00954B58" w:rsidRPr="005E1103" w:rsidRDefault="00954B58" w:rsidP="00954B58">
      <w:pPr>
        <w:jc w:val="both"/>
        <w:rPr>
          <w:rFonts w:cstheme="minorHAnsi"/>
          <w:sz w:val="28"/>
          <w:szCs w:val="28"/>
        </w:rPr>
      </w:pPr>
      <w:r w:rsidRPr="005E1103">
        <w:rPr>
          <w:rFonts w:cstheme="minorHAnsi"/>
          <w:sz w:val="28"/>
          <w:szCs w:val="28"/>
        </w:rPr>
        <w:t xml:space="preserve">El desarrollo o madurez vocacional hace referencia a la superación de dificultades que las personas encuentran en el proceso de tránsito entre el sistema educativo y el mundo laboral y suele ser un aspecto a mejorar en los estudiantes con discapacidad. </w:t>
      </w:r>
    </w:p>
    <w:p w:rsidR="00954B58" w:rsidRPr="005E1103" w:rsidRDefault="00954B58" w:rsidP="00954B58">
      <w:pPr>
        <w:jc w:val="both"/>
        <w:rPr>
          <w:rFonts w:cstheme="minorHAnsi"/>
          <w:sz w:val="28"/>
          <w:szCs w:val="28"/>
        </w:rPr>
      </w:pPr>
      <w:r w:rsidRPr="005E1103">
        <w:rPr>
          <w:rFonts w:cstheme="minorHAnsi"/>
          <w:sz w:val="28"/>
          <w:szCs w:val="28"/>
        </w:rPr>
        <w:t xml:space="preserve">Respecto a la madurez vocacional y tomando como referencia los resultados del “II Estudio sobre el grado de inclusión del sistema </w:t>
      </w:r>
      <w:r w:rsidRPr="005E1103">
        <w:rPr>
          <w:rFonts w:cstheme="minorHAnsi"/>
          <w:sz w:val="28"/>
          <w:szCs w:val="28"/>
        </w:rPr>
        <w:lastRenderedPageBreak/>
        <w:t>universitario español respecto de la realidad de la discapacidad” (Fundación Universia, 2014) se constata que sólo un 20% de los estudiantes con discapacidad encuestados manifiestan haber recibido orientación laboral por parte de sus universidades, lo cual afianza la idea de reforzar acciones específicas en este ámbito. Según Farley et al. (1990), la madurez vocacional implica tres tipos de habilidades: habilidades para la elección (conocimiento de uno mismo, conocimiento del mundo laboral, habilidades de toma de decisiones, habilidades de planificación), habilidades para la obtención (orientación hacia el empleo, habilidades de búsqueda de empleo) y habilidades para el mantenimiento (habilidades interpersonales y de afrontamiento, hábitos laborales). De las tres, las habilidades para el mantenimiento son las más directamente relacionadas con las competencias transversales, pero todas han de ser tenidas en cuenta en cualquier programa que pretenda mejorar la empleabilidad de estudiantes universitarios con discapacidad</w:t>
      </w:r>
    </w:p>
    <w:p w:rsidR="00954B58" w:rsidRPr="005E1103" w:rsidRDefault="00954B58" w:rsidP="00954B58">
      <w:pPr>
        <w:jc w:val="both"/>
        <w:rPr>
          <w:rFonts w:cstheme="minorHAnsi"/>
          <w:sz w:val="28"/>
          <w:szCs w:val="28"/>
        </w:rPr>
      </w:pPr>
      <w:r w:rsidRPr="005E1103">
        <w:rPr>
          <w:rFonts w:cstheme="minorHAnsi"/>
          <w:sz w:val="28"/>
          <w:szCs w:val="28"/>
        </w:rPr>
        <w:t>En resumen, el escenario del que partimos muestra un mercado laboral que, por diversas razones, no favorece a los titulados universitarios con discapacidad, y entre ellas se encuentra el desajuste entre las competencias demandadas y las adquiridas durante la formación universitaria. A esto se suma el déficit del sistema universitario en la enseñanza de competencias transversales. Igualmente, se constata la necesidad de asesorar a los estudiantes con discapacidad para promover el desarrollo de su madurez vocacional. Es precisamente este escenario el que condujo a varios miembros del Instituto Universitario de Integración de la Comunidad de la Universidad de Salamanca a plantear la creación de complementos formativos sobre competencias transversales y madurez vocacional para estudiantes universitarios con discapacidad, bajo la premisa de que un programa que intervenga sobre esos aspectos podría contribuir a incrementar la probabilidad de empleabilidad de los estudiantes universitarios con discapacidad.</w:t>
      </w:r>
    </w:p>
    <w:p w:rsidR="00954B58" w:rsidRPr="005E1103" w:rsidRDefault="00954B58" w:rsidP="00954B58">
      <w:pPr>
        <w:jc w:val="both"/>
        <w:rPr>
          <w:rFonts w:cstheme="minorHAnsi"/>
          <w:sz w:val="28"/>
          <w:szCs w:val="28"/>
        </w:rPr>
      </w:pPr>
      <w:r w:rsidRPr="005E1103">
        <w:rPr>
          <w:rFonts w:cstheme="minorHAnsi"/>
          <w:sz w:val="28"/>
          <w:szCs w:val="28"/>
        </w:rPr>
        <w:t>Formación sobre Competencias Transversales</w:t>
      </w:r>
    </w:p>
    <w:p w:rsidR="00954B58" w:rsidRPr="005E1103" w:rsidRDefault="00954B58" w:rsidP="00954B58">
      <w:pPr>
        <w:jc w:val="both"/>
        <w:rPr>
          <w:rFonts w:cstheme="minorHAnsi"/>
          <w:sz w:val="28"/>
          <w:szCs w:val="28"/>
        </w:rPr>
      </w:pPr>
      <w:r w:rsidRPr="005E1103">
        <w:rPr>
          <w:rFonts w:cstheme="minorHAnsi"/>
          <w:sz w:val="28"/>
          <w:szCs w:val="28"/>
        </w:rPr>
        <w:t xml:space="preserve">La formación y asesoramiento que se ofrece en estos cursos pretenden mejorar la empleabilidad y fomentar el emprendimiento de personas con discapacidad a través de un modelo formativo online centrado en el desarrollo de competencias transversales, y a través de acciones de </w:t>
      </w:r>
      <w:r w:rsidRPr="005E1103">
        <w:rPr>
          <w:rFonts w:cstheme="minorHAnsi"/>
          <w:sz w:val="28"/>
          <w:szCs w:val="28"/>
        </w:rPr>
        <w:lastRenderedPageBreak/>
        <w:t xml:space="preserve">asesoramiento sobre habilidades de búsqueda de empleo y emprendimiento. </w:t>
      </w:r>
    </w:p>
    <w:p w:rsidR="00954B58" w:rsidRPr="005E1103" w:rsidRDefault="00954B58" w:rsidP="00954B58">
      <w:pPr>
        <w:jc w:val="both"/>
        <w:rPr>
          <w:rFonts w:cstheme="minorHAnsi"/>
          <w:sz w:val="28"/>
          <w:szCs w:val="28"/>
        </w:rPr>
      </w:pPr>
      <w:r w:rsidRPr="005E1103">
        <w:rPr>
          <w:rFonts w:cstheme="minorHAnsi"/>
          <w:sz w:val="28"/>
          <w:szCs w:val="28"/>
        </w:rPr>
        <w:t>Anteriormente se ha explicado que este modelo formativo está basado en los principios del Diseño Universal para el Aprendizaje, lo que garantiza el cumplimiento de los criterios de usabilidad y accesibilidad de la plataforma, los contenidos y las actividades de aprendizaje.</w:t>
      </w:r>
    </w:p>
    <w:p w:rsidR="00954B58" w:rsidRPr="005E1103" w:rsidRDefault="00954B58" w:rsidP="00954B58">
      <w:pPr>
        <w:jc w:val="both"/>
        <w:rPr>
          <w:rFonts w:cstheme="minorHAnsi"/>
          <w:sz w:val="28"/>
          <w:szCs w:val="28"/>
        </w:rPr>
      </w:pPr>
      <w:r w:rsidRPr="005E1103">
        <w:rPr>
          <w:rFonts w:cstheme="minorHAnsi"/>
          <w:sz w:val="28"/>
          <w:szCs w:val="28"/>
        </w:rPr>
        <w:t>Esta formación en competencias transversales está diseñada y desarrollada para cumplir los siguientes objetivos:</w:t>
      </w:r>
    </w:p>
    <w:p w:rsidR="00954B58" w:rsidRPr="005E1103" w:rsidRDefault="00954B58" w:rsidP="00954B58">
      <w:pPr>
        <w:jc w:val="both"/>
        <w:rPr>
          <w:rFonts w:cstheme="minorHAnsi"/>
          <w:sz w:val="28"/>
          <w:szCs w:val="28"/>
        </w:rPr>
      </w:pPr>
      <w:r w:rsidRPr="005E1103">
        <w:rPr>
          <w:rFonts w:cstheme="minorHAnsi"/>
          <w:sz w:val="28"/>
          <w:szCs w:val="28"/>
        </w:rPr>
        <w:t>•</w:t>
      </w:r>
      <w:r w:rsidRPr="005E1103">
        <w:rPr>
          <w:rFonts w:cstheme="minorHAnsi"/>
          <w:sz w:val="28"/>
          <w:szCs w:val="28"/>
        </w:rPr>
        <w:tab/>
        <w:t>Objetivo 1: Mejorar la formación en las competencias transversales más demandadas por el mercado laboral, y poco desarrolladas en la educación universitaria.</w:t>
      </w:r>
    </w:p>
    <w:p w:rsidR="00954B58" w:rsidRPr="005E1103" w:rsidRDefault="00954B58" w:rsidP="00954B58">
      <w:pPr>
        <w:jc w:val="both"/>
        <w:rPr>
          <w:rFonts w:cstheme="minorHAnsi"/>
          <w:sz w:val="28"/>
          <w:szCs w:val="28"/>
        </w:rPr>
      </w:pPr>
    </w:p>
    <w:p w:rsidR="00954B58" w:rsidRPr="005E1103" w:rsidRDefault="00954B58" w:rsidP="00954B58">
      <w:pPr>
        <w:jc w:val="both"/>
        <w:rPr>
          <w:rFonts w:cstheme="minorHAnsi"/>
          <w:sz w:val="28"/>
          <w:szCs w:val="28"/>
        </w:rPr>
      </w:pPr>
      <w:r w:rsidRPr="005E1103">
        <w:rPr>
          <w:rFonts w:cstheme="minorHAnsi"/>
          <w:sz w:val="28"/>
          <w:szCs w:val="28"/>
        </w:rPr>
        <w:t>•</w:t>
      </w:r>
      <w:r w:rsidRPr="005E1103">
        <w:rPr>
          <w:rFonts w:cstheme="minorHAnsi"/>
          <w:sz w:val="28"/>
          <w:szCs w:val="28"/>
        </w:rPr>
        <w:tab/>
        <w:t>Objetivo 2: Contribuir a la mejora de la madurez vocacional mediante el incremento de la confianza en las propias capacidades para enfrentarse al mundo laboral con éxito, incremento de la motivación para la implicación activa en el proceso de búsqueda de empleo.</w:t>
      </w:r>
    </w:p>
    <w:p w:rsidR="00954B58" w:rsidRPr="005E1103" w:rsidRDefault="00954B58" w:rsidP="00954B58">
      <w:pPr>
        <w:jc w:val="both"/>
        <w:rPr>
          <w:rFonts w:cstheme="minorHAnsi"/>
          <w:sz w:val="28"/>
          <w:szCs w:val="28"/>
        </w:rPr>
      </w:pPr>
    </w:p>
    <w:p w:rsidR="00954B58" w:rsidRPr="005E1103" w:rsidRDefault="00954B58" w:rsidP="00954B58">
      <w:pPr>
        <w:jc w:val="both"/>
        <w:rPr>
          <w:rFonts w:cstheme="minorHAnsi"/>
          <w:sz w:val="28"/>
          <w:szCs w:val="28"/>
        </w:rPr>
      </w:pPr>
      <w:r w:rsidRPr="005E1103">
        <w:rPr>
          <w:rFonts w:cstheme="minorHAnsi"/>
          <w:sz w:val="28"/>
          <w:szCs w:val="28"/>
        </w:rPr>
        <w:t>•</w:t>
      </w:r>
      <w:r w:rsidRPr="005E1103">
        <w:rPr>
          <w:rFonts w:cstheme="minorHAnsi"/>
          <w:sz w:val="28"/>
          <w:szCs w:val="28"/>
        </w:rPr>
        <w:tab/>
        <w:t>Objetivo 3: Motivar y fomentar el desarrollo de habilidades necesarias para conseguir un empleo de manera activa a través del emprendimiento.</w:t>
      </w:r>
    </w:p>
    <w:p w:rsidR="00954B58" w:rsidRPr="005E1103" w:rsidRDefault="00954B58" w:rsidP="00954B58">
      <w:pPr>
        <w:jc w:val="both"/>
        <w:rPr>
          <w:rFonts w:cstheme="minorHAnsi"/>
          <w:sz w:val="28"/>
          <w:szCs w:val="28"/>
        </w:rPr>
      </w:pPr>
    </w:p>
    <w:p w:rsidR="00954B58" w:rsidRPr="005E1103" w:rsidRDefault="00954B58" w:rsidP="00954B58">
      <w:pPr>
        <w:jc w:val="both"/>
        <w:rPr>
          <w:rFonts w:cstheme="minorHAnsi"/>
          <w:sz w:val="28"/>
          <w:szCs w:val="28"/>
        </w:rPr>
      </w:pPr>
      <w:r w:rsidRPr="005E1103">
        <w:rPr>
          <w:rFonts w:cstheme="minorHAnsi"/>
          <w:sz w:val="28"/>
          <w:szCs w:val="28"/>
        </w:rPr>
        <w:t>•</w:t>
      </w:r>
      <w:r w:rsidRPr="005E1103">
        <w:rPr>
          <w:rFonts w:cstheme="minorHAnsi"/>
          <w:sz w:val="28"/>
          <w:szCs w:val="28"/>
        </w:rPr>
        <w:tab/>
        <w:t xml:space="preserve">Objetivo 4: Ofrecer un entorno formativo online accesible y optimizado para la consecución de los resultados de aprendizaje planteados. </w:t>
      </w:r>
    </w:p>
    <w:p w:rsidR="00954B58" w:rsidRPr="005E1103" w:rsidRDefault="00954B58" w:rsidP="00954B58">
      <w:pPr>
        <w:jc w:val="both"/>
        <w:rPr>
          <w:rFonts w:cstheme="minorHAnsi"/>
          <w:sz w:val="28"/>
          <w:szCs w:val="28"/>
        </w:rPr>
      </w:pPr>
    </w:p>
    <w:p w:rsidR="00954B58" w:rsidRPr="005E1103" w:rsidRDefault="00954B58" w:rsidP="00954B58">
      <w:pPr>
        <w:jc w:val="both"/>
        <w:rPr>
          <w:rFonts w:cstheme="minorHAnsi"/>
          <w:sz w:val="28"/>
          <w:szCs w:val="28"/>
        </w:rPr>
      </w:pPr>
      <w:r w:rsidRPr="005E1103">
        <w:rPr>
          <w:rFonts w:cstheme="minorHAnsi"/>
          <w:sz w:val="28"/>
          <w:szCs w:val="28"/>
        </w:rPr>
        <w:t>A continuación, se describe la metodología llevada a cabo en la formación, así como los resultados de las cinco ediciones impartidas, en las que han participado más de 250 personas con discapacidad.</w:t>
      </w:r>
    </w:p>
    <w:p w:rsidR="00954B58" w:rsidRPr="005E1103" w:rsidRDefault="00954B58" w:rsidP="00954B58">
      <w:pPr>
        <w:jc w:val="both"/>
        <w:rPr>
          <w:rFonts w:cstheme="minorHAnsi"/>
          <w:sz w:val="28"/>
          <w:szCs w:val="28"/>
        </w:rPr>
      </w:pPr>
      <w:r w:rsidRPr="005E1103">
        <w:rPr>
          <w:rFonts w:cstheme="minorHAnsi"/>
          <w:sz w:val="28"/>
          <w:szCs w:val="28"/>
        </w:rPr>
        <w:t>Cursos Competencias Transversales para el Desarrollo Profesional</w:t>
      </w:r>
    </w:p>
    <w:p w:rsidR="00954B58" w:rsidRPr="005E1103" w:rsidRDefault="00954B58" w:rsidP="00954B58">
      <w:pPr>
        <w:jc w:val="both"/>
        <w:rPr>
          <w:rFonts w:cstheme="minorHAnsi"/>
          <w:sz w:val="28"/>
          <w:szCs w:val="28"/>
        </w:rPr>
      </w:pPr>
      <w:r w:rsidRPr="005E1103">
        <w:rPr>
          <w:rFonts w:cstheme="minorHAnsi"/>
          <w:sz w:val="28"/>
          <w:szCs w:val="28"/>
        </w:rPr>
        <w:t xml:space="preserve">La formación en competencias transversales y el desarrollo de la madurez vocacional son aspectos esenciales si buscamos mejorar la empleabilidad. En este sentido, el curso proporciona formación flexible en las </w:t>
      </w:r>
      <w:r w:rsidRPr="005E1103">
        <w:rPr>
          <w:rFonts w:cstheme="minorHAnsi"/>
          <w:sz w:val="28"/>
          <w:szCs w:val="28"/>
        </w:rPr>
        <w:lastRenderedPageBreak/>
        <w:t>competencias más demandadas por los empleadores y ofrece asesoramiento personalizado para mejorar las habilidades de madurez vocacional del alumnado con discapacidad.</w:t>
      </w:r>
    </w:p>
    <w:p w:rsidR="00954B58" w:rsidRPr="005E1103" w:rsidRDefault="00954B58" w:rsidP="00954B58">
      <w:pPr>
        <w:jc w:val="both"/>
        <w:rPr>
          <w:rFonts w:cstheme="minorHAnsi"/>
          <w:sz w:val="28"/>
          <w:szCs w:val="28"/>
        </w:rPr>
      </w:pPr>
      <w:r w:rsidRPr="005E1103">
        <w:rPr>
          <w:rFonts w:cstheme="minorHAnsi"/>
          <w:sz w:val="28"/>
          <w:szCs w:val="28"/>
        </w:rPr>
        <w:t>Esta formación online pretende favorecer la adquisición de competencias transversales que faciliten el acceso, mantenimiento y promoción a un puesto de trabajo así como facilitar la orientación y formación necesaria para la búsqueda de empleo.</w:t>
      </w:r>
    </w:p>
    <w:p w:rsidR="00954B58" w:rsidRPr="005E1103" w:rsidRDefault="00954B58" w:rsidP="00954B58">
      <w:pPr>
        <w:jc w:val="both"/>
        <w:rPr>
          <w:rFonts w:cstheme="minorHAnsi"/>
          <w:sz w:val="28"/>
          <w:szCs w:val="28"/>
        </w:rPr>
      </w:pPr>
      <w:r w:rsidRPr="005E1103">
        <w:rPr>
          <w:rFonts w:cstheme="minorHAnsi"/>
          <w:sz w:val="28"/>
          <w:szCs w:val="28"/>
        </w:rPr>
        <w:t>Una primera parte está centrada en las competencias transversales más demandadas por el mercado laboral como son liderazgo, delegación, gestión del tiempo, gestión de reuniones, saber motivar, desarrollo de la empatía, asertividad, saber dar feedback, toma de decisiones, comunicación oral y escucha activa, presentaciones en público, comunicación escrita, gestión del estrés, trabajo en equipo y negociación.</w:t>
      </w:r>
    </w:p>
    <w:p w:rsidR="00954B58" w:rsidRPr="005E1103" w:rsidRDefault="00954B58" w:rsidP="00954B58">
      <w:pPr>
        <w:jc w:val="both"/>
        <w:rPr>
          <w:rFonts w:cstheme="minorHAnsi"/>
          <w:sz w:val="28"/>
          <w:szCs w:val="28"/>
        </w:rPr>
      </w:pPr>
      <w:r w:rsidRPr="005E1103">
        <w:rPr>
          <w:rFonts w:cstheme="minorHAnsi"/>
          <w:sz w:val="28"/>
          <w:szCs w:val="28"/>
        </w:rPr>
        <w:t>Una segunda parte se centra en la madurez vocacional, formando en habilidades para la búsqueda de empleo y habilidades para llevar una vida independiente.</w:t>
      </w:r>
    </w:p>
    <w:p w:rsidR="00954B58" w:rsidRPr="005E1103" w:rsidRDefault="00954B58" w:rsidP="00954B58">
      <w:pPr>
        <w:jc w:val="both"/>
        <w:rPr>
          <w:rFonts w:cstheme="minorHAnsi"/>
          <w:sz w:val="28"/>
          <w:szCs w:val="28"/>
        </w:rPr>
      </w:pPr>
      <w:r w:rsidRPr="005E1103">
        <w:rPr>
          <w:rFonts w:cstheme="minorHAnsi"/>
          <w:sz w:val="28"/>
          <w:szCs w:val="28"/>
        </w:rPr>
        <w:t>Por otra parte, conscientes de la actual crisis económica, y de la necesidad de promover la creación de puestos de trabajo como una salida posible a la misma, se ofrecen acciones formativas sobre emprendimiento, incluyendo información relativa a cómo llevar a cabo un plan de empresa, un plan de viabilidad empresarial, requisitos y trámites para la creación de empresas, conocimiento de las fuentes de financiación, etc.</w:t>
      </w:r>
    </w:p>
    <w:p w:rsidR="00954B58" w:rsidRPr="005E1103" w:rsidRDefault="00954B58" w:rsidP="00954B58">
      <w:pPr>
        <w:jc w:val="both"/>
        <w:rPr>
          <w:rFonts w:cstheme="minorHAnsi"/>
          <w:sz w:val="28"/>
          <w:szCs w:val="28"/>
        </w:rPr>
      </w:pPr>
      <w:r w:rsidRPr="005E1103">
        <w:rPr>
          <w:rFonts w:cstheme="minorHAnsi"/>
          <w:sz w:val="28"/>
          <w:szCs w:val="28"/>
        </w:rPr>
        <w:t>En resumen, la formación y asesoramiento se engloba es un curso online gratuito de 300 horas, acreditado por el Instituto Universitario de Integración en la Comunidad (INICO) de la Universidad de Salamanca, para mejorar la empleabilidad y fomentar el emprendimiento de personas con discapacidad mediante un modelo formativo online centrado en el desarrollo de competencias transversales, y a través de acciones formativas y de asesoramiento sobre habilidades de búsqueda de empleo, vida independiente y emprendimiento. El diseño curricular está basado en los principios del Diseño Universal para el Aprendizaje para garantizar el cumplimiento de los criterios de usabilidad y accesibilidad de la plataforma, contenidos y actividades de aprendizaje.</w:t>
      </w:r>
    </w:p>
    <w:p w:rsidR="00954B58" w:rsidRPr="005E1103" w:rsidRDefault="00954B58" w:rsidP="00954B58">
      <w:pPr>
        <w:jc w:val="both"/>
        <w:rPr>
          <w:rFonts w:cstheme="minorHAnsi"/>
          <w:sz w:val="28"/>
          <w:szCs w:val="28"/>
        </w:rPr>
      </w:pPr>
      <w:r w:rsidRPr="005E1103">
        <w:rPr>
          <w:rFonts w:cstheme="minorHAnsi"/>
          <w:sz w:val="28"/>
          <w:szCs w:val="28"/>
        </w:rPr>
        <w:t>Resultados</w:t>
      </w:r>
    </w:p>
    <w:p w:rsidR="00954B58" w:rsidRPr="005E1103" w:rsidRDefault="00954B58" w:rsidP="00954B58">
      <w:pPr>
        <w:jc w:val="both"/>
        <w:rPr>
          <w:rFonts w:cstheme="minorHAnsi"/>
          <w:sz w:val="28"/>
          <w:szCs w:val="28"/>
        </w:rPr>
      </w:pPr>
      <w:r w:rsidRPr="005E1103">
        <w:rPr>
          <w:rFonts w:cstheme="minorHAnsi"/>
          <w:sz w:val="28"/>
          <w:szCs w:val="28"/>
        </w:rPr>
        <w:lastRenderedPageBreak/>
        <w:t>Los resultados de las 5 ediciones del curso “Competencias transversales para el desarrollo profesional” desarrollados entre 2012 y 2015 son muy positivos.</w:t>
      </w:r>
    </w:p>
    <w:p w:rsidR="00954B58" w:rsidRPr="005E1103" w:rsidRDefault="00954B58" w:rsidP="00954B58">
      <w:pPr>
        <w:jc w:val="both"/>
        <w:rPr>
          <w:rFonts w:cstheme="minorHAnsi"/>
          <w:sz w:val="28"/>
          <w:szCs w:val="28"/>
        </w:rPr>
      </w:pPr>
      <w:r w:rsidRPr="005E1103">
        <w:rPr>
          <w:rFonts w:cstheme="minorHAnsi"/>
          <w:sz w:val="28"/>
          <w:szCs w:val="28"/>
        </w:rPr>
        <w:t>Han participado más de 250 estudiantes universitarios con distintas situaciones de discapacidad, de los que resumimos algunas características:</w:t>
      </w:r>
    </w:p>
    <w:p w:rsidR="00954B58" w:rsidRPr="005E1103" w:rsidRDefault="00954B58" w:rsidP="00954B58">
      <w:pPr>
        <w:jc w:val="both"/>
        <w:rPr>
          <w:rFonts w:cstheme="minorHAnsi"/>
          <w:sz w:val="28"/>
          <w:szCs w:val="28"/>
        </w:rPr>
      </w:pPr>
      <w:r w:rsidRPr="005E1103">
        <w:rPr>
          <w:rFonts w:cstheme="minorHAnsi"/>
          <w:sz w:val="28"/>
          <w:szCs w:val="28"/>
        </w:rPr>
        <w:t>•</w:t>
      </w:r>
      <w:r w:rsidRPr="005E1103">
        <w:rPr>
          <w:rFonts w:cstheme="minorHAnsi"/>
          <w:sz w:val="28"/>
          <w:szCs w:val="28"/>
        </w:rPr>
        <w:tab/>
        <w:t xml:space="preserve">Presentan una edad media de 30 años (rango 18-53). </w:t>
      </w:r>
    </w:p>
    <w:p w:rsidR="00954B58" w:rsidRPr="005E1103" w:rsidRDefault="00954B58" w:rsidP="00954B58">
      <w:pPr>
        <w:jc w:val="both"/>
        <w:rPr>
          <w:rFonts w:cstheme="minorHAnsi"/>
          <w:sz w:val="28"/>
          <w:szCs w:val="28"/>
        </w:rPr>
      </w:pPr>
      <w:r w:rsidRPr="005E1103">
        <w:rPr>
          <w:rFonts w:cstheme="minorHAnsi"/>
          <w:sz w:val="28"/>
          <w:szCs w:val="28"/>
        </w:rPr>
        <w:t>•</w:t>
      </w:r>
      <w:r w:rsidRPr="005E1103">
        <w:rPr>
          <w:rFonts w:cstheme="minorHAnsi"/>
          <w:sz w:val="28"/>
          <w:szCs w:val="28"/>
        </w:rPr>
        <w:tab/>
        <w:t xml:space="preserve">Aunque los participantes no son seleccionados con criterios de representación, sí se ha logrado la participación de estudiantes de universidades de diferentes comunidades autónomas, universidades públicas y privadas, así como universidades que imparten la mayor parte de su docencia presencial o a distancia. </w:t>
      </w:r>
    </w:p>
    <w:p w:rsidR="00954B58" w:rsidRPr="005E1103" w:rsidRDefault="00954B58" w:rsidP="00954B58">
      <w:pPr>
        <w:jc w:val="both"/>
        <w:rPr>
          <w:rFonts w:cstheme="minorHAnsi"/>
          <w:sz w:val="28"/>
          <w:szCs w:val="28"/>
        </w:rPr>
      </w:pPr>
      <w:r w:rsidRPr="005E1103">
        <w:rPr>
          <w:rFonts w:cstheme="minorHAnsi"/>
          <w:sz w:val="28"/>
          <w:szCs w:val="28"/>
        </w:rPr>
        <w:t>•</w:t>
      </w:r>
      <w:r w:rsidRPr="005E1103">
        <w:rPr>
          <w:rFonts w:cstheme="minorHAnsi"/>
          <w:sz w:val="28"/>
          <w:szCs w:val="28"/>
        </w:rPr>
        <w:tab/>
        <w:t>Igualmente, los participantes también son representativos de distintos tipos de estudios predominando los estudiantes de Grado y Licenciatura (85%) frente a Máster y Doctorado (15%).</w:t>
      </w:r>
    </w:p>
    <w:p w:rsidR="00954B58" w:rsidRPr="005E1103" w:rsidRDefault="00954B58" w:rsidP="00954B58">
      <w:pPr>
        <w:jc w:val="both"/>
        <w:rPr>
          <w:rFonts w:cstheme="minorHAnsi"/>
          <w:sz w:val="28"/>
          <w:szCs w:val="28"/>
        </w:rPr>
      </w:pPr>
      <w:r w:rsidRPr="005E1103">
        <w:rPr>
          <w:rFonts w:cstheme="minorHAnsi"/>
          <w:sz w:val="28"/>
          <w:szCs w:val="28"/>
        </w:rPr>
        <w:t>•</w:t>
      </w:r>
      <w:r w:rsidRPr="005E1103">
        <w:rPr>
          <w:rFonts w:cstheme="minorHAnsi"/>
          <w:sz w:val="28"/>
          <w:szCs w:val="28"/>
        </w:rPr>
        <w:tab/>
        <w:t>La situación de discapacidad más frecuente entre los participantes es la discapacidad física (53%), seguida de la discapacidad sensorial visual (15%), múltiple (11%), auditiva (8%), enfermedad crónica (6%), cognitiva (4%) y enfermedad mental (3%).</w:t>
      </w:r>
    </w:p>
    <w:p w:rsidR="00954B58" w:rsidRPr="005E1103" w:rsidRDefault="00954B58" w:rsidP="00954B58">
      <w:pPr>
        <w:jc w:val="both"/>
        <w:rPr>
          <w:rFonts w:cstheme="minorHAnsi"/>
          <w:sz w:val="28"/>
          <w:szCs w:val="28"/>
        </w:rPr>
      </w:pPr>
      <w:r w:rsidRPr="005E1103">
        <w:rPr>
          <w:rFonts w:cstheme="minorHAnsi"/>
          <w:sz w:val="28"/>
          <w:szCs w:val="28"/>
        </w:rPr>
        <w:t>En primer lugar, destacamos los resultados relativos a la adquisición de competencias y la valoración de la acción formativa por parte de los participantes.</w:t>
      </w:r>
    </w:p>
    <w:p w:rsidR="00954B58" w:rsidRPr="005E1103" w:rsidRDefault="00954B58" w:rsidP="00954B58">
      <w:pPr>
        <w:jc w:val="both"/>
        <w:rPr>
          <w:rFonts w:cstheme="minorHAnsi"/>
          <w:sz w:val="28"/>
          <w:szCs w:val="28"/>
        </w:rPr>
      </w:pPr>
      <w:r w:rsidRPr="005E1103">
        <w:rPr>
          <w:rFonts w:cstheme="minorHAnsi"/>
          <w:sz w:val="28"/>
          <w:szCs w:val="28"/>
        </w:rPr>
        <w:t xml:space="preserve">Por un lado, a lo largo de las distintas ediciones se ha verificado un incremento en el nivel de adquisición de competencias (comparando la evaluación inicial y final de cada competencia) que, en promedio para las 15 competencias, alcanza un valor del 25%. Más allá de la verificación objetiva sobre el incremento en el nivel de adquisición de competencias, los resultados de la encuesta de valoración final de los cursos muestran que más del 90% de los participantes que finalizan el curso consideran que el nivel de aprendizaje alcanzado es muy alto o alto. También es muy positivo el alto porcentaje de finalización del curso (M = 90%), a pesar de ser una acción formativa online de larga duración (300 horas repartidas en 5-6 meses) y con muchas actividades (18 unidades didácticas, con actividades variadas de carácter teórico y práctico, y con un requisito de realización del 80%). </w:t>
      </w:r>
    </w:p>
    <w:p w:rsidR="00954B58" w:rsidRPr="005E1103" w:rsidRDefault="00954B58" w:rsidP="00954B58">
      <w:pPr>
        <w:jc w:val="both"/>
        <w:rPr>
          <w:rFonts w:cstheme="minorHAnsi"/>
          <w:sz w:val="28"/>
          <w:szCs w:val="28"/>
        </w:rPr>
      </w:pPr>
      <w:r w:rsidRPr="005E1103">
        <w:rPr>
          <w:rFonts w:cstheme="minorHAnsi"/>
          <w:sz w:val="28"/>
          <w:szCs w:val="28"/>
        </w:rPr>
        <w:lastRenderedPageBreak/>
        <w:t xml:space="preserve">Por otro lado, la valoración global de los participantes apunta hacia la consecución de los objetivos planteados. </w:t>
      </w:r>
    </w:p>
    <w:p w:rsidR="00954B58" w:rsidRPr="005E1103" w:rsidRDefault="00954B58" w:rsidP="00954B58">
      <w:pPr>
        <w:jc w:val="both"/>
        <w:rPr>
          <w:rFonts w:cstheme="minorHAnsi"/>
          <w:sz w:val="28"/>
          <w:szCs w:val="28"/>
        </w:rPr>
      </w:pPr>
      <w:r w:rsidRPr="005E1103">
        <w:rPr>
          <w:rFonts w:cstheme="minorHAnsi"/>
          <w:sz w:val="28"/>
          <w:szCs w:val="28"/>
        </w:rPr>
        <w:t>Así, los resultados dejan claro la mejora en aspectos como el aumento de la confianza en sus propias capacidades de cara a futuros procesos de selección, el incremento en la motivación para implicarse en el proceso de búsqueda de empleo o la percepción de que lo que han aprendido en el curso les servirá mucho para desempeñar mejor un trabajo. Globalmente, el nivel de satisfacción de los participantes con distintos aspectos del curso (contenidos, documentación, acción tutorial) ha sido alto o muy alto. Y la valoración global de curso como bueno o muy bueno por parte de la mayoría de los participantes, muestra que la experiencia formativa y de asesoramiento que configura el curso tiene muy buena aceptación. A ello hay que añadir la participación de dos personas con discapacidad en labores de gestión y tutoría del curso.</w:t>
      </w:r>
    </w:p>
    <w:p w:rsidR="00954B58" w:rsidRPr="005E1103" w:rsidRDefault="00954B58" w:rsidP="00954B58">
      <w:pPr>
        <w:jc w:val="both"/>
        <w:rPr>
          <w:rFonts w:cstheme="minorHAnsi"/>
          <w:sz w:val="28"/>
          <w:szCs w:val="28"/>
        </w:rPr>
      </w:pPr>
      <w:r w:rsidRPr="005E1103">
        <w:rPr>
          <w:rFonts w:cstheme="minorHAnsi"/>
          <w:sz w:val="28"/>
          <w:szCs w:val="28"/>
        </w:rPr>
        <w:t>En segundo lugar, y en relación a la utilidad de las medidas de Diseño Universal para el Aprendizaje adoptadas en el curso, se puede concluir que la aplicación proactiva y explícita de medidas de DUA en la planificación curricular de la formación online ayuda a minimizar la necesidad de adaptaciones específicas, facilita el acceso a los contenidos, genera sensación de satisfacción con la formación y, en resumen, contribuye a mejorar la adquisición de competencias. Aunque sabemos que las adaptaciones curriculares razonables (i.e., enfoques reactivos) siempre serán una opción para facilitar el acceso a la educación superior por parte de los estudiantes con discapacidad, experiencias como las de este curso apuntan hacia la utilidad de adoptar medidas de diseño curricular de manera proactiva bajo el enfoque del Diseño Universal.</w:t>
      </w:r>
    </w:p>
    <w:p w:rsidR="00954B58" w:rsidRPr="005E1103" w:rsidRDefault="00954B58" w:rsidP="00954B58">
      <w:pPr>
        <w:jc w:val="both"/>
        <w:rPr>
          <w:rFonts w:cstheme="minorHAnsi"/>
          <w:sz w:val="28"/>
          <w:szCs w:val="28"/>
        </w:rPr>
      </w:pPr>
      <w:r w:rsidRPr="005E1103">
        <w:rPr>
          <w:rFonts w:cstheme="minorHAnsi"/>
          <w:sz w:val="28"/>
          <w:szCs w:val="28"/>
        </w:rPr>
        <w:t>En tercer lugar, debemos destacar que la experiencia formativa que se ha presentado se ha ofertado en todas sus ediciones de forma gratuita a estudiantes universitarios con discapacidad. Esto ha sido posible gracias a la financiación recibida a través de convocatorias competitivas, y a la apuesta de algunas instituciones sin ánimo de lucro como la Fundación Universia y la Fundación Vodafone España, a quienes agradecemos el apoyo recibido.</w:t>
      </w:r>
    </w:p>
    <w:p w:rsidR="00954B58" w:rsidRPr="005E1103" w:rsidRDefault="00954B58" w:rsidP="00954B58">
      <w:pPr>
        <w:jc w:val="both"/>
        <w:rPr>
          <w:rFonts w:cstheme="minorHAnsi"/>
          <w:sz w:val="28"/>
          <w:szCs w:val="28"/>
        </w:rPr>
      </w:pPr>
      <w:r w:rsidRPr="005E1103">
        <w:rPr>
          <w:rFonts w:cstheme="minorHAnsi"/>
          <w:sz w:val="28"/>
          <w:szCs w:val="28"/>
        </w:rPr>
        <w:t xml:space="preserve">Debido a la experiencia acumulada y los buenos resultados seguimos mejorando y actualizando la formación, extendiéndola a otros ámbitos y grupos sociales como son los jóvenes con discapacidad, con el apoyo de la </w:t>
      </w:r>
      <w:r w:rsidRPr="005E1103">
        <w:rPr>
          <w:rFonts w:cstheme="minorHAnsi"/>
          <w:sz w:val="28"/>
          <w:szCs w:val="28"/>
        </w:rPr>
        <w:lastRenderedPageBreak/>
        <w:t>Fundación ONCE para la Cooperación e Inclusión Social de Personas con Discapacidad.</w:t>
      </w:r>
    </w:p>
    <w:p w:rsidR="00954B58" w:rsidRPr="005E1103" w:rsidRDefault="00954B58" w:rsidP="00954B58">
      <w:pPr>
        <w:jc w:val="both"/>
        <w:rPr>
          <w:rFonts w:cstheme="minorHAnsi"/>
          <w:sz w:val="28"/>
          <w:szCs w:val="28"/>
        </w:rPr>
      </w:pPr>
      <w:r w:rsidRPr="005E1103">
        <w:rPr>
          <w:rFonts w:cstheme="minorHAnsi"/>
          <w:sz w:val="28"/>
          <w:szCs w:val="28"/>
        </w:rPr>
        <w:t>Competencias transversales y Sistema de Garantía Juvenil</w:t>
      </w:r>
    </w:p>
    <w:p w:rsidR="00954B58" w:rsidRPr="005E1103" w:rsidRDefault="00954B58" w:rsidP="00954B58">
      <w:pPr>
        <w:jc w:val="both"/>
        <w:rPr>
          <w:rFonts w:cstheme="minorHAnsi"/>
          <w:sz w:val="28"/>
          <w:szCs w:val="28"/>
        </w:rPr>
      </w:pPr>
      <w:r w:rsidRPr="005E1103">
        <w:rPr>
          <w:rFonts w:cstheme="minorHAnsi"/>
          <w:sz w:val="28"/>
          <w:szCs w:val="28"/>
        </w:rPr>
        <w:t>La Garantía Juvenil es una iniciativa europea que pretende facilitar el acceso de los jóvenes al mercado de trabajo y que está infrautilizada por los jóvenes con discapacidad. Por esta razón, la Fundación ONCE ofrece formación gratuita online sobre competencias transversales para mejorar la empleabilidad a los jóvenes con discapacidad inscritos en el Sistema Nacional de Garantía Juvenil. Son cursos de 400 horas, certificados y acreditados por el Instituto Universitario de Integración en la Comunidad de la Universidad de Salamanca, y que han dado comienzo en 2016. Para obtener más información sobre el Sistema de Garantía Juvenil en personas con discapacidad consultar, por ejemplo, http://blog-sid.usal.es/sistema-garantia-juvenil-discapacidad/.</w:t>
      </w:r>
    </w:p>
    <w:p w:rsidR="00954B58" w:rsidRPr="005E1103" w:rsidRDefault="00954B58" w:rsidP="00954B58">
      <w:pPr>
        <w:jc w:val="both"/>
        <w:rPr>
          <w:rFonts w:cstheme="minorHAnsi"/>
          <w:sz w:val="28"/>
          <w:szCs w:val="28"/>
        </w:rPr>
      </w:pPr>
    </w:p>
    <w:p w:rsidR="00954B58" w:rsidRPr="005E1103" w:rsidRDefault="00954B58" w:rsidP="00954B58">
      <w:pPr>
        <w:jc w:val="both"/>
        <w:rPr>
          <w:rFonts w:cstheme="minorHAnsi"/>
          <w:sz w:val="28"/>
          <w:szCs w:val="28"/>
        </w:rPr>
      </w:pPr>
      <w:r w:rsidRPr="005E1103">
        <w:rPr>
          <w:rFonts w:cstheme="minorHAnsi"/>
          <w:sz w:val="28"/>
          <w:szCs w:val="28"/>
        </w:rPr>
        <w:t>Conclusiones</w:t>
      </w:r>
    </w:p>
    <w:p w:rsidR="00954B58" w:rsidRPr="005E1103" w:rsidRDefault="00954B58" w:rsidP="00954B58">
      <w:pPr>
        <w:jc w:val="both"/>
        <w:rPr>
          <w:rFonts w:cstheme="minorHAnsi"/>
          <w:sz w:val="28"/>
          <w:szCs w:val="28"/>
        </w:rPr>
      </w:pPr>
      <w:r w:rsidRPr="005E1103">
        <w:rPr>
          <w:rFonts w:cstheme="minorHAnsi"/>
          <w:sz w:val="28"/>
          <w:szCs w:val="28"/>
        </w:rPr>
        <w:t xml:space="preserve">El desajuste existente entre las competencias más demandadas por el mercado laboral y las competencias adquiridas en los estudios universitarios, hace necesario la implementación de un sistema de enseñanza de competencias transversales que contribuya a mejorar la empleabilidad del estudiantado, y en especial en el caso de personas con limitaciones derivadas de una situación de discapacidad. </w:t>
      </w:r>
    </w:p>
    <w:p w:rsidR="00954B58" w:rsidRPr="005E1103" w:rsidRDefault="00954B58" w:rsidP="00954B58">
      <w:pPr>
        <w:jc w:val="both"/>
        <w:rPr>
          <w:rFonts w:cstheme="minorHAnsi"/>
          <w:sz w:val="28"/>
          <w:szCs w:val="28"/>
        </w:rPr>
      </w:pPr>
      <w:r w:rsidRPr="005E1103">
        <w:rPr>
          <w:rFonts w:cstheme="minorHAnsi"/>
          <w:sz w:val="28"/>
          <w:szCs w:val="28"/>
        </w:rPr>
        <w:t xml:space="preserve">El principal medio por el que la educación se transmite a los estudiantes es el currículo académico. Este es, por tanto, uno de los ejes fundamentales sobre los que se deberían aplicar las políticas dirigidas a mejorar la igualdad de oportunidades para los estudiantes con discapacidad (Díez et al., 2011). Según el estudio de Fundación Universia (2014), la razón más frecuente que origina el contacto y la utilización del Servicio de Atención a estudiantes con discapacidad es la solicitud de medidas de accesibilidad, señalando la accesibilidad de los materiales (27%), de las herramientas informáticas (19%) o de las páginas Web e intranets (16%) como barreras frecuentes. El estudio muestra que el 30% del alumnado con discapacidad ha recibido adaptaciones en el acceso a la universidad. </w:t>
      </w:r>
    </w:p>
    <w:p w:rsidR="00954B58" w:rsidRPr="005E1103" w:rsidRDefault="00954B58" w:rsidP="00954B58">
      <w:pPr>
        <w:jc w:val="both"/>
        <w:rPr>
          <w:rFonts w:cstheme="minorHAnsi"/>
          <w:sz w:val="28"/>
          <w:szCs w:val="28"/>
        </w:rPr>
      </w:pPr>
      <w:r w:rsidRPr="005E1103">
        <w:rPr>
          <w:rFonts w:cstheme="minorHAnsi"/>
          <w:sz w:val="28"/>
          <w:szCs w:val="28"/>
        </w:rPr>
        <w:t xml:space="preserve">En conclusión, consideramos que la puesta en marcha de acciones formativas como la presentada puede contribuir de manera significativa a </w:t>
      </w:r>
      <w:r w:rsidRPr="005E1103">
        <w:rPr>
          <w:rFonts w:cstheme="minorHAnsi"/>
          <w:sz w:val="28"/>
          <w:szCs w:val="28"/>
        </w:rPr>
        <w:lastRenderedPageBreak/>
        <w:t>mejorar la empleabilidad futura de las personas con discapacidad. Además, el planteamiento de estas acciones formativas desde perspectivas proactivas que tienen en cuenta la diversidad de estudiantes desde las primeras fases del diseño curricular, y siguiendo principios y estándares en relación al Diseño Universal y el Diseño Universal para el Aprendizaje, minimiza las adaptaciones y mejora el acceso a la educación para todas las personas.</w:t>
      </w:r>
    </w:p>
    <w:p w:rsidR="00954B58" w:rsidRPr="005E1103" w:rsidRDefault="00954B58" w:rsidP="00954B58">
      <w:pPr>
        <w:jc w:val="both"/>
        <w:rPr>
          <w:rFonts w:cstheme="minorHAnsi"/>
          <w:sz w:val="28"/>
          <w:szCs w:val="28"/>
        </w:rPr>
      </w:pPr>
      <w:r w:rsidRPr="005E1103">
        <w:rPr>
          <w:rFonts w:cstheme="minorHAnsi"/>
          <w:sz w:val="28"/>
          <w:szCs w:val="28"/>
        </w:rPr>
        <w:t>Referencias bibliográficas</w:t>
      </w:r>
    </w:p>
    <w:p w:rsidR="00954B58" w:rsidRPr="005E1103" w:rsidRDefault="00954B58" w:rsidP="00954B58">
      <w:pPr>
        <w:jc w:val="both"/>
        <w:rPr>
          <w:rFonts w:cstheme="minorHAnsi"/>
          <w:sz w:val="28"/>
          <w:szCs w:val="28"/>
          <w:lang w:val="en-US"/>
        </w:rPr>
      </w:pPr>
      <w:r w:rsidRPr="005E1103">
        <w:rPr>
          <w:rFonts w:cstheme="minorHAnsi"/>
          <w:sz w:val="28"/>
          <w:szCs w:val="28"/>
        </w:rPr>
        <w:t xml:space="preserve">Allen, J. &amp; van der Velden , R. (2011). </w:t>
      </w:r>
      <w:r w:rsidRPr="005E1103">
        <w:rPr>
          <w:rFonts w:cstheme="minorHAnsi"/>
          <w:sz w:val="28"/>
          <w:szCs w:val="28"/>
          <w:lang w:val="en-US"/>
        </w:rPr>
        <w:t>The Flexible Professional in the Knowledge Society: New Challenges for Higher Education (Higher Education Dynamics). Springer.</w:t>
      </w:r>
    </w:p>
    <w:p w:rsidR="00954B58" w:rsidRPr="00BF6455" w:rsidRDefault="00954B58" w:rsidP="00954B58">
      <w:pPr>
        <w:jc w:val="both"/>
        <w:rPr>
          <w:rFonts w:cstheme="minorHAnsi"/>
          <w:sz w:val="28"/>
          <w:szCs w:val="28"/>
          <w:lang w:val="en-US"/>
        </w:rPr>
      </w:pPr>
      <w:r w:rsidRPr="005E1103">
        <w:rPr>
          <w:rFonts w:cstheme="minorHAnsi"/>
          <w:sz w:val="28"/>
          <w:szCs w:val="28"/>
          <w:lang w:val="en-US"/>
        </w:rPr>
        <w:t xml:space="preserve">Burgstahler, S. (2012). Universal Design: Process, Principles, and Applications. </w:t>
      </w:r>
      <w:r w:rsidRPr="00BF6455">
        <w:rPr>
          <w:rFonts w:cstheme="minorHAnsi"/>
          <w:sz w:val="28"/>
          <w:szCs w:val="28"/>
          <w:lang w:val="en-US"/>
        </w:rPr>
        <w:t>Recuperado de http://www.washington.edu/doit/Brochures/PDF/ud.pdf.</w:t>
      </w:r>
    </w:p>
    <w:p w:rsidR="00954B58" w:rsidRPr="005E1103" w:rsidRDefault="00954B58" w:rsidP="00954B58">
      <w:pPr>
        <w:jc w:val="both"/>
        <w:rPr>
          <w:rFonts w:cstheme="minorHAnsi"/>
          <w:sz w:val="28"/>
          <w:szCs w:val="28"/>
        </w:rPr>
      </w:pPr>
      <w:r w:rsidRPr="005E1103">
        <w:rPr>
          <w:rFonts w:cstheme="minorHAnsi"/>
          <w:sz w:val="28"/>
          <w:szCs w:val="28"/>
          <w:lang w:val="en-US"/>
        </w:rPr>
        <w:t xml:space="preserve">CAST (2011). Universal Design for Learning Guidelines version 2.0. </w:t>
      </w:r>
      <w:r w:rsidRPr="005E1103">
        <w:rPr>
          <w:rFonts w:cstheme="minorHAnsi"/>
          <w:sz w:val="28"/>
          <w:szCs w:val="28"/>
        </w:rPr>
        <w:t xml:space="preserve">Wakefield, MA </w:t>
      </w:r>
    </w:p>
    <w:p w:rsidR="00954B58" w:rsidRPr="005E1103" w:rsidRDefault="00954B58" w:rsidP="00954B58">
      <w:pPr>
        <w:jc w:val="both"/>
        <w:rPr>
          <w:rFonts w:cstheme="minorHAnsi"/>
          <w:sz w:val="28"/>
          <w:szCs w:val="28"/>
        </w:rPr>
      </w:pPr>
      <w:r w:rsidRPr="005E1103">
        <w:rPr>
          <w:rFonts w:cstheme="minorHAnsi"/>
          <w:sz w:val="28"/>
          <w:szCs w:val="28"/>
        </w:rPr>
        <w:t>Díez, E., Alonso, A., Verdugo, M. A., Sancho, I., Sánchez, S., Calvo, I. y Moral, E. (2011). Espacio Europeo de Educación Superior: estándares e indicadores de buenas prácticas para la atención a estudiantes universitarios con discapacidad. Salamanca: Instituto Universitario de Integración en la Comunidad.</w:t>
      </w:r>
    </w:p>
    <w:p w:rsidR="00954B58" w:rsidRPr="005E1103" w:rsidRDefault="00954B58" w:rsidP="00954B58">
      <w:pPr>
        <w:jc w:val="both"/>
        <w:rPr>
          <w:rFonts w:cstheme="minorHAnsi"/>
          <w:sz w:val="28"/>
          <w:szCs w:val="28"/>
        </w:rPr>
      </w:pPr>
      <w:r w:rsidRPr="005E1103">
        <w:rPr>
          <w:rFonts w:cstheme="minorHAnsi"/>
          <w:sz w:val="28"/>
          <w:szCs w:val="28"/>
        </w:rPr>
        <w:t>Dalmau, M. Llinares, M. y Sala, I. (2013). Formación universitaria e inserción laboral. Titulados españoles con discapacidad y competencias profesionalizadoras. Revista Española de Discapacidad, 2, 95-118. doi: 10.5569/2340-5104.01.02.06</w:t>
      </w:r>
    </w:p>
    <w:p w:rsidR="00954B58" w:rsidRPr="005E1103" w:rsidRDefault="00954B58" w:rsidP="00954B58">
      <w:pPr>
        <w:jc w:val="both"/>
        <w:rPr>
          <w:rFonts w:cstheme="minorHAnsi"/>
          <w:sz w:val="28"/>
          <w:szCs w:val="28"/>
        </w:rPr>
      </w:pPr>
      <w:r w:rsidRPr="005E1103">
        <w:rPr>
          <w:rFonts w:cstheme="minorHAnsi"/>
          <w:sz w:val="28"/>
          <w:szCs w:val="28"/>
          <w:lang w:val="en-US"/>
        </w:rPr>
        <w:t xml:space="preserve">Farley, R., Bolton, B.,  &amp; Little, N. (1990). Employability assessment and planning in rehabilitation and educational settings. </w:t>
      </w:r>
      <w:r w:rsidRPr="005E1103">
        <w:rPr>
          <w:rFonts w:cstheme="minorHAnsi"/>
          <w:sz w:val="28"/>
          <w:szCs w:val="28"/>
        </w:rPr>
        <w:t>Vocational Evaluation and Work Adjustment Bulletin, 23, 117-123.</w:t>
      </w:r>
    </w:p>
    <w:p w:rsidR="00954B58" w:rsidRPr="005E1103" w:rsidRDefault="00954B58" w:rsidP="00954B58">
      <w:pPr>
        <w:jc w:val="both"/>
        <w:rPr>
          <w:rFonts w:cstheme="minorHAnsi"/>
          <w:sz w:val="28"/>
          <w:szCs w:val="28"/>
        </w:rPr>
      </w:pPr>
      <w:r w:rsidRPr="005E1103">
        <w:rPr>
          <w:rFonts w:cstheme="minorHAnsi"/>
          <w:sz w:val="28"/>
          <w:szCs w:val="28"/>
        </w:rPr>
        <w:t>Fundación Universia (2014). Universidad y Discapacidad. II Estudio sobre el grado de inclusión del sistema universitarios español respecto de la realidad de la discapacidad.</w:t>
      </w:r>
    </w:p>
    <w:p w:rsidR="00954B58" w:rsidRPr="005E1103" w:rsidRDefault="00954B58" w:rsidP="00954B58">
      <w:pPr>
        <w:jc w:val="both"/>
        <w:rPr>
          <w:rFonts w:cstheme="minorHAnsi"/>
          <w:sz w:val="28"/>
          <w:szCs w:val="28"/>
        </w:rPr>
      </w:pPr>
      <w:r w:rsidRPr="005E1103">
        <w:rPr>
          <w:rFonts w:cstheme="minorHAnsi"/>
          <w:sz w:val="28"/>
          <w:szCs w:val="28"/>
        </w:rPr>
        <w:t>Hué, C. (coord.) (2008) Competencias genéricas y transversales de los titulados universitarios. Instituto de Ciencias de la Educación: Universidad de Zaragoza.</w:t>
      </w:r>
    </w:p>
    <w:p w:rsidR="00954B58" w:rsidRPr="005E1103" w:rsidRDefault="00954B58" w:rsidP="00954B58">
      <w:pPr>
        <w:jc w:val="both"/>
        <w:rPr>
          <w:rFonts w:cstheme="minorHAnsi"/>
          <w:sz w:val="28"/>
          <w:szCs w:val="28"/>
        </w:rPr>
      </w:pPr>
      <w:r w:rsidRPr="00BF6455">
        <w:rPr>
          <w:rFonts w:cstheme="minorHAnsi"/>
          <w:sz w:val="28"/>
          <w:szCs w:val="28"/>
        </w:rPr>
        <w:lastRenderedPageBreak/>
        <w:t xml:space="preserve">McGuire, J., Scott, S., y Shaw, S. (2006). </w:t>
      </w:r>
      <w:r w:rsidRPr="005E1103">
        <w:rPr>
          <w:rFonts w:cstheme="minorHAnsi"/>
          <w:sz w:val="28"/>
          <w:szCs w:val="28"/>
          <w:lang w:val="en-US"/>
        </w:rPr>
        <w:t xml:space="preserve">Universal Design and its applications in educational environments. </w:t>
      </w:r>
      <w:r w:rsidRPr="005E1103">
        <w:rPr>
          <w:rFonts w:cstheme="minorHAnsi"/>
          <w:sz w:val="28"/>
          <w:szCs w:val="28"/>
        </w:rPr>
        <w:t>Remedial and special education, 27(3), 166–175.</w:t>
      </w:r>
    </w:p>
    <w:p w:rsidR="00954B58" w:rsidRPr="005E1103" w:rsidRDefault="00954B58" w:rsidP="00954B58">
      <w:pPr>
        <w:jc w:val="both"/>
        <w:rPr>
          <w:rFonts w:cstheme="minorHAnsi"/>
          <w:sz w:val="28"/>
          <w:szCs w:val="28"/>
        </w:rPr>
      </w:pPr>
      <w:r w:rsidRPr="005E1103">
        <w:rPr>
          <w:rFonts w:cstheme="minorHAnsi"/>
          <w:sz w:val="28"/>
          <w:szCs w:val="28"/>
        </w:rPr>
        <w:t>Ruiz, R., Solé, L., Echeita, G., Sala, I., y Datsira, M. (2012). El principio del Universal Design. Concepto y desarrollos en la enseñanza superior. Revista de Educación, 359, 413-430. doi:10-4438/1988-592X-RE-2010-359-100</w:t>
      </w:r>
    </w:p>
    <w:p w:rsidR="00954B58" w:rsidRPr="005E1103" w:rsidRDefault="00954B58" w:rsidP="00954B58">
      <w:pPr>
        <w:jc w:val="both"/>
        <w:rPr>
          <w:rFonts w:cstheme="minorHAnsi"/>
          <w:sz w:val="28"/>
          <w:szCs w:val="28"/>
          <w:lang w:val="en-US"/>
        </w:rPr>
      </w:pPr>
      <w:r w:rsidRPr="005E1103">
        <w:rPr>
          <w:rFonts w:cstheme="minorHAnsi"/>
          <w:sz w:val="28"/>
          <w:szCs w:val="28"/>
        </w:rPr>
        <w:t xml:space="preserve">Sánchez, S. y Díez, E. (2013). La educación inclusiva desde el currículum: el Diseño Universal para el Aprendizaje. En Henar Rodríguez Navarro y Luis Torrego Egido (Eds.): Educación inclusiva, equidad y derecho a la diferencia (pp. 107-119). </w:t>
      </w:r>
      <w:r w:rsidRPr="005E1103">
        <w:rPr>
          <w:rFonts w:cstheme="minorHAnsi"/>
          <w:sz w:val="28"/>
          <w:szCs w:val="28"/>
          <w:lang w:val="en-US"/>
        </w:rPr>
        <w:t>Las Rozas, Madrid: Wolters Kluwer España.</w:t>
      </w:r>
    </w:p>
    <w:p w:rsidR="00954B58" w:rsidRPr="005E1103" w:rsidRDefault="00954B58" w:rsidP="00954B58">
      <w:pPr>
        <w:jc w:val="both"/>
        <w:rPr>
          <w:rFonts w:cstheme="minorHAnsi"/>
          <w:sz w:val="28"/>
          <w:szCs w:val="28"/>
        </w:rPr>
      </w:pPr>
      <w:r w:rsidRPr="005E1103">
        <w:rPr>
          <w:rFonts w:cstheme="minorHAnsi"/>
          <w:sz w:val="28"/>
          <w:szCs w:val="28"/>
          <w:lang w:val="en-US"/>
        </w:rPr>
        <w:t xml:space="preserve">Schwanke, T. D., Smith, R. O., y Edyburn, D. L. (2001). A3 model diagram developed as accessibility and universal design instructional tool. </w:t>
      </w:r>
      <w:r w:rsidRPr="005E1103">
        <w:rPr>
          <w:rFonts w:cstheme="minorHAnsi"/>
          <w:sz w:val="28"/>
          <w:szCs w:val="28"/>
        </w:rPr>
        <w:t>RESNA 2001: Annual Conference Proceedings, 21 (1), 205-207.</w:t>
      </w:r>
    </w:p>
    <w:p w:rsidR="00954B58" w:rsidRPr="005E1103" w:rsidRDefault="00954B58">
      <w:pPr>
        <w:rPr>
          <w:rFonts w:cstheme="minorHAnsi"/>
          <w:sz w:val="28"/>
          <w:szCs w:val="28"/>
        </w:rPr>
      </w:pPr>
      <w:r w:rsidRPr="005E1103">
        <w:rPr>
          <w:rFonts w:cstheme="minorHAnsi"/>
          <w:sz w:val="28"/>
          <w:szCs w:val="28"/>
        </w:rPr>
        <w:br w:type="page"/>
      </w:r>
    </w:p>
    <w:p w:rsidR="00954B58" w:rsidRPr="005E1103" w:rsidRDefault="00954B58" w:rsidP="00954B58">
      <w:pPr>
        <w:jc w:val="center"/>
        <w:rPr>
          <w:rFonts w:cstheme="minorHAnsi"/>
          <w:b/>
          <w:sz w:val="28"/>
          <w:szCs w:val="28"/>
        </w:rPr>
      </w:pPr>
    </w:p>
    <w:p w:rsidR="00954B58" w:rsidRPr="005E1103" w:rsidRDefault="00954B58" w:rsidP="00954B58">
      <w:pPr>
        <w:pBdr>
          <w:top w:val="single" w:sz="4" w:space="1" w:color="auto"/>
          <w:left w:val="single" w:sz="4" w:space="4" w:color="auto"/>
          <w:bottom w:val="single" w:sz="4" w:space="1" w:color="auto"/>
          <w:right w:val="single" w:sz="4" w:space="4" w:color="auto"/>
        </w:pBdr>
        <w:jc w:val="center"/>
        <w:rPr>
          <w:rFonts w:cstheme="minorHAnsi"/>
          <w:b/>
          <w:sz w:val="28"/>
          <w:szCs w:val="28"/>
        </w:rPr>
      </w:pPr>
      <w:r w:rsidRPr="005E1103">
        <w:rPr>
          <w:rFonts w:cstheme="minorHAnsi"/>
          <w:b/>
          <w:sz w:val="28"/>
          <w:szCs w:val="28"/>
        </w:rPr>
        <w:t>COMUNICACIÓN 3</w:t>
      </w:r>
    </w:p>
    <w:p w:rsidR="00954B58" w:rsidRPr="005E1103" w:rsidRDefault="00954B58" w:rsidP="00954B58">
      <w:pPr>
        <w:pBdr>
          <w:top w:val="single" w:sz="4" w:space="1" w:color="auto"/>
          <w:left w:val="single" w:sz="4" w:space="4" w:color="auto"/>
          <w:bottom w:val="single" w:sz="4" w:space="1" w:color="auto"/>
          <w:right w:val="single" w:sz="4" w:space="4" w:color="auto"/>
        </w:pBdr>
        <w:jc w:val="center"/>
        <w:rPr>
          <w:rFonts w:cstheme="minorHAnsi"/>
          <w:b/>
          <w:sz w:val="28"/>
          <w:szCs w:val="28"/>
        </w:rPr>
      </w:pPr>
      <w:r w:rsidRPr="005E1103">
        <w:rPr>
          <w:rFonts w:cstheme="minorHAnsi"/>
          <w:b/>
          <w:sz w:val="28"/>
          <w:szCs w:val="28"/>
        </w:rPr>
        <w:t>LA PRÁCTICA DE LA INTELIGENCIA EMOCIONAL: COMPETENCIA EDUCATIVA PARA UN MEJOR LIDERAZGO DE LOS UNIVERSITARIOS CON DISCAPACIDAD</w:t>
      </w:r>
    </w:p>
    <w:p w:rsidR="00954B58" w:rsidRPr="005E1103" w:rsidRDefault="00954B58" w:rsidP="00954B58">
      <w:pPr>
        <w:jc w:val="right"/>
        <w:rPr>
          <w:rFonts w:cstheme="minorHAnsi"/>
          <w:sz w:val="28"/>
          <w:szCs w:val="28"/>
        </w:rPr>
      </w:pPr>
      <w:r w:rsidRPr="005E1103">
        <w:rPr>
          <w:rFonts w:cstheme="minorHAnsi"/>
          <w:sz w:val="28"/>
          <w:szCs w:val="28"/>
        </w:rPr>
        <w:t>Mª del Carmen Ortega Navas</w:t>
      </w:r>
    </w:p>
    <w:p w:rsidR="00954B58" w:rsidRPr="005E1103" w:rsidRDefault="00954B58" w:rsidP="00954B58">
      <w:pPr>
        <w:jc w:val="right"/>
        <w:rPr>
          <w:rFonts w:cstheme="minorHAnsi"/>
          <w:sz w:val="28"/>
          <w:szCs w:val="28"/>
        </w:rPr>
      </w:pPr>
      <w:r w:rsidRPr="005E1103">
        <w:rPr>
          <w:rFonts w:cstheme="minorHAnsi"/>
          <w:sz w:val="28"/>
          <w:szCs w:val="28"/>
        </w:rPr>
        <w:t>Profesora Contratada Doctor</w:t>
      </w:r>
    </w:p>
    <w:p w:rsidR="00954B58" w:rsidRPr="005E1103" w:rsidRDefault="00954B58" w:rsidP="00954B58">
      <w:pPr>
        <w:jc w:val="right"/>
        <w:rPr>
          <w:rFonts w:cstheme="minorHAnsi"/>
          <w:sz w:val="28"/>
          <w:szCs w:val="28"/>
        </w:rPr>
      </w:pPr>
      <w:r w:rsidRPr="005E1103">
        <w:rPr>
          <w:rFonts w:cstheme="minorHAnsi"/>
          <w:sz w:val="28"/>
          <w:szCs w:val="28"/>
        </w:rPr>
        <w:t xml:space="preserve">                            Universidad Nacional de Educación a Distancia (UNED)</w:t>
      </w:r>
    </w:p>
    <w:p w:rsidR="00954B58" w:rsidRPr="005E1103" w:rsidRDefault="00954B58" w:rsidP="00954B58">
      <w:pPr>
        <w:jc w:val="right"/>
        <w:rPr>
          <w:rFonts w:cstheme="minorHAnsi"/>
          <w:sz w:val="28"/>
          <w:szCs w:val="28"/>
        </w:rPr>
      </w:pPr>
    </w:p>
    <w:p w:rsidR="00954B58" w:rsidRPr="005E1103" w:rsidRDefault="00954B58" w:rsidP="00954B58">
      <w:pPr>
        <w:spacing w:after="0" w:line="360" w:lineRule="auto"/>
        <w:rPr>
          <w:rFonts w:eastAsia="Calibri" w:cstheme="minorHAnsi"/>
          <w:sz w:val="28"/>
          <w:szCs w:val="28"/>
        </w:rPr>
      </w:pPr>
      <w:r w:rsidRPr="005E1103">
        <w:rPr>
          <w:rFonts w:eastAsia="Calibri" w:cstheme="minorHAnsi"/>
          <w:sz w:val="28"/>
          <w:szCs w:val="28"/>
        </w:rPr>
        <w:t>Introducción: Aproximación histórica-legislativa de la discapacidad y los estudios universitarios</w:t>
      </w:r>
    </w:p>
    <w:p w:rsidR="00954B58" w:rsidRPr="005E1103" w:rsidRDefault="00954B58" w:rsidP="00954B58">
      <w:pPr>
        <w:spacing w:after="0" w:line="240" w:lineRule="auto"/>
        <w:jc w:val="both"/>
        <w:rPr>
          <w:rFonts w:eastAsia="Calibri" w:cstheme="minorHAnsi"/>
          <w:sz w:val="28"/>
          <w:szCs w:val="28"/>
        </w:rPr>
      </w:pPr>
    </w:p>
    <w:p w:rsidR="00954B58" w:rsidRPr="005E1103" w:rsidRDefault="00954B58" w:rsidP="00954B58">
      <w:pPr>
        <w:spacing w:after="120" w:line="360" w:lineRule="auto"/>
        <w:ind w:firstLine="340"/>
        <w:jc w:val="both"/>
        <w:rPr>
          <w:rFonts w:eastAsia="Calibri" w:cstheme="minorHAnsi"/>
          <w:sz w:val="28"/>
          <w:szCs w:val="28"/>
          <w:lang w:val="es-MX"/>
        </w:rPr>
      </w:pPr>
      <w:r w:rsidRPr="005E1103">
        <w:rPr>
          <w:rFonts w:eastAsia="Calibri" w:cstheme="minorHAnsi"/>
          <w:sz w:val="28"/>
          <w:szCs w:val="28"/>
          <w:lang w:val="es-MX"/>
        </w:rPr>
        <w:t>El concepto de discapacidad ha evolucionado a lo largo de la historia, y particularmente en los últimos años, de modo que el modelo (tradicional, rehabilitado, social y autonomía personal), acerca del tipo de educación que deben recibir las personas con discapacidad, también se ha visto modificado. Para contextualizar la temática que nos ocupa presentamos un breve recorrido por algunos hitos que han marcado su devenir histórico-legislativo.</w:t>
      </w:r>
    </w:p>
    <w:p w:rsidR="00954B58" w:rsidRPr="005E1103" w:rsidRDefault="00954B58" w:rsidP="00954B58">
      <w:pPr>
        <w:spacing w:after="120" w:line="360" w:lineRule="auto"/>
        <w:ind w:firstLine="340"/>
        <w:jc w:val="both"/>
        <w:rPr>
          <w:rFonts w:eastAsia="Calibri" w:cstheme="minorHAnsi"/>
          <w:sz w:val="28"/>
          <w:szCs w:val="28"/>
          <w:lang w:val="es-MX"/>
        </w:rPr>
      </w:pPr>
      <w:r w:rsidRPr="005E1103">
        <w:rPr>
          <w:rFonts w:eastAsia="Calibri" w:cstheme="minorHAnsi"/>
          <w:sz w:val="28"/>
          <w:szCs w:val="28"/>
          <w:lang w:val="es-MX"/>
        </w:rPr>
        <w:t xml:space="preserve">Históricamente, es a finales de siglo XVIII, cuando se inicia una reforma de las instituciones educativas a favor de las personas con discapacidad. Posteriormente, en el siglo XIX las personas con discapacidad pasan a ser personas estudiadas desde una perspectiva psico-médico-pedagógica y no meros sujetos de asistencia (Astorga, 2003). Evidentemente, la transición hacia esa nueva perspectiva educativa, social y laboral de las personas con discapacidad no ha sido un recorrido sencillo, pues inicialmente a éstas personas se las solía ubicar en centros especializados fuera de las ciudades </w:t>
      </w:r>
      <w:r w:rsidRPr="005E1103">
        <w:rPr>
          <w:rFonts w:eastAsia="Calibri" w:cstheme="minorHAnsi"/>
          <w:sz w:val="28"/>
          <w:szCs w:val="28"/>
          <w:lang w:val="es-MX"/>
        </w:rPr>
        <w:lastRenderedPageBreak/>
        <w:t>para que no “</w:t>
      </w:r>
      <w:r w:rsidRPr="005E1103">
        <w:rPr>
          <w:rFonts w:eastAsia="Calibri" w:cstheme="minorHAnsi"/>
          <w:i/>
          <w:sz w:val="28"/>
          <w:szCs w:val="28"/>
          <w:lang w:val="es-MX"/>
        </w:rPr>
        <w:t xml:space="preserve">molestaran” </w:t>
      </w:r>
      <w:r w:rsidRPr="005E1103">
        <w:rPr>
          <w:rFonts w:eastAsia="Calibri" w:cstheme="minorHAnsi"/>
          <w:sz w:val="28"/>
          <w:szCs w:val="28"/>
          <w:lang w:val="es-MX"/>
        </w:rPr>
        <w:t>al resto de la sociedad, alegando que esos centros estaban situados en entornos más adecuados para ellos.</w:t>
      </w:r>
    </w:p>
    <w:p w:rsidR="00954B58" w:rsidRPr="005E1103" w:rsidRDefault="00954B58" w:rsidP="00954B58">
      <w:pPr>
        <w:spacing w:after="120" w:line="360" w:lineRule="auto"/>
        <w:ind w:firstLine="340"/>
        <w:jc w:val="both"/>
        <w:rPr>
          <w:rFonts w:eastAsia="Calibri" w:cstheme="minorHAnsi"/>
          <w:sz w:val="28"/>
          <w:szCs w:val="28"/>
          <w:lang w:val="es-MX"/>
        </w:rPr>
      </w:pPr>
      <w:r w:rsidRPr="005E1103">
        <w:rPr>
          <w:rFonts w:eastAsia="Calibri" w:cstheme="minorHAnsi"/>
          <w:sz w:val="28"/>
          <w:szCs w:val="28"/>
          <w:lang w:val="es-MX"/>
        </w:rPr>
        <w:t xml:space="preserve">Si bien no será, hasta mediados del siglo XX, cuando está situación de institucionalización comience a cambiar, debido a que hasta ese momento estaban aún  arraigadas ciertas creencias, actitudes negativas, y prejuicios hacia la discapacidad en la sociedad, constituyendo un obstáculo para la educación, empleabilidad y participación social. </w:t>
      </w:r>
      <w:r w:rsidRPr="005E1103">
        <w:rPr>
          <w:rFonts w:eastAsia="Calibri" w:cstheme="minorHAnsi"/>
          <w:color w:val="000000"/>
          <w:sz w:val="28"/>
          <w:szCs w:val="28"/>
        </w:rPr>
        <w:t>En nuestro país, la Constitución Española de 1978, es el primer antecedente en el ámbito de la atención educativa en relación a la discapacidad, de modo que en su art. 4ª se proclama que los poderes públicos deben realizar una política de integración a favor de los discapacitados</w:t>
      </w:r>
    </w:p>
    <w:p w:rsidR="00954B58" w:rsidRPr="005E1103" w:rsidRDefault="00954B58" w:rsidP="00954B58">
      <w:pPr>
        <w:spacing w:after="120" w:line="360" w:lineRule="auto"/>
        <w:ind w:firstLine="340"/>
        <w:jc w:val="both"/>
        <w:rPr>
          <w:rFonts w:eastAsia="Calibri" w:cstheme="minorHAnsi"/>
          <w:sz w:val="28"/>
          <w:szCs w:val="28"/>
          <w:lang w:val="es-MX"/>
        </w:rPr>
      </w:pPr>
      <w:r w:rsidRPr="005E1103">
        <w:rPr>
          <w:rFonts w:eastAsia="Calibri" w:cstheme="minorHAnsi"/>
          <w:sz w:val="28"/>
          <w:szCs w:val="28"/>
          <w:lang w:val="es-MX"/>
        </w:rPr>
        <w:t xml:space="preserve">En los años ochenta la aportación del documento </w:t>
      </w:r>
      <w:r w:rsidRPr="005E1103">
        <w:rPr>
          <w:rFonts w:eastAsia="Calibri" w:cstheme="minorHAnsi"/>
          <w:i/>
          <w:sz w:val="28"/>
          <w:szCs w:val="28"/>
          <w:lang w:val="es-MX"/>
        </w:rPr>
        <w:t>Clasificación Internacional de las Deficiencias, Discapacidades y Minusvalías</w:t>
      </w:r>
      <w:r w:rsidRPr="005E1103">
        <w:rPr>
          <w:rFonts w:eastAsia="Calibri" w:cstheme="minorHAnsi"/>
          <w:sz w:val="28"/>
          <w:szCs w:val="28"/>
          <w:lang w:val="es-MX"/>
        </w:rPr>
        <w:t xml:space="preserve"> (Organización Mundial de la Salud, 1980) supuso una alternativa en la definición de discapacidad, al atribuirla no a las causas que provocan la deficiencia, sino a las consecuencias que las deficiencias pueden generar en el funcionamiento de las personas con alguna discapacidad. En el ámbito educativo, sin lugar a dudas, esto propicio una apuesta por una educación inclusiva que </w:t>
      </w:r>
      <w:r w:rsidRPr="005E1103">
        <w:rPr>
          <w:rFonts w:eastAsia="Calibri" w:cstheme="minorHAnsi"/>
          <w:iCs/>
          <w:sz w:val="28"/>
          <w:szCs w:val="28"/>
          <w:lang w:val="es-MX"/>
        </w:rPr>
        <w:t>se nutre de “un significativo cambio que se ha operado en la forma de percibir y entender hoy la discapacidad” (Aguilar, 2003: 7)</w:t>
      </w:r>
      <w:r w:rsidRPr="005E1103">
        <w:rPr>
          <w:rFonts w:eastAsia="Calibri" w:cstheme="minorHAnsi"/>
          <w:sz w:val="28"/>
          <w:szCs w:val="28"/>
          <w:lang w:val="es-MX"/>
        </w:rPr>
        <w:t xml:space="preserve">. </w:t>
      </w:r>
    </w:p>
    <w:p w:rsidR="00954B58" w:rsidRPr="005E1103" w:rsidRDefault="00954B58" w:rsidP="00954B58">
      <w:pPr>
        <w:spacing w:after="120" w:line="360" w:lineRule="auto"/>
        <w:ind w:firstLine="340"/>
        <w:jc w:val="both"/>
        <w:rPr>
          <w:rFonts w:eastAsia="Calibri" w:cstheme="minorHAnsi"/>
          <w:color w:val="000000"/>
          <w:sz w:val="28"/>
          <w:szCs w:val="28"/>
        </w:rPr>
      </w:pPr>
      <w:r w:rsidRPr="005E1103">
        <w:rPr>
          <w:rFonts w:eastAsia="Calibri" w:cstheme="minorHAnsi"/>
          <w:sz w:val="28"/>
          <w:szCs w:val="28"/>
          <w:lang w:val="es-MX"/>
        </w:rPr>
        <w:t>Cabe destacar que l</w:t>
      </w:r>
      <w:r w:rsidRPr="005E1103">
        <w:rPr>
          <w:rFonts w:eastAsia="Calibri" w:cstheme="minorHAnsi"/>
          <w:color w:val="000000"/>
          <w:sz w:val="28"/>
          <w:szCs w:val="28"/>
        </w:rPr>
        <w:t xml:space="preserve">a declaración del año 2003 como </w:t>
      </w:r>
      <w:r w:rsidRPr="005E1103">
        <w:rPr>
          <w:rFonts w:eastAsia="Calibri" w:cstheme="minorHAnsi"/>
          <w:i/>
          <w:color w:val="000000"/>
          <w:sz w:val="28"/>
          <w:szCs w:val="28"/>
        </w:rPr>
        <w:t>Año Europeo de las personas con discapacidad,</w:t>
      </w:r>
      <w:r w:rsidRPr="005E1103">
        <w:rPr>
          <w:rFonts w:eastAsia="Calibri" w:cstheme="minorHAnsi"/>
          <w:color w:val="000000"/>
          <w:sz w:val="28"/>
          <w:szCs w:val="28"/>
        </w:rPr>
        <w:t xml:space="preserve"> ha supuesto un compromiso por parte de las autoridades de la Unión Europea para la concienciación social,  la adopción de estrategias comunes encaminadas a la consecución de garantizar, y hacer efectivo el derecho a la igualdad de oportunidades de </w:t>
      </w:r>
      <w:r w:rsidRPr="005E1103">
        <w:rPr>
          <w:rFonts w:eastAsia="Calibri" w:cstheme="minorHAnsi"/>
          <w:color w:val="000000"/>
          <w:sz w:val="28"/>
          <w:szCs w:val="28"/>
        </w:rPr>
        <w:lastRenderedPageBreak/>
        <w:t>las personas con discapacidad. También, para evitar o compensar las desventajas de una persona con discapacidad que le permita participar plenamente en la vida política, económica, cultural y social, conforme queda patente en el art. 1 de la Ley 51/2003, de 2 de diciembre de Igualdad de oportunidades, no discriminación y accesibilidad universal de las personas con discapacidad (LIONDAU), y que igualmente se ratificó en la Convención sobre los derechos de las personas con discapacidad recogidos en el BOE (21 abril 2008), como instrumento de ratificación de la Convención sobre los derechos de las personas con discapacidad (13 diciembre 2006, en Nueva York), y en concreto, en el caso que nos ocupa, en el articulo 24 referente a la educación de las personas con discapacidad, sobre la premisa de asegurar un sistema de educación inclusivo en todos los niveles.</w:t>
      </w:r>
    </w:p>
    <w:p w:rsidR="00954B58" w:rsidRPr="005E1103" w:rsidRDefault="00954B58" w:rsidP="00954B58">
      <w:pPr>
        <w:spacing w:after="120" w:line="360" w:lineRule="auto"/>
        <w:ind w:firstLine="340"/>
        <w:jc w:val="both"/>
        <w:rPr>
          <w:rFonts w:eastAsia="Calibri" w:cstheme="minorHAnsi"/>
          <w:sz w:val="28"/>
          <w:szCs w:val="28"/>
          <w:lang w:val="es-MX"/>
        </w:rPr>
      </w:pPr>
      <w:r w:rsidRPr="005E1103">
        <w:rPr>
          <w:rFonts w:eastAsia="Calibri" w:cstheme="minorHAnsi"/>
          <w:sz w:val="28"/>
          <w:szCs w:val="28"/>
          <w:lang w:val="es-MX"/>
        </w:rPr>
        <w:t xml:space="preserve">En el nivel educativo universitario, donde nos centraremos en esta ocasión, no es una excepción, y es consciente de la importancia de acercar la educación a todos en general, y de modo concreto, a las personas discapacitadas independientemente </w:t>
      </w:r>
      <w:r w:rsidRPr="005E1103">
        <w:rPr>
          <w:rFonts w:eastAsia="Calibri" w:cstheme="minorHAnsi"/>
          <w:sz w:val="28"/>
          <w:szCs w:val="28"/>
        </w:rPr>
        <w:t>de su tipología: física, sensorial o psíquica</w:t>
      </w:r>
      <w:r w:rsidRPr="005E1103">
        <w:rPr>
          <w:rFonts w:eastAsia="Calibri" w:cstheme="minorHAnsi"/>
          <w:sz w:val="28"/>
          <w:szCs w:val="28"/>
          <w:lang w:val="es-MX"/>
        </w:rPr>
        <w:t xml:space="preserve">. Para ello, se hace necesario poner en marcha las medidas idóneas para dar respuesta adecuada a este grupo de personas, y que éstas puedan disfrutar de las mismas posibilidades. Esta igualdad de oportunidades queda plasmada en la Ley 6/2001, de 21 de diciembre, de Universidades, modificada por la Ley Orgánica 4/2007, de 12 de abril (LOMLOU) por la que se estableció la importancia de impulsar políticas activas para garantizar la igualdad de oportunidades e  inclusión de las personas con discapacidad en las universidades (Disposición Adicional vigésimo cuarta) que serán responsables de promover acciones que favorezcan el uso de los medios, apoyos y recursos que aseguren dicha </w:t>
      </w:r>
      <w:r w:rsidRPr="005E1103">
        <w:rPr>
          <w:rFonts w:eastAsia="Calibri" w:cstheme="minorHAnsi"/>
          <w:sz w:val="28"/>
          <w:szCs w:val="28"/>
          <w:lang w:val="es-MX"/>
        </w:rPr>
        <w:lastRenderedPageBreak/>
        <w:t>igualdad en relación con el resto de las personas que conforman la comunidad universitaria. Según Granados (2000) la universidad debe desempeñar un papel decisivo en el desarrollo del principio de oportunidades, para lo que deberá facilitar el acceso a estas enseñanzas mediante los recursos necesarios para ello. Además, con la Ley Orgánica de Universidades (LOU) de 21 de diciembre, entró en vigor la creación de servicios de atención al alumnado con discapacidad. Según Torregrosa (2013) dichos servicios deben de mejorar de acuerdo a la percepción que tiene el propio alumnado del apoyo que les prestan.</w:t>
      </w:r>
    </w:p>
    <w:p w:rsidR="00954B58" w:rsidRPr="005E1103" w:rsidRDefault="00954B58" w:rsidP="00954B58">
      <w:pPr>
        <w:spacing w:after="120" w:line="360" w:lineRule="auto"/>
        <w:ind w:firstLine="340"/>
        <w:jc w:val="both"/>
        <w:rPr>
          <w:rFonts w:eastAsia="Calibri" w:cstheme="minorHAnsi"/>
          <w:sz w:val="28"/>
          <w:szCs w:val="28"/>
          <w:lang w:val="es-MX"/>
        </w:rPr>
      </w:pPr>
      <w:r w:rsidRPr="005E1103">
        <w:rPr>
          <w:rFonts w:eastAsia="Calibri" w:cstheme="minorHAnsi"/>
          <w:sz w:val="28"/>
          <w:szCs w:val="28"/>
          <w:lang w:val="es-MX"/>
        </w:rPr>
        <w:t>En las páginas siguientes abordaremos la importancia de la inteligencia emocional como estrategia educativa para una mejor educación, empleabilidad y liderazgo de los universitarios con discapacidad.</w:t>
      </w:r>
    </w:p>
    <w:p w:rsidR="00954B58" w:rsidRPr="005E1103" w:rsidRDefault="00954B58" w:rsidP="00954B58">
      <w:pPr>
        <w:spacing w:after="0" w:line="240" w:lineRule="auto"/>
        <w:jc w:val="both"/>
        <w:rPr>
          <w:rFonts w:eastAsia="Calibri" w:cstheme="minorHAnsi"/>
          <w:sz w:val="28"/>
          <w:szCs w:val="28"/>
        </w:rPr>
      </w:pPr>
    </w:p>
    <w:p w:rsidR="00954B58" w:rsidRPr="005E1103" w:rsidRDefault="00954B58" w:rsidP="00954B58">
      <w:pPr>
        <w:numPr>
          <w:ilvl w:val="0"/>
          <w:numId w:val="67"/>
        </w:numPr>
        <w:spacing w:after="120" w:line="360" w:lineRule="auto"/>
        <w:ind w:left="357" w:hanging="357"/>
        <w:contextualSpacing/>
        <w:rPr>
          <w:rFonts w:eastAsia="Calibri" w:cstheme="minorHAnsi"/>
          <w:sz w:val="28"/>
          <w:szCs w:val="28"/>
        </w:rPr>
      </w:pPr>
      <w:r w:rsidRPr="005E1103">
        <w:rPr>
          <w:rFonts w:eastAsia="Calibri" w:cstheme="minorHAnsi"/>
          <w:sz w:val="28"/>
          <w:szCs w:val="28"/>
        </w:rPr>
        <w:t>La inteligencia emocional como competencia educativa</w:t>
      </w:r>
    </w:p>
    <w:p w:rsidR="00954B58" w:rsidRPr="005E1103" w:rsidRDefault="00954B58" w:rsidP="00954B58">
      <w:pPr>
        <w:spacing w:after="120" w:line="360" w:lineRule="auto"/>
        <w:ind w:firstLine="340"/>
        <w:jc w:val="both"/>
        <w:rPr>
          <w:rFonts w:eastAsia="Calibri" w:cstheme="minorHAnsi"/>
          <w:sz w:val="28"/>
          <w:szCs w:val="28"/>
        </w:rPr>
      </w:pPr>
      <w:r w:rsidRPr="005E1103">
        <w:rPr>
          <w:rFonts w:eastAsia="Calibri" w:cstheme="minorHAnsi"/>
          <w:sz w:val="28"/>
          <w:szCs w:val="28"/>
        </w:rPr>
        <w:t>La adquisición de competencias en inteligencia emocional  (en adelante IE)</w:t>
      </w:r>
      <w:r w:rsidRPr="005E1103">
        <w:rPr>
          <w:rFonts w:eastAsia="Calibri" w:cstheme="minorHAnsi"/>
          <w:color w:val="FF0000"/>
          <w:sz w:val="28"/>
          <w:szCs w:val="28"/>
        </w:rPr>
        <w:t xml:space="preserve"> </w:t>
      </w:r>
      <w:r w:rsidRPr="005E1103">
        <w:rPr>
          <w:rFonts w:eastAsia="Calibri" w:cstheme="minorHAnsi"/>
          <w:sz w:val="28"/>
          <w:szCs w:val="28"/>
        </w:rPr>
        <w:t xml:space="preserve"> en la actual sociedad del conocimiento </w:t>
      </w:r>
      <w:r w:rsidRPr="005E1103">
        <w:rPr>
          <w:rFonts w:eastAsia="Times New Roman" w:cstheme="minorHAnsi"/>
          <w:sz w:val="28"/>
          <w:szCs w:val="28"/>
          <w:lang w:eastAsia="es-ES"/>
        </w:rPr>
        <w:t>es fundamental y una necesidad imperiosa en un mundo globalizado e inclusivo.</w:t>
      </w:r>
    </w:p>
    <w:p w:rsidR="00954B58" w:rsidRPr="005E1103" w:rsidRDefault="00954B58" w:rsidP="00954B58">
      <w:pPr>
        <w:autoSpaceDE w:val="0"/>
        <w:autoSpaceDN w:val="0"/>
        <w:adjustRightInd w:val="0"/>
        <w:spacing w:after="120" w:line="360" w:lineRule="auto"/>
        <w:ind w:firstLine="340"/>
        <w:jc w:val="both"/>
        <w:rPr>
          <w:rFonts w:eastAsia="Calibri" w:cstheme="minorHAnsi"/>
          <w:color w:val="000000"/>
          <w:sz w:val="28"/>
          <w:szCs w:val="28"/>
          <w:lang w:eastAsia="es-ES"/>
        </w:rPr>
      </w:pPr>
      <w:r w:rsidRPr="005E1103">
        <w:rPr>
          <w:rFonts w:eastAsia="Calibri" w:cstheme="minorHAnsi"/>
          <w:color w:val="000000"/>
          <w:sz w:val="28"/>
          <w:szCs w:val="28"/>
          <w:lang w:eastAsia="es-ES"/>
        </w:rPr>
        <w:t>La educación emocional contribuye a que las personas aprenden a convivir en una sociedad donde las habilidades personales y sociales les capaciten para la aceptación de normas y valores consensuados. También, les propicia un reconocimiento y respeto por lo diverso y diferente, el aprendizaje cooperativo, la autonomía, la responsabilidad, el compromiso y la gestión democrática de la convivencia.</w:t>
      </w:r>
    </w:p>
    <w:p w:rsidR="00954B58" w:rsidRPr="005E1103" w:rsidRDefault="00954B58" w:rsidP="00954B58">
      <w:pPr>
        <w:autoSpaceDE w:val="0"/>
        <w:autoSpaceDN w:val="0"/>
        <w:adjustRightInd w:val="0"/>
        <w:spacing w:after="120" w:line="360" w:lineRule="auto"/>
        <w:ind w:firstLine="340"/>
        <w:jc w:val="both"/>
        <w:rPr>
          <w:rFonts w:eastAsia="Calibri" w:cstheme="minorHAnsi"/>
          <w:color w:val="000000"/>
          <w:sz w:val="28"/>
          <w:szCs w:val="28"/>
          <w:lang w:eastAsia="es-ES"/>
        </w:rPr>
      </w:pPr>
      <w:r w:rsidRPr="005E1103">
        <w:rPr>
          <w:rFonts w:eastAsia="Calibri" w:cstheme="minorHAnsi"/>
          <w:color w:val="000000"/>
          <w:sz w:val="28"/>
          <w:szCs w:val="28"/>
          <w:lang w:eastAsia="es-ES"/>
        </w:rPr>
        <w:t xml:space="preserve">Algunos autores como Gallego y Gallego, 2004; Fernández-Berrocal y Ruiz-Aranda, 2008, entre otros, han demostrado la importancia de la dimensión emocional, en el aprendizaje y en el bienestar de las personas </w:t>
      </w:r>
      <w:r w:rsidRPr="005E1103">
        <w:rPr>
          <w:rFonts w:eastAsia="Calibri" w:cstheme="minorHAnsi"/>
          <w:color w:val="000000"/>
          <w:sz w:val="28"/>
          <w:szCs w:val="28"/>
          <w:lang w:eastAsia="es-ES"/>
        </w:rPr>
        <w:lastRenderedPageBreak/>
        <w:t>con discapacidad desde una perspectiva global, integral u holística, adquiriendo un mayor protagonismo desde finales del siglo XX.</w:t>
      </w:r>
    </w:p>
    <w:p w:rsidR="00954B58" w:rsidRPr="005E1103" w:rsidRDefault="00954B58" w:rsidP="00954B58">
      <w:pPr>
        <w:spacing w:after="120" w:line="360" w:lineRule="auto"/>
        <w:ind w:firstLine="340"/>
        <w:jc w:val="both"/>
        <w:rPr>
          <w:rFonts w:eastAsia="Calibri" w:cstheme="minorHAnsi"/>
          <w:sz w:val="28"/>
          <w:szCs w:val="28"/>
        </w:rPr>
      </w:pPr>
      <w:r w:rsidRPr="005E1103">
        <w:rPr>
          <w:rFonts w:eastAsia="Calibri" w:cstheme="minorHAnsi"/>
          <w:sz w:val="28"/>
          <w:szCs w:val="28"/>
        </w:rPr>
        <w:t>Igualmente, las habilidades emocionales son, cada día, más demandas por el mercado profesional, laboral y social, porque juegan un papel muy relevante para la mejora de un rendimiento más productivo y en la empleabilidad en la vida de todos los universitarios con discapacidad, al constituir estrategias para potenciar: la asertividad, la empatía, una mejor adaptación al aula, la creación, mantenimiento y calidad de las interrelaciones, la capacidad de trabajar en equipo, la creatividad, las habilidades de liderazgo con visión de futuro, la perseverancia y el fomento del emprendimiento, entre otras. Según el Informe Delors (1996) la educación emocional es un complemento indispensable en el desarrollo cognitivo y una herramienta fundamental de prevención, ya que muchos problemas tiene su origen en el ámbito emocional, ayuda a aprender a vivir juntos, habilita a las personas para convivir en contextos de igualdad, y tomar conciencia de las semejanzas y diferencias que existen entre ellas.</w:t>
      </w:r>
    </w:p>
    <w:p w:rsidR="00954B58" w:rsidRPr="005E1103" w:rsidRDefault="00954B58" w:rsidP="00954B58">
      <w:pPr>
        <w:autoSpaceDE w:val="0"/>
        <w:autoSpaceDN w:val="0"/>
        <w:adjustRightInd w:val="0"/>
        <w:spacing w:after="120" w:line="360" w:lineRule="auto"/>
        <w:ind w:firstLine="340"/>
        <w:jc w:val="both"/>
        <w:rPr>
          <w:rFonts w:eastAsia="Calibri" w:cstheme="minorHAnsi"/>
          <w:color w:val="000000"/>
          <w:sz w:val="28"/>
          <w:szCs w:val="28"/>
          <w:lang w:eastAsia="es-ES"/>
        </w:rPr>
      </w:pPr>
      <w:r w:rsidRPr="005E1103">
        <w:rPr>
          <w:rFonts w:eastAsia="Calibri" w:cstheme="minorHAnsi"/>
          <w:color w:val="000000"/>
          <w:sz w:val="28"/>
          <w:szCs w:val="28"/>
          <w:lang w:eastAsia="es-ES"/>
        </w:rPr>
        <w:t xml:space="preserve">En nuestros días de forma progresiva se está tomando conciencia de la importancia de la educación </w:t>
      </w:r>
      <w:r w:rsidRPr="005E1103">
        <w:rPr>
          <w:rFonts w:eastAsia="Calibri" w:cstheme="minorHAnsi"/>
          <w:color w:val="000000"/>
          <w:sz w:val="28"/>
          <w:szCs w:val="28"/>
          <w:lang w:val="es-ES_tradnl" w:eastAsia="es-ES"/>
        </w:rPr>
        <w:t>en competencias</w:t>
      </w:r>
      <w:r w:rsidRPr="005E1103">
        <w:rPr>
          <w:rFonts w:eastAsia="Calibri" w:cstheme="minorHAnsi"/>
          <w:color w:val="000000"/>
          <w:sz w:val="28"/>
          <w:szCs w:val="28"/>
          <w:lang w:eastAsia="es-ES"/>
        </w:rPr>
        <w:t xml:space="preserve"> emocional</w:t>
      </w:r>
      <w:r w:rsidRPr="005E1103">
        <w:rPr>
          <w:rFonts w:eastAsia="Calibri" w:cstheme="minorHAnsi"/>
          <w:color w:val="000000"/>
          <w:sz w:val="28"/>
          <w:szCs w:val="28"/>
          <w:lang w:val="es-ES_tradnl" w:eastAsia="es-ES"/>
        </w:rPr>
        <w:t>es para que la persona con discapacidad funcione como una entidad completa en relación con su entorno.</w:t>
      </w:r>
      <w:r w:rsidRPr="005E1103">
        <w:rPr>
          <w:rFonts w:eastAsia="Calibri" w:cstheme="minorHAnsi"/>
          <w:color w:val="000000"/>
          <w:sz w:val="28"/>
          <w:szCs w:val="28"/>
          <w:lang w:eastAsia="es-ES"/>
        </w:rPr>
        <w:t xml:space="preserve"> </w:t>
      </w:r>
      <w:r w:rsidRPr="005E1103">
        <w:rPr>
          <w:rFonts w:eastAsia="Calibri" w:cstheme="minorHAnsi"/>
          <w:sz w:val="28"/>
          <w:szCs w:val="28"/>
          <w:lang w:eastAsia="es-ES"/>
        </w:rPr>
        <w:t>En este sentido,</w:t>
      </w:r>
      <w:r w:rsidRPr="005E1103">
        <w:rPr>
          <w:rFonts w:eastAsia="Calibri" w:cstheme="minorHAnsi"/>
          <w:color w:val="000000"/>
          <w:sz w:val="28"/>
          <w:szCs w:val="28"/>
          <w:lang w:eastAsia="es-ES"/>
        </w:rPr>
        <w:t xml:space="preserve"> la incidencia de la </w:t>
      </w:r>
      <w:r w:rsidRPr="005E1103">
        <w:rPr>
          <w:rFonts w:eastAsia="Calibri" w:cstheme="minorHAnsi"/>
          <w:sz w:val="28"/>
          <w:szCs w:val="28"/>
          <w:lang w:eastAsia="es-ES"/>
        </w:rPr>
        <w:t>IE</w:t>
      </w:r>
      <w:r w:rsidRPr="005E1103">
        <w:rPr>
          <w:rFonts w:eastAsia="Calibri" w:cstheme="minorHAnsi"/>
          <w:color w:val="FF0000"/>
          <w:sz w:val="28"/>
          <w:szCs w:val="28"/>
          <w:lang w:eastAsia="es-ES"/>
        </w:rPr>
        <w:t xml:space="preserve"> </w:t>
      </w:r>
      <w:r w:rsidRPr="005E1103">
        <w:rPr>
          <w:rFonts w:eastAsia="Calibri" w:cstheme="minorHAnsi"/>
          <w:color w:val="000000"/>
          <w:sz w:val="28"/>
          <w:szCs w:val="28"/>
          <w:lang w:eastAsia="es-ES"/>
        </w:rPr>
        <w:t>gira, precisamente, en torno al análisis de las repercusiones en el aprendizaje, el desarrollo personal, profesional, laboral y social de las personas.</w:t>
      </w:r>
    </w:p>
    <w:p w:rsidR="00954B58" w:rsidRPr="005E1103" w:rsidRDefault="00954B58" w:rsidP="00954B58">
      <w:pPr>
        <w:spacing w:after="120" w:line="360" w:lineRule="auto"/>
        <w:ind w:firstLine="340"/>
        <w:jc w:val="both"/>
        <w:rPr>
          <w:rFonts w:eastAsia="Calibri" w:cstheme="minorHAnsi"/>
          <w:sz w:val="28"/>
          <w:szCs w:val="28"/>
        </w:rPr>
      </w:pPr>
      <w:r w:rsidRPr="005E1103">
        <w:rPr>
          <w:rFonts w:eastAsia="Calibri" w:cstheme="minorHAnsi"/>
          <w:sz w:val="28"/>
          <w:szCs w:val="28"/>
        </w:rPr>
        <w:t xml:space="preserve">De esta manera, la IE constituye una competencia educativa relevante del ajuste emocional, contribuye a la mejora de  los estados emocionales propios y ajenos que potencia el optimismo, la motivación, la autoestima y facilita la búsqueda de soluciones a los conflictos. </w:t>
      </w:r>
    </w:p>
    <w:p w:rsidR="00954B58" w:rsidRPr="005E1103" w:rsidRDefault="00954B58" w:rsidP="00954B58">
      <w:pPr>
        <w:spacing w:after="120" w:line="360" w:lineRule="auto"/>
        <w:ind w:firstLine="340"/>
        <w:jc w:val="both"/>
        <w:rPr>
          <w:rFonts w:eastAsia="Calibri" w:cstheme="minorHAnsi"/>
          <w:color w:val="0070C0"/>
          <w:sz w:val="28"/>
          <w:szCs w:val="28"/>
        </w:rPr>
      </w:pPr>
      <w:r w:rsidRPr="005E1103">
        <w:rPr>
          <w:rFonts w:eastAsia="Calibri" w:cstheme="minorHAnsi"/>
          <w:sz w:val="28"/>
          <w:szCs w:val="28"/>
        </w:rPr>
        <w:lastRenderedPageBreak/>
        <w:t xml:space="preserve">Cabe señalar también que, la </w:t>
      </w:r>
      <w:r w:rsidRPr="005E1103">
        <w:rPr>
          <w:rFonts w:eastAsia="Calibri" w:cstheme="minorHAnsi"/>
          <w:sz w:val="28"/>
          <w:szCs w:val="28"/>
          <w:lang w:val="es-ES_tradnl"/>
        </w:rPr>
        <w:t>IE</w:t>
      </w:r>
      <w:r w:rsidRPr="005E1103">
        <w:rPr>
          <w:rFonts w:eastAsia="Calibri" w:cstheme="minorHAnsi"/>
          <w:sz w:val="28"/>
          <w:szCs w:val="28"/>
        </w:rPr>
        <w:t xml:space="preserve"> hace posible que las personas, se encaminen hacia estados de mejor rendimiento mediante habilidades de autogestión, </w:t>
      </w:r>
      <w:r w:rsidRPr="005E1103">
        <w:rPr>
          <w:rFonts w:eastAsia="Calibri" w:cstheme="minorHAnsi"/>
          <w:sz w:val="28"/>
          <w:szCs w:val="28"/>
          <w:lang w:val="es-ES_tradnl"/>
        </w:rPr>
        <w:t>motivadas por el aprendizaje de un</w:t>
      </w:r>
      <w:r w:rsidRPr="005E1103">
        <w:rPr>
          <w:rFonts w:eastAsia="Calibri" w:cstheme="minorHAnsi"/>
          <w:sz w:val="28"/>
          <w:szCs w:val="28"/>
        </w:rPr>
        <w:t xml:space="preserve"> mejor control de su propio estrés e incluso en las situaciones más críticas,</w:t>
      </w:r>
      <w:r w:rsidRPr="005E1103">
        <w:rPr>
          <w:rFonts w:eastAsia="Calibri" w:cstheme="minorHAnsi"/>
          <w:sz w:val="28"/>
          <w:szCs w:val="28"/>
          <w:lang w:val="es-ES_tradnl"/>
        </w:rPr>
        <w:t xml:space="preserve"> gracias a un mejor y mayor conocimiento de los propios recursos emocionales</w:t>
      </w:r>
      <w:r w:rsidRPr="005E1103">
        <w:rPr>
          <w:rFonts w:eastAsia="Calibri" w:cstheme="minorHAnsi"/>
          <w:sz w:val="28"/>
          <w:szCs w:val="28"/>
        </w:rPr>
        <w:t>. En definitiva, la IE representa un factor clave para promover el aprendizaje, como un proceso de innovación, interacción, sistematización y transferencia de conocimientos, para un mejor enfrentamiento a las necesidades, desafíos y conflictos de nuestro quehacer diario en todos los niveles de la vida.</w:t>
      </w:r>
    </w:p>
    <w:p w:rsidR="00954B58" w:rsidRPr="005E1103" w:rsidRDefault="00954B58" w:rsidP="00954B58">
      <w:pPr>
        <w:autoSpaceDE w:val="0"/>
        <w:autoSpaceDN w:val="0"/>
        <w:adjustRightInd w:val="0"/>
        <w:spacing w:after="120" w:line="360" w:lineRule="auto"/>
        <w:ind w:firstLine="340"/>
        <w:jc w:val="both"/>
        <w:rPr>
          <w:rFonts w:eastAsia="Calibri" w:cstheme="minorHAnsi"/>
          <w:color w:val="000000"/>
          <w:sz w:val="28"/>
          <w:szCs w:val="28"/>
          <w:lang w:eastAsia="es-ES"/>
        </w:rPr>
      </w:pPr>
      <w:r w:rsidRPr="005E1103">
        <w:rPr>
          <w:rFonts w:eastAsia="Calibri" w:cstheme="minorHAnsi"/>
          <w:color w:val="000000"/>
          <w:sz w:val="28"/>
          <w:szCs w:val="28"/>
          <w:lang w:eastAsia="es-ES"/>
        </w:rPr>
        <w:t xml:space="preserve">En suma, educar en </w:t>
      </w:r>
      <w:r w:rsidRPr="005E1103">
        <w:rPr>
          <w:rFonts w:eastAsia="Calibri" w:cstheme="minorHAnsi"/>
          <w:sz w:val="28"/>
          <w:szCs w:val="28"/>
          <w:lang w:eastAsia="es-ES"/>
        </w:rPr>
        <w:t>IE</w:t>
      </w:r>
      <w:r w:rsidRPr="005E1103">
        <w:rPr>
          <w:rFonts w:eastAsia="Calibri" w:cstheme="minorHAnsi"/>
          <w:color w:val="000000"/>
          <w:sz w:val="28"/>
          <w:szCs w:val="28"/>
          <w:lang w:eastAsia="es-ES"/>
        </w:rPr>
        <w:t xml:space="preserve"> en las personas discapacitadas es una de las claves para el triunfo exitoso para su futuro personal, educativo, social y laboral, tal y como, hemos mencionado con anterioridad. Es una competencia que le va a permitir ser un buen profesional para trabajar en equipo, preocupado por los problemas sociales, con mayor capacidad de liderazgo y emprendimiento, como consecuencia de los cambios y las necesidades profesionales surgidos en la sociedad actual en el área laboral. Además, es una estrategia que contribuye </w:t>
      </w:r>
      <w:r w:rsidRPr="005E1103">
        <w:rPr>
          <w:rFonts w:eastAsia="Calibri" w:cstheme="minorHAnsi"/>
          <w:sz w:val="28"/>
          <w:szCs w:val="28"/>
          <w:lang w:eastAsia="es-ES"/>
        </w:rPr>
        <w:t>a</w:t>
      </w:r>
      <w:r w:rsidRPr="005E1103">
        <w:rPr>
          <w:rFonts w:eastAsia="Calibri" w:cstheme="minorHAnsi"/>
          <w:color w:val="000000"/>
          <w:sz w:val="28"/>
          <w:szCs w:val="28"/>
          <w:lang w:eastAsia="es-ES"/>
        </w:rPr>
        <w:t xml:space="preserve"> una mejor formación que permita aprender con mejores herramientas para la futura proyección e inserción sociolaboral de las personas con discapacidad. Todo ello, con la ayuda del aprendizaje de habilidades que les permitan conocer y gestionar el conocimiento de sus fortalezas y debilidades a la hora de resolver de manera creativa y positiva  de cara a los conflictos en su entorno personal y profesional.</w:t>
      </w:r>
    </w:p>
    <w:p w:rsidR="00954B58" w:rsidRPr="005E1103" w:rsidRDefault="00954B58" w:rsidP="00954B58">
      <w:pPr>
        <w:autoSpaceDE w:val="0"/>
        <w:autoSpaceDN w:val="0"/>
        <w:adjustRightInd w:val="0"/>
        <w:spacing w:after="0" w:line="240" w:lineRule="auto"/>
        <w:ind w:firstLine="340"/>
        <w:jc w:val="both"/>
        <w:rPr>
          <w:rFonts w:eastAsia="Calibri" w:cstheme="minorHAnsi"/>
          <w:color w:val="000000"/>
          <w:sz w:val="28"/>
          <w:szCs w:val="28"/>
          <w:lang w:eastAsia="es-ES"/>
        </w:rPr>
      </w:pPr>
    </w:p>
    <w:p w:rsidR="00954B58" w:rsidRPr="005E1103" w:rsidRDefault="00954B58" w:rsidP="00954B58">
      <w:pPr>
        <w:autoSpaceDE w:val="0"/>
        <w:autoSpaceDN w:val="0"/>
        <w:adjustRightInd w:val="0"/>
        <w:spacing w:after="0" w:line="240" w:lineRule="auto"/>
        <w:ind w:firstLine="340"/>
        <w:jc w:val="both"/>
        <w:rPr>
          <w:rFonts w:eastAsia="Calibri" w:cstheme="minorHAnsi"/>
          <w:color w:val="000000"/>
          <w:sz w:val="28"/>
          <w:szCs w:val="28"/>
          <w:lang w:eastAsia="es-ES"/>
        </w:rPr>
      </w:pPr>
    </w:p>
    <w:p w:rsidR="00954B58" w:rsidRPr="005E1103" w:rsidRDefault="00954B58" w:rsidP="00954B58">
      <w:pPr>
        <w:numPr>
          <w:ilvl w:val="0"/>
          <w:numId w:val="67"/>
        </w:numPr>
        <w:spacing w:after="120" w:line="360" w:lineRule="auto"/>
        <w:contextualSpacing/>
        <w:rPr>
          <w:rFonts w:eastAsia="Calibri" w:cstheme="minorHAnsi"/>
          <w:sz w:val="28"/>
          <w:szCs w:val="28"/>
        </w:rPr>
      </w:pPr>
      <w:r w:rsidRPr="005E1103">
        <w:rPr>
          <w:rFonts w:eastAsia="Calibri" w:cstheme="minorHAnsi"/>
          <w:sz w:val="28"/>
          <w:szCs w:val="28"/>
        </w:rPr>
        <w:t>La empleabilidad en los universitarios con discapacidad</w:t>
      </w:r>
    </w:p>
    <w:p w:rsidR="00954B58" w:rsidRPr="005E1103" w:rsidRDefault="00954B58" w:rsidP="00954B58">
      <w:pPr>
        <w:spacing w:after="120" w:line="360" w:lineRule="auto"/>
        <w:ind w:firstLine="340"/>
        <w:jc w:val="both"/>
        <w:rPr>
          <w:rFonts w:eastAsia="Calibri" w:cstheme="minorHAnsi"/>
          <w:sz w:val="28"/>
          <w:szCs w:val="28"/>
        </w:rPr>
      </w:pPr>
      <w:r w:rsidRPr="005E1103">
        <w:rPr>
          <w:rFonts w:eastAsia="Calibri" w:cstheme="minorHAnsi"/>
          <w:sz w:val="28"/>
          <w:szCs w:val="28"/>
        </w:rPr>
        <w:lastRenderedPageBreak/>
        <w:t>En la actualidad, la globalización, el Espacio Europeo de Educación Superior, la  liberalización de los mercados y  la caída de las barreras comerciales y tecnológicas han propiciado que los estudiantes necesiten, cada día más, potenciar su sólida formación en diferentes niveles (teóricos, prácticos y emocionales) (Ortega Navas, 2014:381). También, se potencia la necesidad de que se adquieran, desarrollen y actualicen las competencias de las personas con discapacidad, siendo precisamente una de ellas la IE (competencia educativa), de la que ya hemos hablado en páginas anteriores, y que se va a traducir en una mejor cualificación para las actuales exigencias en el acceso al mercado laboral.</w:t>
      </w:r>
    </w:p>
    <w:p w:rsidR="00954B58" w:rsidRPr="005E1103" w:rsidRDefault="00954B58" w:rsidP="00954B58">
      <w:pPr>
        <w:spacing w:after="120" w:line="360" w:lineRule="auto"/>
        <w:ind w:firstLine="340"/>
        <w:jc w:val="both"/>
        <w:rPr>
          <w:rFonts w:eastAsia="Times New Roman" w:cstheme="minorHAnsi"/>
          <w:sz w:val="28"/>
          <w:szCs w:val="28"/>
          <w:lang w:eastAsia="es-ES"/>
        </w:rPr>
      </w:pPr>
      <w:r w:rsidRPr="005E1103">
        <w:rPr>
          <w:rFonts w:eastAsia="Times New Roman" w:cstheme="minorHAnsi"/>
          <w:sz w:val="28"/>
          <w:szCs w:val="28"/>
          <w:lang w:eastAsia="es-ES"/>
        </w:rPr>
        <w:t>Entre las medidas para garantizar la promoción al empleo de las personas con discapacidad hay que tener en cuenta además del entorno (normativa, sensibilización mediante la información de agentes sociales y económicos), aspectos económicos (subvenciones a  la contratación, bonificaciones de las cuotas empresariales, ayudas a la adaptación a los puestos de trabajo), los apoyos técnicos necesarios (en función de la discapacidad y su grado, en este sentido, un ejemplo son los servicios prestados por el Centro de Atención a Universitarios con Discapacidad (UNIDIS), de la Universidad Nacional de Educación a Distancia (UNED), que es la Universidad que cuenta con el mayor número de estudiantes discapacitados matriculados de España, que representa el 40% de los alumnos con discapacidad en el país y 7.432 alumnos/as el curso 2015/2016 ) y acompañamiento de las personas (apoyo personal y social, orientación y formación).</w:t>
      </w:r>
    </w:p>
    <w:p w:rsidR="00954B58" w:rsidRPr="005E1103" w:rsidRDefault="00954B58" w:rsidP="00954B58">
      <w:pPr>
        <w:spacing w:after="120" w:line="360" w:lineRule="auto"/>
        <w:ind w:firstLine="340"/>
        <w:jc w:val="both"/>
        <w:rPr>
          <w:rFonts w:eastAsia="Calibri" w:cstheme="minorHAnsi"/>
          <w:sz w:val="28"/>
          <w:szCs w:val="28"/>
        </w:rPr>
      </w:pPr>
      <w:r w:rsidRPr="005E1103">
        <w:rPr>
          <w:rFonts w:eastAsia="Calibri" w:cstheme="minorHAnsi"/>
          <w:sz w:val="28"/>
          <w:szCs w:val="28"/>
        </w:rPr>
        <w:t xml:space="preserve">En esa línea de acuerdo con Garrido y Chacón y el grupo SIFU (2015), el nivel educativo de las personas con discapacidad ha experimentado un crecimiento positivo, en 2013 el 15% de la población con discapacidad en </w:t>
      </w:r>
      <w:r w:rsidRPr="005E1103">
        <w:rPr>
          <w:rFonts w:eastAsia="Calibri" w:cstheme="minorHAnsi"/>
          <w:sz w:val="28"/>
          <w:szCs w:val="28"/>
        </w:rPr>
        <w:lastRenderedPageBreak/>
        <w:t>edad activa poseía estudios superiores. No obstante, las estadísticas señalan que entre ellas se registran mayor tasa de desempleo y cuando están en activo realizan tareas afines a su discapacidad, pero hay que destacar que tienen menos bajas laborales y muestran mayor motivación, esfuerzo y afán de superación.</w:t>
      </w:r>
    </w:p>
    <w:p w:rsidR="00954B58" w:rsidRPr="005E1103" w:rsidRDefault="00954B58" w:rsidP="00954B58">
      <w:pPr>
        <w:spacing w:after="120" w:line="360" w:lineRule="auto"/>
        <w:ind w:firstLine="340"/>
        <w:jc w:val="both"/>
        <w:rPr>
          <w:rFonts w:eastAsia="Calibri" w:cstheme="minorHAnsi"/>
          <w:sz w:val="28"/>
          <w:szCs w:val="28"/>
        </w:rPr>
      </w:pPr>
      <w:r w:rsidRPr="005E1103">
        <w:rPr>
          <w:rFonts w:eastAsia="Times New Roman" w:cstheme="minorHAnsi"/>
          <w:sz w:val="28"/>
          <w:szCs w:val="28"/>
          <w:lang w:eastAsia="es-ES"/>
        </w:rPr>
        <w:t xml:space="preserve">La promoción del derecho al trabajo de las personas con discapacidad, de acuerdo al objetivo 2 del plan de acción de empleo </w:t>
      </w:r>
      <w:r w:rsidRPr="005E1103">
        <w:rPr>
          <w:rFonts w:eastAsia="Times New Roman" w:cstheme="minorHAnsi"/>
          <w:color w:val="000000"/>
          <w:sz w:val="28"/>
          <w:szCs w:val="28"/>
          <w:lang w:eastAsia="es-ES"/>
        </w:rPr>
        <w:t xml:space="preserve">Plan de acción 2014-2016 de la estrategia Española Sobre Discapacidad, hace hincapié sobre la importancia de facilitar el acceso de las personas con discapacidad al empleo bien como trabajadores autónomos teniendo en cuenta itinerarios personalizados o informes de capacidades o el acceso a la contratación pública en igualdad de oportunidades y condiciones laborales dignas que   favorezcan la conciliación a las personas con discapacidad, </w:t>
      </w:r>
      <w:r w:rsidRPr="005E1103">
        <w:rPr>
          <w:rFonts w:eastAsia="Calibri" w:cstheme="minorHAnsi"/>
          <w:color w:val="000000"/>
          <w:sz w:val="28"/>
          <w:szCs w:val="28"/>
        </w:rPr>
        <w:t>tal como establece la Ley 53/2003 de 2 de diciembre Ley de Igualdad de Oportunidades, No Discriminación y Accesibilidad Universal ( LIONDAU)</w:t>
      </w:r>
      <w:r w:rsidRPr="005E1103">
        <w:rPr>
          <w:rFonts w:eastAsia="Calibri" w:cstheme="minorHAnsi"/>
          <w:sz w:val="28"/>
          <w:szCs w:val="28"/>
        </w:rPr>
        <w:t>.</w:t>
      </w:r>
    </w:p>
    <w:p w:rsidR="00954B58" w:rsidRPr="005E1103" w:rsidRDefault="00954B58" w:rsidP="00954B58">
      <w:pPr>
        <w:spacing w:after="120" w:line="360" w:lineRule="auto"/>
        <w:ind w:firstLine="340"/>
        <w:jc w:val="both"/>
        <w:rPr>
          <w:rFonts w:eastAsia="Calibri" w:cstheme="minorHAnsi"/>
          <w:color w:val="000000"/>
          <w:sz w:val="28"/>
          <w:szCs w:val="28"/>
        </w:rPr>
      </w:pPr>
      <w:r w:rsidRPr="005E1103">
        <w:rPr>
          <w:rFonts w:eastAsia="Times New Roman" w:cstheme="minorHAnsi"/>
          <w:sz w:val="28"/>
          <w:szCs w:val="28"/>
          <w:lang w:eastAsia="es-ES"/>
        </w:rPr>
        <w:t>Tampoco debemos olvidar que, la integración de las personas con discapacidad en las empresas está de actualidad, así el hecho de contratar personas con discapacidad es un valor añadido para las empresas que lo hacen, se trata de no quedar aislados de las iniciativas que afloran, cada día más, en nuestra sociedad de prestar atención a las condiciones de seguridad y salud en el trabajo de las personas afectadas por algún grado de discapacidad propia o de algún familiar cercano. Las empresas</w:t>
      </w:r>
      <w:r w:rsidRPr="005E1103">
        <w:rPr>
          <w:rFonts w:eastAsia="Calibri" w:cstheme="minorHAnsi"/>
          <w:sz w:val="28"/>
          <w:szCs w:val="28"/>
        </w:rPr>
        <w:t xml:space="preserve"> con más de 50 trabajadores</w:t>
      </w:r>
      <w:r w:rsidRPr="005E1103">
        <w:rPr>
          <w:rFonts w:eastAsia="Times New Roman" w:cstheme="minorHAnsi"/>
          <w:sz w:val="28"/>
          <w:szCs w:val="28"/>
          <w:lang w:eastAsia="es-ES"/>
        </w:rPr>
        <w:t>, de acuerdo con la</w:t>
      </w:r>
      <w:r w:rsidRPr="005E1103">
        <w:rPr>
          <w:rFonts w:eastAsia="Calibri" w:cstheme="minorHAnsi"/>
          <w:sz w:val="28"/>
          <w:szCs w:val="28"/>
        </w:rPr>
        <w:t xml:space="preserve"> Ley General de Discapacidad (LGD) antigua Ley 13/1982 de 12 de abril, </w:t>
      </w:r>
      <w:r w:rsidRPr="005E1103">
        <w:rPr>
          <w:rFonts w:eastAsia="Calibri" w:cstheme="minorHAnsi"/>
          <w:color w:val="000000"/>
          <w:sz w:val="28"/>
          <w:szCs w:val="28"/>
        </w:rPr>
        <w:t xml:space="preserve">de Integración Social y Laboral de Minusválidos (LISMI), es uno de los principales vehículos para el desarrollo normativo, de entre otros, el ya citado art 4, como los art.14 y 49 de la </w:t>
      </w:r>
      <w:r w:rsidRPr="005E1103">
        <w:rPr>
          <w:rFonts w:eastAsia="Calibri" w:cstheme="minorHAnsi"/>
          <w:color w:val="000000"/>
          <w:sz w:val="28"/>
          <w:szCs w:val="28"/>
        </w:rPr>
        <w:lastRenderedPageBreak/>
        <w:t>Constitución Española. Según el art. 38. punto uno, de ésta Ley, las empresas públicas y privadas que empleen un número de trabajadores fijos que exceda de cincuenta vendrán obligadas a emplear un número de trabajadores minusválidos no inferior al dos por ciento de la plantilla. Además, actualmente la Oferta de Empleo Público 2016 ha reservado casi 850 plazas para discapacitados (2% personas con discapacidad intelectual y un 5% para los que acrediten cualquier otro tipo de discapacidad con un grado de discapacidad igual o superior al 33%).</w:t>
      </w:r>
    </w:p>
    <w:p w:rsidR="00954B58" w:rsidRPr="005E1103" w:rsidRDefault="00954B58" w:rsidP="00954B58">
      <w:pPr>
        <w:spacing w:after="120" w:line="360" w:lineRule="auto"/>
        <w:ind w:firstLine="340"/>
        <w:jc w:val="both"/>
        <w:rPr>
          <w:rFonts w:eastAsia="Calibri" w:cstheme="minorHAnsi"/>
          <w:sz w:val="28"/>
          <w:szCs w:val="28"/>
        </w:rPr>
      </w:pPr>
      <w:r w:rsidRPr="005E1103">
        <w:rPr>
          <w:rFonts w:eastAsia="Times New Roman" w:cstheme="minorHAnsi"/>
          <w:sz w:val="28"/>
          <w:szCs w:val="28"/>
          <w:lang w:eastAsia="es-ES"/>
        </w:rPr>
        <w:t>De hecho, la inserción laboral es el último paso dentro de todo el engranaje universitario, para facilitar el desarrollo personal y profesional de los jóvenes universitarios. En el caso de los universitarios con discapacidad, p</w:t>
      </w:r>
      <w:r w:rsidRPr="005E1103">
        <w:rPr>
          <w:rFonts w:eastAsia="Calibri" w:cstheme="minorHAnsi"/>
          <w:sz w:val="28"/>
          <w:szCs w:val="28"/>
        </w:rPr>
        <w:t>artiendo del artículo 27 sobre trabajo y empleo de la Convención sobre los derechos de las personas con discapacidad (ONU, 2006), se  reconoce el derecho al trabajo y empleo digno de las personas con discapacidad, incluyendo el derecho a la oportunidad de ganarse la vida mediante un trabajo libremente elegido o aceptado en un mercado y unos entornos laborales que sean abiertos inclusivos y accesibles a las personas con discapacidad (ONU, 2006:22).</w:t>
      </w:r>
    </w:p>
    <w:p w:rsidR="00954B58" w:rsidRPr="005E1103" w:rsidRDefault="00954B58" w:rsidP="00954B58">
      <w:pPr>
        <w:spacing w:after="120" w:line="360" w:lineRule="auto"/>
        <w:ind w:firstLine="340"/>
        <w:jc w:val="both"/>
        <w:rPr>
          <w:rFonts w:eastAsia="Calibri" w:cstheme="minorHAnsi"/>
          <w:color w:val="000000"/>
          <w:sz w:val="28"/>
          <w:szCs w:val="28"/>
        </w:rPr>
      </w:pPr>
      <w:r w:rsidRPr="005E1103">
        <w:rPr>
          <w:rFonts w:eastAsia="Calibri" w:cstheme="minorHAnsi"/>
          <w:color w:val="000000"/>
          <w:sz w:val="28"/>
          <w:szCs w:val="28"/>
        </w:rPr>
        <w:t>Además, en el informe del Ministerio de Sanidad, Servicios e Igualdad sobre el Plan Nacional de Acción para la inclusión Social del Reino de España 2013-2016, se fijan en la actuación 179 como objetivos prioritarios los ámbitos de accesibilidad, el empleo, la educación y la formación, la pobreza y la exclusión social, la información, la participación, la igualdad y los colectivos vulnerables, la sanidad y los servicios sociales y la acción exterior.</w:t>
      </w:r>
    </w:p>
    <w:p w:rsidR="00954B58" w:rsidRPr="005E1103" w:rsidRDefault="00954B58" w:rsidP="00954B58">
      <w:pPr>
        <w:spacing w:after="120" w:line="360" w:lineRule="auto"/>
        <w:ind w:firstLine="340"/>
        <w:jc w:val="both"/>
        <w:rPr>
          <w:rFonts w:eastAsia="Calibri" w:cstheme="minorHAnsi"/>
          <w:sz w:val="28"/>
          <w:szCs w:val="28"/>
        </w:rPr>
      </w:pPr>
      <w:r w:rsidRPr="005E1103">
        <w:rPr>
          <w:rFonts w:eastAsia="Calibri" w:cstheme="minorHAnsi"/>
          <w:sz w:val="28"/>
          <w:szCs w:val="28"/>
        </w:rPr>
        <w:lastRenderedPageBreak/>
        <w:t>Igualmente, de acuerdo con los informes las personas con discapacidad, éstas acceden en menor medida a las iniciativas que mejoren su empleabilidad. En consecuencia, se hace necesario poner en marcha estrategias, como la IE que redunden en una mayor inclusión laboral y capacidad de encontrar empleos técnicos y cualificados y que contribuyen al bienestar de las personas con discapacidad en el ámbito educativo y socio- laboral.</w:t>
      </w:r>
    </w:p>
    <w:p w:rsidR="00954B58" w:rsidRPr="005E1103" w:rsidRDefault="00954B58" w:rsidP="00954B58">
      <w:pPr>
        <w:spacing w:after="120" w:line="360" w:lineRule="auto"/>
        <w:ind w:firstLine="340"/>
        <w:contextualSpacing/>
        <w:jc w:val="both"/>
        <w:rPr>
          <w:rFonts w:eastAsia="Calibri" w:cstheme="minorHAnsi"/>
          <w:sz w:val="28"/>
          <w:szCs w:val="28"/>
        </w:rPr>
      </w:pPr>
      <w:r w:rsidRPr="005E1103">
        <w:rPr>
          <w:rFonts w:eastAsia="Calibri" w:cstheme="minorHAnsi"/>
          <w:sz w:val="28"/>
          <w:szCs w:val="28"/>
        </w:rPr>
        <w:t>Cabe destacar que uno de los métodos de intervención para la mejora de la empleabilidad de las personas con  discapacidad es el proyecto de Aula de Intermediación Laboral financiada por la Consejería de Familia y Asuntos Sociales (2003) que favorece el crecimiento personal y social, impulsar el uso de las nuevas tecnologías en la búsqueda activa de empleo y favorecer contactos con empresas cuya respuesta ha sido muy favorable. El Aula de Intermediación Laboral para personas con discapacidad” “ha sido un espacio de formación, relación, desarrollo personal y profesional que ha tendido a mejorar todos aquellos aspectos que facilitan que las personas con discapacidad […] mejores posibilidades de encontrar empleo” (Conserjería de Familia y Asuntos Sociales de la Comunidad de Madrid y Frama Estudio, S. L. 2004:97).</w:t>
      </w:r>
    </w:p>
    <w:p w:rsidR="00954B58" w:rsidRPr="005E1103" w:rsidRDefault="00954B58" w:rsidP="00954B58">
      <w:pPr>
        <w:autoSpaceDE w:val="0"/>
        <w:autoSpaceDN w:val="0"/>
        <w:adjustRightInd w:val="0"/>
        <w:spacing w:after="120" w:line="360" w:lineRule="auto"/>
        <w:ind w:firstLine="340"/>
        <w:jc w:val="both"/>
        <w:rPr>
          <w:rFonts w:eastAsia="Calibri" w:cstheme="minorHAnsi"/>
          <w:sz w:val="28"/>
          <w:szCs w:val="28"/>
        </w:rPr>
      </w:pPr>
      <w:r w:rsidRPr="005E1103">
        <w:rPr>
          <w:rFonts w:eastAsia="Calibri" w:cstheme="minorHAnsi"/>
          <w:sz w:val="28"/>
          <w:szCs w:val="28"/>
        </w:rPr>
        <w:t>Es, por tanto, fundamentalmente un principio basado en la legitimidad de los derechos y deberes sustantivos de la persona, principio de integración que ya deja evidente la “necesidad “especial, de una aproximación del entorno al sujeto, -entorno educativo, laboral y social-, a la que las Instituciones correspondientes, han de dar la respuesta adecuada, mediante las adaptaciones y medios asistenciales que sean precisos para evitar cualquier tipo de barreras, físicas, normativas y sociales.</w:t>
      </w:r>
    </w:p>
    <w:p w:rsidR="00954B58" w:rsidRPr="005E1103" w:rsidRDefault="00954B58" w:rsidP="00954B58">
      <w:pPr>
        <w:spacing w:after="0" w:line="240" w:lineRule="auto"/>
        <w:ind w:left="720"/>
        <w:contextualSpacing/>
        <w:rPr>
          <w:rFonts w:eastAsia="Calibri" w:cstheme="minorHAnsi"/>
          <w:sz w:val="28"/>
          <w:szCs w:val="28"/>
        </w:rPr>
      </w:pPr>
    </w:p>
    <w:p w:rsidR="00954B58" w:rsidRPr="005E1103" w:rsidRDefault="00954B58" w:rsidP="00954B58">
      <w:pPr>
        <w:numPr>
          <w:ilvl w:val="0"/>
          <w:numId w:val="67"/>
        </w:numPr>
        <w:spacing w:after="120" w:line="360" w:lineRule="auto"/>
        <w:contextualSpacing/>
        <w:rPr>
          <w:rFonts w:eastAsia="Calibri" w:cstheme="minorHAnsi"/>
          <w:sz w:val="28"/>
          <w:szCs w:val="28"/>
        </w:rPr>
      </w:pPr>
      <w:r w:rsidRPr="005E1103">
        <w:rPr>
          <w:rFonts w:eastAsia="Calibri" w:cstheme="minorHAnsi"/>
          <w:sz w:val="28"/>
          <w:szCs w:val="28"/>
        </w:rPr>
        <w:t>Consideraciones finales</w:t>
      </w:r>
    </w:p>
    <w:p w:rsidR="00954B58" w:rsidRPr="005E1103" w:rsidRDefault="00954B58" w:rsidP="00954B58">
      <w:pPr>
        <w:spacing w:after="0" w:line="240" w:lineRule="auto"/>
        <w:ind w:left="720"/>
        <w:contextualSpacing/>
        <w:rPr>
          <w:rFonts w:eastAsia="Calibri" w:cstheme="minorHAnsi"/>
          <w:sz w:val="28"/>
          <w:szCs w:val="28"/>
        </w:rPr>
      </w:pPr>
    </w:p>
    <w:p w:rsidR="00954B58" w:rsidRPr="005E1103" w:rsidRDefault="00954B58" w:rsidP="00954B58">
      <w:pPr>
        <w:spacing w:after="120" w:line="360" w:lineRule="auto"/>
        <w:ind w:firstLine="340"/>
        <w:contextualSpacing/>
        <w:jc w:val="both"/>
        <w:rPr>
          <w:rFonts w:eastAsia="Calibri" w:cstheme="minorHAnsi"/>
          <w:sz w:val="28"/>
          <w:szCs w:val="28"/>
        </w:rPr>
      </w:pPr>
      <w:r w:rsidRPr="005E1103">
        <w:rPr>
          <w:rFonts w:eastAsia="Calibri" w:cstheme="minorHAnsi"/>
          <w:sz w:val="28"/>
          <w:szCs w:val="28"/>
        </w:rPr>
        <w:t xml:space="preserve">La discapacidad no tiene por qué ser una limitación para el éxito en la empleabilidad y el liderazgo en el ámbito educativo y/o laboral. Para las personas discapacitadas que acceden al mundo laboral tras una trayectoria universitaria supone no solo la mejora de su empleabilidad, sino también la inserción en el empleo, rompiendo las barreras materiales y  sociales sobre las capacidades de las personas discapacitadas.  </w:t>
      </w:r>
    </w:p>
    <w:p w:rsidR="00954B58" w:rsidRPr="005E1103" w:rsidRDefault="00954B58" w:rsidP="00954B58">
      <w:pPr>
        <w:spacing w:after="120" w:line="360" w:lineRule="auto"/>
        <w:ind w:firstLine="340"/>
        <w:contextualSpacing/>
        <w:jc w:val="both"/>
        <w:rPr>
          <w:rFonts w:eastAsia="Calibri" w:cstheme="minorHAnsi"/>
          <w:sz w:val="28"/>
          <w:szCs w:val="28"/>
          <w:lang w:val="es-ES_tradnl"/>
        </w:rPr>
      </w:pPr>
      <w:r w:rsidRPr="005E1103">
        <w:rPr>
          <w:rFonts w:eastAsia="Calibri" w:cstheme="minorHAnsi"/>
          <w:sz w:val="28"/>
          <w:szCs w:val="28"/>
          <w:lang w:val="es-ES_tradnl"/>
        </w:rPr>
        <w:t>El desarrollo inclusivo es una herramienta efectiva para superar la exclusión social que promueve una estrategia integrada del desarrollo de cada persona, en el que la dimensión emocional es esencial y que beneficia a las personas y la sociedad como un todo.</w:t>
      </w:r>
    </w:p>
    <w:p w:rsidR="00954B58" w:rsidRPr="005E1103" w:rsidRDefault="00954B58" w:rsidP="00954B58">
      <w:pPr>
        <w:spacing w:after="120" w:line="360" w:lineRule="auto"/>
        <w:ind w:firstLine="340"/>
        <w:jc w:val="both"/>
        <w:rPr>
          <w:rFonts w:eastAsia="Times New Roman" w:cstheme="minorHAnsi"/>
          <w:sz w:val="28"/>
          <w:szCs w:val="28"/>
          <w:lang w:eastAsia="es-ES"/>
        </w:rPr>
      </w:pPr>
      <w:r w:rsidRPr="005E1103">
        <w:rPr>
          <w:rFonts w:eastAsia="Calibri" w:cstheme="minorHAnsi"/>
          <w:sz w:val="28"/>
          <w:szCs w:val="28"/>
          <w:lang w:val="es-ES_tradnl"/>
        </w:rPr>
        <w:t>La  práctica de la inteligencia emocional como competencia educativa en el ámbito universitario evidencia que puede proporcionar resultados exitosos en el desempeño individual, en las relaciones interpersonales, en el trabajo de dirección y en diferentes esferas de la vida de las personas discapacitadas</w:t>
      </w:r>
      <w:r w:rsidRPr="005E1103">
        <w:rPr>
          <w:rFonts w:eastAsia="Times New Roman" w:cstheme="minorHAnsi"/>
          <w:sz w:val="28"/>
          <w:szCs w:val="28"/>
          <w:lang w:val="es-MX" w:eastAsia="es-ES"/>
        </w:rPr>
        <w:t xml:space="preserve">. </w:t>
      </w:r>
    </w:p>
    <w:p w:rsidR="00954B58" w:rsidRPr="005E1103" w:rsidRDefault="00954B58" w:rsidP="00954B58">
      <w:pPr>
        <w:autoSpaceDE w:val="0"/>
        <w:autoSpaceDN w:val="0"/>
        <w:adjustRightInd w:val="0"/>
        <w:spacing w:after="120" w:line="360" w:lineRule="auto"/>
        <w:ind w:firstLine="340"/>
        <w:jc w:val="both"/>
        <w:rPr>
          <w:rFonts w:eastAsia="Calibri" w:cstheme="minorHAnsi"/>
          <w:sz w:val="28"/>
          <w:szCs w:val="28"/>
          <w:lang w:eastAsia="es-ES"/>
        </w:rPr>
      </w:pPr>
      <w:r w:rsidRPr="005E1103">
        <w:rPr>
          <w:rFonts w:eastAsia="Calibri" w:cstheme="minorHAnsi"/>
          <w:iCs/>
          <w:color w:val="000000"/>
          <w:sz w:val="28"/>
          <w:szCs w:val="28"/>
          <w:lang w:eastAsia="es-ES"/>
        </w:rPr>
        <w:t xml:space="preserve">No debemos perder de vista que, las personas con discapacidad tienen </w:t>
      </w:r>
      <w:r w:rsidRPr="005E1103">
        <w:rPr>
          <w:rFonts w:eastAsia="Calibri" w:cstheme="minorHAnsi"/>
          <w:bCs/>
          <w:iCs/>
          <w:color w:val="000000"/>
          <w:sz w:val="28"/>
          <w:szCs w:val="28"/>
          <w:lang w:eastAsia="es-ES"/>
        </w:rPr>
        <w:t xml:space="preserve">capacidades y competencias </w:t>
      </w:r>
      <w:r w:rsidRPr="005E1103">
        <w:rPr>
          <w:rFonts w:eastAsia="Calibri" w:cstheme="minorHAnsi"/>
          <w:iCs/>
          <w:color w:val="000000"/>
          <w:sz w:val="28"/>
          <w:szCs w:val="28"/>
          <w:lang w:eastAsia="es-ES"/>
        </w:rPr>
        <w:t xml:space="preserve">para desarrollar con </w:t>
      </w:r>
      <w:r w:rsidRPr="005E1103">
        <w:rPr>
          <w:rFonts w:eastAsia="Calibri" w:cstheme="minorHAnsi"/>
          <w:bCs/>
          <w:iCs/>
          <w:color w:val="000000"/>
          <w:sz w:val="28"/>
          <w:szCs w:val="28"/>
          <w:lang w:eastAsia="es-ES"/>
        </w:rPr>
        <w:t xml:space="preserve">éxito </w:t>
      </w:r>
      <w:r w:rsidRPr="005E1103">
        <w:rPr>
          <w:rFonts w:eastAsia="Calibri" w:cstheme="minorHAnsi"/>
          <w:iCs/>
          <w:color w:val="000000"/>
          <w:sz w:val="28"/>
          <w:szCs w:val="28"/>
          <w:lang w:eastAsia="es-ES"/>
        </w:rPr>
        <w:t xml:space="preserve">un empleo, </w:t>
      </w:r>
      <w:r w:rsidRPr="005E1103">
        <w:rPr>
          <w:rFonts w:eastAsia="Calibri" w:cstheme="minorHAnsi"/>
          <w:iCs/>
          <w:sz w:val="28"/>
          <w:szCs w:val="28"/>
          <w:lang w:eastAsia="es-ES"/>
        </w:rPr>
        <w:t>siempre que, como cualquier otra persona esté debidamente formada para su desarrollo personal, académico, profesional y social.</w:t>
      </w:r>
    </w:p>
    <w:p w:rsidR="00954B58" w:rsidRPr="005E1103" w:rsidRDefault="00954B58" w:rsidP="00954B58">
      <w:pPr>
        <w:spacing w:after="120" w:line="360" w:lineRule="auto"/>
        <w:ind w:firstLine="340"/>
        <w:contextualSpacing/>
        <w:jc w:val="both"/>
        <w:rPr>
          <w:rFonts w:eastAsia="Calibri" w:cstheme="minorHAnsi"/>
          <w:sz w:val="28"/>
          <w:szCs w:val="28"/>
        </w:rPr>
      </w:pPr>
      <w:r w:rsidRPr="005E1103">
        <w:rPr>
          <w:rFonts w:eastAsia="Calibri" w:cstheme="minorHAnsi"/>
          <w:sz w:val="28"/>
          <w:szCs w:val="28"/>
          <w:lang w:val="es-MX"/>
        </w:rPr>
        <w:t xml:space="preserve">Por otra parte, un aspecto que se deberá tener en cuenta a la hora del logro de que la estrategia sea exitosa para la inclusión laboral de las personas con discapacidad, es evidenciar que éstas trabajan en igualdad de oportunidades y que se les reconozcan un potencial talento, siendo la </w:t>
      </w:r>
      <w:r w:rsidRPr="005E1103">
        <w:rPr>
          <w:rFonts w:eastAsia="Calibri" w:cstheme="minorHAnsi"/>
          <w:sz w:val="28"/>
          <w:szCs w:val="28"/>
          <w:lang w:val="es-MX"/>
        </w:rPr>
        <w:lastRenderedPageBreak/>
        <w:t>práctica de la IE, por tanto, una estrategia educativa fundamental para la consecución de ese objetivo.</w:t>
      </w:r>
      <w:r w:rsidRPr="005E1103">
        <w:rPr>
          <w:rFonts w:eastAsia="Calibri" w:cstheme="minorHAnsi"/>
          <w:sz w:val="28"/>
          <w:szCs w:val="28"/>
        </w:rPr>
        <w:t xml:space="preserve">  </w:t>
      </w:r>
    </w:p>
    <w:p w:rsidR="00954B58" w:rsidRPr="005E1103" w:rsidRDefault="00954B58" w:rsidP="00954B58">
      <w:pPr>
        <w:spacing w:after="120" w:line="360" w:lineRule="auto"/>
        <w:ind w:firstLine="340"/>
        <w:contextualSpacing/>
        <w:jc w:val="both"/>
        <w:rPr>
          <w:rFonts w:eastAsia="Calibri" w:cstheme="minorHAnsi"/>
          <w:sz w:val="28"/>
          <w:szCs w:val="28"/>
          <w:lang w:val="es-MX"/>
        </w:rPr>
      </w:pPr>
      <w:r w:rsidRPr="005E1103">
        <w:rPr>
          <w:rFonts w:eastAsia="Calibri" w:cstheme="minorHAnsi"/>
          <w:sz w:val="28"/>
          <w:szCs w:val="28"/>
        </w:rPr>
        <w:t xml:space="preserve">Por último señalar que, la visión de la discapacidad de las personas en nuestros días ha ido evolucionando. No obstante, aún se hace fundamental que la sociedad continúe progresando en la toma de una mayor conciencia de la importancia de la inclusión y la diversidad como parte de la igualdad de oportunidades para el acceso de las personas discapacitadas al mundo laboral, que aporte de ese modo, una disminución de la </w:t>
      </w:r>
      <w:r w:rsidRPr="005E1103">
        <w:rPr>
          <w:rFonts w:eastAsia="Calibri" w:cstheme="minorHAnsi"/>
          <w:i/>
          <w:sz w:val="28"/>
          <w:szCs w:val="28"/>
        </w:rPr>
        <w:t>brecha educacional y laboral</w:t>
      </w:r>
      <w:r w:rsidRPr="005E1103">
        <w:rPr>
          <w:rFonts w:eastAsia="Calibri" w:cstheme="minorHAnsi"/>
          <w:sz w:val="28"/>
          <w:szCs w:val="28"/>
        </w:rPr>
        <w:t xml:space="preserve"> de las personas con discapacidad. </w:t>
      </w:r>
      <w:r w:rsidRPr="005E1103">
        <w:rPr>
          <w:rFonts w:eastAsia="Calibri" w:cstheme="minorHAnsi"/>
          <w:sz w:val="28"/>
          <w:szCs w:val="28"/>
          <w:lang w:val="es-MX"/>
        </w:rPr>
        <w:t xml:space="preserve">En conclusión, como consecuencia del avance de la aceptación de la discapacidad, uno de los retos actuales continua siendo el logro de la equiparación real y efectiva de la igualdad de oportunidades de inclusión para todas las personas en el ámbito académico, laboral y social. Para ello, no debemos de perder de vista que es aconsejable que el punto de partida de la aceptación al cambio de actitud hacia la persona discapacitada se forje desde el núcleo familiar, para el beneficio no solamente del miembro discapacitado sino de la familia en general, lo que, sin duda, va a repercutir muy positivamente en la formación académica y profesional de la persona con discapacidad en primera instancia, y del resto de la sociedad. </w:t>
      </w:r>
    </w:p>
    <w:p w:rsidR="00954B58" w:rsidRPr="005E1103" w:rsidRDefault="00954B58" w:rsidP="00954B58">
      <w:pPr>
        <w:spacing w:after="120" w:line="360" w:lineRule="auto"/>
        <w:ind w:firstLine="340"/>
        <w:contextualSpacing/>
        <w:jc w:val="both"/>
        <w:rPr>
          <w:rFonts w:eastAsia="Calibri" w:cstheme="minorHAnsi"/>
          <w:sz w:val="28"/>
          <w:szCs w:val="28"/>
        </w:rPr>
      </w:pPr>
    </w:p>
    <w:p w:rsidR="00954B58" w:rsidRPr="005E1103" w:rsidRDefault="00954B58" w:rsidP="00954B58">
      <w:pPr>
        <w:numPr>
          <w:ilvl w:val="0"/>
          <w:numId w:val="67"/>
        </w:numPr>
        <w:spacing w:after="120" w:line="360" w:lineRule="auto"/>
        <w:ind w:left="357" w:hanging="357"/>
        <w:contextualSpacing/>
        <w:rPr>
          <w:rFonts w:eastAsia="Calibri" w:cstheme="minorHAnsi"/>
          <w:sz w:val="28"/>
          <w:szCs w:val="28"/>
        </w:rPr>
      </w:pPr>
      <w:r w:rsidRPr="005E1103">
        <w:rPr>
          <w:rFonts w:eastAsia="Calibri" w:cstheme="minorHAnsi"/>
          <w:sz w:val="28"/>
          <w:szCs w:val="28"/>
        </w:rPr>
        <w:t>Referencias Bibliográficas</w:t>
      </w:r>
    </w:p>
    <w:p w:rsidR="00954B58" w:rsidRPr="005E1103" w:rsidRDefault="00954B58" w:rsidP="00954B58">
      <w:pPr>
        <w:spacing w:after="120" w:line="360" w:lineRule="auto"/>
        <w:ind w:firstLine="340"/>
        <w:jc w:val="both"/>
        <w:rPr>
          <w:rFonts w:eastAsia="Calibri" w:cstheme="minorHAnsi"/>
          <w:sz w:val="28"/>
          <w:szCs w:val="28"/>
          <w:lang w:val="es-MX"/>
        </w:rPr>
      </w:pPr>
      <w:r w:rsidRPr="005E1103">
        <w:rPr>
          <w:rFonts w:eastAsia="Calibri" w:cstheme="minorHAnsi"/>
          <w:sz w:val="28"/>
          <w:szCs w:val="28"/>
          <w:lang w:val="es-MX"/>
        </w:rPr>
        <w:t xml:space="preserve">- Aguilar, Gilda (2003), </w:t>
      </w:r>
      <w:r w:rsidRPr="005E1103">
        <w:rPr>
          <w:rFonts w:eastAsia="Calibri" w:cstheme="minorHAnsi"/>
          <w:sz w:val="28"/>
          <w:szCs w:val="28"/>
        </w:rPr>
        <w:t>«</w:t>
      </w:r>
      <w:r w:rsidRPr="005E1103">
        <w:rPr>
          <w:rFonts w:eastAsia="Calibri" w:cstheme="minorHAnsi"/>
          <w:bCs/>
          <w:iCs/>
          <w:sz w:val="28"/>
          <w:szCs w:val="28"/>
          <w:lang w:val="es-MX"/>
        </w:rPr>
        <w:t>La educación inclusiva como estrategia para abordar la diversidad</w:t>
      </w:r>
      <w:r w:rsidRPr="005E1103">
        <w:rPr>
          <w:rFonts w:eastAsia="Calibri" w:cstheme="minorHAnsi"/>
          <w:sz w:val="28"/>
          <w:szCs w:val="28"/>
        </w:rPr>
        <w:t xml:space="preserve">», </w:t>
      </w:r>
      <w:r w:rsidRPr="005E1103">
        <w:rPr>
          <w:rFonts w:eastAsia="Calibri" w:cstheme="minorHAnsi"/>
          <w:i/>
          <w:sz w:val="28"/>
          <w:szCs w:val="28"/>
        </w:rPr>
        <w:t>en</w:t>
      </w:r>
      <w:r w:rsidRPr="005E1103">
        <w:rPr>
          <w:rFonts w:eastAsia="Calibri" w:cstheme="minorHAnsi"/>
          <w:bCs/>
          <w:i/>
          <w:iCs/>
          <w:sz w:val="28"/>
          <w:szCs w:val="28"/>
          <w:lang w:val="es-MX"/>
        </w:rPr>
        <w:t xml:space="preserve"> </w:t>
      </w:r>
      <w:r w:rsidRPr="005E1103">
        <w:rPr>
          <w:rFonts w:eastAsia="Calibri" w:cstheme="minorHAnsi"/>
          <w:i/>
          <w:sz w:val="28"/>
          <w:szCs w:val="28"/>
          <w:lang w:val="es-MX"/>
        </w:rPr>
        <w:t>I Simposio de Educación</w:t>
      </w:r>
      <w:r w:rsidRPr="005E1103">
        <w:rPr>
          <w:rFonts w:eastAsia="Calibri" w:cstheme="minorHAnsi"/>
          <w:sz w:val="28"/>
          <w:szCs w:val="28"/>
          <w:lang w:val="es-MX"/>
        </w:rPr>
        <w:t>: "</w:t>
      </w:r>
      <w:r w:rsidRPr="005E1103">
        <w:rPr>
          <w:rFonts w:eastAsia="Calibri" w:cstheme="minorHAnsi"/>
          <w:i/>
          <w:sz w:val="28"/>
          <w:szCs w:val="28"/>
          <w:lang w:val="es-MX"/>
        </w:rPr>
        <w:t>Por una atención a la diversidad</w:t>
      </w:r>
      <w:r w:rsidRPr="005E1103">
        <w:rPr>
          <w:rFonts w:eastAsia="Calibri" w:cstheme="minorHAnsi"/>
          <w:sz w:val="28"/>
          <w:szCs w:val="28"/>
          <w:lang w:val="es-MX"/>
        </w:rPr>
        <w:t xml:space="preserve">”. Universidad Estatal a Distancia. </w:t>
      </w:r>
    </w:p>
    <w:p w:rsidR="00954B58" w:rsidRPr="005E1103" w:rsidRDefault="00954B58" w:rsidP="00954B58">
      <w:pPr>
        <w:spacing w:after="0" w:line="360" w:lineRule="auto"/>
        <w:jc w:val="both"/>
        <w:rPr>
          <w:rFonts w:eastAsia="Calibri" w:cstheme="minorHAnsi"/>
          <w:sz w:val="28"/>
          <w:szCs w:val="28"/>
          <w:lang w:val="es-MX"/>
        </w:rPr>
      </w:pPr>
      <w:r w:rsidRPr="005E1103">
        <w:rPr>
          <w:rFonts w:eastAsia="Calibri" w:cstheme="minorHAnsi"/>
          <w:sz w:val="28"/>
          <w:szCs w:val="28"/>
          <w:lang w:val="es-MX"/>
        </w:rPr>
        <w:lastRenderedPageBreak/>
        <w:t xml:space="preserve">- Astorga, Luis Fernando (2003), </w:t>
      </w:r>
      <w:r w:rsidRPr="005E1103">
        <w:rPr>
          <w:rFonts w:eastAsia="Calibri" w:cstheme="minorHAnsi"/>
          <w:i/>
          <w:iCs/>
          <w:sz w:val="28"/>
          <w:szCs w:val="28"/>
          <w:lang w:val="es-MX"/>
        </w:rPr>
        <w:t>Discapacidad, perspectiva histórica y desigualdades imperantes</w:t>
      </w:r>
      <w:r w:rsidRPr="005E1103">
        <w:rPr>
          <w:rFonts w:eastAsia="Calibri" w:cstheme="minorHAnsi"/>
          <w:sz w:val="28"/>
          <w:szCs w:val="28"/>
          <w:lang w:val="es-MX"/>
        </w:rPr>
        <w:t xml:space="preserve">. Disponible en  </w:t>
      </w:r>
      <w:hyperlink r:id="rId116" w:history="1">
        <w:r w:rsidRPr="005E1103">
          <w:rPr>
            <w:rFonts w:eastAsia="Calibri" w:cstheme="minorHAnsi"/>
            <w:color w:val="000000"/>
            <w:sz w:val="28"/>
            <w:szCs w:val="28"/>
            <w:u w:val="single"/>
          </w:rPr>
          <w:t>http://www.codehuca.or.cr/discapabrecha.htm</w:t>
        </w:r>
      </w:hyperlink>
      <w:r w:rsidRPr="005E1103">
        <w:rPr>
          <w:rFonts w:eastAsia="Calibri" w:cstheme="minorHAnsi"/>
          <w:sz w:val="28"/>
          <w:szCs w:val="28"/>
          <w:lang w:val="es-MX"/>
        </w:rPr>
        <w:t>. (09-09-16).</w:t>
      </w:r>
    </w:p>
    <w:p w:rsidR="00954B58" w:rsidRPr="005E1103" w:rsidRDefault="00954B58" w:rsidP="00954B58">
      <w:pPr>
        <w:tabs>
          <w:tab w:val="left" w:pos="4395"/>
        </w:tabs>
        <w:spacing w:after="0" w:line="360" w:lineRule="auto"/>
        <w:jc w:val="both"/>
        <w:rPr>
          <w:rFonts w:eastAsia="Calibri" w:cstheme="minorHAnsi"/>
          <w:sz w:val="28"/>
          <w:szCs w:val="28"/>
          <w:lang w:val="es-MX"/>
        </w:rPr>
      </w:pPr>
      <w:r w:rsidRPr="005E1103">
        <w:rPr>
          <w:rFonts w:eastAsia="Calibri" w:cstheme="minorHAnsi"/>
          <w:sz w:val="28"/>
          <w:szCs w:val="28"/>
          <w:lang w:val="es-MX"/>
        </w:rPr>
        <w:t xml:space="preserve">- Constitución Española, </w:t>
      </w:r>
      <w:r w:rsidRPr="005E1103">
        <w:rPr>
          <w:rFonts w:eastAsia="Calibri" w:cstheme="minorHAnsi"/>
          <w:i/>
          <w:sz w:val="28"/>
          <w:szCs w:val="28"/>
          <w:lang w:val="es-MX"/>
        </w:rPr>
        <w:t>Boletín Oficial del Estado</w:t>
      </w:r>
      <w:r w:rsidRPr="005E1103">
        <w:rPr>
          <w:rFonts w:eastAsia="Calibri" w:cstheme="minorHAnsi"/>
          <w:sz w:val="28"/>
          <w:szCs w:val="28"/>
          <w:lang w:val="es-MX"/>
        </w:rPr>
        <w:t>, núm. 311, 29 de diciembre de 1978, págs.29313-29424.</w:t>
      </w:r>
    </w:p>
    <w:p w:rsidR="00954B58" w:rsidRPr="005E1103" w:rsidRDefault="00954B58" w:rsidP="00954B58">
      <w:pPr>
        <w:spacing w:after="0" w:line="360" w:lineRule="auto"/>
        <w:jc w:val="both"/>
        <w:rPr>
          <w:rFonts w:eastAsia="Calibri" w:cstheme="minorHAnsi"/>
          <w:sz w:val="28"/>
          <w:szCs w:val="28"/>
          <w:lang w:val="es-MX"/>
        </w:rPr>
      </w:pPr>
      <w:r w:rsidRPr="005E1103">
        <w:rPr>
          <w:rFonts w:eastAsia="Calibri" w:cstheme="minorHAnsi"/>
          <w:sz w:val="28"/>
          <w:szCs w:val="28"/>
          <w:lang w:val="es-MX"/>
        </w:rPr>
        <w:t>- Delors, Jacques (1996</w:t>
      </w:r>
      <w:r w:rsidRPr="005E1103">
        <w:rPr>
          <w:rFonts w:eastAsia="Calibri" w:cstheme="minorHAnsi"/>
          <w:i/>
          <w:sz w:val="28"/>
          <w:szCs w:val="28"/>
          <w:lang w:val="es-MX"/>
        </w:rPr>
        <w:t>), La educación encierra un tesoro.</w:t>
      </w:r>
      <w:r w:rsidRPr="005E1103">
        <w:rPr>
          <w:rFonts w:eastAsia="Calibri" w:cstheme="minorHAnsi"/>
          <w:sz w:val="28"/>
          <w:szCs w:val="28"/>
          <w:lang w:val="es-MX"/>
        </w:rPr>
        <w:t xml:space="preserve"> Informe de la Comisión Internacional sobre la educación para el siglo XXI. Madrid, UNESCO-Santillana.</w:t>
      </w:r>
    </w:p>
    <w:p w:rsidR="00954B58" w:rsidRPr="005E1103" w:rsidRDefault="00954B58" w:rsidP="00954B58">
      <w:pPr>
        <w:tabs>
          <w:tab w:val="left" w:pos="4395"/>
        </w:tabs>
        <w:spacing w:after="0" w:line="360" w:lineRule="auto"/>
        <w:jc w:val="both"/>
        <w:rPr>
          <w:rFonts w:eastAsia="Calibri" w:cstheme="minorHAnsi"/>
          <w:sz w:val="28"/>
          <w:szCs w:val="28"/>
          <w:lang w:val="es-MX"/>
        </w:rPr>
      </w:pPr>
      <w:r w:rsidRPr="005E1103">
        <w:rPr>
          <w:rFonts w:eastAsia="Calibri" w:cstheme="minorHAnsi"/>
          <w:color w:val="000000"/>
          <w:sz w:val="28"/>
          <w:szCs w:val="28"/>
        </w:rPr>
        <w:t xml:space="preserve">- España, Ley 51/2003, de 2 de diciembre de Igualdad de oportunidades, no discriminación y accesibilidad universal de las personas con discapacidad (LION- DAU) </w:t>
      </w:r>
      <w:r w:rsidRPr="005E1103">
        <w:rPr>
          <w:rFonts w:eastAsia="Calibri" w:cstheme="minorHAnsi"/>
          <w:i/>
          <w:sz w:val="28"/>
          <w:szCs w:val="28"/>
          <w:lang w:val="es-MX"/>
        </w:rPr>
        <w:t>Boletín Oficial del Estado</w:t>
      </w:r>
      <w:r w:rsidRPr="005E1103">
        <w:rPr>
          <w:rFonts w:eastAsia="Calibri" w:cstheme="minorHAnsi"/>
          <w:sz w:val="28"/>
          <w:szCs w:val="28"/>
          <w:lang w:val="es-MX"/>
        </w:rPr>
        <w:t xml:space="preserve">, núm. 289, 3 de diciembre de 2003. </w:t>
      </w:r>
    </w:p>
    <w:p w:rsidR="00954B58" w:rsidRPr="005E1103" w:rsidRDefault="00954B58" w:rsidP="00954B58">
      <w:pPr>
        <w:spacing w:after="120" w:line="360" w:lineRule="auto"/>
        <w:jc w:val="both"/>
        <w:rPr>
          <w:rFonts w:eastAsia="Calibri" w:cstheme="minorHAnsi"/>
          <w:sz w:val="28"/>
          <w:szCs w:val="28"/>
          <w:lang w:val="es-MX"/>
        </w:rPr>
      </w:pPr>
      <w:r w:rsidRPr="005E1103">
        <w:rPr>
          <w:rFonts w:eastAsia="Calibri" w:cstheme="minorHAnsi"/>
          <w:sz w:val="28"/>
          <w:szCs w:val="28"/>
          <w:lang w:val="es-MX"/>
        </w:rPr>
        <w:t xml:space="preserve">- </w:t>
      </w:r>
      <w:r w:rsidRPr="005E1103">
        <w:rPr>
          <w:rFonts w:eastAsia="Calibri" w:cstheme="minorHAnsi"/>
          <w:color w:val="000000"/>
          <w:sz w:val="28"/>
          <w:szCs w:val="28"/>
        </w:rPr>
        <w:t xml:space="preserve">España, </w:t>
      </w:r>
      <w:r w:rsidRPr="005E1103">
        <w:rPr>
          <w:rFonts w:eastAsia="Calibri" w:cstheme="minorHAnsi"/>
          <w:sz w:val="28"/>
          <w:szCs w:val="28"/>
          <w:lang w:val="es-MX"/>
        </w:rPr>
        <w:t>Ley 6/2001, de 21 de diciembre, de Universidades, modificada por la Ley Orgánica 4/</w:t>
      </w:r>
      <w:r w:rsidRPr="005E1103">
        <w:rPr>
          <w:rFonts w:eastAsia="Calibri" w:cstheme="minorHAnsi"/>
          <w:sz w:val="28"/>
          <w:szCs w:val="28"/>
        </w:rPr>
        <w:t>2007</w:t>
      </w:r>
      <w:r w:rsidRPr="005E1103">
        <w:rPr>
          <w:rFonts w:eastAsia="Calibri" w:cstheme="minorHAnsi"/>
          <w:sz w:val="28"/>
          <w:szCs w:val="28"/>
          <w:lang w:val="es-MX"/>
        </w:rPr>
        <w:t xml:space="preserve">, de 12 de abril (LOMLOU) </w:t>
      </w:r>
      <w:r w:rsidRPr="005E1103">
        <w:rPr>
          <w:rFonts w:eastAsia="Calibri" w:cstheme="minorHAnsi"/>
          <w:i/>
          <w:sz w:val="28"/>
          <w:szCs w:val="28"/>
          <w:lang w:val="es-MX"/>
        </w:rPr>
        <w:t>Boletín Oficial del Estado</w:t>
      </w:r>
      <w:r w:rsidRPr="005E1103">
        <w:rPr>
          <w:rFonts w:eastAsia="Calibri" w:cstheme="minorHAnsi"/>
          <w:sz w:val="28"/>
          <w:szCs w:val="28"/>
          <w:lang w:val="es-MX"/>
        </w:rPr>
        <w:t xml:space="preserve">, </w:t>
      </w:r>
      <w:r w:rsidRPr="005E1103">
        <w:rPr>
          <w:rFonts w:eastAsia="Calibri" w:cstheme="minorHAnsi"/>
          <w:sz w:val="28"/>
          <w:szCs w:val="28"/>
        </w:rPr>
        <w:t>núm. 89, 13 de abril  de 2007, págs. 16241- 16260.</w:t>
      </w:r>
    </w:p>
    <w:p w:rsidR="00954B58" w:rsidRPr="005E1103" w:rsidRDefault="00954B58" w:rsidP="00954B58">
      <w:pPr>
        <w:spacing w:after="120" w:line="360" w:lineRule="auto"/>
        <w:jc w:val="both"/>
        <w:rPr>
          <w:rFonts w:eastAsia="Calibri" w:cstheme="minorHAnsi"/>
          <w:sz w:val="28"/>
          <w:szCs w:val="28"/>
          <w:shd w:val="clear" w:color="auto" w:fill="FFFFFF"/>
        </w:rPr>
      </w:pPr>
      <w:r w:rsidRPr="005E1103">
        <w:rPr>
          <w:rFonts w:eastAsia="Calibri" w:cstheme="minorHAnsi"/>
          <w:color w:val="000000"/>
          <w:sz w:val="28"/>
          <w:szCs w:val="28"/>
        </w:rPr>
        <w:t xml:space="preserve">- España, Ley de Integración social de la Persona con Discapacidad (LISMI), </w:t>
      </w:r>
      <w:r w:rsidRPr="005E1103">
        <w:rPr>
          <w:rFonts w:eastAsia="Calibri" w:cstheme="minorHAnsi"/>
          <w:i/>
          <w:sz w:val="28"/>
          <w:szCs w:val="28"/>
          <w:shd w:val="clear" w:color="auto" w:fill="FFFFFF"/>
        </w:rPr>
        <w:t>Boletín Oficial del Estado</w:t>
      </w:r>
      <w:r w:rsidRPr="005E1103">
        <w:rPr>
          <w:rFonts w:eastAsia="Calibri" w:cstheme="minorHAnsi"/>
          <w:sz w:val="28"/>
          <w:szCs w:val="28"/>
          <w:shd w:val="clear" w:color="auto" w:fill="FFFFFF"/>
        </w:rPr>
        <w:t>, núm. 103, 30 de abril  de 1982  págs. 11106-1 11112.</w:t>
      </w:r>
    </w:p>
    <w:p w:rsidR="00954B58" w:rsidRPr="005E1103" w:rsidRDefault="00954B58" w:rsidP="00954B58">
      <w:pPr>
        <w:spacing w:after="120" w:line="360" w:lineRule="auto"/>
        <w:jc w:val="both"/>
        <w:rPr>
          <w:rFonts w:eastAsia="Calibri" w:cstheme="minorHAnsi"/>
          <w:sz w:val="28"/>
          <w:szCs w:val="28"/>
        </w:rPr>
      </w:pPr>
      <w:r w:rsidRPr="005E1103">
        <w:rPr>
          <w:rFonts w:eastAsia="Calibri" w:cstheme="minorHAnsi"/>
          <w:color w:val="000000"/>
          <w:sz w:val="28"/>
          <w:szCs w:val="28"/>
        </w:rPr>
        <w:t xml:space="preserve">- España, </w:t>
      </w:r>
      <w:r w:rsidRPr="005E1103">
        <w:rPr>
          <w:rFonts w:eastAsia="Calibri" w:cstheme="minorHAnsi"/>
          <w:sz w:val="28"/>
          <w:szCs w:val="28"/>
        </w:rPr>
        <w:t>Instrumento de Ratificación de la Convención sobre los derechos de las personas con discapacidad, hecho en Nueva York el 13 de diciembre de 2006,</w:t>
      </w:r>
      <w:r w:rsidRPr="005E1103">
        <w:rPr>
          <w:rFonts w:eastAsia="Calibri" w:cstheme="minorHAnsi"/>
          <w:color w:val="000000"/>
          <w:sz w:val="28"/>
          <w:szCs w:val="28"/>
        </w:rPr>
        <w:t xml:space="preserve"> </w:t>
      </w:r>
      <w:r w:rsidRPr="005E1103">
        <w:rPr>
          <w:rFonts w:eastAsia="Calibri" w:cstheme="minorHAnsi"/>
          <w:i/>
          <w:color w:val="000000"/>
          <w:sz w:val="28"/>
          <w:szCs w:val="28"/>
        </w:rPr>
        <w:t>Boletín Oficial del Estado</w:t>
      </w:r>
      <w:r w:rsidRPr="005E1103">
        <w:rPr>
          <w:rFonts w:eastAsia="Calibri" w:cstheme="minorHAnsi"/>
          <w:color w:val="000000"/>
          <w:sz w:val="28"/>
          <w:szCs w:val="28"/>
        </w:rPr>
        <w:t xml:space="preserve">, 21 de abril de 2008, núm. 96, </w:t>
      </w:r>
      <w:r w:rsidRPr="005E1103">
        <w:rPr>
          <w:rFonts w:eastAsia="Calibri" w:cstheme="minorHAnsi"/>
          <w:sz w:val="28"/>
          <w:szCs w:val="28"/>
        </w:rPr>
        <w:t xml:space="preserve"> págs. 20648-20659.</w:t>
      </w:r>
    </w:p>
    <w:p w:rsidR="00954B58" w:rsidRPr="005E1103" w:rsidRDefault="00954B58" w:rsidP="00954B58">
      <w:pPr>
        <w:spacing w:after="120" w:line="360" w:lineRule="auto"/>
        <w:jc w:val="both"/>
        <w:rPr>
          <w:rFonts w:eastAsia="Calibri" w:cstheme="minorHAnsi"/>
          <w:sz w:val="28"/>
          <w:szCs w:val="28"/>
        </w:rPr>
      </w:pPr>
      <w:r w:rsidRPr="005E1103">
        <w:rPr>
          <w:rFonts w:eastAsia="Calibri" w:cstheme="minorHAnsi"/>
          <w:sz w:val="28"/>
          <w:szCs w:val="28"/>
        </w:rPr>
        <w:t xml:space="preserve">- España, Conserjería de Familia y Asuntos Sociales de la Comunidad de Madrid y Frama Estudio, S. L (Gestión del Proyecto), Aula de intermediación familiar para personas con discapacidad. Un método de </w:t>
      </w:r>
      <w:r w:rsidRPr="005E1103">
        <w:rPr>
          <w:rFonts w:eastAsia="Calibri" w:cstheme="minorHAnsi"/>
          <w:sz w:val="28"/>
          <w:szCs w:val="28"/>
        </w:rPr>
        <w:lastRenderedPageBreak/>
        <w:t xml:space="preserve">intervención para la mejora de la empleabilidad, </w:t>
      </w:r>
      <w:r w:rsidRPr="005E1103">
        <w:rPr>
          <w:rFonts w:eastAsia="Calibri" w:cstheme="minorHAnsi"/>
          <w:i/>
          <w:sz w:val="28"/>
          <w:szCs w:val="28"/>
        </w:rPr>
        <w:t>Capital humano</w:t>
      </w:r>
      <w:r w:rsidRPr="005E1103">
        <w:rPr>
          <w:rFonts w:eastAsia="Calibri" w:cstheme="minorHAnsi"/>
          <w:sz w:val="28"/>
          <w:szCs w:val="28"/>
        </w:rPr>
        <w:t>, núm. 178 (2000), págs. 96-107.</w:t>
      </w:r>
    </w:p>
    <w:p w:rsidR="00954B58" w:rsidRPr="005E1103" w:rsidRDefault="00954B58" w:rsidP="00954B58">
      <w:pPr>
        <w:spacing w:after="120" w:line="360" w:lineRule="auto"/>
        <w:jc w:val="both"/>
        <w:rPr>
          <w:rFonts w:eastAsia="Calibri" w:cstheme="minorHAnsi"/>
          <w:sz w:val="28"/>
          <w:szCs w:val="28"/>
          <w:shd w:val="clear" w:color="auto" w:fill="FFFFFF"/>
        </w:rPr>
      </w:pPr>
      <w:r w:rsidRPr="005E1103">
        <w:rPr>
          <w:rFonts w:eastAsia="Calibri" w:cstheme="minorHAnsi"/>
          <w:sz w:val="28"/>
          <w:szCs w:val="28"/>
        </w:rPr>
        <w:t xml:space="preserve">- España, </w:t>
      </w:r>
      <w:r w:rsidRPr="005E1103">
        <w:rPr>
          <w:rFonts w:eastAsia="Calibri" w:cstheme="minorHAnsi"/>
          <w:sz w:val="28"/>
          <w:szCs w:val="28"/>
          <w:shd w:val="clear" w:color="auto" w:fill="FFFFFF"/>
        </w:rPr>
        <w:t xml:space="preserve">Ley Orgánica de Universidades (España, LEY ORGÁNICA 6/2001, de 21 de diciembre, de Universidades, </w:t>
      </w:r>
      <w:r w:rsidRPr="005E1103">
        <w:rPr>
          <w:rFonts w:eastAsia="Calibri" w:cstheme="minorHAnsi"/>
          <w:i/>
          <w:sz w:val="28"/>
          <w:szCs w:val="28"/>
          <w:shd w:val="clear" w:color="auto" w:fill="FFFFFF"/>
        </w:rPr>
        <w:t>Boletín Oficial del Estado</w:t>
      </w:r>
      <w:r w:rsidRPr="005E1103">
        <w:rPr>
          <w:rFonts w:eastAsia="Calibri" w:cstheme="minorHAnsi"/>
          <w:sz w:val="28"/>
          <w:szCs w:val="28"/>
          <w:shd w:val="clear" w:color="auto" w:fill="FFFFFF"/>
        </w:rPr>
        <w:t>, núm.307, de 24 de diciembre de 2001, págs.49400-49425.</w:t>
      </w:r>
    </w:p>
    <w:p w:rsidR="00954B58" w:rsidRPr="005E1103" w:rsidRDefault="00954B58" w:rsidP="00954B58">
      <w:pPr>
        <w:spacing w:after="0" w:line="360" w:lineRule="auto"/>
        <w:jc w:val="both"/>
        <w:rPr>
          <w:rFonts w:eastAsia="Calibri" w:cstheme="minorHAnsi"/>
          <w:sz w:val="28"/>
          <w:szCs w:val="28"/>
        </w:rPr>
      </w:pPr>
      <w:r w:rsidRPr="005E1103">
        <w:rPr>
          <w:rFonts w:eastAsia="Calibri" w:cstheme="minorHAnsi"/>
          <w:sz w:val="28"/>
          <w:szCs w:val="28"/>
          <w:lang w:val="es-MX"/>
        </w:rPr>
        <w:t>-</w:t>
      </w:r>
      <w:r w:rsidRPr="005E1103">
        <w:rPr>
          <w:rFonts w:eastAsia="Calibri" w:cstheme="minorHAnsi"/>
          <w:sz w:val="28"/>
          <w:szCs w:val="28"/>
        </w:rPr>
        <w:t xml:space="preserve"> Fernández-Berrocal, Pablo y Ruiz-</w:t>
      </w:r>
      <w:r w:rsidRPr="005E1103">
        <w:rPr>
          <w:rFonts w:eastAsia="Calibri" w:cstheme="minorHAnsi"/>
          <w:i/>
          <w:sz w:val="28"/>
          <w:szCs w:val="28"/>
        </w:rPr>
        <w:t xml:space="preserve">Aranda, </w:t>
      </w:r>
      <w:r w:rsidRPr="005E1103">
        <w:rPr>
          <w:rFonts w:eastAsia="Calibri" w:cstheme="minorHAnsi"/>
          <w:sz w:val="28"/>
          <w:szCs w:val="28"/>
        </w:rPr>
        <w:t>La inteligencia emocional en la educación»,</w:t>
      </w:r>
      <w:r w:rsidRPr="005E1103">
        <w:rPr>
          <w:rFonts w:eastAsia="Calibri" w:cstheme="minorHAnsi"/>
          <w:i/>
          <w:sz w:val="28"/>
          <w:szCs w:val="28"/>
        </w:rPr>
        <w:t xml:space="preserve"> Revista</w:t>
      </w:r>
      <w:r w:rsidRPr="005E1103">
        <w:rPr>
          <w:rFonts w:eastAsia="Calibri" w:cstheme="minorHAnsi"/>
          <w:sz w:val="28"/>
          <w:szCs w:val="28"/>
        </w:rPr>
        <w:t xml:space="preserve"> </w:t>
      </w:r>
      <w:r w:rsidRPr="005E1103">
        <w:rPr>
          <w:rFonts w:eastAsia="Calibri" w:cstheme="minorHAnsi"/>
          <w:i/>
          <w:sz w:val="28"/>
          <w:szCs w:val="28"/>
        </w:rPr>
        <w:t>Electrónica</w:t>
      </w:r>
      <w:r w:rsidRPr="005E1103">
        <w:rPr>
          <w:rFonts w:eastAsia="Calibri" w:cstheme="minorHAnsi"/>
          <w:sz w:val="28"/>
          <w:szCs w:val="28"/>
        </w:rPr>
        <w:t xml:space="preserve"> </w:t>
      </w:r>
      <w:r w:rsidRPr="005E1103">
        <w:rPr>
          <w:rFonts w:eastAsia="Calibri" w:cstheme="minorHAnsi"/>
          <w:i/>
          <w:sz w:val="28"/>
          <w:szCs w:val="28"/>
        </w:rPr>
        <w:t>de Investigación Psicoeducativa</w:t>
      </w:r>
      <w:r w:rsidRPr="005E1103">
        <w:rPr>
          <w:rFonts w:eastAsia="Calibri" w:cstheme="minorHAnsi"/>
          <w:sz w:val="28"/>
          <w:szCs w:val="28"/>
        </w:rPr>
        <w:t xml:space="preserve">, nº 15 (2008), págs.421-436.       </w:t>
      </w:r>
    </w:p>
    <w:p w:rsidR="00954B58" w:rsidRPr="005E1103" w:rsidRDefault="00954B58" w:rsidP="00954B58">
      <w:pPr>
        <w:spacing w:after="0" w:line="360" w:lineRule="auto"/>
        <w:jc w:val="both"/>
        <w:rPr>
          <w:rFonts w:eastAsia="Calibri" w:cstheme="minorHAnsi"/>
          <w:sz w:val="28"/>
          <w:szCs w:val="28"/>
        </w:rPr>
      </w:pPr>
      <w:r w:rsidRPr="005E1103">
        <w:rPr>
          <w:rFonts w:eastAsia="Calibri" w:cstheme="minorHAnsi"/>
          <w:sz w:val="28"/>
          <w:szCs w:val="28"/>
        </w:rPr>
        <w:t xml:space="preserve">- Gallego, Domingo y Gallego, Mª José (2004), </w:t>
      </w:r>
      <w:r w:rsidRPr="005E1103">
        <w:rPr>
          <w:rFonts w:eastAsia="Calibri" w:cstheme="minorHAnsi"/>
          <w:i/>
          <w:sz w:val="28"/>
          <w:szCs w:val="28"/>
        </w:rPr>
        <w:t>Educar la inteligencia emocional en el aula</w:t>
      </w:r>
      <w:r w:rsidRPr="005E1103">
        <w:rPr>
          <w:rFonts w:eastAsia="Calibri" w:cstheme="minorHAnsi"/>
          <w:sz w:val="28"/>
          <w:szCs w:val="28"/>
        </w:rPr>
        <w:t>, Madrid,  PPC.</w:t>
      </w:r>
    </w:p>
    <w:p w:rsidR="00954B58" w:rsidRPr="005E1103" w:rsidRDefault="00954B58" w:rsidP="00954B58">
      <w:pPr>
        <w:spacing w:after="120" w:line="360" w:lineRule="auto"/>
        <w:jc w:val="both"/>
        <w:rPr>
          <w:rFonts w:eastAsia="Calibri" w:cstheme="minorHAnsi"/>
          <w:sz w:val="28"/>
          <w:szCs w:val="28"/>
        </w:rPr>
      </w:pPr>
      <w:r w:rsidRPr="005E1103">
        <w:rPr>
          <w:rFonts w:eastAsia="Calibri" w:cstheme="minorHAnsi"/>
          <w:sz w:val="28"/>
          <w:szCs w:val="28"/>
        </w:rPr>
        <w:t xml:space="preserve">- Garrido, Marco y Chacón, Jorge. (2015), Atlas Laboral de las Personas con Discapacidad 2016. Universidad de Sevilla. Recuperado de: </w:t>
      </w:r>
      <w:hyperlink r:id="rId117" w:history="1">
        <w:r w:rsidRPr="005E1103">
          <w:rPr>
            <w:rFonts w:eastAsia="Calibri" w:cstheme="minorHAnsi"/>
            <w:color w:val="0000FF"/>
            <w:sz w:val="28"/>
            <w:szCs w:val="28"/>
            <w:u w:val="single"/>
          </w:rPr>
          <w:t>http://www.gruposifu.com/wpcontent/uploads/2015/11/GS_AtlasLaboral_web_reducida.pdf</w:t>
        </w:r>
      </w:hyperlink>
      <w:r w:rsidRPr="005E1103">
        <w:rPr>
          <w:rFonts w:eastAsia="Calibri" w:cstheme="minorHAnsi"/>
          <w:sz w:val="28"/>
          <w:szCs w:val="28"/>
        </w:rPr>
        <w:t>.</w:t>
      </w:r>
    </w:p>
    <w:p w:rsidR="00954B58" w:rsidRPr="005E1103" w:rsidRDefault="00954B58" w:rsidP="00954B58">
      <w:pPr>
        <w:spacing w:after="120" w:line="360" w:lineRule="auto"/>
        <w:jc w:val="both"/>
        <w:rPr>
          <w:rFonts w:eastAsia="Calibri" w:cstheme="minorHAnsi"/>
          <w:sz w:val="28"/>
          <w:szCs w:val="28"/>
        </w:rPr>
      </w:pPr>
      <w:r w:rsidRPr="005E1103">
        <w:rPr>
          <w:rFonts w:eastAsia="Calibri" w:cstheme="minorHAnsi"/>
          <w:sz w:val="28"/>
          <w:szCs w:val="28"/>
        </w:rPr>
        <w:t xml:space="preserve">- Granados, Antolín (2000), ¿Tiene cabida la diversidad en la Universidad? En Honorio Salmerón y Víctor Luis López (coords.), </w:t>
      </w:r>
      <w:r w:rsidRPr="005E1103">
        <w:rPr>
          <w:rFonts w:eastAsia="Calibri" w:cstheme="minorHAnsi"/>
          <w:i/>
          <w:sz w:val="28"/>
          <w:szCs w:val="28"/>
        </w:rPr>
        <w:t>Orientación Educativa en las Universidades</w:t>
      </w:r>
      <w:r w:rsidRPr="005E1103">
        <w:rPr>
          <w:rFonts w:eastAsia="Calibri" w:cstheme="minorHAnsi"/>
          <w:sz w:val="28"/>
          <w:szCs w:val="28"/>
        </w:rPr>
        <w:t>, págs. 144-147,  Granada, Grupo Editorial Universitario.</w:t>
      </w:r>
    </w:p>
    <w:p w:rsidR="00954B58" w:rsidRPr="005E1103" w:rsidRDefault="00954B58" w:rsidP="00954B58">
      <w:pPr>
        <w:autoSpaceDE w:val="0"/>
        <w:autoSpaceDN w:val="0"/>
        <w:adjustRightInd w:val="0"/>
        <w:spacing w:after="0" w:line="360" w:lineRule="auto"/>
        <w:jc w:val="both"/>
        <w:rPr>
          <w:rFonts w:eastAsia="Calibri" w:cstheme="minorHAnsi"/>
          <w:i/>
          <w:iCs/>
          <w:sz w:val="28"/>
          <w:szCs w:val="28"/>
        </w:rPr>
      </w:pPr>
      <w:r w:rsidRPr="005E1103">
        <w:rPr>
          <w:rFonts w:eastAsia="Calibri" w:cstheme="minorHAnsi"/>
          <w:sz w:val="28"/>
          <w:szCs w:val="28"/>
        </w:rPr>
        <w:t xml:space="preserve">- Organización Mundial de la Salud (1980), </w:t>
      </w:r>
      <w:r w:rsidRPr="005E1103">
        <w:rPr>
          <w:rFonts w:eastAsia="Calibri" w:cstheme="minorHAnsi"/>
          <w:i/>
          <w:iCs/>
          <w:sz w:val="28"/>
          <w:szCs w:val="28"/>
        </w:rPr>
        <w:t>Clasificación Internacional de Deficiencias, Discapacidades y Minusvalías (CIDMM): Manual de clasificación de las</w:t>
      </w:r>
    </w:p>
    <w:p w:rsidR="00954B58" w:rsidRPr="005E1103" w:rsidRDefault="00954B58" w:rsidP="00954B58">
      <w:pPr>
        <w:autoSpaceDE w:val="0"/>
        <w:autoSpaceDN w:val="0"/>
        <w:adjustRightInd w:val="0"/>
        <w:spacing w:after="0" w:line="360" w:lineRule="auto"/>
        <w:jc w:val="both"/>
        <w:rPr>
          <w:rFonts w:eastAsia="Calibri" w:cstheme="minorHAnsi"/>
          <w:i/>
          <w:iCs/>
          <w:sz w:val="28"/>
          <w:szCs w:val="28"/>
        </w:rPr>
      </w:pPr>
      <w:r w:rsidRPr="005E1103">
        <w:rPr>
          <w:rFonts w:eastAsia="Calibri" w:cstheme="minorHAnsi"/>
          <w:i/>
          <w:iCs/>
          <w:sz w:val="28"/>
          <w:szCs w:val="28"/>
        </w:rPr>
        <w:t>consecuencias de la enfermedad. Madrid. INSERSO (última edición con nuevo prólogo en 1994).</w:t>
      </w:r>
    </w:p>
    <w:p w:rsidR="00954B58" w:rsidRPr="005E1103" w:rsidRDefault="00954B58" w:rsidP="00954B58">
      <w:pPr>
        <w:spacing w:after="120" w:line="360" w:lineRule="auto"/>
        <w:jc w:val="both"/>
        <w:rPr>
          <w:rFonts w:eastAsia="Times New Roman" w:cstheme="minorHAnsi"/>
          <w:sz w:val="28"/>
          <w:szCs w:val="28"/>
          <w:lang w:eastAsia="es-ES"/>
        </w:rPr>
      </w:pPr>
      <w:r w:rsidRPr="005E1103">
        <w:rPr>
          <w:rFonts w:eastAsia="Times New Roman" w:cstheme="minorHAnsi"/>
          <w:i/>
          <w:iCs/>
          <w:sz w:val="28"/>
          <w:szCs w:val="28"/>
          <w:lang w:eastAsia="es-ES"/>
        </w:rPr>
        <w:t xml:space="preserve">- </w:t>
      </w:r>
      <w:r w:rsidRPr="005E1103">
        <w:rPr>
          <w:rFonts w:eastAsia="Times New Roman" w:cstheme="minorHAnsi"/>
          <w:iCs/>
          <w:sz w:val="28"/>
          <w:szCs w:val="28"/>
          <w:lang w:eastAsia="es-ES"/>
        </w:rPr>
        <w:t>Ortega-Navas, Mª del Carmen</w:t>
      </w:r>
      <w:r w:rsidRPr="005E1103">
        <w:rPr>
          <w:rFonts w:eastAsia="Times New Roman" w:cstheme="minorHAnsi"/>
          <w:i/>
          <w:iCs/>
          <w:sz w:val="28"/>
          <w:szCs w:val="28"/>
          <w:lang w:eastAsia="es-ES"/>
        </w:rPr>
        <w:t xml:space="preserve">  (2014),</w:t>
      </w:r>
      <w:r w:rsidRPr="005E1103">
        <w:rPr>
          <w:rFonts w:eastAsia="Times New Roman" w:cstheme="minorHAnsi"/>
          <w:sz w:val="28"/>
          <w:szCs w:val="28"/>
          <w:lang w:eastAsia="es-ES"/>
        </w:rPr>
        <w:t xml:space="preserve"> La mejora de la empleabilidad en los estudiantes de Educación Superior: el uso de la inteligencia emocional </w:t>
      </w:r>
      <w:r w:rsidRPr="005E1103">
        <w:rPr>
          <w:rFonts w:eastAsia="Times New Roman" w:cstheme="minorHAnsi"/>
          <w:sz w:val="28"/>
          <w:szCs w:val="28"/>
          <w:lang w:eastAsia="es-ES"/>
        </w:rPr>
        <w:lastRenderedPageBreak/>
        <w:t>como estrategia educativa</w:t>
      </w:r>
      <w:r w:rsidRPr="005E1103">
        <w:rPr>
          <w:rFonts w:eastAsia="Times New Roman" w:cstheme="minorHAnsi"/>
          <w:i/>
          <w:sz w:val="28"/>
          <w:szCs w:val="28"/>
          <w:lang w:eastAsia="es-ES"/>
        </w:rPr>
        <w:t>, Procedia- Social and Behavioral Sciences,</w:t>
      </w:r>
      <w:r w:rsidRPr="005E1103">
        <w:rPr>
          <w:rFonts w:eastAsia="Times New Roman" w:cstheme="minorHAnsi"/>
          <w:sz w:val="28"/>
          <w:szCs w:val="28"/>
          <w:lang w:eastAsia="es-ES"/>
        </w:rPr>
        <w:t xml:space="preserve"> núm.139 (2), págs.380-386.</w:t>
      </w:r>
    </w:p>
    <w:p w:rsidR="00954B58" w:rsidRPr="005E1103" w:rsidRDefault="00954B58" w:rsidP="00954B58">
      <w:pPr>
        <w:spacing w:after="120" w:line="360" w:lineRule="auto"/>
        <w:jc w:val="both"/>
        <w:rPr>
          <w:rFonts w:eastAsia="Calibri" w:cstheme="minorHAnsi"/>
          <w:sz w:val="28"/>
          <w:szCs w:val="28"/>
          <w:lang w:eastAsia="es-ES"/>
        </w:rPr>
      </w:pPr>
      <w:r w:rsidRPr="005E1103">
        <w:rPr>
          <w:rFonts w:eastAsia="Times New Roman" w:cstheme="minorHAnsi"/>
          <w:color w:val="000000"/>
          <w:sz w:val="28"/>
          <w:szCs w:val="28"/>
          <w:lang w:eastAsia="es-ES"/>
        </w:rPr>
        <w:t>- España, Plan de acción 2014-2016 de la Estrategia Española Sobre Discapacidad.</w:t>
      </w:r>
      <w:r w:rsidRPr="005E1103">
        <w:rPr>
          <w:rFonts w:eastAsia="Calibri" w:cstheme="minorHAnsi"/>
          <w:sz w:val="28"/>
          <w:szCs w:val="28"/>
        </w:rPr>
        <w:t xml:space="preserve"> Ministerio de Sanidad, Servicios Sociales e Igualdad.</w:t>
      </w:r>
      <w:r w:rsidRPr="005E1103">
        <w:rPr>
          <w:rFonts w:eastAsia="Calibri" w:cstheme="minorHAnsi"/>
          <w:sz w:val="28"/>
          <w:szCs w:val="28"/>
          <w:lang w:eastAsia="es-ES"/>
        </w:rPr>
        <w:t xml:space="preserve"> Centro de publicaciones.</w:t>
      </w:r>
    </w:p>
    <w:p w:rsidR="00954B58" w:rsidRPr="005E1103" w:rsidRDefault="00954B58" w:rsidP="00954B58">
      <w:pPr>
        <w:spacing w:after="120" w:line="360" w:lineRule="auto"/>
        <w:jc w:val="both"/>
        <w:rPr>
          <w:rFonts w:eastAsia="Calibri" w:cstheme="minorHAnsi"/>
          <w:sz w:val="28"/>
          <w:szCs w:val="28"/>
          <w:lang w:eastAsia="es-ES"/>
        </w:rPr>
      </w:pPr>
      <w:r w:rsidRPr="005E1103">
        <w:rPr>
          <w:rFonts w:eastAsia="Calibri" w:cstheme="minorHAnsi"/>
          <w:sz w:val="28"/>
          <w:szCs w:val="28"/>
        </w:rPr>
        <w:t>- España, Plan Nacional de Acción para la Inclusión Social del Reino de España 2013-2016. Informes, estudios e investigación 2014. Ministerio de Sanidad, Servicios Sociales e Igualdad.</w:t>
      </w:r>
      <w:r w:rsidRPr="005E1103">
        <w:rPr>
          <w:rFonts w:eastAsia="Calibri" w:cstheme="minorHAnsi"/>
          <w:sz w:val="28"/>
          <w:szCs w:val="28"/>
          <w:lang w:eastAsia="es-ES"/>
        </w:rPr>
        <w:t xml:space="preserve"> Centro de publicaciones.</w:t>
      </w:r>
    </w:p>
    <w:p w:rsidR="00954B58" w:rsidRPr="005E1103" w:rsidRDefault="00954B58" w:rsidP="00954B58">
      <w:pPr>
        <w:spacing w:after="120" w:line="360" w:lineRule="auto"/>
        <w:jc w:val="both"/>
        <w:rPr>
          <w:rFonts w:eastAsia="Calibri" w:cstheme="minorHAnsi"/>
          <w:sz w:val="28"/>
          <w:szCs w:val="28"/>
          <w:lang w:eastAsia="es-ES"/>
        </w:rPr>
      </w:pPr>
      <w:r w:rsidRPr="005E1103">
        <w:rPr>
          <w:rFonts w:eastAsia="Calibri" w:cstheme="minorHAnsi"/>
          <w:sz w:val="28"/>
          <w:szCs w:val="28"/>
          <w:lang w:eastAsia="es-ES"/>
        </w:rPr>
        <w:t xml:space="preserve">- Torregrosa, Francisco (2013), </w:t>
      </w:r>
      <w:r w:rsidRPr="005E1103">
        <w:rPr>
          <w:rFonts w:eastAsia="Calibri" w:cstheme="minorHAnsi"/>
          <w:sz w:val="28"/>
          <w:szCs w:val="28"/>
        </w:rPr>
        <w:t>«</w:t>
      </w:r>
      <w:r w:rsidRPr="005E1103">
        <w:rPr>
          <w:rFonts w:eastAsia="Calibri" w:cstheme="minorHAnsi"/>
          <w:sz w:val="28"/>
          <w:szCs w:val="28"/>
          <w:lang w:eastAsia="es-ES"/>
        </w:rPr>
        <w:t>La atención en la Universidad de Alicante: servicios y apoyos dirigidos al estudiante</w:t>
      </w:r>
      <w:r w:rsidRPr="005E1103">
        <w:rPr>
          <w:rFonts w:eastAsia="Calibri" w:cstheme="minorHAnsi"/>
          <w:sz w:val="28"/>
          <w:szCs w:val="28"/>
        </w:rPr>
        <w:t>», en</w:t>
      </w:r>
      <w:r w:rsidRPr="005E1103">
        <w:rPr>
          <w:rFonts w:eastAsia="Calibri" w:cstheme="minorHAnsi"/>
          <w:sz w:val="28"/>
          <w:szCs w:val="28"/>
          <w:lang w:eastAsia="es-ES"/>
        </w:rPr>
        <w:t xml:space="preserve"> </w:t>
      </w:r>
      <w:r w:rsidRPr="005E1103">
        <w:rPr>
          <w:rFonts w:eastAsia="Calibri" w:cstheme="minorHAnsi"/>
          <w:i/>
          <w:sz w:val="28"/>
          <w:szCs w:val="28"/>
          <w:lang w:eastAsia="es-ES"/>
        </w:rPr>
        <w:t>Actas del XVI Congreso Nacional/II Internacional: Modelos de Investigación Educativa</w:t>
      </w:r>
      <w:r w:rsidRPr="005E1103">
        <w:rPr>
          <w:rFonts w:eastAsia="Calibri" w:cstheme="minorHAnsi"/>
          <w:sz w:val="28"/>
          <w:szCs w:val="28"/>
          <w:lang w:eastAsia="es-ES"/>
        </w:rPr>
        <w:t xml:space="preserve"> (</w:t>
      </w:r>
      <w:r w:rsidRPr="005E1103">
        <w:rPr>
          <w:rFonts w:eastAsia="Calibri" w:cstheme="minorHAnsi"/>
          <w:i/>
          <w:sz w:val="28"/>
          <w:szCs w:val="28"/>
          <w:lang w:eastAsia="es-ES"/>
        </w:rPr>
        <w:t>AIDIP) (Alicante 4-6 septiembre de 2013)</w:t>
      </w:r>
      <w:r w:rsidRPr="005E1103">
        <w:rPr>
          <w:rFonts w:eastAsia="Calibri" w:cstheme="minorHAnsi"/>
          <w:sz w:val="28"/>
          <w:szCs w:val="28"/>
          <w:lang w:eastAsia="es-ES"/>
        </w:rPr>
        <w:t>, págs. 528-533.</w:t>
      </w:r>
    </w:p>
    <w:p w:rsidR="00954B58" w:rsidRPr="005E1103" w:rsidRDefault="00954B58">
      <w:pPr>
        <w:rPr>
          <w:rFonts w:eastAsia="Calibri" w:cstheme="minorHAnsi"/>
          <w:sz w:val="28"/>
          <w:szCs w:val="28"/>
          <w:lang w:eastAsia="es-ES"/>
        </w:rPr>
      </w:pPr>
      <w:r w:rsidRPr="005E1103">
        <w:rPr>
          <w:rFonts w:eastAsia="Calibri" w:cstheme="minorHAnsi"/>
          <w:sz w:val="28"/>
          <w:szCs w:val="28"/>
          <w:lang w:eastAsia="es-ES"/>
        </w:rPr>
        <w:br w:type="page"/>
      </w:r>
    </w:p>
    <w:p w:rsidR="00954B58" w:rsidRPr="005E1103" w:rsidRDefault="00954B58" w:rsidP="00954B58">
      <w:pPr>
        <w:jc w:val="center"/>
        <w:rPr>
          <w:rFonts w:cstheme="minorHAnsi"/>
          <w:b/>
          <w:sz w:val="28"/>
          <w:szCs w:val="28"/>
        </w:rPr>
      </w:pPr>
    </w:p>
    <w:p w:rsidR="00954B58" w:rsidRPr="005E1103" w:rsidRDefault="00954B58" w:rsidP="00954B58">
      <w:pPr>
        <w:pBdr>
          <w:top w:val="single" w:sz="4" w:space="1" w:color="auto"/>
          <w:left w:val="single" w:sz="4" w:space="4" w:color="auto"/>
          <w:bottom w:val="single" w:sz="4" w:space="1" w:color="auto"/>
          <w:right w:val="single" w:sz="4" w:space="4" w:color="auto"/>
        </w:pBdr>
        <w:jc w:val="center"/>
        <w:rPr>
          <w:rFonts w:cstheme="minorHAnsi"/>
          <w:b/>
          <w:sz w:val="28"/>
          <w:szCs w:val="28"/>
        </w:rPr>
      </w:pPr>
      <w:r w:rsidRPr="005E1103">
        <w:rPr>
          <w:rFonts w:cstheme="minorHAnsi"/>
          <w:b/>
          <w:sz w:val="28"/>
          <w:szCs w:val="28"/>
        </w:rPr>
        <w:t>COMUNICACIÓN 4</w:t>
      </w:r>
    </w:p>
    <w:p w:rsidR="00954B58" w:rsidRPr="005E1103" w:rsidRDefault="00954B58" w:rsidP="00954B58">
      <w:pPr>
        <w:pBdr>
          <w:top w:val="single" w:sz="4" w:space="1" w:color="auto"/>
          <w:left w:val="single" w:sz="4" w:space="4" w:color="auto"/>
          <w:bottom w:val="single" w:sz="4" w:space="1" w:color="auto"/>
          <w:right w:val="single" w:sz="4" w:space="4" w:color="auto"/>
        </w:pBdr>
        <w:jc w:val="center"/>
        <w:rPr>
          <w:rFonts w:cstheme="minorHAnsi"/>
          <w:b/>
          <w:sz w:val="28"/>
          <w:szCs w:val="28"/>
        </w:rPr>
      </w:pPr>
      <w:r w:rsidRPr="005E1103">
        <w:rPr>
          <w:rFonts w:cstheme="minorHAnsi"/>
          <w:b/>
          <w:sz w:val="28"/>
          <w:szCs w:val="28"/>
        </w:rPr>
        <w:t>PROGRAMA DE ASESORÍA Y FORMACIÓN A ESTUDIANTES CON DISCAPACIDAD PARA LA PROMOCIÓN DEL EMPRENDIMIENTO Y AUTOEMPLEO</w:t>
      </w:r>
    </w:p>
    <w:p w:rsidR="00954B58" w:rsidRPr="005E1103" w:rsidRDefault="00954B58" w:rsidP="00954B58">
      <w:pPr>
        <w:jc w:val="center"/>
        <w:rPr>
          <w:rFonts w:cstheme="minorHAnsi"/>
          <w:b/>
          <w:sz w:val="28"/>
          <w:szCs w:val="28"/>
        </w:rPr>
      </w:pPr>
    </w:p>
    <w:p w:rsidR="00954B58" w:rsidRPr="005E1103" w:rsidRDefault="00954B58" w:rsidP="00954B58">
      <w:pPr>
        <w:jc w:val="right"/>
        <w:rPr>
          <w:rFonts w:cstheme="minorHAnsi"/>
          <w:b/>
          <w:sz w:val="28"/>
          <w:szCs w:val="28"/>
        </w:rPr>
      </w:pPr>
      <w:r w:rsidRPr="005E1103">
        <w:rPr>
          <w:rFonts w:cstheme="minorHAnsi"/>
          <w:b/>
          <w:sz w:val="28"/>
          <w:szCs w:val="28"/>
        </w:rPr>
        <w:t>Fidel Hernández Hernández</w:t>
      </w:r>
    </w:p>
    <w:p w:rsidR="00954B58" w:rsidRPr="005E1103" w:rsidRDefault="00954B58" w:rsidP="00954B58">
      <w:pPr>
        <w:jc w:val="right"/>
        <w:rPr>
          <w:rFonts w:cstheme="minorHAnsi"/>
          <w:b/>
          <w:sz w:val="28"/>
          <w:szCs w:val="28"/>
        </w:rPr>
      </w:pPr>
      <w:r w:rsidRPr="005E1103">
        <w:rPr>
          <w:rFonts w:cstheme="minorHAnsi"/>
          <w:b/>
          <w:sz w:val="28"/>
          <w:szCs w:val="28"/>
        </w:rPr>
        <w:t>Doctor en Psicología</w:t>
      </w:r>
    </w:p>
    <w:p w:rsidR="00954B58" w:rsidRPr="005E1103" w:rsidRDefault="00954B58" w:rsidP="00954B58">
      <w:pPr>
        <w:jc w:val="right"/>
        <w:rPr>
          <w:rFonts w:cstheme="minorHAnsi"/>
          <w:b/>
          <w:sz w:val="28"/>
          <w:szCs w:val="28"/>
        </w:rPr>
      </w:pPr>
      <w:r w:rsidRPr="005E1103">
        <w:rPr>
          <w:rFonts w:cstheme="minorHAnsi"/>
          <w:b/>
          <w:sz w:val="28"/>
          <w:szCs w:val="28"/>
        </w:rPr>
        <w:t>Director de Psicodis Orientación y Apoyo</w:t>
      </w:r>
    </w:p>
    <w:p w:rsidR="00954B58" w:rsidRPr="005E1103" w:rsidRDefault="00954B58" w:rsidP="00954B58">
      <w:pPr>
        <w:jc w:val="right"/>
        <w:rPr>
          <w:rFonts w:cstheme="minorHAnsi"/>
          <w:b/>
          <w:sz w:val="28"/>
          <w:szCs w:val="28"/>
        </w:rPr>
      </w:pPr>
    </w:p>
    <w:p w:rsidR="00954B58" w:rsidRPr="005E1103" w:rsidRDefault="00954B58" w:rsidP="00954B58">
      <w:pPr>
        <w:spacing w:after="0" w:line="360" w:lineRule="auto"/>
        <w:jc w:val="both"/>
        <w:rPr>
          <w:rFonts w:eastAsia="Calibri" w:cstheme="minorHAnsi"/>
          <w:b/>
          <w:sz w:val="28"/>
          <w:szCs w:val="28"/>
          <w:u w:val="single"/>
        </w:rPr>
      </w:pPr>
      <w:r w:rsidRPr="005E1103">
        <w:rPr>
          <w:rFonts w:eastAsia="Calibri" w:cstheme="minorHAnsi"/>
          <w:b/>
          <w:sz w:val="28"/>
          <w:szCs w:val="28"/>
          <w:u w:val="single"/>
        </w:rPr>
        <w:t>Fundamentación</w:t>
      </w:r>
    </w:p>
    <w:p w:rsidR="00954B58" w:rsidRPr="005E1103" w:rsidRDefault="00954B58" w:rsidP="00954B58">
      <w:pPr>
        <w:spacing w:after="0" w:line="360" w:lineRule="auto"/>
        <w:jc w:val="both"/>
        <w:rPr>
          <w:rFonts w:eastAsia="Calibri" w:cstheme="minorHAnsi"/>
          <w:color w:val="FF0000"/>
          <w:sz w:val="28"/>
          <w:szCs w:val="28"/>
        </w:rPr>
      </w:pPr>
      <w:r w:rsidRPr="005E1103">
        <w:rPr>
          <w:rFonts w:eastAsia="Calibri" w:cstheme="minorHAnsi"/>
          <w:sz w:val="28"/>
          <w:szCs w:val="28"/>
        </w:rPr>
        <w:t xml:space="preserve">La imagen más tradicional  de la discapacidad no ha sido benévola con ella (Duncan 1992) y el imaginario colectivo la ha asociado tradicionalmente a la incapacidad y a las actuaciones paternalistas, de caridad y de benevolencia.  Aunque las  iniciativas estatales de los últimos años haya acentuado la perspectiva de los derechos sociales y cívicos (Ley 25/2011; Ley 51/2003) y el desarrollo científico y conceptual  que enfatiza las limitaciones como un dato universal de la naturaleza humana, en su mayor parte relativas y que la capacidad de crecimiento, desarrollo, humano y profesional, es una característica de toda la población,  con o sin discapacidades oficialmente reconocidas, ha seguido persistiendo una simplificación deformativa de la discapacidad, frecuentemente transmitida y difundida por los medios de comunicación y la sociedad en general. </w:t>
      </w:r>
    </w:p>
    <w:p w:rsidR="00954B58" w:rsidRPr="005E1103" w:rsidRDefault="00954B58" w:rsidP="00954B58">
      <w:pPr>
        <w:spacing w:after="0" w:line="360" w:lineRule="auto"/>
        <w:jc w:val="both"/>
        <w:rPr>
          <w:rFonts w:eastAsia="Calibri" w:cstheme="minorHAnsi"/>
          <w:spacing w:val="-3"/>
          <w:sz w:val="28"/>
          <w:szCs w:val="28"/>
        </w:rPr>
      </w:pPr>
      <w:r w:rsidRPr="005E1103">
        <w:rPr>
          <w:rFonts w:eastAsia="Calibri" w:cstheme="minorHAnsi"/>
          <w:spacing w:val="-3"/>
          <w:sz w:val="28"/>
          <w:szCs w:val="28"/>
        </w:rPr>
        <w:t xml:space="preserve">Según datos  estimativos globales de la OIT (OIT, 2008) una de cada diez personas tiene alguna forma de discapacidad, eso supone actualmente en 2015 más de 738  millones de personas, de las cuales un alto porcentaje está </w:t>
      </w:r>
      <w:r w:rsidRPr="005E1103">
        <w:rPr>
          <w:rFonts w:eastAsia="Calibri" w:cstheme="minorHAnsi"/>
          <w:spacing w:val="-3"/>
          <w:sz w:val="28"/>
          <w:szCs w:val="28"/>
        </w:rPr>
        <w:lastRenderedPageBreak/>
        <w:t>en edad laboral, pero que sin embargo carece de ello, lo que conlleva las más de las veces en un proceso de exclusión y pobreza.</w:t>
      </w:r>
    </w:p>
    <w:p w:rsidR="00954B58" w:rsidRPr="005E1103" w:rsidRDefault="00954B58" w:rsidP="00954B58">
      <w:pPr>
        <w:autoSpaceDE w:val="0"/>
        <w:autoSpaceDN w:val="0"/>
        <w:adjustRightInd w:val="0"/>
        <w:spacing w:after="0" w:line="360" w:lineRule="auto"/>
        <w:jc w:val="both"/>
        <w:rPr>
          <w:rFonts w:eastAsia="Calibri" w:cstheme="minorHAnsi"/>
          <w:color w:val="000000"/>
          <w:sz w:val="28"/>
          <w:szCs w:val="28"/>
        </w:rPr>
      </w:pPr>
      <w:r w:rsidRPr="005E1103">
        <w:rPr>
          <w:rFonts w:eastAsia="Calibri" w:cstheme="minorHAnsi"/>
          <w:color w:val="000000"/>
          <w:sz w:val="28"/>
          <w:szCs w:val="28"/>
        </w:rPr>
        <w:t xml:space="preserve">Algunos de los datos más clamorosos del Informe Olivenza (Jiménez Lara y Huete García, 2015) hace referencia a la situación social económica y laboral que tienen las personas con discapacidad en España y que se recoge en la siguiente tabla: </w:t>
      </w:r>
    </w:p>
    <w:p w:rsidR="00954B58" w:rsidRPr="005E1103" w:rsidRDefault="00954B58" w:rsidP="00954B58">
      <w:pPr>
        <w:autoSpaceDE w:val="0"/>
        <w:autoSpaceDN w:val="0"/>
        <w:adjustRightInd w:val="0"/>
        <w:spacing w:after="0" w:line="360" w:lineRule="auto"/>
        <w:jc w:val="both"/>
        <w:rPr>
          <w:rFonts w:eastAsia="Calibri" w:cstheme="minorHAnsi"/>
          <w:color w:val="000000"/>
          <w:sz w:val="28"/>
          <w:szCs w:val="28"/>
        </w:rPr>
      </w:pPr>
    </w:p>
    <w:p w:rsidR="00954B58" w:rsidRPr="005E1103" w:rsidRDefault="00954B58" w:rsidP="00954B58">
      <w:pPr>
        <w:spacing w:after="0" w:line="360" w:lineRule="auto"/>
        <w:jc w:val="both"/>
        <w:rPr>
          <w:rFonts w:eastAsia="Calibri" w:cstheme="minorHAnsi"/>
          <w:i/>
          <w:iCs/>
          <w:sz w:val="28"/>
          <w:szCs w:val="28"/>
        </w:rPr>
      </w:pPr>
      <w:r w:rsidRPr="005E1103">
        <w:rPr>
          <w:rFonts w:eastAsia="Calibri" w:cstheme="minorHAnsi"/>
          <w:i/>
          <w:iCs/>
          <w:sz w:val="28"/>
          <w:szCs w:val="28"/>
        </w:rPr>
        <w:t>Tabla nº 1 indicadores económicos de la discapacidad a nivel nacional</w:t>
      </w:r>
    </w:p>
    <w:p w:rsidR="00954B58" w:rsidRPr="005E1103" w:rsidRDefault="00954B58" w:rsidP="00954B58">
      <w:pPr>
        <w:spacing w:after="0" w:line="360" w:lineRule="auto"/>
        <w:ind w:left="-851" w:right="-772"/>
        <w:jc w:val="both"/>
        <w:rPr>
          <w:rFonts w:eastAsia="Calibri" w:cstheme="minorHAnsi"/>
          <w:sz w:val="28"/>
          <w:szCs w:val="28"/>
        </w:rPr>
      </w:pPr>
      <w:r w:rsidRPr="005E1103">
        <w:rPr>
          <w:rFonts w:eastAsia="Calibri" w:cstheme="minorHAnsi"/>
          <w:noProof/>
          <w:sz w:val="28"/>
          <w:szCs w:val="28"/>
          <w:lang w:eastAsia="es-ES"/>
        </w:rPr>
        <w:drawing>
          <wp:inline distT="0" distB="0" distL="0" distR="0" wp14:anchorId="65BD5257" wp14:editId="2B0CB264">
            <wp:extent cx="6105525" cy="1590675"/>
            <wp:effectExtent l="19050" t="0" r="952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cstate="print"/>
                    <a:srcRect/>
                    <a:stretch>
                      <a:fillRect/>
                    </a:stretch>
                  </pic:blipFill>
                  <pic:spPr bwMode="auto">
                    <a:xfrm>
                      <a:off x="0" y="0"/>
                      <a:ext cx="6125973" cy="1596002"/>
                    </a:xfrm>
                    <a:prstGeom prst="rect">
                      <a:avLst/>
                    </a:prstGeom>
                    <a:noFill/>
                    <a:ln w="9525">
                      <a:noFill/>
                      <a:miter lim="800000"/>
                      <a:headEnd/>
                      <a:tailEnd/>
                    </a:ln>
                  </pic:spPr>
                </pic:pic>
              </a:graphicData>
            </a:graphic>
          </wp:inline>
        </w:drawing>
      </w:r>
    </w:p>
    <w:p w:rsidR="00954B58" w:rsidRPr="005E1103" w:rsidRDefault="00954B58" w:rsidP="00954B58">
      <w:pPr>
        <w:spacing w:after="0" w:line="360" w:lineRule="auto"/>
        <w:ind w:left="-851" w:right="-772"/>
        <w:jc w:val="both"/>
        <w:rPr>
          <w:rFonts w:eastAsia="Calibri" w:cstheme="minorHAnsi"/>
          <w:sz w:val="28"/>
          <w:szCs w:val="28"/>
        </w:rPr>
      </w:pPr>
    </w:p>
    <w:p w:rsidR="00954B58" w:rsidRPr="005E1103" w:rsidRDefault="00954B58" w:rsidP="00954B58">
      <w:pPr>
        <w:spacing w:after="0" w:line="360" w:lineRule="auto"/>
        <w:jc w:val="both"/>
        <w:rPr>
          <w:rFonts w:eastAsia="Calibri" w:cstheme="minorHAnsi"/>
          <w:sz w:val="28"/>
          <w:szCs w:val="28"/>
        </w:rPr>
      </w:pPr>
      <w:r w:rsidRPr="005E1103">
        <w:rPr>
          <w:rFonts w:eastAsia="Calibri" w:cstheme="minorHAnsi"/>
          <w:sz w:val="28"/>
          <w:szCs w:val="28"/>
        </w:rPr>
        <w:t>Como puede observarse en la tabla reproducida, en la población con discapacidad produce un 39% menos de población activa y un 9% más de población parada. Otros datos llamativos son que el salario medio sea un 10% inferior, la tasa de población en pobreza severa sea de un 5% superior y que la tasa de población en riesgo de pobreza sea de un 4% superior.</w:t>
      </w:r>
    </w:p>
    <w:p w:rsidR="00954B58" w:rsidRPr="005E1103" w:rsidRDefault="00954B58" w:rsidP="00954B58">
      <w:pPr>
        <w:spacing w:after="0" w:line="360" w:lineRule="auto"/>
        <w:jc w:val="both"/>
        <w:rPr>
          <w:rFonts w:eastAsia="Calibri" w:cstheme="minorHAnsi"/>
          <w:sz w:val="28"/>
          <w:szCs w:val="28"/>
        </w:rPr>
      </w:pPr>
      <w:r w:rsidRPr="005E1103">
        <w:rPr>
          <w:rFonts w:eastAsia="Calibri" w:cstheme="minorHAnsi"/>
          <w:sz w:val="28"/>
          <w:szCs w:val="28"/>
        </w:rPr>
        <w:t>Todos estos datos indican de forma clara que, aunque la tendencia actual en el estado español sea la protección de esta población, los resultados reales distan de promediarse con la media lo que indica la ausencia de una integración real, global y laboral de la población discapacitada en el seno de la sociedad española.</w:t>
      </w:r>
    </w:p>
    <w:p w:rsidR="00954B58" w:rsidRPr="005E1103" w:rsidRDefault="00954B58" w:rsidP="00954B58">
      <w:pPr>
        <w:spacing w:after="0" w:line="360" w:lineRule="auto"/>
        <w:jc w:val="both"/>
        <w:rPr>
          <w:rFonts w:eastAsia="Calibri" w:cstheme="minorHAnsi"/>
          <w:sz w:val="28"/>
          <w:szCs w:val="28"/>
        </w:rPr>
      </w:pPr>
      <w:r w:rsidRPr="005E1103">
        <w:rPr>
          <w:rFonts w:eastAsia="Calibri" w:cstheme="minorHAnsi"/>
          <w:sz w:val="28"/>
          <w:szCs w:val="28"/>
        </w:rPr>
        <w:t xml:space="preserve">La búsqueda de alternativas laborales para las personas con discapacidad es una de las tareas fundamentales de Administraciones, Fundaciones y </w:t>
      </w:r>
      <w:r w:rsidRPr="005E1103">
        <w:rPr>
          <w:rFonts w:eastAsia="Calibri" w:cstheme="minorHAnsi"/>
          <w:sz w:val="28"/>
          <w:szCs w:val="28"/>
        </w:rPr>
        <w:lastRenderedPageBreak/>
        <w:t>Universidades. Lograr que el colectivo de personas con discapacidad acceda al mercado laboral en igualdad de oportunidades integrándose plenamente a la sociedad es una tarea prioritaria. Es por ello que Psicodis como empresa social de la discapacidad tiene como propósito trabajar de manera conjunta con la Facultad de Psicología de la Universidad Autónoma de Madrid un programa de Asesoría y Formación a estudiantes con discapacidad para la promoción del emprendimiento y el autoempleo. Promover una cultura de emprendimiento en los estudiantes con discapacidad es generar nuevas alternativas de autoempleo. Desde las universidades se está promoviendo que los profesionales que salgan de ellas no solo aspiren a la búsqueda de trabajo por cuenta ajena sino que también se gradúen con una nueva perspectiva emprendedora que los dote de recursos y la suficiente creatividad para explotar sus propios talentos y generar su propio empleo.</w:t>
      </w:r>
    </w:p>
    <w:p w:rsidR="00954B58" w:rsidRPr="005E1103" w:rsidRDefault="00954B58" w:rsidP="00954B58">
      <w:pPr>
        <w:spacing w:after="0" w:line="360" w:lineRule="auto"/>
        <w:jc w:val="both"/>
        <w:rPr>
          <w:rFonts w:eastAsia="Calibri" w:cstheme="minorHAnsi"/>
          <w:sz w:val="28"/>
          <w:szCs w:val="28"/>
        </w:rPr>
      </w:pPr>
      <w:r w:rsidRPr="005E1103">
        <w:rPr>
          <w:rFonts w:eastAsia="Calibri" w:cstheme="minorHAnsi"/>
          <w:sz w:val="28"/>
          <w:szCs w:val="28"/>
        </w:rPr>
        <w:t xml:space="preserve">El aumento del paro, sobretodo en jóvenes y la precariedad laboral unida a una crisis económica prolongada en el tiempo hacen que el autoempleo y el emprendimiento sea una vía esencial para autorrealizarse y crear nuevas oportunidades de trabajo. Las instituciones públicas y privadas han apostado por esta alternativa laboral que permite el desarrollo y creación de nuevos talentos que produzcan productos y servicios innovadores que den respuesta a las crecientes necesidades y problemáticas diversas en nuestra sociedad. </w:t>
      </w:r>
    </w:p>
    <w:p w:rsidR="00954B58" w:rsidRPr="005E1103" w:rsidRDefault="00954B58" w:rsidP="00954B58">
      <w:pPr>
        <w:spacing w:after="0" w:line="360" w:lineRule="auto"/>
        <w:jc w:val="both"/>
        <w:rPr>
          <w:rFonts w:eastAsia="Calibri" w:cstheme="minorHAnsi"/>
          <w:sz w:val="28"/>
          <w:szCs w:val="28"/>
        </w:rPr>
      </w:pPr>
      <w:r w:rsidRPr="005E1103">
        <w:rPr>
          <w:rFonts w:eastAsia="Calibri" w:cstheme="minorHAnsi"/>
          <w:sz w:val="28"/>
          <w:szCs w:val="28"/>
        </w:rPr>
        <w:t xml:space="preserve">En España, según el IMSERSO a fecha de 31 de diciembre de 2014 el número de personas con discapacidad ascendían a 2.813.592, de las cuales 1.403.282 son hombres y 1.410.310 son mujeres. </w:t>
      </w:r>
    </w:p>
    <w:p w:rsidR="00954B58" w:rsidRPr="005E1103" w:rsidRDefault="00954B58" w:rsidP="00954B58">
      <w:pPr>
        <w:spacing w:after="0" w:line="360" w:lineRule="auto"/>
        <w:jc w:val="both"/>
        <w:rPr>
          <w:rFonts w:eastAsia="Calibri" w:cstheme="minorHAnsi"/>
          <w:sz w:val="28"/>
          <w:szCs w:val="28"/>
        </w:rPr>
      </w:pPr>
      <w:r w:rsidRPr="005E1103">
        <w:rPr>
          <w:rFonts w:eastAsia="Calibri" w:cstheme="minorHAnsi"/>
          <w:sz w:val="28"/>
          <w:szCs w:val="28"/>
        </w:rPr>
        <w:t xml:space="preserve">Según los datos difundidos el 21 de diciembre de 2015 por el Instituto Nacional de estadística (INE) la tasa de paro cae 2,8 puntos entre las </w:t>
      </w:r>
      <w:r w:rsidRPr="005E1103">
        <w:rPr>
          <w:rFonts w:eastAsia="Calibri" w:cstheme="minorHAnsi"/>
          <w:sz w:val="28"/>
          <w:szCs w:val="28"/>
        </w:rPr>
        <w:lastRenderedPageBreak/>
        <w:t xml:space="preserve">personas con discapacidad por primera vez desde 2009. En concreto, los datos revelan que en 2014 había 1.335.100 personas con certificado de discapacidad en edad de trabajar (de 16 a 64 años), lo que supuso el 4,4% del total en edad laboral. Sin embargo, presentan baja participación en el mercado laboral: con 506.700 personas activas el año 2014. </w:t>
      </w:r>
    </w:p>
    <w:p w:rsidR="00954B58" w:rsidRPr="005E1103" w:rsidRDefault="00954B58" w:rsidP="00954B58">
      <w:pPr>
        <w:spacing w:after="0" w:line="360" w:lineRule="auto"/>
        <w:jc w:val="both"/>
        <w:rPr>
          <w:rFonts w:eastAsia="Calibri" w:cstheme="minorHAnsi"/>
          <w:sz w:val="28"/>
          <w:szCs w:val="28"/>
        </w:rPr>
      </w:pPr>
      <w:r w:rsidRPr="005E1103">
        <w:rPr>
          <w:rFonts w:eastAsia="Calibri" w:cstheme="minorHAnsi"/>
          <w:sz w:val="28"/>
          <w:szCs w:val="28"/>
        </w:rPr>
        <w:t>El número de personas con discapacidad ocupadas en 2014 era de 343.300, con una tasa de empleo del 25,7%, casi 33 puntos menos que entre las personas sin discapacidad.</w:t>
      </w:r>
    </w:p>
    <w:p w:rsidR="00954B58" w:rsidRPr="005E1103" w:rsidRDefault="00954B58" w:rsidP="00954B58">
      <w:pPr>
        <w:spacing w:after="0" w:line="360" w:lineRule="auto"/>
        <w:jc w:val="both"/>
        <w:rPr>
          <w:rFonts w:eastAsia="Calibri" w:cstheme="minorHAnsi"/>
          <w:sz w:val="28"/>
          <w:szCs w:val="28"/>
        </w:rPr>
      </w:pPr>
      <w:r w:rsidRPr="005E1103">
        <w:rPr>
          <w:rFonts w:eastAsia="Calibri" w:cstheme="minorHAnsi"/>
          <w:sz w:val="28"/>
          <w:szCs w:val="28"/>
        </w:rPr>
        <w:t>Por su parte, el número de personas con discapacidad en paro fue de 163.400. La tasa de paro superó en casi ocho puntos a la de la población sin discapacidad (32,2% frente a 24,4%).</w:t>
      </w:r>
    </w:p>
    <w:p w:rsidR="00954B58" w:rsidRPr="005E1103" w:rsidRDefault="00954B58" w:rsidP="00954B58">
      <w:pPr>
        <w:spacing w:after="0" w:line="360" w:lineRule="auto"/>
        <w:jc w:val="both"/>
        <w:rPr>
          <w:rFonts w:eastAsia="Calibri" w:cstheme="minorHAnsi"/>
          <w:sz w:val="28"/>
          <w:szCs w:val="28"/>
        </w:rPr>
      </w:pPr>
      <w:r w:rsidRPr="005E1103">
        <w:rPr>
          <w:rFonts w:eastAsia="Calibri" w:cstheme="minorHAnsi"/>
          <w:sz w:val="28"/>
          <w:szCs w:val="28"/>
        </w:rPr>
        <w:t>Acorde con un estudio realizado recientemente por la Cátedra Fundación Konecta-Universidad Rey Juan Carlos para el fomento del emprendimiento de las personas con discapacidad, el 91% de los entrevistados identifica limitaciones externas para acometer un negocio propio, es decir, las mismas dificultades que se le presentan a cualquier persona que quiera poner en marcha una actividad de esta naturaleza, independientemente tengan o no una discapacidad.</w:t>
      </w:r>
    </w:p>
    <w:p w:rsidR="00954B58" w:rsidRPr="005E1103" w:rsidRDefault="00954B58" w:rsidP="00954B58">
      <w:pPr>
        <w:spacing w:after="0" w:line="360" w:lineRule="auto"/>
        <w:jc w:val="both"/>
        <w:rPr>
          <w:rFonts w:eastAsia="Calibri" w:cstheme="minorHAnsi"/>
          <w:sz w:val="28"/>
          <w:szCs w:val="28"/>
        </w:rPr>
      </w:pPr>
      <w:r w:rsidRPr="005E1103">
        <w:rPr>
          <w:rFonts w:eastAsia="Calibri" w:cstheme="minorHAnsi"/>
          <w:sz w:val="28"/>
          <w:szCs w:val="28"/>
        </w:rPr>
        <w:t>Otra de las conclusiones del citado estudio sostiene que el autoempleo de este colectivo, al tiempo que les proporciona independencia económica y satisface su necesidad de realización, paralelamente incrementa la población activa aportando al sistema de la Seguridad Social, reduce costes por prestaciones sociales de dependencia y, además, permite a las empresas que subcontraten los servicios de un emprendedor con discapacidad acogerse a las medidas de incentivo existentes en nuestro país.</w:t>
      </w:r>
    </w:p>
    <w:p w:rsidR="00954B58" w:rsidRPr="005E1103" w:rsidRDefault="00954B58" w:rsidP="00954B58">
      <w:pPr>
        <w:spacing w:after="0" w:line="360" w:lineRule="auto"/>
        <w:jc w:val="both"/>
        <w:rPr>
          <w:rFonts w:eastAsia="Calibri" w:cstheme="minorHAnsi"/>
          <w:sz w:val="28"/>
          <w:szCs w:val="28"/>
        </w:rPr>
      </w:pPr>
      <w:r w:rsidRPr="005E1103">
        <w:rPr>
          <w:rFonts w:eastAsia="Calibri" w:cstheme="minorHAnsi"/>
          <w:sz w:val="28"/>
          <w:szCs w:val="28"/>
        </w:rPr>
        <w:lastRenderedPageBreak/>
        <w:t xml:space="preserve">Todos estos resultados nos muestran la necesidad de fomentar una cultura emprendedora y especialmente formar a los actuales estudiantes universitarios en futuros emprendedores para que puedan consolidar sus proyectos, así como informar adecuadamente a los técnicos que les apoyan para que hagan un uso adecuado de las herramientas de gestión necesarias para el éxito empresarial. </w:t>
      </w:r>
    </w:p>
    <w:p w:rsidR="00954B58" w:rsidRPr="005E1103" w:rsidRDefault="00954B58" w:rsidP="00954B58">
      <w:pPr>
        <w:spacing w:after="0" w:line="360" w:lineRule="auto"/>
        <w:jc w:val="both"/>
        <w:rPr>
          <w:rFonts w:eastAsia="Calibri" w:cstheme="minorHAnsi"/>
          <w:sz w:val="28"/>
          <w:szCs w:val="28"/>
        </w:rPr>
      </w:pPr>
      <w:r w:rsidRPr="005E1103">
        <w:rPr>
          <w:rFonts w:eastAsia="Times New Roman" w:cstheme="minorHAnsi"/>
          <w:sz w:val="28"/>
          <w:szCs w:val="28"/>
          <w:lang w:eastAsia="es-ES"/>
        </w:rPr>
        <w:t>Aunque no existe una estadística objetiva, se calcula que más de 10.000 personas con discapacidad han ejercido una actividad por cuenta propia en los últimos años en España. En particular durante el año 2015, 600 personas con discapacidad</w:t>
      </w:r>
      <w:r w:rsidRPr="005E1103">
        <w:rPr>
          <w:rFonts w:eastAsia="Calibri" w:cstheme="minorHAnsi"/>
          <w:sz w:val="28"/>
          <w:szCs w:val="28"/>
        </w:rPr>
        <w:t xml:space="preserve"> capitalizaron su prestación por desempleo para hacerse trabajadores autónomos. Estos datos nos demuestran que el autoempleo y el emprendimiento se han convertido en un instrumento eficaz para la integración laboral en la discapacidad.</w:t>
      </w:r>
    </w:p>
    <w:p w:rsidR="00954B58" w:rsidRPr="005E1103" w:rsidRDefault="00954B58" w:rsidP="00954B58">
      <w:pPr>
        <w:spacing w:after="0" w:line="360" w:lineRule="auto"/>
        <w:jc w:val="both"/>
        <w:rPr>
          <w:rFonts w:eastAsia="Calibri" w:cstheme="minorHAnsi"/>
          <w:sz w:val="28"/>
          <w:szCs w:val="28"/>
        </w:rPr>
      </w:pPr>
      <w:r w:rsidRPr="005E1103">
        <w:rPr>
          <w:rFonts w:eastAsia="Calibri" w:cstheme="minorHAnsi"/>
          <w:sz w:val="28"/>
          <w:szCs w:val="28"/>
        </w:rPr>
        <w:t>Sin embargo, la efectividad del emprendimiento está todavía muy lejos de demostrar toda su capacidad en el objetivo de la integración laboral de este colectivo. El déficit principal viene dado por la falta de información y formación que los propios emprendedores tienen sobre las posibilidades que les da poner en marcha su propia empresa y también por la inexistencia de una técnica adecuada de asesoramiento y acompañamiento por parte de los técnicos que deben ayudarles a gestionar su iniciativa.</w:t>
      </w:r>
    </w:p>
    <w:p w:rsidR="00954B58" w:rsidRPr="005E1103" w:rsidRDefault="00954B58" w:rsidP="00954B58">
      <w:pPr>
        <w:spacing w:after="0" w:line="360" w:lineRule="auto"/>
        <w:jc w:val="both"/>
        <w:rPr>
          <w:rFonts w:eastAsia="Calibri" w:cstheme="minorHAnsi"/>
          <w:sz w:val="28"/>
          <w:szCs w:val="28"/>
        </w:rPr>
      </w:pPr>
      <w:r w:rsidRPr="005E1103">
        <w:rPr>
          <w:rFonts w:eastAsia="Calibri" w:cstheme="minorHAnsi"/>
          <w:sz w:val="28"/>
          <w:szCs w:val="28"/>
        </w:rPr>
        <w:t>Por esta razón nos proponemos la puesta en marcha de un programa de asesoría y formación a estudiantes con discapacidad para la promoción del emprendimiento y el autoempleo.</w:t>
      </w:r>
    </w:p>
    <w:p w:rsidR="00954B58" w:rsidRPr="005E1103" w:rsidRDefault="00954B58" w:rsidP="00954B58">
      <w:pPr>
        <w:spacing w:after="0" w:line="360" w:lineRule="auto"/>
        <w:jc w:val="both"/>
        <w:rPr>
          <w:rFonts w:eastAsia="Calibri" w:cstheme="minorHAnsi"/>
          <w:sz w:val="28"/>
          <w:szCs w:val="28"/>
        </w:rPr>
      </w:pPr>
      <w:r w:rsidRPr="005E1103">
        <w:rPr>
          <w:rFonts w:eastAsia="Calibri" w:cstheme="minorHAnsi"/>
          <w:sz w:val="28"/>
          <w:szCs w:val="28"/>
        </w:rPr>
        <w:t xml:space="preserve">La realización de este programa es posible ya que nuestra entidad, Psicodis, mantiene un convenio de colaboración con la Facultad de Psicología de la UAM así como un acuerdo de colaboración con el Centro </w:t>
      </w:r>
      <w:r w:rsidRPr="005E1103">
        <w:rPr>
          <w:rFonts w:eastAsia="Calibri" w:cstheme="minorHAnsi"/>
          <w:sz w:val="28"/>
          <w:szCs w:val="28"/>
        </w:rPr>
        <w:lastRenderedPageBreak/>
        <w:t xml:space="preserve">de Psicología Aplicada (CPA) de la Universidad Autónoma de Madrid para la atención psicológica de los estudiantes con discapacidad así como las personas con discapacidad asociadas al campus universitario. </w:t>
      </w:r>
    </w:p>
    <w:p w:rsidR="00954B58" w:rsidRPr="005E1103" w:rsidRDefault="00954B58" w:rsidP="00954B58">
      <w:pPr>
        <w:spacing w:after="0" w:line="360" w:lineRule="auto"/>
        <w:jc w:val="both"/>
        <w:rPr>
          <w:rFonts w:eastAsia="Calibri" w:cstheme="minorHAnsi"/>
          <w:sz w:val="28"/>
          <w:szCs w:val="28"/>
        </w:rPr>
      </w:pPr>
      <w:r w:rsidRPr="005E1103">
        <w:rPr>
          <w:rFonts w:eastAsia="Calibri" w:cstheme="minorHAnsi"/>
          <w:sz w:val="28"/>
          <w:szCs w:val="28"/>
        </w:rPr>
        <w:t xml:space="preserve">También añadir que contamos para la puesta en marcha de este programa con la alianza y colaboración de UPTA España quien participa con nosotros de manera conjunta brindando las asesorías en los temas fiscales, contables y empresariales. </w:t>
      </w:r>
    </w:p>
    <w:p w:rsidR="00954B58" w:rsidRPr="005E1103" w:rsidRDefault="00954B58" w:rsidP="00954B58">
      <w:pPr>
        <w:spacing w:after="0" w:line="360" w:lineRule="auto"/>
        <w:jc w:val="both"/>
        <w:rPr>
          <w:rFonts w:eastAsia="Calibri" w:cstheme="minorHAnsi"/>
          <w:sz w:val="28"/>
          <w:szCs w:val="28"/>
        </w:rPr>
      </w:pPr>
      <w:r w:rsidRPr="005E1103">
        <w:rPr>
          <w:rFonts w:eastAsia="Calibri" w:cstheme="minorHAnsi"/>
          <w:sz w:val="28"/>
          <w:szCs w:val="28"/>
        </w:rPr>
        <w:t>Este programa que pensamos incorporar en el Centro de Psicología aplicada tiene los siguientes objetivos:</w:t>
      </w:r>
    </w:p>
    <w:p w:rsidR="00954B58" w:rsidRPr="005E1103" w:rsidRDefault="00954B58" w:rsidP="00954B58">
      <w:pPr>
        <w:spacing w:after="0" w:line="360" w:lineRule="auto"/>
        <w:jc w:val="both"/>
        <w:rPr>
          <w:rFonts w:eastAsia="Calibri" w:cstheme="minorHAnsi"/>
          <w:sz w:val="28"/>
          <w:szCs w:val="28"/>
        </w:rPr>
      </w:pPr>
    </w:p>
    <w:p w:rsidR="00954B58" w:rsidRPr="005E1103" w:rsidRDefault="00954B58" w:rsidP="00954B58">
      <w:pPr>
        <w:spacing w:after="0" w:line="360" w:lineRule="auto"/>
        <w:jc w:val="both"/>
        <w:rPr>
          <w:rFonts w:eastAsia="Calibri" w:cstheme="minorHAnsi"/>
          <w:b/>
          <w:sz w:val="28"/>
          <w:szCs w:val="28"/>
        </w:rPr>
      </w:pPr>
      <w:r w:rsidRPr="005E1103">
        <w:rPr>
          <w:rFonts w:eastAsia="Calibri" w:cstheme="minorHAnsi"/>
          <w:b/>
          <w:sz w:val="28"/>
          <w:szCs w:val="28"/>
        </w:rPr>
        <w:t>Objetivos del programa</w:t>
      </w:r>
    </w:p>
    <w:p w:rsidR="00954B58" w:rsidRPr="005E1103" w:rsidRDefault="00954B58" w:rsidP="00954B58">
      <w:pPr>
        <w:numPr>
          <w:ilvl w:val="0"/>
          <w:numId w:val="69"/>
        </w:numPr>
        <w:spacing w:after="0" w:line="360" w:lineRule="auto"/>
        <w:ind w:left="714" w:hanging="357"/>
        <w:contextualSpacing/>
        <w:jc w:val="both"/>
        <w:rPr>
          <w:rFonts w:eastAsia="Times New Roman" w:cstheme="minorHAnsi"/>
          <w:sz w:val="28"/>
          <w:szCs w:val="28"/>
          <w:lang w:val="es-ES_tradnl"/>
        </w:rPr>
      </w:pPr>
      <w:r w:rsidRPr="005E1103">
        <w:rPr>
          <w:rFonts w:eastAsia="Times New Roman" w:cstheme="minorHAnsi"/>
          <w:sz w:val="28"/>
          <w:szCs w:val="28"/>
          <w:lang w:val="es-ES_tradnl"/>
        </w:rPr>
        <w:t>Generar y promover una cultura emprendedora en estudiantes con discapacidad y una toma de conciencia de las ventajas y oportunidades que brinda el emprendimiento y autoempleo.</w:t>
      </w:r>
    </w:p>
    <w:p w:rsidR="00954B58" w:rsidRPr="005E1103" w:rsidRDefault="00954B58" w:rsidP="00954B58">
      <w:pPr>
        <w:numPr>
          <w:ilvl w:val="0"/>
          <w:numId w:val="69"/>
        </w:numPr>
        <w:spacing w:after="0" w:line="360" w:lineRule="auto"/>
        <w:ind w:left="714" w:hanging="357"/>
        <w:contextualSpacing/>
        <w:jc w:val="both"/>
        <w:rPr>
          <w:rFonts w:eastAsia="Times New Roman" w:cstheme="minorHAnsi"/>
          <w:sz w:val="28"/>
          <w:szCs w:val="28"/>
          <w:lang w:val="es-ES_tradnl"/>
        </w:rPr>
      </w:pPr>
      <w:r w:rsidRPr="005E1103">
        <w:rPr>
          <w:rFonts w:eastAsia="Times New Roman" w:cstheme="minorHAnsi"/>
          <w:sz w:val="28"/>
          <w:szCs w:val="28"/>
          <w:lang w:val="es-ES_tradnl"/>
        </w:rPr>
        <w:t>Promover el aumento y desarrollo de emprendedores universitarios con discapacidad a través de un proceso formativo donde adquieran habilidades y recursos para iniciar un proyecto emprendedor.</w:t>
      </w:r>
    </w:p>
    <w:p w:rsidR="00954B58" w:rsidRPr="005E1103" w:rsidRDefault="00954B58" w:rsidP="00954B58">
      <w:pPr>
        <w:numPr>
          <w:ilvl w:val="0"/>
          <w:numId w:val="69"/>
        </w:numPr>
        <w:spacing w:after="0" w:line="360" w:lineRule="auto"/>
        <w:ind w:left="714" w:hanging="357"/>
        <w:contextualSpacing/>
        <w:jc w:val="both"/>
        <w:rPr>
          <w:rFonts w:eastAsia="Times New Roman" w:cstheme="minorHAnsi"/>
          <w:sz w:val="28"/>
          <w:szCs w:val="28"/>
          <w:lang w:val="es-ES_tradnl"/>
        </w:rPr>
      </w:pPr>
      <w:r w:rsidRPr="005E1103">
        <w:rPr>
          <w:rFonts w:eastAsia="Times New Roman" w:cstheme="minorHAnsi"/>
          <w:sz w:val="28"/>
          <w:szCs w:val="28"/>
          <w:lang w:val="es-ES_tradnl"/>
        </w:rPr>
        <w:t>Potenciar la  integración laboral a través del autoempleo y emprendimiento de estudiantes con discapacidad.</w:t>
      </w:r>
    </w:p>
    <w:p w:rsidR="00954B58" w:rsidRPr="005E1103" w:rsidRDefault="00954B58" w:rsidP="00954B58">
      <w:pPr>
        <w:spacing w:after="0" w:line="360" w:lineRule="auto"/>
        <w:jc w:val="both"/>
        <w:rPr>
          <w:rFonts w:eastAsia="Calibri" w:cstheme="minorHAnsi"/>
          <w:sz w:val="28"/>
          <w:szCs w:val="28"/>
          <w:lang w:val="es-ES_tradnl"/>
        </w:rPr>
      </w:pPr>
    </w:p>
    <w:p w:rsidR="00954B58" w:rsidRPr="005E1103" w:rsidRDefault="00954B58" w:rsidP="00954B58">
      <w:pPr>
        <w:spacing w:after="0" w:line="360" w:lineRule="auto"/>
        <w:ind w:left="720"/>
        <w:jc w:val="both"/>
        <w:rPr>
          <w:rFonts w:eastAsia="Calibri" w:cstheme="minorHAnsi"/>
          <w:sz w:val="28"/>
          <w:szCs w:val="28"/>
        </w:rPr>
      </w:pPr>
    </w:p>
    <w:p w:rsidR="00954B58" w:rsidRPr="005E1103" w:rsidRDefault="00954B58" w:rsidP="00954B58">
      <w:pPr>
        <w:spacing w:after="0" w:line="360" w:lineRule="auto"/>
        <w:jc w:val="both"/>
        <w:rPr>
          <w:rFonts w:eastAsia="Calibri" w:cstheme="minorHAnsi"/>
          <w:b/>
          <w:sz w:val="28"/>
          <w:szCs w:val="28"/>
        </w:rPr>
      </w:pPr>
      <w:r w:rsidRPr="005E1103">
        <w:rPr>
          <w:rFonts w:eastAsia="Calibri" w:cstheme="minorHAnsi"/>
          <w:b/>
          <w:sz w:val="28"/>
          <w:szCs w:val="28"/>
        </w:rPr>
        <w:t>DESCRIPCIÓN DEL PROGRAMA</w:t>
      </w:r>
    </w:p>
    <w:p w:rsidR="00954B58" w:rsidRPr="005E1103" w:rsidRDefault="00954B58" w:rsidP="00954B58">
      <w:pPr>
        <w:spacing w:after="0" w:line="360" w:lineRule="auto"/>
        <w:jc w:val="both"/>
        <w:rPr>
          <w:rFonts w:eastAsia="Calibri" w:cstheme="minorHAnsi"/>
          <w:sz w:val="28"/>
          <w:szCs w:val="28"/>
        </w:rPr>
      </w:pPr>
      <w:r w:rsidRPr="005E1103">
        <w:rPr>
          <w:rFonts w:eastAsia="Calibri" w:cstheme="minorHAnsi"/>
          <w:sz w:val="28"/>
          <w:szCs w:val="28"/>
        </w:rPr>
        <w:t xml:space="preserve">El programa se concibe desde el empoderamiento del estudiante con discapacidad, aprovechando al máximo sus recursos, desarrollando nuevas herramientas, posibilitando un itinerario formativo y de asesoramiento personalizado ajustado a sus necesidades y donde él o ella </w:t>
      </w:r>
      <w:r w:rsidRPr="005E1103">
        <w:rPr>
          <w:rFonts w:eastAsia="Calibri" w:cstheme="minorHAnsi"/>
          <w:sz w:val="28"/>
          <w:szCs w:val="28"/>
        </w:rPr>
        <w:lastRenderedPageBreak/>
        <w:t>sea el protagonista de dicho camino que emprende; trabajando para generar su propio proyecto empresarial.</w:t>
      </w:r>
    </w:p>
    <w:p w:rsidR="00954B58" w:rsidRPr="005E1103" w:rsidRDefault="00954B58" w:rsidP="00954B58">
      <w:pPr>
        <w:spacing w:after="0" w:line="360" w:lineRule="auto"/>
        <w:jc w:val="both"/>
        <w:rPr>
          <w:rFonts w:eastAsia="Calibri" w:cstheme="minorHAnsi"/>
          <w:sz w:val="28"/>
          <w:szCs w:val="28"/>
        </w:rPr>
      </w:pPr>
      <w:r w:rsidRPr="005E1103">
        <w:rPr>
          <w:rFonts w:eastAsia="Calibri" w:cstheme="minorHAnsi"/>
          <w:sz w:val="28"/>
          <w:szCs w:val="28"/>
        </w:rPr>
        <w:t xml:space="preserve">Las acciones para llevar a cabo este programa son entrevistas en evaluación de competencias tanto personales como empresariales, coaching personalizado empresarial, formación continua en temas de liderazgo, formación de equipos así como en temas empresariales. Posteriormente una fase de seguimiento para aquellos estudiantes con discapacidad que decidan iniciar el proceso de puesta en marcha del proyecto emprendedor. </w:t>
      </w:r>
    </w:p>
    <w:p w:rsidR="00954B58" w:rsidRPr="005E1103" w:rsidRDefault="00954B58" w:rsidP="00954B58">
      <w:pPr>
        <w:spacing w:after="0" w:line="360" w:lineRule="auto"/>
        <w:jc w:val="both"/>
        <w:rPr>
          <w:rFonts w:eastAsia="Calibri" w:cstheme="minorHAnsi"/>
          <w:sz w:val="28"/>
          <w:szCs w:val="28"/>
        </w:rPr>
      </w:pPr>
      <w:r w:rsidRPr="005E1103">
        <w:rPr>
          <w:rFonts w:eastAsia="Calibri" w:cstheme="minorHAnsi"/>
          <w:sz w:val="28"/>
          <w:szCs w:val="28"/>
        </w:rPr>
        <w:t xml:space="preserve">Esto es un servicio que se les brindará a los estudiantes con discapacidad en el Centro de Psicología Aplicada y se publicitará a través de la Oficina de Acción Solidaria y Cooperación de la UAM así como en las redes del campus. </w:t>
      </w:r>
    </w:p>
    <w:p w:rsidR="00954B58" w:rsidRPr="005E1103" w:rsidRDefault="00954B58" w:rsidP="00954B58">
      <w:pPr>
        <w:spacing w:after="0" w:line="360" w:lineRule="auto"/>
        <w:jc w:val="both"/>
        <w:rPr>
          <w:rFonts w:eastAsia="Calibri" w:cstheme="minorHAnsi"/>
          <w:sz w:val="28"/>
          <w:szCs w:val="28"/>
        </w:rPr>
      </w:pPr>
      <w:r w:rsidRPr="005E1103">
        <w:rPr>
          <w:rFonts w:eastAsia="Calibri" w:cstheme="minorHAnsi"/>
          <w:sz w:val="28"/>
          <w:szCs w:val="28"/>
        </w:rPr>
        <w:t xml:space="preserve">El equipo de Psicodis realizará las entrevistas de diagnóstico de competencias así como el coaching especializado a la idea emprendedora y a la gestión empresarial. De manera simultánea, en determinados periodos del año, se organizarán cursos de formación en temas de emprendimiento, gestión empresarial y competencias personales. </w:t>
      </w:r>
    </w:p>
    <w:p w:rsidR="00954B58" w:rsidRPr="005E1103" w:rsidRDefault="00954B58" w:rsidP="00954B58">
      <w:pPr>
        <w:spacing w:after="0" w:line="360" w:lineRule="auto"/>
        <w:jc w:val="both"/>
        <w:rPr>
          <w:rFonts w:eastAsia="Calibri" w:cstheme="minorHAnsi"/>
          <w:sz w:val="28"/>
          <w:szCs w:val="28"/>
        </w:rPr>
      </w:pPr>
      <w:r w:rsidRPr="005E1103">
        <w:rPr>
          <w:rFonts w:eastAsia="Calibri" w:cstheme="minorHAnsi"/>
          <w:sz w:val="28"/>
          <w:szCs w:val="28"/>
        </w:rPr>
        <w:t>Una vez finalizadas las acciones formativas, los participantes de la misma que estén interesados en la puesta en marcha o en la consolidación de su idea de autoempleo recibirán orientación por parte de los técnicos asignados al programa para la puesta en marcha de su proyecto emprendedor así como poner en contacto con posibles financiadores o instituciones que puedan contribuir a la realización de su proyecto</w:t>
      </w:r>
    </w:p>
    <w:p w:rsidR="00954B58" w:rsidRPr="005E1103" w:rsidRDefault="00954B58" w:rsidP="00954B58">
      <w:pPr>
        <w:spacing w:after="0" w:line="360" w:lineRule="auto"/>
        <w:jc w:val="both"/>
        <w:rPr>
          <w:rFonts w:eastAsia="Calibri" w:cstheme="minorHAnsi"/>
          <w:sz w:val="28"/>
          <w:szCs w:val="28"/>
        </w:rPr>
      </w:pPr>
      <w:r w:rsidRPr="005E1103">
        <w:rPr>
          <w:rFonts w:eastAsia="Calibri" w:cstheme="minorHAnsi"/>
          <w:sz w:val="28"/>
          <w:szCs w:val="28"/>
        </w:rPr>
        <w:t xml:space="preserve">Este programa es un proyecto vivo, en continuo movimiento, y como tal está en constante ajuste para ofrecer a los estudiantes con discapacidad </w:t>
      </w:r>
      <w:r w:rsidRPr="005E1103">
        <w:rPr>
          <w:rFonts w:eastAsia="Calibri" w:cstheme="minorHAnsi"/>
          <w:sz w:val="28"/>
          <w:szCs w:val="28"/>
        </w:rPr>
        <w:lastRenderedPageBreak/>
        <w:t>aquello que necesitan para desarrollar con éxito su proyecto laboral y alcanzar su meta.</w:t>
      </w:r>
    </w:p>
    <w:p w:rsidR="00954B58" w:rsidRPr="005E1103" w:rsidRDefault="00954B58" w:rsidP="00954B58">
      <w:pPr>
        <w:spacing w:after="0" w:line="360" w:lineRule="auto"/>
        <w:jc w:val="both"/>
        <w:rPr>
          <w:rFonts w:eastAsia="Calibri" w:cstheme="minorHAnsi"/>
          <w:b/>
          <w:sz w:val="28"/>
          <w:szCs w:val="28"/>
        </w:rPr>
      </w:pPr>
    </w:p>
    <w:p w:rsidR="00954B58" w:rsidRPr="005E1103" w:rsidRDefault="00954B58" w:rsidP="00954B58">
      <w:pPr>
        <w:spacing w:after="0" w:line="360" w:lineRule="auto"/>
        <w:jc w:val="both"/>
        <w:rPr>
          <w:rFonts w:eastAsia="Calibri" w:cstheme="minorHAnsi"/>
          <w:b/>
          <w:sz w:val="28"/>
          <w:szCs w:val="28"/>
        </w:rPr>
      </w:pPr>
      <w:r w:rsidRPr="005E1103">
        <w:rPr>
          <w:rFonts w:eastAsia="Calibri" w:cstheme="minorHAnsi"/>
          <w:b/>
          <w:sz w:val="28"/>
          <w:szCs w:val="28"/>
        </w:rPr>
        <w:t xml:space="preserve">METODOLOGÍA </w:t>
      </w:r>
    </w:p>
    <w:p w:rsidR="00954B58" w:rsidRPr="005E1103" w:rsidRDefault="00954B58" w:rsidP="00954B58">
      <w:pPr>
        <w:spacing w:after="0" w:line="360" w:lineRule="auto"/>
        <w:jc w:val="both"/>
        <w:rPr>
          <w:rFonts w:eastAsia="Calibri" w:cstheme="minorHAnsi"/>
          <w:sz w:val="28"/>
          <w:szCs w:val="28"/>
        </w:rPr>
      </w:pPr>
      <w:r w:rsidRPr="005E1103">
        <w:rPr>
          <w:rFonts w:eastAsia="Calibri" w:cstheme="minorHAnsi"/>
          <w:sz w:val="28"/>
          <w:szCs w:val="28"/>
        </w:rPr>
        <w:t xml:space="preserve">El planteamiento de trabajo se realizará desde un </w:t>
      </w:r>
      <w:r w:rsidRPr="005E1103">
        <w:rPr>
          <w:rFonts w:eastAsia="Calibri" w:cstheme="minorHAnsi"/>
          <w:b/>
          <w:sz w:val="28"/>
          <w:szCs w:val="28"/>
        </w:rPr>
        <w:t>enfoque integral e inclusivo</w:t>
      </w:r>
      <w:r w:rsidRPr="005E1103">
        <w:rPr>
          <w:rFonts w:eastAsia="Calibri" w:cstheme="minorHAnsi"/>
          <w:sz w:val="28"/>
          <w:szCs w:val="28"/>
        </w:rPr>
        <w:t xml:space="preserve"> que permitirá el desarrollo de todas las potencialidades de la persona y se intervendrá  en todos los ámbitos necesarios para conseguir nuestros objetivos. </w:t>
      </w:r>
    </w:p>
    <w:p w:rsidR="00954B58" w:rsidRPr="005E1103" w:rsidRDefault="00954B58" w:rsidP="00954B58">
      <w:pPr>
        <w:spacing w:after="0" w:line="360" w:lineRule="auto"/>
        <w:jc w:val="both"/>
        <w:rPr>
          <w:rFonts w:eastAsia="Calibri" w:cstheme="minorHAnsi"/>
          <w:sz w:val="28"/>
          <w:szCs w:val="28"/>
        </w:rPr>
      </w:pPr>
      <w:r w:rsidRPr="005E1103">
        <w:rPr>
          <w:rFonts w:eastAsia="Calibri" w:cstheme="minorHAnsi"/>
          <w:sz w:val="28"/>
          <w:szCs w:val="28"/>
        </w:rPr>
        <w:t>Para eso tendremos muy en cuenta todos los recursos a nuestro alcance, generando una dinámica de participación activa de los estudiantes con discapacidad y su entorno universitario.</w:t>
      </w:r>
    </w:p>
    <w:p w:rsidR="00954B58" w:rsidRPr="005E1103" w:rsidRDefault="00954B58" w:rsidP="00954B58">
      <w:pPr>
        <w:spacing w:after="0" w:line="360" w:lineRule="auto"/>
        <w:jc w:val="both"/>
        <w:rPr>
          <w:rFonts w:eastAsia="Calibri" w:cstheme="minorHAnsi"/>
          <w:sz w:val="28"/>
          <w:szCs w:val="28"/>
        </w:rPr>
      </w:pPr>
      <w:r w:rsidRPr="005E1103">
        <w:rPr>
          <w:rFonts w:eastAsia="Calibri" w:cstheme="minorHAnsi"/>
          <w:sz w:val="28"/>
          <w:szCs w:val="28"/>
        </w:rPr>
        <w:t xml:space="preserve">Este programa, por tanto, </w:t>
      </w:r>
      <w:r w:rsidRPr="005E1103">
        <w:rPr>
          <w:rFonts w:eastAsia="Calibri" w:cstheme="minorHAnsi"/>
          <w:b/>
          <w:sz w:val="28"/>
          <w:szCs w:val="28"/>
        </w:rPr>
        <w:t>será adaptable</w:t>
      </w:r>
      <w:r w:rsidRPr="005E1103">
        <w:rPr>
          <w:rFonts w:eastAsia="Calibri" w:cstheme="minorHAnsi"/>
          <w:sz w:val="28"/>
          <w:szCs w:val="28"/>
        </w:rPr>
        <w:t xml:space="preserve"> a cualquier situación que requiera una respuesta por nuestra parte.</w:t>
      </w:r>
    </w:p>
    <w:p w:rsidR="00954B58" w:rsidRPr="005E1103" w:rsidRDefault="00954B58" w:rsidP="00954B58">
      <w:pPr>
        <w:spacing w:after="0" w:line="360" w:lineRule="auto"/>
        <w:jc w:val="both"/>
        <w:rPr>
          <w:rFonts w:eastAsia="Calibri" w:cstheme="minorHAnsi"/>
          <w:sz w:val="28"/>
          <w:szCs w:val="28"/>
        </w:rPr>
      </w:pPr>
      <w:r w:rsidRPr="005E1103">
        <w:rPr>
          <w:rFonts w:eastAsia="Calibri" w:cstheme="minorHAnsi"/>
          <w:sz w:val="28"/>
          <w:szCs w:val="28"/>
        </w:rPr>
        <w:t>La realización de todas las acciones del Programa se abordarán como es obvio desde la perspectiva de género, generando el debate interno y externo sobre los comportamientos tradicionales, la interiorización de roles y las consecuencias negativas que estas conllevan para el conjunto de la sociedad.</w:t>
      </w:r>
    </w:p>
    <w:p w:rsidR="00954B58" w:rsidRPr="005E1103" w:rsidRDefault="00954B58" w:rsidP="00954B58">
      <w:pPr>
        <w:spacing w:after="0" w:line="360" w:lineRule="auto"/>
        <w:jc w:val="both"/>
        <w:rPr>
          <w:rFonts w:eastAsia="Calibri" w:cstheme="minorHAnsi"/>
          <w:sz w:val="28"/>
          <w:szCs w:val="28"/>
        </w:rPr>
      </w:pPr>
      <w:r w:rsidRPr="005E1103">
        <w:rPr>
          <w:rFonts w:eastAsia="Calibri" w:cstheme="minorHAnsi"/>
          <w:sz w:val="28"/>
          <w:szCs w:val="28"/>
        </w:rPr>
        <w:t xml:space="preserve">A su vez proponemos la </w:t>
      </w:r>
      <w:r w:rsidRPr="005E1103">
        <w:rPr>
          <w:rFonts w:eastAsia="Calibri" w:cstheme="minorHAnsi"/>
          <w:b/>
          <w:sz w:val="28"/>
          <w:szCs w:val="28"/>
        </w:rPr>
        <w:t>interdisciplinariedad</w:t>
      </w:r>
      <w:r w:rsidRPr="005E1103">
        <w:rPr>
          <w:rFonts w:eastAsia="Calibri" w:cstheme="minorHAnsi"/>
          <w:sz w:val="28"/>
          <w:szCs w:val="28"/>
        </w:rPr>
        <w:t xml:space="preserve"> como forma de intervención de los/as técnicos/as del proyecto, retroalimentándose  desde los distintos aspectos profesionales, enriqueciendo de esta forma cada una de las actuaciones y el programa en su conjunto. </w:t>
      </w:r>
    </w:p>
    <w:p w:rsidR="00954B58" w:rsidRPr="005E1103" w:rsidRDefault="00954B58" w:rsidP="00954B58">
      <w:pPr>
        <w:spacing w:after="0" w:line="360" w:lineRule="auto"/>
        <w:jc w:val="both"/>
        <w:rPr>
          <w:rFonts w:eastAsia="Calibri" w:cstheme="minorHAnsi"/>
          <w:sz w:val="28"/>
          <w:szCs w:val="28"/>
        </w:rPr>
      </w:pPr>
      <w:r w:rsidRPr="005E1103">
        <w:rPr>
          <w:rFonts w:eastAsia="Calibri" w:cstheme="minorHAnsi"/>
          <w:sz w:val="28"/>
          <w:szCs w:val="28"/>
        </w:rPr>
        <w:t xml:space="preserve">La metodología empleada, en consecuencia,  en nuestro plan de trabajo  estará en función de una serie de variables: </w:t>
      </w:r>
    </w:p>
    <w:p w:rsidR="00954B58" w:rsidRPr="005E1103" w:rsidRDefault="00954B58" w:rsidP="00954B58">
      <w:pPr>
        <w:numPr>
          <w:ilvl w:val="0"/>
          <w:numId w:val="68"/>
        </w:numPr>
        <w:tabs>
          <w:tab w:val="num" w:pos="780"/>
        </w:tabs>
        <w:spacing w:after="0" w:line="360" w:lineRule="auto"/>
        <w:contextualSpacing/>
        <w:jc w:val="both"/>
        <w:rPr>
          <w:rFonts w:eastAsia="Times New Roman" w:cstheme="minorHAnsi"/>
          <w:sz w:val="28"/>
          <w:szCs w:val="28"/>
          <w:lang w:val="es-ES_tradnl"/>
        </w:rPr>
      </w:pPr>
      <w:r w:rsidRPr="005E1103">
        <w:rPr>
          <w:rFonts w:eastAsia="Times New Roman" w:cstheme="minorHAnsi"/>
          <w:sz w:val="28"/>
          <w:szCs w:val="28"/>
          <w:lang w:val="es-ES_tradnl"/>
        </w:rPr>
        <w:t>Duración del Programa</w:t>
      </w:r>
    </w:p>
    <w:p w:rsidR="00954B58" w:rsidRPr="005E1103" w:rsidRDefault="00954B58" w:rsidP="00954B58">
      <w:pPr>
        <w:numPr>
          <w:ilvl w:val="0"/>
          <w:numId w:val="68"/>
        </w:numPr>
        <w:tabs>
          <w:tab w:val="num" w:pos="780"/>
        </w:tabs>
        <w:spacing w:after="0" w:line="360" w:lineRule="auto"/>
        <w:contextualSpacing/>
        <w:jc w:val="both"/>
        <w:rPr>
          <w:rFonts w:eastAsia="Times New Roman" w:cstheme="minorHAnsi"/>
          <w:sz w:val="28"/>
          <w:szCs w:val="28"/>
          <w:lang w:val="es-ES_tradnl"/>
        </w:rPr>
      </w:pPr>
      <w:r w:rsidRPr="005E1103">
        <w:rPr>
          <w:rFonts w:eastAsia="Times New Roman" w:cstheme="minorHAnsi"/>
          <w:sz w:val="28"/>
          <w:szCs w:val="28"/>
          <w:lang w:val="es-ES_tradnl"/>
        </w:rPr>
        <w:t xml:space="preserve">Consecución de objetivos propuestos  </w:t>
      </w:r>
    </w:p>
    <w:p w:rsidR="00954B58" w:rsidRPr="005E1103" w:rsidRDefault="00954B58" w:rsidP="00954B58">
      <w:pPr>
        <w:numPr>
          <w:ilvl w:val="0"/>
          <w:numId w:val="68"/>
        </w:numPr>
        <w:tabs>
          <w:tab w:val="num" w:pos="780"/>
        </w:tabs>
        <w:spacing w:after="0" w:line="360" w:lineRule="auto"/>
        <w:contextualSpacing/>
        <w:jc w:val="both"/>
        <w:rPr>
          <w:rFonts w:eastAsia="Times New Roman" w:cstheme="minorHAnsi"/>
          <w:sz w:val="28"/>
          <w:szCs w:val="28"/>
          <w:lang w:val="es-ES_tradnl"/>
        </w:rPr>
      </w:pPr>
      <w:r w:rsidRPr="005E1103">
        <w:rPr>
          <w:rFonts w:eastAsia="Times New Roman" w:cstheme="minorHAnsi"/>
          <w:sz w:val="28"/>
          <w:szCs w:val="28"/>
          <w:lang w:val="es-ES_tradnl"/>
        </w:rPr>
        <w:t>Desarrollo de las acciones formativas</w:t>
      </w:r>
    </w:p>
    <w:p w:rsidR="00954B58" w:rsidRPr="005E1103" w:rsidRDefault="00954B58" w:rsidP="00954B58">
      <w:pPr>
        <w:numPr>
          <w:ilvl w:val="0"/>
          <w:numId w:val="68"/>
        </w:numPr>
        <w:tabs>
          <w:tab w:val="num" w:pos="780"/>
        </w:tabs>
        <w:spacing w:after="0" w:line="360" w:lineRule="auto"/>
        <w:contextualSpacing/>
        <w:jc w:val="both"/>
        <w:rPr>
          <w:rFonts w:eastAsia="Times New Roman" w:cstheme="minorHAnsi"/>
          <w:sz w:val="28"/>
          <w:szCs w:val="28"/>
          <w:lang w:val="es-ES_tradnl"/>
        </w:rPr>
      </w:pPr>
      <w:r w:rsidRPr="005E1103">
        <w:rPr>
          <w:rFonts w:eastAsia="Times New Roman" w:cstheme="minorHAnsi"/>
          <w:sz w:val="28"/>
          <w:szCs w:val="28"/>
          <w:lang w:val="es-ES_tradnl"/>
        </w:rPr>
        <w:lastRenderedPageBreak/>
        <w:t xml:space="preserve">Orientación establecida </w:t>
      </w:r>
    </w:p>
    <w:p w:rsidR="00954B58" w:rsidRPr="005E1103" w:rsidRDefault="00954B58" w:rsidP="00954B58">
      <w:pPr>
        <w:numPr>
          <w:ilvl w:val="0"/>
          <w:numId w:val="68"/>
        </w:numPr>
        <w:tabs>
          <w:tab w:val="num" w:pos="780"/>
        </w:tabs>
        <w:spacing w:after="0" w:line="360" w:lineRule="auto"/>
        <w:contextualSpacing/>
        <w:jc w:val="both"/>
        <w:rPr>
          <w:rFonts w:eastAsia="Times New Roman" w:cstheme="minorHAnsi"/>
          <w:sz w:val="28"/>
          <w:szCs w:val="28"/>
          <w:lang w:val="es-ES_tradnl"/>
        </w:rPr>
      </w:pPr>
      <w:r w:rsidRPr="005E1103">
        <w:rPr>
          <w:rFonts w:eastAsia="Times New Roman" w:cstheme="minorHAnsi"/>
          <w:sz w:val="28"/>
          <w:szCs w:val="28"/>
          <w:lang w:val="es-ES_tradnl"/>
        </w:rPr>
        <w:t xml:space="preserve">Evaluación y resultados del Programa. </w:t>
      </w:r>
    </w:p>
    <w:p w:rsidR="00954B58" w:rsidRPr="005E1103" w:rsidRDefault="00954B58" w:rsidP="00954B58">
      <w:pPr>
        <w:spacing w:after="0" w:line="360" w:lineRule="auto"/>
        <w:jc w:val="both"/>
        <w:rPr>
          <w:rFonts w:eastAsia="Calibri" w:cstheme="minorHAnsi"/>
          <w:sz w:val="28"/>
          <w:szCs w:val="28"/>
        </w:rPr>
      </w:pPr>
    </w:p>
    <w:p w:rsidR="00954B58" w:rsidRPr="005E1103" w:rsidRDefault="00954B58" w:rsidP="00954B58">
      <w:pPr>
        <w:spacing w:after="0" w:line="360" w:lineRule="auto"/>
        <w:jc w:val="both"/>
        <w:rPr>
          <w:rFonts w:eastAsia="Calibri" w:cstheme="minorHAnsi"/>
          <w:sz w:val="28"/>
          <w:szCs w:val="28"/>
        </w:rPr>
      </w:pPr>
      <w:r w:rsidRPr="005E1103">
        <w:rPr>
          <w:rFonts w:eastAsia="Calibri" w:cstheme="minorHAnsi"/>
          <w:sz w:val="28"/>
          <w:szCs w:val="28"/>
        </w:rPr>
        <w:t xml:space="preserve">El desarrollo del proyecto exige llevar una evaluación continua de los logros que se van obteniendo y del desarrollo del proyecto en sí. Nuestro modelo evaluativo está orientado hacia la mejora continua. Seguimos el modelo </w:t>
      </w:r>
      <w:r w:rsidRPr="005E1103">
        <w:rPr>
          <w:rFonts w:eastAsia="Calibri" w:cstheme="minorHAnsi"/>
          <w:b/>
          <w:sz w:val="28"/>
          <w:szCs w:val="28"/>
        </w:rPr>
        <w:t>CIPP de Stufflebeam</w:t>
      </w:r>
      <w:r w:rsidRPr="005E1103">
        <w:rPr>
          <w:rFonts w:eastAsia="Calibri" w:cstheme="minorHAnsi"/>
          <w:sz w:val="28"/>
          <w:szCs w:val="28"/>
        </w:rPr>
        <w:t>:</w:t>
      </w:r>
    </w:p>
    <w:p w:rsidR="00954B58" w:rsidRPr="005E1103" w:rsidRDefault="00954B58" w:rsidP="00954B58">
      <w:pPr>
        <w:spacing w:after="0" w:line="360" w:lineRule="auto"/>
        <w:jc w:val="both"/>
        <w:rPr>
          <w:rFonts w:eastAsia="Calibri" w:cstheme="minorHAnsi"/>
          <w:sz w:val="28"/>
          <w:szCs w:val="28"/>
        </w:rPr>
      </w:pPr>
      <w:r w:rsidRPr="005E1103">
        <w:rPr>
          <w:rFonts w:eastAsia="Calibri" w:cstheme="minorHAnsi"/>
          <w:sz w:val="28"/>
          <w:szCs w:val="28"/>
        </w:rPr>
        <w:t xml:space="preserve">a) Evaluación de Necesidades de los participantes: Detectando las demandas de los usuarios/as. Esta evaluación es realizada por los profesionales que participan en el proyecto. </w:t>
      </w:r>
    </w:p>
    <w:p w:rsidR="00954B58" w:rsidRPr="005E1103" w:rsidRDefault="00954B58" w:rsidP="00954B58">
      <w:pPr>
        <w:spacing w:after="0" w:line="360" w:lineRule="auto"/>
        <w:jc w:val="both"/>
        <w:rPr>
          <w:rFonts w:eastAsia="Calibri" w:cstheme="minorHAnsi"/>
          <w:sz w:val="28"/>
          <w:szCs w:val="28"/>
        </w:rPr>
      </w:pPr>
      <w:r w:rsidRPr="005E1103">
        <w:rPr>
          <w:rFonts w:eastAsia="Calibri" w:cstheme="minorHAnsi"/>
          <w:sz w:val="28"/>
          <w:szCs w:val="28"/>
        </w:rPr>
        <w:t xml:space="preserve">Indicadores de Evaluación: </w:t>
      </w:r>
    </w:p>
    <w:p w:rsidR="00954B58" w:rsidRPr="005E1103" w:rsidRDefault="00954B58" w:rsidP="00954B58">
      <w:pPr>
        <w:spacing w:after="0" w:line="360" w:lineRule="auto"/>
        <w:jc w:val="both"/>
        <w:rPr>
          <w:rFonts w:eastAsia="Calibri" w:cstheme="minorHAnsi"/>
          <w:sz w:val="28"/>
          <w:szCs w:val="28"/>
        </w:rPr>
      </w:pPr>
      <w:r w:rsidRPr="005E1103">
        <w:rPr>
          <w:rFonts w:eastAsia="Calibri" w:cstheme="minorHAnsi"/>
          <w:sz w:val="28"/>
          <w:szCs w:val="28"/>
        </w:rPr>
        <w:t xml:space="preserve">- Identificación de necesidades laborales </w:t>
      </w:r>
    </w:p>
    <w:p w:rsidR="00954B58" w:rsidRPr="005E1103" w:rsidRDefault="00954B58" w:rsidP="00954B58">
      <w:pPr>
        <w:spacing w:after="0" w:line="360" w:lineRule="auto"/>
        <w:jc w:val="both"/>
        <w:rPr>
          <w:rFonts w:eastAsia="Calibri" w:cstheme="minorHAnsi"/>
          <w:sz w:val="28"/>
          <w:szCs w:val="28"/>
        </w:rPr>
      </w:pPr>
      <w:r w:rsidRPr="005E1103">
        <w:rPr>
          <w:rFonts w:eastAsia="Calibri" w:cstheme="minorHAnsi"/>
          <w:sz w:val="28"/>
          <w:szCs w:val="28"/>
        </w:rPr>
        <w:t xml:space="preserve">- Identificación de los recursos socio-laborales y educativos del entorno. </w:t>
      </w:r>
    </w:p>
    <w:p w:rsidR="00954B58" w:rsidRPr="005E1103" w:rsidRDefault="00954B58" w:rsidP="00954B58">
      <w:pPr>
        <w:spacing w:after="0" w:line="360" w:lineRule="auto"/>
        <w:jc w:val="both"/>
        <w:rPr>
          <w:rFonts w:eastAsia="Calibri" w:cstheme="minorHAnsi"/>
          <w:sz w:val="28"/>
          <w:szCs w:val="28"/>
        </w:rPr>
      </w:pPr>
      <w:r w:rsidRPr="005E1103">
        <w:rPr>
          <w:rFonts w:eastAsia="Calibri" w:cstheme="minorHAnsi"/>
          <w:sz w:val="28"/>
          <w:szCs w:val="28"/>
        </w:rPr>
        <w:t>-  Identificación del colectivo: sexo, intereses, aptitudes, actitudes, nivel educativo..</w:t>
      </w:r>
    </w:p>
    <w:p w:rsidR="00954B58" w:rsidRPr="005E1103" w:rsidRDefault="00954B58" w:rsidP="00954B58">
      <w:pPr>
        <w:spacing w:after="0" w:line="360" w:lineRule="auto"/>
        <w:jc w:val="both"/>
        <w:rPr>
          <w:rFonts w:eastAsia="Calibri" w:cstheme="minorHAnsi"/>
          <w:sz w:val="28"/>
          <w:szCs w:val="28"/>
        </w:rPr>
      </w:pPr>
      <w:r w:rsidRPr="005E1103">
        <w:rPr>
          <w:rFonts w:eastAsia="Calibri" w:cstheme="minorHAnsi"/>
          <w:sz w:val="28"/>
          <w:szCs w:val="28"/>
        </w:rPr>
        <w:t>b) Evaluación del Input o del diseño: Esta evaluación consistirá en valorar la corrección del diseño del proyecto, es decir, si éste contiene todos los elementos y además son coherentes con los objetivos propuestos. Esta evaluación es realizada por los profesionales que han participado en la elaboración del proyecto y su implementación.</w:t>
      </w:r>
    </w:p>
    <w:p w:rsidR="00954B58" w:rsidRPr="005E1103" w:rsidRDefault="00954B58" w:rsidP="00954B58">
      <w:pPr>
        <w:spacing w:after="0" w:line="360" w:lineRule="auto"/>
        <w:jc w:val="both"/>
        <w:rPr>
          <w:rFonts w:eastAsia="Calibri" w:cstheme="minorHAnsi"/>
          <w:sz w:val="28"/>
          <w:szCs w:val="28"/>
        </w:rPr>
      </w:pPr>
      <w:r w:rsidRPr="005E1103">
        <w:rPr>
          <w:rFonts w:eastAsia="Calibri" w:cstheme="minorHAnsi"/>
          <w:sz w:val="28"/>
          <w:szCs w:val="28"/>
        </w:rPr>
        <w:t xml:space="preserve">Indicadores de Evaluación: </w:t>
      </w:r>
    </w:p>
    <w:p w:rsidR="00954B58" w:rsidRPr="005E1103" w:rsidRDefault="00954B58" w:rsidP="00954B58">
      <w:pPr>
        <w:spacing w:after="0" w:line="360" w:lineRule="auto"/>
        <w:jc w:val="both"/>
        <w:rPr>
          <w:rFonts w:eastAsia="Calibri" w:cstheme="minorHAnsi"/>
          <w:sz w:val="28"/>
          <w:szCs w:val="28"/>
        </w:rPr>
      </w:pPr>
      <w:r w:rsidRPr="005E1103">
        <w:rPr>
          <w:rFonts w:eastAsia="Calibri" w:cstheme="minorHAnsi"/>
          <w:sz w:val="28"/>
          <w:szCs w:val="28"/>
        </w:rPr>
        <w:t xml:space="preserve"> -  Corrección del diseño: referido a objetivos, actividades, recursos, calendarización, y estrategias de evaluación del programa. </w:t>
      </w:r>
    </w:p>
    <w:p w:rsidR="00954B58" w:rsidRPr="005E1103" w:rsidRDefault="00954B58" w:rsidP="00954B58">
      <w:pPr>
        <w:spacing w:after="0" w:line="360" w:lineRule="auto"/>
        <w:jc w:val="both"/>
        <w:rPr>
          <w:rFonts w:eastAsia="Calibri" w:cstheme="minorHAnsi"/>
          <w:sz w:val="28"/>
          <w:szCs w:val="28"/>
        </w:rPr>
      </w:pPr>
      <w:r w:rsidRPr="005E1103">
        <w:rPr>
          <w:rFonts w:eastAsia="Calibri" w:cstheme="minorHAnsi"/>
          <w:sz w:val="28"/>
          <w:szCs w:val="28"/>
        </w:rPr>
        <w:t xml:space="preserve">- Responden los objetivos a las necesidades detectadas. </w:t>
      </w:r>
    </w:p>
    <w:p w:rsidR="00954B58" w:rsidRPr="005E1103" w:rsidRDefault="00954B58" w:rsidP="00954B58">
      <w:pPr>
        <w:spacing w:after="0" w:line="360" w:lineRule="auto"/>
        <w:jc w:val="both"/>
        <w:rPr>
          <w:rFonts w:eastAsia="Calibri" w:cstheme="minorHAnsi"/>
          <w:sz w:val="28"/>
          <w:szCs w:val="28"/>
        </w:rPr>
      </w:pPr>
      <w:r w:rsidRPr="005E1103">
        <w:rPr>
          <w:rFonts w:eastAsia="Calibri" w:cstheme="minorHAnsi"/>
          <w:sz w:val="28"/>
          <w:szCs w:val="28"/>
        </w:rPr>
        <w:t xml:space="preserve">- Los recursos son los adecuados para el desarrollo de las actividades programadas,.. </w:t>
      </w:r>
    </w:p>
    <w:p w:rsidR="00954B58" w:rsidRPr="005E1103" w:rsidRDefault="00954B58" w:rsidP="00954B58">
      <w:pPr>
        <w:spacing w:after="0" w:line="360" w:lineRule="auto"/>
        <w:jc w:val="both"/>
        <w:rPr>
          <w:rFonts w:eastAsia="Calibri" w:cstheme="minorHAnsi"/>
          <w:sz w:val="28"/>
          <w:szCs w:val="28"/>
        </w:rPr>
      </w:pPr>
      <w:r w:rsidRPr="005E1103">
        <w:rPr>
          <w:rFonts w:eastAsia="Calibri" w:cstheme="minorHAnsi"/>
          <w:sz w:val="28"/>
          <w:szCs w:val="28"/>
        </w:rPr>
        <w:lastRenderedPageBreak/>
        <w:t xml:space="preserve">c) Evaluación del Proceso: Se realiza a lo largo del proyecto. Son momentos para la reflexión crítica sobre la práctica y las acciones que se están llevando a cabo, pudiendo así modificar los itinerarios de inserción y aspectos diversos del proyecto. Se llevará a cabo a través de las reuniones del equipo Técnico, de la valoración de los usuarios/as, y de las entidades  colaboradoras. </w:t>
      </w:r>
    </w:p>
    <w:p w:rsidR="00954B58" w:rsidRPr="005E1103" w:rsidRDefault="00954B58" w:rsidP="00954B58">
      <w:pPr>
        <w:spacing w:after="0" w:line="360" w:lineRule="auto"/>
        <w:jc w:val="both"/>
        <w:rPr>
          <w:rFonts w:eastAsia="Calibri" w:cstheme="minorHAnsi"/>
          <w:sz w:val="28"/>
          <w:szCs w:val="28"/>
        </w:rPr>
      </w:pPr>
      <w:r w:rsidRPr="005E1103">
        <w:rPr>
          <w:rFonts w:eastAsia="Calibri" w:cstheme="minorHAnsi"/>
          <w:sz w:val="28"/>
          <w:szCs w:val="28"/>
        </w:rPr>
        <w:t xml:space="preserve">Indicadores de Evaluación: </w:t>
      </w:r>
    </w:p>
    <w:p w:rsidR="00954B58" w:rsidRPr="005E1103" w:rsidRDefault="00954B58" w:rsidP="00954B58">
      <w:pPr>
        <w:spacing w:after="0" w:line="360" w:lineRule="auto"/>
        <w:jc w:val="both"/>
        <w:rPr>
          <w:rFonts w:eastAsia="Calibri" w:cstheme="minorHAnsi"/>
          <w:sz w:val="28"/>
          <w:szCs w:val="28"/>
        </w:rPr>
      </w:pPr>
      <w:r w:rsidRPr="005E1103">
        <w:rPr>
          <w:rFonts w:eastAsia="Calibri" w:cstheme="minorHAnsi"/>
          <w:sz w:val="28"/>
          <w:szCs w:val="28"/>
        </w:rPr>
        <w:t xml:space="preserve">- Los recursos se utilizan adecuadamente. </w:t>
      </w:r>
    </w:p>
    <w:p w:rsidR="00954B58" w:rsidRPr="005E1103" w:rsidRDefault="00954B58" w:rsidP="00954B58">
      <w:pPr>
        <w:spacing w:after="0" w:line="360" w:lineRule="auto"/>
        <w:jc w:val="both"/>
        <w:rPr>
          <w:rFonts w:eastAsia="Calibri" w:cstheme="minorHAnsi"/>
          <w:sz w:val="28"/>
          <w:szCs w:val="28"/>
        </w:rPr>
      </w:pPr>
      <w:r w:rsidRPr="005E1103">
        <w:rPr>
          <w:rFonts w:eastAsia="Calibri" w:cstheme="minorHAnsi"/>
          <w:sz w:val="28"/>
          <w:szCs w:val="28"/>
        </w:rPr>
        <w:t xml:space="preserve">- Las actividades elegidas se adecuan a los/las participantes y a los objetivos. </w:t>
      </w:r>
    </w:p>
    <w:p w:rsidR="00954B58" w:rsidRPr="005E1103" w:rsidRDefault="00954B58" w:rsidP="00954B58">
      <w:pPr>
        <w:spacing w:after="0" w:line="360" w:lineRule="auto"/>
        <w:jc w:val="both"/>
        <w:rPr>
          <w:rFonts w:eastAsia="Calibri" w:cstheme="minorHAnsi"/>
          <w:sz w:val="28"/>
          <w:szCs w:val="28"/>
        </w:rPr>
      </w:pPr>
      <w:r w:rsidRPr="005E1103">
        <w:rPr>
          <w:rFonts w:eastAsia="Calibri" w:cstheme="minorHAnsi"/>
          <w:sz w:val="28"/>
          <w:szCs w:val="28"/>
        </w:rPr>
        <w:t>- Se desarrolla el proyecto de acuerdo a la calendarización prevista.</w:t>
      </w:r>
    </w:p>
    <w:p w:rsidR="00954B58" w:rsidRPr="005E1103" w:rsidRDefault="00954B58" w:rsidP="00954B58">
      <w:pPr>
        <w:spacing w:after="0" w:line="360" w:lineRule="auto"/>
        <w:jc w:val="both"/>
        <w:rPr>
          <w:rFonts w:eastAsia="Calibri" w:cstheme="minorHAnsi"/>
          <w:sz w:val="28"/>
          <w:szCs w:val="28"/>
        </w:rPr>
      </w:pPr>
      <w:r w:rsidRPr="005E1103">
        <w:rPr>
          <w:rFonts w:eastAsia="Calibri" w:cstheme="minorHAnsi"/>
          <w:sz w:val="28"/>
          <w:szCs w:val="28"/>
        </w:rPr>
        <w:t>- Los participantes participan activamente en las actividades y talleres propuestos.</w:t>
      </w:r>
    </w:p>
    <w:p w:rsidR="00954B58" w:rsidRPr="005E1103" w:rsidRDefault="00954B58" w:rsidP="00954B58">
      <w:pPr>
        <w:spacing w:after="0" w:line="360" w:lineRule="auto"/>
        <w:jc w:val="both"/>
        <w:rPr>
          <w:rFonts w:eastAsia="Calibri" w:cstheme="minorHAnsi"/>
          <w:sz w:val="28"/>
          <w:szCs w:val="28"/>
        </w:rPr>
      </w:pPr>
      <w:r w:rsidRPr="005E1103">
        <w:rPr>
          <w:rFonts w:eastAsia="Calibri" w:cstheme="minorHAnsi"/>
          <w:sz w:val="28"/>
          <w:szCs w:val="28"/>
        </w:rPr>
        <w:t xml:space="preserve">d) Evaluación del Producto o final: Al terminar se lleva a cabo una evaluación para saber los logros y grado de cumplimiento de los objetivos. Igualmente se realizará una evaluación del coste eficacia del proyecto. Esta evaluación final la realizan los/las participantes en el programa y las personas e instituciones implicadas por otro, obteniendo una valoración global. </w:t>
      </w:r>
    </w:p>
    <w:p w:rsidR="00954B58" w:rsidRPr="005E1103" w:rsidRDefault="00954B58" w:rsidP="00954B58">
      <w:pPr>
        <w:spacing w:after="0" w:line="360" w:lineRule="auto"/>
        <w:jc w:val="both"/>
        <w:rPr>
          <w:rFonts w:eastAsia="Calibri" w:cstheme="minorHAnsi"/>
          <w:sz w:val="28"/>
          <w:szCs w:val="28"/>
        </w:rPr>
      </w:pPr>
      <w:r w:rsidRPr="005E1103">
        <w:rPr>
          <w:rFonts w:eastAsia="Calibri" w:cstheme="minorHAnsi"/>
          <w:sz w:val="28"/>
          <w:szCs w:val="28"/>
        </w:rPr>
        <w:t xml:space="preserve">Indicadores de evaluación: </w:t>
      </w:r>
    </w:p>
    <w:p w:rsidR="00954B58" w:rsidRPr="005E1103" w:rsidRDefault="00954B58" w:rsidP="00954B58">
      <w:pPr>
        <w:spacing w:after="0" w:line="360" w:lineRule="auto"/>
        <w:jc w:val="both"/>
        <w:rPr>
          <w:rFonts w:eastAsia="Calibri" w:cstheme="minorHAnsi"/>
          <w:sz w:val="28"/>
          <w:szCs w:val="28"/>
        </w:rPr>
      </w:pPr>
      <w:r w:rsidRPr="005E1103">
        <w:rPr>
          <w:rFonts w:eastAsia="Calibri" w:cstheme="minorHAnsi"/>
          <w:sz w:val="28"/>
          <w:szCs w:val="28"/>
        </w:rPr>
        <w:t xml:space="preserve">- Eficacia: Hasta qué punto se han cumplido los objetivos. </w:t>
      </w:r>
    </w:p>
    <w:p w:rsidR="00954B58" w:rsidRPr="005E1103" w:rsidRDefault="00954B58" w:rsidP="00954B58">
      <w:pPr>
        <w:spacing w:after="0" w:line="360" w:lineRule="auto"/>
        <w:jc w:val="both"/>
        <w:rPr>
          <w:rFonts w:eastAsia="Calibri" w:cstheme="minorHAnsi"/>
          <w:sz w:val="28"/>
          <w:szCs w:val="28"/>
        </w:rPr>
      </w:pPr>
      <w:r w:rsidRPr="005E1103">
        <w:rPr>
          <w:rFonts w:eastAsia="Calibri" w:cstheme="minorHAnsi"/>
          <w:sz w:val="28"/>
          <w:szCs w:val="28"/>
        </w:rPr>
        <w:t xml:space="preserve">- Eficiencia: Coste de los objetivos en relación a los recursos: dinero, tiempo,... </w:t>
      </w:r>
    </w:p>
    <w:p w:rsidR="00954B58" w:rsidRPr="005E1103" w:rsidRDefault="00954B58" w:rsidP="00954B58">
      <w:pPr>
        <w:spacing w:after="0" w:line="360" w:lineRule="auto"/>
        <w:jc w:val="both"/>
        <w:rPr>
          <w:rFonts w:eastAsia="Calibri" w:cstheme="minorHAnsi"/>
          <w:sz w:val="28"/>
          <w:szCs w:val="28"/>
        </w:rPr>
      </w:pPr>
      <w:r w:rsidRPr="005E1103">
        <w:rPr>
          <w:rFonts w:eastAsia="Calibri" w:cstheme="minorHAnsi"/>
          <w:sz w:val="28"/>
          <w:szCs w:val="28"/>
        </w:rPr>
        <w:t>-Qué satisfacción y efectos ha producido el proyecto en usuarios y la comunidad.</w:t>
      </w:r>
    </w:p>
    <w:p w:rsidR="00954B58" w:rsidRPr="005E1103" w:rsidRDefault="00954B58" w:rsidP="00954B58">
      <w:pPr>
        <w:spacing w:after="0" w:line="360" w:lineRule="auto"/>
        <w:jc w:val="both"/>
        <w:rPr>
          <w:rFonts w:eastAsia="Calibri" w:cstheme="minorHAnsi"/>
          <w:sz w:val="28"/>
          <w:szCs w:val="28"/>
        </w:rPr>
      </w:pPr>
      <w:r w:rsidRPr="005E1103">
        <w:rPr>
          <w:rFonts w:eastAsia="Calibri" w:cstheme="minorHAnsi"/>
          <w:sz w:val="28"/>
          <w:szCs w:val="28"/>
        </w:rPr>
        <w:lastRenderedPageBreak/>
        <w:t>Las técnicas e instrumentos a utilizar en la evaluación son: las entrevistas, cuestionarios de satisfacción, escalas de observación, y reuniones de evaluación del equipo entre otros</w:t>
      </w:r>
    </w:p>
    <w:p w:rsidR="00954B58" w:rsidRPr="005E1103" w:rsidRDefault="00954B58" w:rsidP="00954B58">
      <w:pPr>
        <w:rPr>
          <w:rFonts w:eastAsia="Calibri" w:cstheme="minorHAnsi"/>
          <w:sz w:val="28"/>
          <w:szCs w:val="28"/>
        </w:rPr>
      </w:pPr>
    </w:p>
    <w:p w:rsidR="00954B58" w:rsidRPr="005E1103" w:rsidRDefault="00954B58" w:rsidP="00954B58">
      <w:pPr>
        <w:rPr>
          <w:rFonts w:eastAsia="Calibri" w:cstheme="minorHAnsi"/>
          <w:sz w:val="28"/>
          <w:szCs w:val="28"/>
        </w:rPr>
      </w:pPr>
    </w:p>
    <w:p w:rsidR="00954B58" w:rsidRPr="005E1103" w:rsidRDefault="00954B58" w:rsidP="00954B58">
      <w:pPr>
        <w:rPr>
          <w:rFonts w:eastAsia="Calibri" w:cstheme="minorHAnsi"/>
          <w:sz w:val="28"/>
          <w:szCs w:val="28"/>
        </w:rPr>
      </w:pPr>
    </w:p>
    <w:p w:rsidR="00954B58" w:rsidRPr="005E1103" w:rsidRDefault="00954B58" w:rsidP="00954B58">
      <w:pPr>
        <w:jc w:val="both"/>
        <w:rPr>
          <w:rFonts w:eastAsia="Calibri" w:cstheme="minorHAnsi"/>
          <w:b/>
          <w:sz w:val="28"/>
          <w:szCs w:val="28"/>
        </w:rPr>
      </w:pPr>
      <w:r w:rsidRPr="005E1103">
        <w:rPr>
          <w:rFonts w:eastAsia="Calibri" w:cstheme="minorHAnsi"/>
          <w:b/>
          <w:sz w:val="28"/>
          <w:szCs w:val="28"/>
        </w:rPr>
        <w:t>Conclusiones</w:t>
      </w:r>
    </w:p>
    <w:p w:rsidR="00954B58" w:rsidRPr="005E1103" w:rsidRDefault="00954B58" w:rsidP="00954B58">
      <w:pPr>
        <w:spacing w:after="0" w:line="360" w:lineRule="auto"/>
        <w:jc w:val="both"/>
        <w:rPr>
          <w:rFonts w:eastAsia="Calibri" w:cstheme="minorHAnsi"/>
          <w:sz w:val="28"/>
          <w:szCs w:val="28"/>
        </w:rPr>
      </w:pPr>
      <w:r w:rsidRPr="005E1103">
        <w:rPr>
          <w:rFonts w:eastAsia="Calibri" w:cstheme="minorHAnsi"/>
          <w:sz w:val="28"/>
          <w:szCs w:val="28"/>
        </w:rPr>
        <w:t xml:space="preserve">La implantación de este programa permitirá ampliar las posibilidades laborales y  de autorrealización para estudiantes universitarios con discapacidad que una vez terminada su formación deban incorporarse al mercado laboral. </w:t>
      </w:r>
    </w:p>
    <w:p w:rsidR="00954B58" w:rsidRPr="005E1103" w:rsidRDefault="00954B58" w:rsidP="00954B58">
      <w:pPr>
        <w:spacing w:after="0" w:line="360" w:lineRule="auto"/>
        <w:jc w:val="both"/>
        <w:rPr>
          <w:rFonts w:eastAsia="Calibri" w:cstheme="minorHAnsi"/>
          <w:sz w:val="28"/>
          <w:szCs w:val="28"/>
        </w:rPr>
      </w:pPr>
      <w:r w:rsidRPr="005E1103">
        <w:rPr>
          <w:rFonts w:eastAsia="Calibri" w:cstheme="minorHAnsi"/>
          <w:sz w:val="28"/>
          <w:szCs w:val="28"/>
        </w:rPr>
        <w:t>La posibilidad de ofrecer una asesoría especializada para estudiantes con discapacidad eliminará las barreras y dificultades que puedan surgir tanto técnicas como de accesibilidad y que puedan tener a la hora de emprender permitiendo a los estudiantes con discapacidad acceder a este servicio en igualdad de oportunidades.</w:t>
      </w:r>
    </w:p>
    <w:p w:rsidR="00954B58" w:rsidRPr="005E1103" w:rsidRDefault="00954B58" w:rsidP="00954B58">
      <w:pPr>
        <w:spacing w:after="0" w:line="360" w:lineRule="auto"/>
        <w:jc w:val="both"/>
        <w:rPr>
          <w:rFonts w:eastAsia="Calibri" w:cstheme="minorHAnsi"/>
          <w:sz w:val="28"/>
          <w:szCs w:val="28"/>
        </w:rPr>
      </w:pPr>
      <w:r w:rsidRPr="005E1103">
        <w:rPr>
          <w:rFonts w:eastAsia="Calibri" w:cstheme="minorHAnsi"/>
          <w:sz w:val="28"/>
          <w:szCs w:val="28"/>
        </w:rPr>
        <w:t>El fomento de una nueva cultura emprendedora para personas con discapacidad contribuirá a la eliminación de mitos y tabúes que frenan el potencial creativo y empresarial de este colectivo.</w:t>
      </w:r>
    </w:p>
    <w:p w:rsidR="00954B58" w:rsidRPr="005E1103" w:rsidRDefault="00954B58" w:rsidP="00954B58">
      <w:pPr>
        <w:spacing w:after="0" w:line="360" w:lineRule="auto"/>
        <w:jc w:val="both"/>
        <w:rPr>
          <w:rFonts w:eastAsia="Calibri" w:cstheme="minorHAnsi"/>
          <w:sz w:val="28"/>
          <w:szCs w:val="28"/>
        </w:rPr>
      </w:pPr>
      <w:r w:rsidRPr="005E1103">
        <w:rPr>
          <w:rFonts w:eastAsia="Calibri" w:cstheme="minorHAnsi"/>
          <w:sz w:val="28"/>
          <w:szCs w:val="28"/>
        </w:rPr>
        <w:t xml:space="preserve">El emprendimiento en las universidades para personas con discapacidad puede contribuir a la mejora y la mayor incorporación al mercado laboral de manera efectiva de las personas con discapacidad. </w:t>
      </w:r>
    </w:p>
    <w:p w:rsidR="00954B58" w:rsidRPr="005E1103" w:rsidRDefault="00954B58" w:rsidP="00954B58">
      <w:pPr>
        <w:spacing w:after="0" w:line="360" w:lineRule="auto"/>
        <w:jc w:val="both"/>
        <w:rPr>
          <w:rFonts w:eastAsia="Calibri" w:cstheme="minorHAnsi"/>
          <w:sz w:val="28"/>
          <w:szCs w:val="28"/>
        </w:rPr>
      </w:pPr>
    </w:p>
    <w:p w:rsidR="00954B58" w:rsidRPr="005E1103" w:rsidRDefault="00954B58" w:rsidP="00954B58">
      <w:pPr>
        <w:jc w:val="both"/>
        <w:rPr>
          <w:rFonts w:eastAsia="Calibri" w:cstheme="minorHAnsi"/>
          <w:sz w:val="28"/>
          <w:szCs w:val="28"/>
        </w:rPr>
      </w:pPr>
      <w:r w:rsidRPr="005E1103">
        <w:rPr>
          <w:rFonts w:eastAsia="Calibri" w:cstheme="minorHAnsi"/>
          <w:sz w:val="28"/>
          <w:szCs w:val="28"/>
        </w:rPr>
        <w:t>Bibliografía</w:t>
      </w:r>
    </w:p>
    <w:p w:rsidR="00954B58" w:rsidRPr="005E1103" w:rsidRDefault="00954B58" w:rsidP="00954B58">
      <w:pPr>
        <w:jc w:val="both"/>
        <w:rPr>
          <w:rFonts w:eastAsia="Calibri" w:cstheme="minorHAnsi"/>
          <w:sz w:val="28"/>
          <w:szCs w:val="28"/>
        </w:rPr>
      </w:pPr>
      <w:r w:rsidRPr="005E1103">
        <w:rPr>
          <w:rFonts w:eastAsia="Calibri" w:cstheme="minorHAnsi"/>
          <w:sz w:val="28"/>
          <w:szCs w:val="28"/>
        </w:rPr>
        <w:t xml:space="preserve">Jiménez Lara,A., y Huete García,A. (2015) </w:t>
      </w:r>
      <w:r w:rsidRPr="005E1103">
        <w:rPr>
          <w:rFonts w:eastAsia="Calibri" w:cstheme="minorHAnsi"/>
          <w:i/>
          <w:iCs/>
          <w:sz w:val="28"/>
          <w:szCs w:val="28"/>
        </w:rPr>
        <w:t xml:space="preserve">Informe Olivenza 2015, sobre la discapacidad en España. </w:t>
      </w:r>
      <w:r w:rsidRPr="005E1103">
        <w:rPr>
          <w:rFonts w:eastAsia="Calibri" w:cstheme="minorHAnsi"/>
          <w:sz w:val="28"/>
          <w:szCs w:val="28"/>
        </w:rPr>
        <w:t>Observatorio Estatal sobre la discapacidad. Madrid.</w:t>
      </w:r>
    </w:p>
    <w:p w:rsidR="00954B58" w:rsidRPr="005E1103" w:rsidRDefault="00954B58" w:rsidP="00954B58">
      <w:pPr>
        <w:autoSpaceDE w:val="0"/>
        <w:autoSpaceDN w:val="0"/>
        <w:adjustRightInd w:val="0"/>
        <w:spacing w:after="0" w:line="240" w:lineRule="auto"/>
        <w:jc w:val="both"/>
        <w:rPr>
          <w:rFonts w:eastAsia="Calibri" w:cstheme="minorHAnsi"/>
          <w:color w:val="000000"/>
          <w:sz w:val="28"/>
          <w:szCs w:val="28"/>
        </w:rPr>
      </w:pPr>
      <w:r w:rsidRPr="005E1103">
        <w:rPr>
          <w:rFonts w:eastAsia="Calibri" w:cstheme="minorHAnsi"/>
          <w:color w:val="000000"/>
          <w:sz w:val="28"/>
          <w:szCs w:val="28"/>
        </w:rPr>
        <w:t xml:space="preserve">Kahneman, D. (2012). </w:t>
      </w:r>
      <w:r w:rsidRPr="005E1103">
        <w:rPr>
          <w:rFonts w:eastAsia="Calibri" w:cstheme="minorHAnsi"/>
          <w:i/>
          <w:iCs/>
          <w:color w:val="000000"/>
          <w:sz w:val="28"/>
          <w:szCs w:val="28"/>
        </w:rPr>
        <w:t xml:space="preserve">Pensar rápido, pensar despacio. </w:t>
      </w:r>
      <w:r w:rsidRPr="005E1103">
        <w:rPr>
          <w:rFonts w:eastAsia="Calibri" w:cstheme="minorHAnsi"/>
          <w:color w:val="000000"/>
          <w:sz w:val="28"/>
          <w:szCs w:val="28"/>
        </w:rPr>
        <w:t xml:space="preserve">Barcelona: Debate. </w:t>
      </w:r>
    </w:p>
    <w:p w:rsidR="00954B58" w:rsidRPr="005E1103" w:rsidRDefault="00954B58" w:rsidP="00954B58">
      <w:pPr>
        <w:autoSpaceDE w:val="0"/>
        <w:autoSpaceDN w:val="0"/>
        <w:adjustRightInd w:val="0"/>
        <w:spacing w:after="0" w:line="240" w:lineRule="auto"/>
        <w:jc w:val="both"/>
        <w:rPr>
          <w:rFonts w:eastAsia="Calibri" w:cstheme="minorHAnsi"/>
          <w:color w:val="000000"/>
          <w:sz w:val="28"/>
          <w:szCs w:val="28"/>
        </w:rPr>
      </w:pPr>
    </w:p>
    <w:p w:rsidR="00954B58" w:rsidRPr="005E1103" w:rsidRDefault="00954B58" w:rsidP="00954B58">
      <w:pPr>
        <w:jc w:val="both"/>
        <w:rPr>
          <w:rFonts w:eastAsia="Calibri" w:cstheme="minorHAnsi"/>
          <w:sz w:val="28"/>
          <w:szCs w:val="28"/>
        </w:rPr>
      </w:pPr>
      <w:r w:rsidRPr="005E1103">
        <w:rPr>
          <w:rFonts w:eastAsia="Calibri" w:cstheme="minorHAnsi"/>
          <w:sz w:val="28"/>
          <w:szCs w:val="28"/>
        </w:rPr>
        <w:t xml:space="preserve">Ledesma, J.A. (2008). </w:t>
      </w:r>
      <w:r w:rsidRPr="005E1103">
        <w:rPr>
          <w:rFonts w:eastAsia="Calibri" w:cstheme="minorHAnsi"/>
          <w:i/>
          <w:iCs/>
          <w:sz w:val="28"/>
          <w:szCs w:val="28"/>
        </w:rPr>
        <w:t xml:space="preserve">La imagen social de las personas con discapacidad. </w:t>
      </w:r>
      <w:r w:rsidRPr="005E1103">
        <w:rPr>
          <w:rFonts w:eastAsia="Calibri" w:cstheme="minorHAnsi"/>
          <w:sz w:val="28"/>
          <w:szCs w:val="28"/>
        </w:rPr>
        <w:t>Madrid: Cinca.</w:t>
      </w:r>
    </w:p>
    <w:p w:rsidR="00954B58" w:rsidRPr="005E1103" w:rsidRDefault="00954B58" w:rsidP="00954B58">
      <w:pPr>
        <w:jc w:val="both"/>
        <w:rPr>
          <w:rFonts w:eastAsia="Calibri" w:cstheme="minorHAnsi"/>
          <w:sz w:val="28"/>
          <w:szCs w:val="28"/>
        </w:rPr>
      </w:pPr>
      <w:r w:rsidRPr="005E1103">
        <w:rPr>
          <w:rFonts w:eastAsia="Calibri" w:cstheme="minorHAnsi"/>
          <w:sz w:val="28"/>
          <w:szCs w:val="28"/>
        </w:rPr>
        <w:t>Moreno Jiménez, B., Hernández, F. y López, E. (2011). Estudio exploratorio de la presencia social de la Discapacidad en los medios nacionales de comunicación. Madrid: Real Patronato de La Discapacidad</w:t>
      </w:r>
    </w:p>
    <w:p w:rsidR="00954B58" w:rsidRPr="005E1103" w:rsidRDefault="00954B58" w:rsidP="00954B58">
      <w:pPr>
        <w:jc w:val="both"/>
        <w:rPr>
          <w:rFonts w:eastAsia="Calibri" w:cstheme="minorHAnsi"/>
          <w:sz w:val="28"/>
          <w:szCs w:val="28"/>
        </w:rPr>
      </w:pPr>
      <w:r w:rsidRPr="005E1103">
        <w:rPr>
          <w:rFonts w:eastAsia="Calibri" w:cstheme="minorHAnsi"/>
          <w:sz w:val="28"/>
          <w:szCs w:val="28"/>
        </w:rPr>
        <w:t>Verdugo, M.A. (2003). La concepción de la discapacidad en los modelos sociales. En Verdugo, M.A.; Jordán de Urríes, F. B. (Coords.). Investigación, innovación y cambio: V Jornadas Cientificas de Investigacion sobre personas con discapacidad. (pp. 235-247) Salamanca: Amarú.</w:t>
      </w:r>
    </w:p>
    <w:p w:rsidR="00954B58" w:rsidRPr="005E1103" w:rsidRDefault="00954B58" w:rsidP="00954B58">
      <w:pPr>
        <w:spacing w:line="360" w:lineRule="auto"/>
        <w:rPr>
          <w:rFonts w:eastAsia="Calibri" w:cstheme="minorHAnsi"/>
          <w:color w:val="0000FF"/>
          <w:sz w:val="28"/>
          <w:szCs w:val="28"/>
          <w:u w:val="single"/>
        </w:rPr>
      </w:pPr>
      <w:r w:rsidRPr="005E1103">
        <w:rPr>
          <w:rFonts w:eastAsia="Calibri" w:cstheme="minorHAnsi"/>
          <w:sz w:val="28"/>
          <w:szCs w:val="28"/>
        </w:rPr>
        <w:t xml:space="preserve">Fundación Konecta- Universidad Rey Juan Carlos, Cátedra de emprendimiento. Estudio sobre emprendimiento en personas con discapacidad. 2016 </w:t>
      </w:r>
      <w:hyperlink r:id="rId119" w:history="1">
        <w:r w:rsidRPr="005E1103">
          <w:rPr>
            <w:rFonts w:eastAsia="Calibri" w:cstheme="minorHAnsi"/>
            <w:color w:val="0000FF"/>
            <w:sz w:val="28"/>
            <w:szCs w:val="28"/>
            <w:u w:val="single"/>
          </w:rPr>
          <w:t>http://www.relacioncliente.es/fundacion-konecta-participa-en-un-estudio-sobre-emprendimiento-en-personas-con-discapacidad-21264</w:t>
        </w:r>
      </w:hyperlink>
    </w:p>
    <w:p w:rsidR="00954B58" w:rsidRPr="005E1103" w:rsidRDefault="00954B58">
      <w:pPr>
        <w:rPr>
          <w:rFonts w:eastAsia="Calibri" w:cstheme="minorHAnsi"/>
          <w:color w:val="0000FF"/>
          <w:sz w:val="28"/>
          <w:szCs w:val="28"/>
          <w:u w:val="single"/>
        </w:rPr>
      </w:pPr>
      <w:r w:rsidRPr="005E1103">
        <w:rPr>
          <w:rFonts w:eastAsia="Calibri" w:cstheme="minorHAnsi"/>
          <w:color w:val="0000FF"/>
          <w:sz w:val="28"/>
          <w:szCs w:val="28"/>
          <w:u w:val="single"/>
        </w:rPr>
        <w:br w:type="page"/>
      </w:r>
    </w:p>
    <w:p w:rsidR="00954B58" w:rsidRPr="005E1103" w:rsidRDefault="00954B58" w:rsidP="00954B58">
      <w:pPr>
        <w:jc w:val="both"/>
        <w:rPr>
          <w:rFonts w:eastAsia="Calibri" w:cstheme="minorHAnsi"/>
          <w:sz w:val="28"/>
          <w:szCs w:val="28"/>
        </w:rPr>
      </w:pPr>
    </w:p>
    <w:p w:rsidR="00954B58" w:rsidRPr="005E1103" w:rsidRDefault="00954B58" w:rsidP="00954B58">
      <w:pPr>
        <w:pBdr>
          <w:top w:val="single" w:sz="4" w:space="1" w:color="auto"/>
          <w:left w:val="single" w:sz="4" w:space="4" w:color="auto"/>
          <w:bottom w:val="single" w:sz="4" w:space="1" w:color="auto"/>
          <w:right w:val="single" w:sz="4" w:space="4" w:color="auto"/>
        </w:pBdr>
        <w:jc w:val="both"/>
        <w:rPr>
          <w:rFonts w:cstheme="minorHAnsi"/>
          <w:b/>
          <w:sz w:val="28"/>
          <w:szCs w:val="28"/>
        </w:rPr>
      </w:pPr>
    </w:p>
    <w:p w:rsidR="00954B58" w:rsidRPr="005E1103" w:rsidRDefault="00954B58" w:rsidP="00954B58">
      <w:pPr>
        <w:pBdr>
          <w:top w:val="single" w:sz="4" w:space="1" w:color="auto"/>
          <w:left w:val="single" w:sz="4" w:space="4" w:color="auto"/>
          <w:bottom w:val="single" w:sz="4" w:space="1" w:color="auto"/>
          <w:right w:val="single" w:sz="4" w:space="4" w:color="auto"/>
        </w:pBdr>
        <w:jc w:val="center"/>
        <w:rPr>
          <w:rFonts w:cstheme="minorHAnsi"/>
          <w:b/>
          <w:sz w:val="28"/>
          <w:szCs w:val="28"/>
        </w:rPr>
      </w:pPr>
      <w:r w:rsidRPr="005E1103">
        <w:rPr>
          <w:rFonts w:cstheme="minorHAnsi"/>
          <w:b/>
          <w:sz w:val="28"/>
          <w:szCs w:val="28"/>
        </w:rPr>
        <w:t>COMUNICACIÓN 5</w:t>
      </w:r>
    </w:p>
    <w:p w:rsidR="00954B58" w:rsidRPr="005E1103" w:rsidRDefault="00954B58" w:rsidP="00954B58">
      <w:pPr>
        <w:pBdr>
          <w:top w:val="single" w:sz="4" w:space="1" w:color="auto"/>
          <w:left w:val="single" w:sz="4" w:space="4" w:color="auto"/>
          <w:bottom w:val="single" w:sz="4" w:space="1" w:color="auto"/>
          <w:right w:val="single" w:sz="4" w:space="4" w:color="auto"/>
        </w:pBdr>
        <w:jc w:val="center"/>
        <w:rPr>
          <w:rFonts w:cstheme="minorHAnsi"/>
          <w:b/>
          <w:sz w:val="28"/>
          <w:szCs w:val="28"/>
        </w:rPr>
      </w:pPr>
      <w:r w:rsidRPr="005E1103">
        <w:rPr>
          <w:rFonts w:cstheme="minorHAnsi"/>
          <w:b/>
          <w:sz w:val="28"/>
          <w:szCs w:val="28"/>
        </w:rPr>
        <w:t>CALIDAD DE VIDA EN PERSONAS CON DISCAPACIDAD INTELECTUAL EN ENTORNOS DE FORMACIÓN Y EMPLEO PROTEGIDO</w:t>
      </w:r>
    </w:p>
    <w:p w:rsidR="00954B58" w:rsidRPr="005E1103" w:rsidRDefault="00954B58" w:rsidP="00954B58">
      <w:pPr>
        <w:jc w:val="center"/>
        <w:rPr>
          <w:rFonts w:cstheme="minorHAnsi"/>
          <w:b/>
          <w:sz w:val="28"/>
          <w:szCs w:val="28"/>
        </w:rPr>
      </w:pPr>
    </w:p>
    <w:p w:rsidR="00954B58" w:rsidRPr="005E1103" w:rsidRDefault="00954B58" w:rsidP="00954B58">
      <w:pPr>
        <w:jc w:val="right"/>
        <w:rPr>
          <w:rFonts w:cstheme="minorHAnsi"/>
          <w:sz w:val="28"/>
          <w:szCs w:val="28"/>
        </w:rPr>
      </w:pPr>
      <w:r w:rsidRPr="005E1103">
        <w:rPr>
          <w:rFonts w:cstheme="minorHAnsi"/>
          <w:sz w:val="28"/>
          <w:szCs w:val="28"/>
        </w:rPr>
        <w:t>Juana iglesias gonzález</w:t>
      </w:r>
    </w:p>
    <w:p w:rsidR="00954B58" w:rsidRPr="005E1103" w:rsidRDefault="00954B58" w:rsidP="00954B58">
      <w:pPr>
        <w:jc w:val="right"/>
        <w:rPr>
          <w:rFonts w:cstheme="minorHAnsi"/>
          <w:sz w:val="28"/>
          <w:szCs w:val="28"/>
        </w:rPr>
      </w:pPr>
      <w:r w:rsidRPr="005E1103">
        <w:rPr>
          <w:rFonts w:cstheme="minorHAnsi"/>
          <w:sz w:val="28"/>
          <w:szCs w:val="28"/>
        </w:rPr>
        <w:t>Psicopedagoga</w:t>
      </w:r>
    </w:p>
    <w:p w:rsidR="00954B58" w:rsidRPr="005E1103" w:rsidRDefault="00954B58" w:rsidP="00954B58">
      <w:pPr>
        <w:jc w:val="right"/>
        <w:rPr>
          <w:rFonts w:cstheme="minorHAnsi"/>
          <w:sz w:val="28"/>
          <w:szCs w:val="28"/>
        </w:rPr>
      </w:pPr>
      <w:r w:rsidRPr="005E1103">
        <w:rPr>
          <w:rFonts w:cstheme="minorHAnsi"/>
          <w:sz w:val="28"/>
          <w:szCs w:val="28"/>
        </w:rPr>
        <w:t>Plena inclusión montijo</w:t>
      </w:r>
    </w:p>
    <w:p w:rsidR="00954B58" w:rsidRPr="005E1103" w:rsidRDefault="00954B58" w:rsidP="00954B58">
      <w:pPr>
        <w:spacing w:before="120" w:after="0" w:line="360" w:lineRule="auto"/>
        <w:jc w:val="both"/>
        <w:rPr>
          <w:rFonts w:eastAsia="Times New Roman" w:cstheme="minorHAnsi"/>
          <w:b/>
          <w:color w:val="000000"/>
          <w:sz w:val="28"/>
          <w:szCs w:val="28"/>
          <w:lang w:eastAsia="es-ES"/>
        </w:rPr>
      </w:pPr>
      <w:r w:rsidRPr="005E1103">
        <w:rPr>
          <w:rFonts w:eastAsia="Times New Roman" w:cstheme="minorHAnsi"/>
          <w:b/>
          <w:color w:val="000000"/>
          <w:sz w:val="28"/>
          <w:szCs w:val="28"/>
          <w:lang w:eastAsia="es-ES"/>
        </w:rPr>
        <w:t>Introducción</w:t>
      </w:r>
    </w:p>
    <w:p w:rsidR="00954B58" w:rsidRPr="005E1103" w:rsidRDefault="00954B58" w:rsidP="00954B58">
      <w:pPr>
        <w:spacing w:before="120" w:after="0" w:line="360" w:lineRule="auto"/>
        <w:jc w:val="both"/>
        <w:rPr>
          <w:rFonts w:eastAsia="Times New Roman" w:cstheme="minorHAnsi"/>
          <w:color w:val="000000"/>
          <w:sz w:val="28"/>
          <w:szCs w:val="28"/>
          <w:lang w:eastAsia="es-ES"/>
        </w:rPr>
      </w:pPr>
      <w:r w:rsidRPr="005E1103">
        <w:rPr>
          <w:rFonts w:eastAsia="Times New Roman" w:cstheme="minorHAnsi"/>
          <w:color w:val="000000"/>
          <w:sz w:val="28"/>
          <w:szCs w:val="28"/>
          <w:lang w:eastAsia="es-ES"/>
        </w:rPr>
        <w:t xml:space="preserve">La calidad de vida ha sido siempre y continúa siendo la aspiración de las personas. De acuerdo con Bobes, González, Bousoño y Suárez (1993) a pesar de que estamos viviendo un momento social de gran productividad, de importantes avances tecnológicos y científicos que permiten elevar las cotas de bienestar, las personas siguen buscando la felicidad. La evolución del concepto ha permitido proporcionar información a todas las personas implicadas en la provisión de servicios y apoyos para personas con discapacidad intelectual. Está siendo utilizado en el campo de  la discapacidad intelectual, esencialmente, como modelo para el desarrollo de programas y servicios y para la evaluación de resultados personales, valorados y deseados por las personas. </w:t>
      </w:r>
    </w:p>
    <w:p w:rsidR="00954B58" w:rsidRPr="005E1103" w:rsidRDefault="00954B58" w:rsidP="00954B58">
      <w:pPr>
        <w:spacing w:after="0" w:line="360" w:lineRule="auto"/>
        <w:jc w:val="both"/>
        <w:rPr>
          <w:rFonts w:eastAsia="Times New Roman" w:cstheme="minorHAnsi"/>
          <w:color w:val="000000"/>
          <w:sz w:val="28"/>
          <w:szCs w:val="28"/>
          <w:lang w:eastAsia="es-ES"/>
        </w:rPr>
      </w:pPr>
      <w:r w:rsidRPr="005E1103">
        <w:rPr>
          <w:rFonts w:eastAsia="Times New Roman" w:cstheme="minorHAnsi"/>
          <w:color w:val="000000"/>
          <w:sz w:val="28"/>
          <w:szCs w:val="28"/>
          <w:lang w:eastAsia="es-ES"/>
        </w:rPr>
        <w:t xml:space="preserve">Como identifica Tamarit (2006) la calidad se ha hecho extensible a las entidades del Tercer Sector, dejando de ser algo característico sólo del mercado económico. Esto supone que hemos de prepararnos para este cambio de paradigma y modificar nuestra cultura organizativa, pues este nuevo enfoque conlleva, por ejemplo, la obligación de trabajar en equipo, el establecimiento de un compromiso con las personas, a compartir </w:t>
      </w:r>
      <w:r w:rsidRPr="005E1103">
        <w:rPr>
          <w:rFonts w:eastAsia="Times New Roman" w:cstheme="minorHAnsi"/>
          <w:color w:val="000000"/>
          <w:sz w:val="28"/>
          <w:szCs w:val="28"/>
          <w:lang w:eastAsia="es-ES"/>
        </w:rPr>
        <w:lastRenderedPageBreak/>
        <w:t>objetivos. Su utilidad se halla en la posibilidad que ofrece para medir objetivamente las necesidades que tienen las personas y sus niveles subjetivos de satisfacción, evaluar la eficacia de los programas y de las estrategias que se llevan a cabo, recoger información relevante que sirva de guía para la proporción de apoyos, así como formular y planificar políticas dirigidas a la mejora de la calidad de vida de las personas con discapacidad (Verdugo, Sainz, Gómez y Gómez, 2009).</w:t>
      </w:r>
    </w:p>
    <w:p w:rsidR="00954B58" w:rsidRPr="005E1103" w:rsidRDefault="00954B58" w:rsidP="00954B58">
      <w:pPr>
        <w:spacing w:after="0" w:line="360" w:lineRule="auto"/>
        <w:jc w:val="both"/>
        <w:rPr>
          <w:rFonts w:eastAsia="Times New Roman" w:cstheme="minorHAnsi"/>
          <w:color w:val="000000"/>
          <w:sz w:val="28"/>
          <w:szCs w:val="28"/>
          <w:lang w:eastAsia="es-ES"/>
        </w:rPr>
      </w:pPr>
      <w:r w:rsidRPr="005E1103">
        <w:rPr>
          <w:rFonts w:eastAsia="Times New Roman" w:cstheme="minorHAnsi"/>
          <w:color w:val="000000"/>
          <w:sz w:val="28"/>
          <w:szCs w:val="28"/>
          <w:lang w:eastAsia="es-ES"/>
        </w:rPr>
        <w:t xml:space="preserve">La revisión de la literatura existente relacionada con la calidad de vida efectuada por Schalock y Verdugo (2002) tenía como finalidad identificar aquellas dimensiones e indicadores más comunes en los distintos modelos conceptuales. Este estudio permitió detectar y definir ocho dimensiones y veinticuatro indicadores relacionados, constituyendo así el modelo más extendido y aplicado en nuestros días, existiendo consenso a nivel internacional: </w:t>
      </w:r>
      <w:r w:rsidRPr="005E1103">
        <w:rPr>
          <w:rFonts w:eastAsia="Times New Roman" w:cstheme="minorHAnsi"/>
          <w:i/>
          <w:color w:val="000000"/>
          <w:sz w:val="28"/>
          <w:szCs w:val="28"/>
          <w:lang w:eastAsia="es-ES"/>
        </w:rPr>
        <w:t>Modelo de Calidad de Vida</w:t>
      </w:r>
      <w:r w:rsidRPr="005E1103">
        <w:rPr>
          <w:rFonts w:eastAsia="Times New Roman" w:cstheme="minorHAnsi"/>
          <w:color w:val="000000"/>
          <w:sz w:val="28"/>
          <w:szCs w:val="28"/>
          <w:lang w:eastAsia="es-ES"/>
        </w:rPr>
        <w:t xml:space="preserve"> de Schalock y Verdugo (2002/2003). Más específicamente, Schalock y Verdugo (2003, p. 34) entienden que las dimensiones anteriormente descritas son “un conjunto de factores que componen el bienestar personal” y sus indicadores hacen referencia a “percepciones, conductas o condiciones específicas de las dimensiones de calidad de vida que reflejan el bienestar de una persona”. A la vez cabe destacar que las dimensiones que plantean Schalock y Verdugo (2002) son altamente coincidentes con los principios de la </w:t>
      </w:r>
      <w:r w:rsidRPr="005E1103">
        <w:rPr>
          <w:rFonts w:eastAsia="Times New Roman" w:cstheme="minorHAnsi"/>
          <w:i/>
          <w:color w:val="000000"/>
          <w:sz w:val="28"/>
          <w:szCs w:val="28"/>
          <w:lang w:eastAsia="es-ES"/>
        </w:rPr>
        <w:t>Convención sobre los Derechos de las Personas con Discapacidad</w:t>
      </w:r>
      <w:r w:rsidRPr="005E1103">
        <w:rPr>
          <w:rFonts w:eastAsia="Times New Roman" w:cstheme="minorHAnsi"/>
          <w:color w:val="000000"/>
          <w:sz w:val="28"/>
          <w:szCs w:val="28"/>
          <w:lang w:eastAsia="es-ES"/>
        </w:rPr>
        <w:t xml:space="preserve"> (2003). En otro estudio posterior, Verdugo, Navas, Gómez y Schalock (2012) exponen que existe una estrecha relación entre las dimensiones e indicadores de calidad de vida y la </w:t>
      </w:r>
      <w:r w:rsidRPr="005E1103">
        <w:rPr>
          <w:rFonts w:eastAsia="Times New Roman" w:cstheme="minorHAnsi"/>
          <w:i/>
          <w:color w:val="000000"/>
          <w:sz w:val="28"/>
          <w:szCs w:val="28"/>
          <w:lang w:eastAsia="es-ES"/>
        </w:rPr>
        <w:t>Convención sobre los Derechos de las Personas con Discapacidad</w:t>
      </w:r>
      <w:r w:rsidRPr="005E1103">
        <w:rPr>
          <w:rFonts w:eastAsia="Times New Roman" w:cstheme="minorHAnsi"/>
          <w:color w:val="000000"/>
          <w:sz w:val="28"/>
          <w:szCs w:val="28"/>
          <w:lang w:eastAsia="es-ES"/>
        </w:rPr>
        <w:t xml:space="preserve">. </w:t>
      </w:r>
    </w:p>
    <w:p w:rsidR="00954B58" w:rsidRPr="005E1103" w:rsidRDefault="00954B58" w:rsidP="00954B58">
      <w:pPr>
        <w:spacing w:after="0" w:line="360" w:lineRule="auto"/>
        <w:jc w:val="both"/>
        <w:rPr>
          <w:rFonts w:eastAsia="Times New Roman" w:cstheme="minorHAnsi"/>
          <w:b/>
          <w:color w:val="000000"/>
          <w:sz w:val="28"/>
          <w:szCs w:val="28"/>
          <w:lang w:eastAsia="es-ES"/>
        </w:rPr>
      </w:pPr>
      <w:r w:rsidRPr="005E1103">
        <w:rPr>
          <w:rFonts w:eastAsia="Times New Roman" w:cstheme="minorHAnsi"/>
          <w:b/>
          <w:color w:val="000000"/>
          <w:sz w:val="28"/>
          <w:szCs w:val="28"/>
          <w:lang w:eastAsia="es-ES"/>
        </w:rPr>
        <w:t>Estudio empírico</w:t>
      </w:r>
    </w:p>
    <w:p w:rsidR="00954B58" w:rsidRPr="005E1103" w:rsidRDefault="00954B58" w:rsidP="00954B58">
      <w:pPr>
        <w:spacing w:after="0" w:line="360" w:lineRule="auto"/>
        <w:jc w:val="both"/>
        <w:rPr>
          <w:rFonts w:eastAsia="Times New Roman" w:cstheme="minorHAnsi"/>
          <w:color w:val="000000"/>
          <w:sz w:val="28"/>
          <w:szCs w:val="28"/>
          <w:lang w:eastAsia="es-ES"/>
        </w:rPr>
      </w:pPr>
      <w:r w:rsidRPr="005E1103">
        <w:rPr>
          <w:rFonts w:eastAsia="Times New Roman" w:cstheme="minorHAnsi"/>
          <w:color w:val="000000"/>
          <w:sz w:val="28"/>
          <w:szCs w:val="28"/>
          <w:lang w:eastAsia="es-ES"/>
        </w:rPr>
        <w:lastRenderedPageBreak/>
        <w:t>El objetivo general de este trabajo es analizar el nivel de calidad de vida en personas con discapacidad intelectual pertenecientes a entornos de formación ocupacional o empleo protegido.</w:t>
      </w:r>
    </w:p>
    <w:p w:rsidR="00954B58" w:rsidRPr="005E1103" w:rsidRDefault="00954B58" w:rsidP="00954B58">
      <w:pPr>
        <w:spacing w:after="0" w:line="360" w:lineRule="auto"/>
        <w:jc w:val="both"/>
        <w:rPr>
          <w:rFonts w:eastAsia="Times New Roman" w:cstheme="minorHAnsi"/>
          <w:color w:val="000000"/>
          <w:sz w:val="28"/>
          <w:szCs w:val="28"/>
          <w:lang w:eastAsia="es-ES"/>
        </w:rPr>
      </w:pPr>
      <w:r w:rsidRPr="005E1103">
        <w:rPr>
          <w:rFonts w:eastAsia="Times New Roman" w:cstheme="minorHAnsi"/>
          <w:color w:val="000000"/>
          <w:sz w:val="28"/>
          <w:szCs w:val="28"/>
          <w:lang w:eastAsia="es-ES"/>
        </w:rPr>
        <w:t>Los objetivos específicos son los siguientes:</w:t>
      </w:r>
    </w:p>
    <w:p w:rsidR="00954B58" w:rsidRPr="005E1103" w:rsidRDefault="00954B58" w:rsidP="00954B58">
      <w:pPr>
        <w:numPr>
          <w:ilvl w:val="0"/>
          <w:numId w:val="70"/>
        </w:numPr>
        <w:spacing w:after="0" w:line="360" w:lineRule="auto"/>
        <w:contextualSpacing/>
        <w:jc w:val="both"/>
        <w:rPr>
          <w:rFonts w:eastAsia="Times New Roman" w:cstheme="minorHAnsi"/>
          <w:color w:val="000000"/>
          <w:sz w:val="28"/>
          <w:szCs w:val="28"/>
          <w:lang w:eastAsia="es-ES"/>
        </w:rPr>
      </w:pPr>
      <w:r w:rsidRPr="005E1103">
        <w:rPr>
          <w:rFonts w:eastAsia="Times New Roman" w:cstheme="minorHAnsi"/>
          <w:color w:val="000000"/>
          <w:sz w:val="28"/>
          <w:szCs w:val="28"/>
          <w:lang w:eastAsia="es-ES"/>
        </w:rPr>
        <w:t>Determinar el estado de salud de las personas con discapacidad intelectual en función del género, atendiendo a la dimensión de Bienestar Físico.</w:t>
      </w:r>
    </w:p>
    <w:p w:rsidR="00954B58" w:rsidRPr="005E1103" w:rsidRDefault="00954B58" w:rsidP="00954B58">
      <w:pPr>
        <w:numPr>
          <w:ilvl w:val="0"/>
          <w:numId w:val="70"/>
        </w:numPr>
        <w:spacing w:after="0" w:line="360" w:lineRule="auto"/>
        <w:contextualSpacing/>
        <w:jc w:val="both"/>
        <w:rPr>
          <w:rFonts w:eastAsia="Times New Roman" w:cstheme="minorHAnsi"/>
          <w:color w:val="000000"/>
          <w:sz w:val="28"/>
          <w:szCs w:val="28"/>
          <w:lang w:eastAsia="es-ES"/>
        </w:rPr>
      </w:pPr>
      <w:r w:rsidRPr="005E1103">
        <w:rPr>
          <w:rFonts w:eastAsia="Times New Roman" w:cstheme="minorHAnsi"/>
          <w:color w:val="000000"/>
          <w:sz w:val="28"/>
          <w:szCs w:val="28"/>
          <w:lang w:eastAsia="es-ES"/>
        </w:rPr>
        <w:t>Establecer si influye el acceso a un empleo en la mejora del nivel de CV (en adelante calidad de vida).</w:t>
      </w:r>
    </w:p>
    <w:p w:rsidR="00954B58" w:rsidRPr="005E1103" w:rsidRDefault="00954B58" w:rsidP="00954B58">
      <w:pPr>
        <w:numPr>
          <w:ilvl w:val="0"/>
          <w:numId w:val="70"/>
        </w:numPr>
        <w:spacing w:after="0" w:line="360" w:lineRule="auto"/>
        <w:contextualSpacing/>
        <w:jc w:val="both"/>
        <w:rPr>
          <w:rFonts w:eastAsia="Times New Roman" w:cstheme="minorHAnsi"/>
          <w:color w:val="000000"/>
          <w:sz w:val="28"/>
          <w:szCs w:val="28"/>
          <w:lang w:eastAsia="es-ES"/>
        </w:rPr>
      </w:pPr>
      <w:r w:rsidRPr="005E1103">
        <w:rPr>
          <w:rFonts w:eastAsia="Times New Roman" w:cstheme="minorHAnsi"/>
          <w:color w:val="000000"/>
          <w:sz w:val="28"/>
          <w:szCs w:val="28"/>
          <w:lang w:eastAsia="es-ES"/>
        </w:rPr>
        <w:t>Conocer cómo afecta la situación de vivir en una vivienda tutelada al nivel de CV.</w:t>
      </w:r>
    </w:p>
    <w:p w:rsidR="00954B58" w:rsidRPr="005E1103" w:rsidRDefault="00954B58" w:rsidP="00954B58">
      <w:pPr>
        <w:numPr>
          <w:ilvl w:val="0"/>
          <w:numId w:val="70"/>
        </w:numPr>
        <w:spacing w:after="0" w:line="360" w:lineRule="auto"/>
        <w:contextualSpacing/>
        <w:jc w:val="both"/>
        <w:rPr>
          <w:rFonts w:eastAsia="Times New Roman" w:cstheme="minorHAnsi"/>
          <w:color w:val="000000"/>
          <w:sz w:val="28"/>
          <w:szCs w:val="28"/>
          <w:lang w:eastAsia="es-ES"/>
        </w:rPr>
      </w:pPr>
      <w:r w:rsidRPr="005E1103">
        <w:rPr>
          <w:rFonts w:eastAsia="Times New Roman" w:cstheme="minorHAnsi"/>
          <w:color w:val="000000"/>
          <w:sz w:val="28"/>
          <w:szCs w:val="28"/>
          <w:lang w:eastAsia="es-ES"/>
        </w:rPr>
        <w:t>Comprobar cómo la autodeterminación se ve favorecida por vivir en una vivienda tutelada.</w:t>
      </w:r>
    </w:p>
    <w:p w:rsidR="00954B58" w:rsidRPr="005E1103" w:rsidRDefault="00954B58" w:rsidP="00954B58">
      <w:pPr>
        <w:numPr>
          <w:ilvl w:val="0"/>
          <w:numId w:val="70"/>
        </w:numPr>
        <w:spacing w:after="0" w:line="360" w:lineRule="auto"/>
        <w:contextualSpacing/>
        <w:jc w:val="both"/>
        <w:rPr>
          <w:rFonts w:eastAsia="Times New Roman" w:cstheme="minorHAnsi"/>
          <w:color w:val="000000"/>
          <w:sz w:val="28"/>
          <w:szCs w:val="28"/>
          <w:lang w:eastAsia="es-ES"/>
        </w:rPr>
      </w:pPr>
      <w:r w:rsidRPr="005E1103">
        <w:rPr>
          <w:rFonts w:eastAsia="Times New Roman" w:cstheme="minorHAnsi"/>
          <w:color w:val="000000"/>
          <w:sz w:val="28"/>
          <w:szCs w:val="28"/>
          <w:lang w:eastAsia="es-ES"/>
        </w:rPr>
        <w:t>Verificar si el derecho a la intimidad es vulnerado con mayor frecuencia en la vida de las mujeres.</w:t>
      </w:r>
    </w:p>
    <w:p w:rsidR="00954B58" w:rsidRPr="005E1103" w:rsidRDefault="00954B58" w:rsidP="00954B58">
      <w:pPr>
        <w:numPr>
          <w:ilvl w:val="0"/>
          <w:numId w:val="70"/>
        </w:numPr>
        <w:spacing w:after="0" w:line="360" w:lineRule="auto"/>
        <w:contextualSpacing/>
        <w:jc w:val="both"/>
        <w:rPr>
          <w:rFonts w:eastAsia="Times New Roman" w:cstheme="minorHAnsi"/>
          <w:color w:val="000000"/>
          <w:sz w:val="28"/>
          <w:szCs w:val="28"/>
          <w:lang w:eastAsia="es-ES"/>
        </w:rPr>
      </w:pPr>
      <w:r w:rsidRPr="005E1103">
        <w:rPr>
          <w:rFonts w:eastAsia="Times New Roman" w:cstheme="minorHAnsi"/>
          <w:color w:val="000000"/>
          <w:sz w:val="28"/>
          <w:szCs w:val="28"/>
          <w:lang w:eastAsia="es-ES"/>
        </w:rPr>
        <w:t>Determinar cómo el empleo afecta a la mejora del bienestar material.</w:t>
      </w:r>
    </w:p>
    <w:p w:rsidR="00954B58" w:rsidRPr="005E1103" w:rsidRDefault="00954B58" w:rsidP="00954B58">
      <w:pPr>
        <w:numPr>
          <w:ilvl w:val="0"/>
          <w:numId w:val="70"/>
        </w:numPr>
        <w:spacing w:after="0" w:line="360" w:lineRule="auto"/>
        <w:contextualSpacing/>
        <w:jc w:val="both"/>
        <w:rPr>
          <w:rFonts w:eastAsia="Times New Roman" w:cstheme="minorHAnsi"/>
          <w:color w:val="000000"/>
          <w:sz w:val="28"/>
          <w:szCs w:val="28"/>
          <w:lang w:eastAsia="es-ES"/>
        </w:rPr>
      </w:pPr>
      <w:r w:rsidRPr="005E1103">
        <w:rPr>
          <w:rFonts w:eastAsia="Times New Roman" w:cstheme="minorHAnsi"/>
          <w:color w:val="000000"/>
          <w:sz w:val="28"/>
          <w:szCs w:val="28"/>
          <w:lang w:eastAsia="es-ES"/>
        </w:rPr>
        <w:t>Conocer cómo influye la edad en el nivel de CV.</w:t>
      </w:r>
    </w:p>
    <w:p w:rsidR="00954B58" w:rsidRPr="005E1103" w:rsidRDefault="00954B58" w:rsidP="00954B58">
      <w:pPr>
        <w:numPr>
          <w:ilvl w:val="0"/>
          <w:numId w:val="70"/>
        </w:numPr>
        <w:spacing w:after="0" w:line="360" w:lineRule="auto"/>
        <w:contextualSpacing/>
        <w:jc w:val="both"/>
        <w:rPr>
          <w:rFonts w:eastAsia="Times New Roman" w:cstheme="minorHAnsi"/>
          <w:color w:val="000000"/>
          <w:sz w:val="28"/>
          <w:szCs w:val="28"/>
          <w:lang w:eastAsia="es-ES"/>
        </w:rPr>
      </w:pPr>
      <w:r w:rsidRPr="005E1103">
        <w:rPr>
          <w:rFonts w:eastAsia="Times New Roman" w:cstheme="minorHAnsi"/>
          <w:color w:val="000000"/>
          <w:sz w:val="28"/>
          <w:szCs w:val="28"/>
          <w:lang w:eastAsia="es-ES"/>
        </w:rPr>
        <w:t>Establecer si hay diferencias entre hombres y mujeres en relación al nivel de CV.</w:t>
      </w:r>
    </w:p>
    <w:p w:rsidR="00954B58" w:rsidRPr="005E1103" w:rsidRDefault="00954B58" w:rsidP="00954B58">
      <w:pPr>
        <w:numPr>
          <w:ilvl w:val="0"/>
          <w:numId w:val="70"/>
        </w:numPr>
        <w:spacing w:after="0" w:line="360" w:lineRule="auto"/>
        <w:contextualSpacing/>
        <w:jc w:val="both"/>
        <w:rPr>
          <w:rFonts w:eastAsia="Times New Roman" w:cstheme="minorHAnsi"/>
          <w:color w:val="000000"/>
          <w:sz w:val="28"/>
          <w:szCs w:val="28"/>
          <w:lang w:eastAsia="es-ES"/>
        </w:rPr>
      </w:pPr>
      <w:r w:rsidRPr="005E1103">
        <w:rPr>
          <w:rFonts w:eastAsia="Times New Roman" w:cstheme="minorHAnsi"/>
          <w:color w:val="000000"/>
          <w:sz w:val="28"/>
          <w:szCs w:val="28"/>
          <w:lang w:eastAsia="es-ES"/>
        </w:rPr>
        <w:t>Confirmar si afecta la zona de residencia (rural o urbana) al nivel de CV.</w:t>
      </w:r>
    </w:p>
    <w:p w:rsidR="00954B58" w:rsidRPr="005E1103" w:rsidRDefault="00954B58" w:rsidP="00954B58">
      <w:pPr>
        <w:spacing w:after="0" w:line="360" w:lineRule="auto"/>
        <w:jc w:val="both"/>
        <w:rPr>
          <w:rFonts w:eastAsia="Times New Roman" w:cstheme="minorHAnsi"/>
          <w:color w:val="000000"/>
          <w:sz w:val="28"/>
          <w:szCs w:val="28"/>
          <w:lang w:eastAsia="es-ES"/>
        </w:rPr>
      </w:pPr>
      <w:r w:rsidRPr="005E1103">
        <w:rPr>
          <w:rFonts w:eastAsia="Times New Roman" w:cstheme="minorHAnsi"/>
          <w:color w:val="000000"/>
          <w:sz w:val="28"/>
          <w:szCs w:val="28"/>
          <w:lang w:eastAsia="es-ES"/>
        </w:rPr>
        <w:t>Se establecieron las siguientes hipótesis de trabajo:</w:t>
      </w:r>
    </w:p>
    <w:p w:rsidR="00954B58" w:rsidRPr="005E1103" w:rsidRDefault="00954B58" w:rsidP="00954B58">
      <w:pPr>
        <w:numPr>
          <w:ilvl w:val="0"/>
          <w:numId w:val="71"/>
        </w:numPr>
        <w:spacing w:after="0" w:line="360" w:lineRule="auto"/>
        <w:jc w:val="both"/>
        <w:rPr>
          <w:rFonts w:eastAsia="Times New Roman" w:cstheme="minorHAnsi"/>
          <w:color w:val="000000"/>
          <w:sz w:val="28"/>
          <w:szCs w:val="28"/>
          <w:lang w:eastAsia="es-ES"/>
        </w:rPr>
      </w:pPr>
      <w:r w:rsidRPr="005E1103">
        <w:rPr>
          <w:rFonts w:eastAsia="Times New Roman" w:cstheme="minorHAnsi"/>
          <w:color w:val="000000"/>
          <w:sz w:val="28"/>
          <w:szCs w:val="28"/>
          <w:lang w:eastAsia="es-ES"/>
        </w:rPr>
        <w:t>H</w:t>
      </w:r>
      <w:r w:rsidRPr="005E1103">
        <w:rPr>
          <w:rFonts w:eastAsia="Times New Roman" w:cstheme="minorHAnsi"/>
          <w:color w:val="000000"/>
          <w:sz w:val="28"/>
          <w:szCs w:val="28"/>
          <w:vertAlign w:val="subscript"/>
          <w:lang w:eastAsia="es-ES"/>
        </w:rPr>
        <w:t>1</w:t>
      </w:r>
      <w:r w:rsidRPr="005E1103">
        <w:rPr>
          <w:rFonts w:eastAsia="Times New Roman" w:cstheme="minorHAnsi"/>
          <w:color w:val="000000"/>
          <w:sz w:val="28"/>
          <w:szCs w:val="28"/>
          <w:lang w:eastAsia="es-ES"/>
        </w:rPr>
        <w:t>: Los hombres expresan tener mejor estado de salud que las mujeres.</w:t>
      </w:r>
    </w:p>
    <w:p w:rsidR="00954B58" w:rsidRPr="005E1103" w:rsidRDefault="00954B58" w:rsidP="00954B58">
      <w:pPr>
        <w:numPr>
          <w:ilvl w:val="0"/>
          <w:numId w:val="71"/>
        </w:numPr>
        <w:spacing w:after="0" w:line="360" w:lineRule="auto"/>
        <w:jc w:val="both"/>
        <w:rPr>
          <w:rFonts w:eastAsia="Times New Roman" w:cstheme="minorHAnsi"/>
          <w:color w:val="000000"/>
          <w:sz w:val="28"/>
          <w:szCs w:val="28"/>
          <w:lang w:eastAsia="es-ES"/>
        </w:rPr>
      </w:pPr>
      <w:r w:rsidRPr="005E1103">
        <w:rPr>
          <w:rFonts w:eastAsia="Times New Roman" w:cstheme="minorHAnsi"/>
          <w:color w:val="000000"/>
          <w:sz w:val="28"/>
          <w:szCs w:val="28"/>
          <w:lang w:eastAsia="es-ES"/>
        </w:rPr>
        <w:t>H</w:t>
      </w:r>
      <w:r w:rsidRPr="005E1103">
        <w:rPr>
          <w:rFonts w:eastAsia="Times New Roman" w:cstheme="minorHAnsi"/>
          <w:color w:val="000000"/>
          <w:sz w:val="28"/>
          <w:szCs w:val="28"/>
          <w:vertAlign w:val="subscript"/>
          <w:lang w:eastAsia="es-ES"/>
        </w:rPr>
        <w:t>2</w:t>
      </w:r>
      <w:r w:rsidRPr="005E1103">
        <w:rPr>
          <w:rFonts w:eastAsia="Times New Roman" w:cstheme="minorHAnsi"/>
          <w:color w:val="000000"/>
          <w:sz w:val="28"/>
          <w:szCs w:val="28"/>
          <w:lang w:eastAsia="es-ES"/>
        </w:rPr>
        <w:t>: El índice de CV mejora cuando las personas con discapacidad intelectual se encuentran en un proceso de inserción laboral.</w:t>
      </w:r>
    </w:p>
    <w:p w:rsidR="00954B58" w:rsidRPr="005E1103" w:rsidRDefault="00954B58" w:rsidP="00954B58">
      <w:pPr>
        <w:numPr>
          <w:ilvl w:val="0"/>
          <w:numId w:val="71"/>
        </w:numPr>
        <w:spacing w:after="0" w:line="360" w:lineRule="auto"/>
        <w:jc w:val="both"/>
        <w:rPr>
          <w:rFonts w:eastAsia="Times New Roman" w:cstheme="minorHAnsi"/>
          <w:color w:val="000000"/>
          <w:sz w:val="28"/>
          <w:szCs w:val="28"/>
          <w:lang w:eastAsia="es-ES"/>
        </w:rPr>
      </w:pPr>
      <w:r w:rsidRPr="005E1103">
        <w:rPr>
          <w:rFonts w:eastAsia="Times New Roman" w:cstheme="minorHAnsi"/>
          <w:color w:val="000000"/>
          <w:sz w:val="28"/>
          <w:szCs w:val="28"/>
          <w:lang w:eastAsia="es-ES"/>
        </w:rPr>
        <w:t>H</w:t>
      </w:r>
      <w:r w:rsidRPr="005E1103">
        <w:rPr>
          <w:rFonts w:eastAsia="Times New Roman" w:cstheme="minorHAnsi"/>
          <w:color w:val="000000"/>
          <w:sz w:val="28"/>
          <w:szCs w:val="28"/>
          <w:vertAlign w:val="subscript"/>
          <w:lang w:eastAsia="es-ES"/>
        </w:rPr>
        <w:t>3</w:t>
      </w:r>
      <w:r w:rsidRPr="005E1103">
        <w:rPr>
          <w:rFonts w:eastAsia="Times New Roman" w:cstheme="minorHAnsi"/>
          <w:color w:val="000000"/>
          <w:sz w:val="28"/>
          <w:szCs w:val="28"/>
          <w:lang w:eastAsia="es-ES"/>
        </w:rPr>
        <w:t>: Las personas que residen en viviendas tuteladas ostentarán un mejor índice de CV que las personas con otro tipo de residencia.</w:t>
      </w:r>
    </w:p>
    <w:p w:rsidR="00954B58" w:rsidRPr="005E1103" w:rsidRDefault="00954B58" w:rsidP="00954B58">
      <w:pPr>
        <w:numPr>
          <w:ilvl w:val="0"/>
          <w:numId w:val="71"/>
        </w:numPr>
        <w:spacing w:after="0" w:line="360" w:lineRule="auto"/>
        <w:jc w:val="both"/>
        <w:rPr>
          <w:rFonts w:eastAsia="Times New Roman" w:cstheme="minorHAnsi"/>
          <w:color w:val="000000"/>
          <w:sz w:val="28"/>
          <w:szCs w:val="28"/>
          <w:lang w:eastAsia="es-ES"/>
        </w:rPr>
      </w:pPr>
      <w:r w:rsidRPr="005E1103">
        <w:rPr>
          <w:rFonts w:eastAsia="Times New Roman" w:cstheme="minorHAnsi"/>
          <w:color w:val="000000"/>
          <w:sz w:val="28"/>
          <w:szCs w:val="28"/>
          <w:lang w:eastAsia="es-ES"/>
        </w:rPr>
        <w:lastRenderedPageBreak/>
        <w:t>H</w:t>
      </w:r>
      <w:r w:rsidRPr="005E1103">
        <w:rPr>
          <w:rFonts w:eastAsia="Times New Roman" w:cstheme="minorHAnsi"/>
          <w:color w:val="000000"/>
          <w:sz w:val="28"/>
          <w:szCs w:val="28"/>
          <w:vertAlign w:val="subscript"/>
          <w:lang w:eastAsia="es-ES"/>
        </w:rPr>
        <w:t>4</w:t>
      </w:r>
      <w:r w:rsidRPr="005E1103">
        <w:rPr>
          <w:rFonts w:eastAsia="Times New Roman" w:cstheme="minorHAnsi"/>
          <w:color w:val="000000"/>
          <w:sz w:val="28"/>
          <w:szCs w:val="28"/>
          <w:lang w:eastAsia="es-ES"/>
        </w:rPr>
        <w:t>: Las personas que residen en viviendas tuteladas obtendrán puntuaciones más favorables en autodeterminación que las personas con otro tipo de residencia.</w:t>
      </w:r>
    </w:p>
    <w:p w:rsidR="00954B58" w:rsidRPr="005E1103" w:rsidRDefault="00954B58" w:rsidP="00954B58">
      <w:pPr>
        <w:numPr>
          <w:ilvl w:val="0"/>
          <w:numId w:val="71"/>
        </w:numPr>
        <w:spacing w:after="0" w:line="360" w:lineRule="auto"/>
        <w:jc w:val="both"/>
        <w:rPr>
          <w:rFonts w:eastAsia="Times New Roman" w:cstheme="minorHAnsi"/>
          <w:color w:val="000000"/>
          <w:sz w:val="28"/>
          <w:szCs w:val="28"/>
          <w:lang w:eastAsia="es-ES"/>
        </w:rPr>
      </w:pPr>
      <w:r w:rsidRPr="005E1103">
        <w:rPr>
          <w:rFonts w:eastAsia="Times New Roman" w:cstheme="minorHAnsi"/>
          <w:color w:val="000000"/>
          <w:sz w:val="28"/>
          <w:szCs w:val="28"/>
          <w:lang w:eastAsia="es-ES"/>
        </w:rPr>
        <w:t>H</w:t>
      </w:r>
      <w:r w:rsidRPr="005E1103">
        <w:rPr>
          <w:rFonts w:eastAsia="Times New Roman" w:cstheme="minorHAnsi"/>
          <w:color w:val="000000"/>
          <w:sz w:val="28"/>
          <w:szCs w:val="28"/>
          <w:vertAlign w:val="subscript"/>
          <w:lang w:eastAsia="es-ES"/>
        </w:rPr>
        <w:t>5</w:t>
      </w:r>
      <w:r w:rsidRPr="005E1103">
        <w:rPr>
          <w:rFonts w:eastAsia="Times New Roman" w:cstheme="minorHAnsi"/>
          <w:color w:val="000000"/>
          <w:sz w:val="28"/>
          <w:szCs w:val="28"/>
          <w:lang w:eastAsia="es-ES"/>
        </w:rPr>
        <w:t>: Las mujeres considerarán que el derecho a la intimidad se vulnera con una mayor frecuencia que los hombres.</w:t>
      </w:r>
    </w:p>
    <w:p w:rsidR="00954B58" w:rsidRPr="005E1103" w:rsidRDefault="00954B58" w:rsidP="00954B58">
      <w:pPr>
        <w:numPr>
          <w:ilvl w:val="0"/>
          <w:numId w:val="71"/>
        </w:numPr>
        <w:spacing w:after="0" w:line="360" w:lineRule="auto"/>
        <w:jc w:val="both"/>
        <w:rPr>
          <w:rFonts w:eastAsia="Times New Roman" w:cstheme="minorHAnsi"/>
          <w:color w:val="000000"/>
          <w:sz w:val="28"/>
          <w:szCs w:val="28"/>
          <w:lang w:eastAsia="es-ES"/>
        </w:rPr>
      </w:pPr>
      <w:r w:rsidRPr="005E1103">
        <w:rPr>
          <w:rFonts w:eastAsia="Times New Roman" w:cstheme="minorHAnsi"/>
          <w:color w:val="000000"/>
          <w:sz w:val="28"/>
          <w:szCs w:val="28"/>
          <w:lang w:eastAsia="es-ES"/>
        </w:rPr>
        <w:t>H</w:t>
      </w:r>
      <w:r w:rsidRPr="005E1103">
        <w:rPr>
          <w:rFonts w:eastAsia="Times New Roman" w:cstheme="minorHAnsi"/>
          <w:color w:val="000000"/>
          <w:sz w:val="28"/>
          <w:szCs w:val="28"/>
          <w:vertAlign w:val="subscript"/>
          <w:lang w:eastAsia="es-ES"/>
        </w:rPr>
        <w:t>6</w:t>
      </w:r>
      <w:r w:rsidRPr="005E1103">
        <w:rPr>
          <w:rFonts w:eastAsia="Times New Roman" w:cstheme="minorHAnsi"/>
          <w:color w:val="000000"/>
          <w:sz w:val="28"/>
          <w:szCs w:val="28"/>
          <w:lang w:eastAsia="es-ES"/>
        </w:rPr>
        <w:t>: Las personas cuya situación laboral es estar trabajando en el Centro Especial de Empleo manifestarán un mejor índice en la dimensión de bienestar material que las personas del Centro Ocupacional.</w:t>
      </w:r>
    </w:p>
    <w:p w:rsidR="00954B58" w:rsidRPr="005E1103" w:rsidRDefault="00954B58" w:rsidP="00954B58">
      <w:pPr>
        <w:numPr>
          <w:ilvl w:val="0"/>
          <w:numId w:val="71"/>
        </w:numPr>
        <w:spacing w:after="0" w:line="360" w:lineRule="auto"/>
        <w:jc w:val="both"/>
        <w:rPr>
          <w:rFonts w:eastAsia="Times New Roman" w:cstheme="minorHAnsi"/>
          <w:color w:val="000000"/>
          <w:sz w:val="28"/>
          <w:szCs w:val="28"/>
          <w:lang w:eastAsia="es-ES"/>
        </w:rPr>
      </w:pPr>
      <w:r w:rsidRPr="005E1103">
        <w:rPr>
          <w:rFonts w:eastAsia="Times New Roman" w:cstheme="minorHAnsi"/>
          <w:color w:val="000000"/>
          <w:sz w:val="28"/>
          <w:szCs w:val="28"/>
          <w:lang w:eastAsia="es-ES"/>
        </w:rPr>
        <w:t>H</w:t>
      </w:r>
      <w:r w:rsidRPr="005E1103">
        <w:rPr>
          <w:rFonts w:eastAsia="Times New Roman" w:cstheme="minorHAnsi"/>
          <w:color w:val="000000"/>
          <w:sz w:val="28"/>
          <w:szCs w:val="28"/>
          <w:vertAlign w:val="subscript"/>
          <w:lang w:eastAsia="es-ES"/>
        </w:rPr>
        <w:t>7</w:t>
      </w:r>
      <w:r w:rsidRPr="005E1103">
        <w:rPr>
          <w:rFonts w:eastAsia="Times New Roman" w:cstheme="minorHAnsi"/>
          <w:color w:val="000000"/>
          <w:sz w:val="28"/>
          <w:szCs w:val="28"/>
          <w:lang w:eastAsia="es-ES"/>
        </w:rPr>
        <w:t>: A medida que aumenta la edad de las personas disminuye su CV.</w:t>
      </w:r>
    </w:p>
    <w:p w:rsidR="00954B58" w:rsidRPr="005E1103" w:rsidRDefault="00954B58" w:rsidP="00954B58">
      <w:pPr>
        <w:numPr>
          <w:ilvl w:val="0"/>
          <w:numId w:val="71"/>
        </w:numPr>
        <w:spacing w:after="0" w:line="360" w:lineRule="auto"/>
        <w:jc w:val="both"/>
        <w:rPr>
          <w:rFonts w:eastAsia="Times New Roman" w:cstheme="minorHAnsi"/>
          <w:color w:val="000000"/>
          <w:sz w:val="28"/>
          <w:szCs w:val="28"/>
          <w:lang w:eastAsia="es-ES"/>
        </w:rPr>
      </w:pPr>
      <w:r w:rsidRPr="005E1103">
        <w:rPr>
          <w:rFonts w:eastAsia="Times New Roman" w:cstheme="minorHAnsi"/>
          <w:color w:val="000000"/>
          <w:sz w:val="28"/>
          <w:szCs w:val="28"/>
          <w:lang w:eastAsia="es-ES"/>
        </w:rPr>
        <w:t>H</w:t>
      </w:r>
      <w:r w:rsidRPr="005E1103">
        <w:rPr>
          <w:rFonts w:eastAsia="Times New Roman" w:cstheme="minorHAnsi"/>
          <w:color w:val="000000"/>
          <w:sz w:val="28"/>
          <w:szCs w:val="28"/>
          <w:vertAlign w:val="subscript"/>
          <w:lang w:eastAsia="es-ES"/>
        </w:rPr>
        <w:t>8</w:t>
      </w:r>
      <w:r w:rsidRPr="005E1103">
        <w:rPr>
          <w:rFonts w:eastAsia="Times New Roman" w:cstheme="minorHAnsi"/>
          <w:color w:val="000000"/>
          <w:sz w:val="28"/>
          <w:szCs w:val="28"/>
          <w:lang w:eastAsia="es-ES"/>
        </w:rPr>
        <w:t>: Los hombres tienen un mejor índice de CV, en general, que las mujeres.</w:t>
      </w:r>
    </w:p>
    <w:p w:rsidR="00954B58" w:rsidRPr="005E1103" w:rsidRDefault="00954B58" w:rsidP="00954B58">
      <w:pPr>
        <w:numPr>
          <w:ilvl w:val="0"/>
          <w:numId w:val="71"/>
        </w:numPr>
        <w:spacing w:after="0" w:line="360" w:lineRule="auto"/>
        <w:jc w:val="both"/>
        <w:rPr>
          <w:rFonts w:eastAsia="Times New Roman" w:cstheme="minorHAnsi"/>
          <w:color w:val="000000"/>
          <w:sz w:val="28"/>
          <w:szCs w:val="28"/>
          <w:lang w:eastAsia="es-ES"/>
        </w:rPr>
      </w:pPr>
      <w:r w:rsidRPr="005E1103">
        <w:rPr>
          <w:rFonts w:eastAsia="Times New Roman" w:cstheme="minorHAnsi"/>
          <w:color w:val="000000"/>
          <w:sz w:val="28"/>
          <w:szCs w:val="28"/>
          <w:lang w:eastAsia="es-ES"/>
        </w:rPr>
        <w:t>H</w:t>
      </w:r>
      <w:r w:rsidRPr="005E1103">
        <w:rPr>
          <w:rFonts w:eastAsia="Times New Roman" w:cstheme="minorHAnsi"/>
          <w:color w:val="000000"/>
          <w:sz w:val="28"/>
          <w:szCs w:val="28"/>
          <w:vertAlign w:val="subscript"/>
          <w:lang w:eastAsia="es-ES"/>
        </w:rPr>
        <w:t>9</w:t>
      </w:r>
      <w:r w:rsidRPr="005E1103">
        <w:rPr>
          <w:rFonts w:eastAsia="Times New Roman" w:cstheme="minorHAnsi"/>
          <w:color w:val="000000"/>
          <w:sz w:val="28"/>
          <w:szCs w:val="28"/>
          <w:lang w:eastAsia="es-ES"/>
        </w:rPr>
        <w:t>: Las personas residentes en el ámbito urbano presentarán niveles superiores de CV que las del ámbito rural.</w:t>
      </w:r>
    </w:p>
    <w:p w:rsidR="00954B58" w:rsidRPr="005E1103" w:rsidRDefault="00954B58" w:rsidP="00954B58">
      <w:pPr>
        <w:spacing w:after="0" w:line="360" w:lineRule="auto"/>
        <w:jc w:val="both"/>
        <w:rPr>
          <w:rFonts w:eastAsia="Times New Roman" w:cstheme="minorHAnsi"/>
          <w:color w:val="000000"/>
          <w:sz w:val="28"/>
          <w:szCs w:val="28"/>
          <w:lang w:eastAsia="es-ES"/>
        </w:rPr>
      </w:pPr>
      <w:r w:rsidRPr="005E1103">
        <w:rPr>
          <w:rFonts w:eastAsia="Times New Roman" w:cstheme="minorHAnsi"/>
          <w:color w:val="000000"/>
          <w:sz w:val="28"/>
          <w:szCs w:val="28"/>
          <w:lang w:eastAsia="es-ES"/>
        </w:rPr>
        <w:t xml:space="preserve">Partimos de una metodología de </w:t>
      </w:r>
      <w:r w:rsidRPr="005E1103">
        <w:rPr>
          <w:rFonts w:eastAsia="Times New Roman" w:cstheme="minorHAnsi"/>
          <w:i/>
          <w:color w:val="000000"/>
          <w:sz w:val="28"/>
          <w:szCs w:val="28"/>
          <w:lang w:eastAsia="es-ES"/>
        </w:rPr>
        <w:t>enfoque cuantitativo de método no experimental y diseño transversal descriptivo</w:t>
      </w:r>
      <w:r w:rsidRPr="005E1103">
        <w:rPr>
          <w:rFonts w:eastAsia="Times New Roman" w:cstheme="minorHAnsi"/>
          <w:color w:val="000000"/>
          <w:sz w:val="28"/>
          <w:szCs w:val="28"/>
          <w:lang w:eastAsia="es-ES"/>
        </w:rPr>
        <w:t>. La variable estudiada fue la calidad de vida y sus diferentes dimensiones a través de la aplicación de la Escala INICO-FEAPS. La participación fue voluntaria y se contó con el consentimiento de cada participante.</w:t>
      </w:r>
    </w:p>
    <w:p w:rsidR="00954B58" w:rsidRPr="005E1103" w:rsidRDefault="00954B58" w:rsidP="00954B58">
      <w:pPr>
        <w:spacing w:after="0" w:line="360" w:lineRule="auto"/>
        <w:jc w:val="both"/>
        <w:rPr>
          <w:rFonts w:eastAsia="Times New Roman" w:cstheme="minorHAnsi"/>
          <w:color w:val="000000"/>
          <w:sz w:val="28"/>
          <w:szCs w:val="28"/>
          <w:lang w:eastAsia="es-ES"/>
        </w:rPr>
      </w:pPr>
      <w:r w:rsidRPr="005E1103">
        <w:rPr>
          <w:rFonts w:eastAsia="Times New Roman" w:cstheme="minorHAnsi"/>
          <w:color w:val="000000"/>
          <w:sz w:val="28"/>
          <w:szCs w:val="28"/>
          <w:lang w:eastAsia="es-ES"/>
        </w:rPr>
        <w:t xml:space="preserve">La investigación ha sido llevada a cabo en el Centro Ocupacional y en el Centro Especial de Empleo de la Asociación Plena Inclusión Montijo, de la provincia de Badajoz. La muestra está constituida por 75 personas con discapacidad intelectual: 65 personas en Centro Ocupacional y 10 personas en Centro Especial de Empleo. El 64% (N = 48) eran hombres, y el 36% (N = 27), mujeres. En cuanto a la edad, el mayor porcentaje de personas se sitúa entre los 31 y los 50 años. La edad media de los participantes es de 39,97 años, con un rango entre 24 y 61 años. La edad </w:t>
      </w:r>
      <w:r w:rsidRPr="005E1103">
        <w:rPr>
          <w:rFonts w:eastAsia="Times New Roman" w:cstheme="minorHAnsi"/>
          <w:color w:val="000000"/>
          <w:sz w:val="28"/>
          <w:szCs w:val="28"/>
          <w:lang w:eastAsia="es-ES"/>
        </w:rPr>
        <w:lastRenderedPageBreak/>
        <w:t>promedio en los hombres es de 36,1 años y en las mujeres es de 48,6 años.</w:t>
      </w:r>
    </w:p>
    <w:p w:rsidR="00954B58" w:rsidRPr="005E1103" w:rsidRDefault="00954B58" w:rsidP="00954B58">
      <w:pPr>
        <w:spacing w:after="0" w:line="360" w:lineRule="auto"/>
        <w:jc w:val="both"/>
        <w:rPr>
          <w:rFonts w:eastAsia="Times New Roman" w:cstheme="minorHAnsi"/>
          <w:color w:val="000000"/>
          <w:sz w:val="28"/>
          <w:szCs w:val="28"/>
          <w:lang w:eastAsia="es-ES"/>
        </w:rPr>
      </w:pPr>
      <w:r w:rsidRPr="005E1103">
        <w:rPr>
          <w:rFonts w:eastAsia="Times New Roman" w:cstheme="minorHAnsi"/>
          <w:color w:val="000000"/>
          <w:sz w:val="28"/>
          <w:szCs w:val="28"/>
          <w:lang w:eastAsia="es-ES"/>
        </w:rPr>
        <w:t xml:space="preserve">El instrumento empleado es la </w:t>
      </w:r>
      <w:r w:rsidRPr="005E1103">
        <w:rPr>
          <w:rFonts w:eastAsia="Times New Roman" w:cstheme="minorHAnsi"/>
          <w:i/>
          <w:color w:val="000000"/>
          <w:sz w:val="28"/>
          <w:szCs w:val="28"/>
          <w:lang w:eastAsia="es-ES"/>
        </w:rPr>
        <w:t>Escala INICO-FEAPS. Evaluación Integral de la Calidad de Vida de Personas con Discapacidad Intelectual o del Desarrollo</w:t>
      </w:r>
      <w:r w:rsidRPr="005E1103">
        <w:rPr>
          <w:rFonts w:eastAsia="Times New Roman" w:cstheme="minorHAnsi"/>
          <w:color w:val="000000"/>
          <w:sz w:val="28"/>
          <w:szCs w:val="28"/>
          <w:lang w:eastAsia="es-ES"/>
        </w:rPr>
        <w:t xml:space="preserve">, diseñada por Verdugo, Gómez, Arias, Santamaría, Clavero y Tamarit (2013). Consta de dos subescalas: un autoinforme y un informe completado por otras personas, permitiendo establecer una relación entre estas dos evaluaciones, basadas en el modelo de ocho dimensiones de Schalock y Verdugo (2003/2003). Las dos subescalas son paralelas, es decir, los ítems evalúan el mismo contenido en ambas y contienen un apartado para que la persona evaluada y/o el informador puedan dejar constancia de cualquier otra información que consideren importante. Cada una de estas subescalas proporciona un Índice de Calidad de Vida y las puntuaciones se pueden representar gráficamente en un Perfil de Calidad de Vida que ayuda a la interpretación de los resultados. En total, constan de 72 ítems cada una que recogen aspectos que pueden observarse de la calidad de vida de cada persona, con un formato de respuesta tipo Likert de cuatro puntos: </w:t>
      </w:r>
      <w:r w:rsidRPr="005E1103">
        <w:rPr>
          <w:rFonts w:eastAsia="Times New Roman" w:cstheme="minorHAnsi"/>
          <w:i/>
          <w:color w:val="000000"/>
          <w:sz w:val="28"/>
          <w:szCs w:val="28"/>
          <w:lang w:eastAsia="es-ES"/>
        </w:rPr>
        <w:t xml:space="preserve">nunca, algunas veces, frecuentemente </w:t>
      </w:r>
      <w:r w:rsidRPr="005E1103">
        <w:rPr>
          <w:rFonts w:eastAsia="Times New Roman" w:cstheme="minorHAnsi"/>
          <w:color w:val="000000"/>
          <w:sz w:val="28"/>
          <w:szCs w:val="28"/>
          <w:lang w:eastAsia="es-ES"/>
        </w:rPr>
        <w:t>y</w:t>
      </w:r>
      <w:r w:rsidRPr="005E1103">
        <w:rPr>
          <w:rFonts w:eastAsia="Times New Roman" w:cstheme="minorHAnsi"/>
          <w:i/>
          <w:color w:val="000000"/>
          <w:sz w:val="28"/>
          <w:szCs w:val="28"/>
          <w:lang w:eastAsia="es-ES"/>
        </w:rPr>
        <w:t xml:space="preserve"> siempre</w:t>
      </w:r>
      <w:r w:rsidRPr="005E1103">
        <w:rPr>
          <w:rFonts w:eastAsia="Times New Roman" w:cstheme="minorHAnsi"/>
          <w:color w:val="000000"/>
          <w:sz w:val="28"/>
          <w:szCs w:val="28"/>
          <w:lang w:eastAsia="es-ES"/>
        </w:rPr>
        <w:t>.</w:t>
      </w:r>
    </w:p>
    <w:p w:rsidR="00954B58" w:rsidRPr="005E1103" w:rsidRDefault="00954B58" w:rsidP="00954B58">
      <w:pPr>
        <w:spacing w:after="0" w:line="360" w:lineRule="auto"/>
        <w:jc w:val="both"/>
        <w:rPr>
          <w:rFonts w:eastAsia="Times New Roman" w:cstheme="minorHAnsi"/>
          <w:color w:val="000000"/>
          <w:sz w:val="28"/>
          <w:szCs w:val="28"/>
          <w:lang w:eastAsia="es-ES"/>
        </w:rPr>
      </w:pPr>
      <w:r w:rsidRPr="005E1103">
        <w:rPr>
          <w:rFonts w:eastAsia="Times New Roman" w:cstheme="minorHAnsi"/>
          <w:color w:val="000000"/>
          <w:sz w:val="28"/>
          <w:szCs w:val="28"/>
          <w:lang w:eastAsia="es-ES"/>
        </w:rPr>
        <w:t xml:space="preserve">El ámbito de aplicación es para personas con discapacidad intelectual  o del desarrollo, a partir de 18 años (o 16 años, si se encuentran sin escolarizar y siempre que realicen algún tipo de actividad profesional, laboral u ocupacional). </w:t>
      </w:r>
    </w:p>
    <w:p w:rsidR="00954B58" w:rsidRPr="005E1103" w:rsidRDefault="00954B58" w:rsidP="00954B58">
      <w:pPr>
        <w:spacing w:after="0" w:line="360" w:lineRule="auto"/>
        <w:jc w:val="both"/>
        <w:rPr>
          <w:rFonts w:eastAsia="Times New Roman" w:cstheme="minorHAnsi"/>
          <w:color w:val="000000"/>
          <w:sz w:val="28"/>
          <w:szCs w:val="28"/>
          <w:lang w:eastAsia="es-ES"/>
        </w:rPr>
      </w:pPr>
      <w:r w:rsidRPr="005E1103">
        <w:rPr>
          <w:rFonts w:eastAsia="Times New Roman" w:cstheme="minorHAnsi"/>
          <w:color w:val="000000"/>
          <w:sz w:val="28"/>
          <w:szCs w:val="28"/>
          <w:lang w:eastAsia="es-ES"/>
        </w:rPr>
        <w:t xml:space="preserve">Para determinar la fiabilidad se recurrió al método de inter-evaluadores. Se llevó a cabo el cálculo de los coeficientes de correlación de Pearson entre los evaluadores para cada una de las dimensiones de las que consta la escala. Los resultados mostraron que existen evidencias de fiabilidad </w:t>
      </w:r>
      <w:r w:rsidRPr="005E1103">
        <w:rPr>
          <w:rFonts w:eastAsia="Times New Roman" w:cstheme="minorHAnsi"/>
          <w:color w:val="000000"/>
          <w:sz w:val="28"/>
          <w:szCs w:val="28"/>
          <w:lang w:eastAsia="es-ES"/>
        </w:rPr>
        <w:lastRenderedPageBreak/>
        <w:t>adecuadas. Por otro lado, con la finalidad de buscar evidencias de validez basadas en la estructura interna de la escala, se aplicó el análisis factorial confirmatorio (AFC). En todos los casos se cumplen los criterios de unidimensionalidad.</w:t>
      </w:r>
    </w:p>
    <w:p w:rsidR="00954B58" w:rsidRPr="005E1103" w:rsidRDefault="00954B58" w:rsidP="00954B58">
      <w:pPr>
        <w:spacing w:after="0" w:line="360" w:lineRule="auto"/>
        <w:jc w:val="both"/>
        <w:rPr>
          <w:rFonts w:eastAsia="Times New Roman" w:cstheme="minorHAnsi"/>
          <w:color w:val="000000"/>
          <w:sz w:val="28"/>
          <w:szCs w:val="28"/>
          <w:lang w:eastAsia="es-ES"/>
        </w:rPr>
      </w:pPr>
      <w:r w:rsidRPr="005E1103">
        <w:rPr>
          <w:rFonts w:eastAsia="Times New Roman" w:cstheme="minorHAnsi"/>
          <w:color w:val="000000"/>
          <w:sz w:val="28"/>
          <w:szCs w:val="28"/>
          <w:lang w:eastAsia="es-ES"/>
        </w:rPr>
        <w:t>Se detallan los resultados en función de aquellas hipótesis que se verifican:</w:t>
      </w:r>
    </w:p>
    <w:tbl>
      <w:tblPr>
        <w:tblW w:w="8728" w:type="dxa"/>
        <w:tblLayout w:type="fixed"/>
        <w:tblLook w:val="0000" w:firstRow="0" w:lastRow="0" w:firstColumn="0" w:lastColumn="0" w:noHBand="0" w:noVBand="0"/>
      </w:tblPr>
      <w:tblGrid>
        <w:gridCol w:w="4219"/>
        <w:gridCol w:w="1418"/>
        <w:gridCol w:w="1275"/>
        <w:gridCol w:w="1816"/>
      </w:tblGrid>
      <w:tr w:rsidR="00954B58" w:rsidRPr="005E1103" w:rsidTr="00954B58">
        <w:trPr>
          <w:trHeight w:val="189"/>
        </w:trPr>
        <w:tc>
          <w:tcPr>
            <w:tcW w:w="4219" w:type="dxa"/>
            <w:tcBorders>
              <w:top w:val="single" w:sz="16" w:space="0" w:color="909297"/>
              <w:left w:val="single" w:sz="16" w:space="0" w:color="909297"/>
              <w:bottom w:val="single" w:sz="16" w:space="0" w:color="918F96"/>
              <w:right w:val="single" w:sz="16" w:space="0" w:color="918F96"/>
            </w:tcBorders>
            <w:vAlign w:val="center"/>
          </w:tcPr>
          <w:p w:rsidR="00954B58" w:rsidRPr="005E1103" w:rsidRDefault="00954B58" w:rsidP="00954B58">
            <w:pPr>
              <w:widowControl w:val="0"/>
              <w:tabs>
                <w:tab w:val="left" w:pos="1840"/>
              </w:tabs>
              <w:autoSpaceDE w:val="0"/>
              <w:autoSpaceDN w:val="0"/>
              <w:adjustRightInd w:val="0"/>
              <w:spacing w:after="0" w:line="240" w:lineRule="auto"/>
              <w:jc w:val="center"/>
              <w:rPr>
                <w:rFonts w:eastAsia="Cambria" w:cstheme="minorHAnsi"/>
                <w:color w:val="000000"/>
                <w:kern w:val="1"/>
                <w:sz w:val="28"/>
                <w:szCs w:val="28"/>
                <w:lang w:val="en-US"/>
              </w:rPr>
            </w:pPr>
            <w:r w:rsidRPr="005E1103">
              <w:rPr>
                <w:rFonts w:eastAsia="Cambria" w:cstheme="minorHAnsi"/>
                <w:b/>
                <w:bCs/>
                <w:color w:val="000000"/>
                <w:sz w:val="28"/>
                <w:szCs w:val="28"/>
                <w:lang w:val="en-US"/>
              </w:rPr>
              <w:t>HIPÓTESIS</w:t>
            </w:r>
          </w:p>
        </w:tc>
        <w:tc>
          <w:tcPr>
            <w:tcW w:w="1418" w:type="dxa"/>
            <w:tcBorders>
              <w:top w:val="single" w:sz="16" w:space="0" w:color="909297"/>
              <w:left w:val="single" w:sz="16" w:space="0" w:color="918F96"/>
              <w:bottom w:val="single" w:sz="16" w:space="0" w:color="918F96"/>
              <w:right w:val="single" w:sz="16" w:space="0" w:color="918F96"/>
            </w:tcBorders>
            <w:vAlign w:val="center"/>
          </w:tcPr>
          <w:p w:rsidR="00954B58" w:rsidRPr="005E1103" w:rsidRDefault="00954B58" w:rsidP="00954B58">
            <w:pPr>
              <w:widowControl w:val="0"/>
              <w:tabs>
                <w:tab w:val="left" w:pos="1840"/>
              </w:tabs>
              <w:autoSpaceDE w:val="0"/>
              <w:autoSpaceDN w:val="0"/>
              <w:adjustRightInd w:val="0"/>
              <w:spacing w:after="0" w:line="240" w:lineRule="auto"/>
              <w:jc w:val="center"/>
              <w:rPr>
                <w:rFonts w:eastAsia="Cambria" w:cstheme="minorHAnsi"/>
                <w:color w:val="000000"/>
                <w:kern w:val="1"/>
                <w:sz w:val="28"/>
                <w:szCs w:val="28"/>
                <w:lang w:val="en-US"/>
              </w:rPr>
            </w:pPr>
            <w:r w:rsidRPr="005E1103">
              <w:rPr>
                <w:rFonts w:eastAsia="Cambria" w:cstheme="minorHAnsi"/>
                <w:b/>
                <w:bCs/>
                <w:color w:val="000000"/>
                <w:sz w:val="28"/>
                <w:szCs w:val="28"/>
                <w:lang w:val="en-US"/>
              </w:rPr>
              <w:t>Prueba</w:t>
            </w:r>
          </w:p>
        </w:tc>
        <w:tc>
          <w:tcPr>
            <w:tcW w:w="1275" w:type="dxa"/>
            <w:tcBorders>
              <w:top w:val="single" w:sz="16" w:space="0" w:color="909297"/>
              <w:left w:val="single" w:sz="16" w:space="0" w:color="918F96"/>
              <w:bottom w:val="single" w:sz="16" w:space="0" w:color="918F96"/>
              <w:right w:val="single" w:sz="16" w:space="0" w:color="918F96"/>
            </w:tcBorders>
            <w:vAlign w:val="center"/>
          </w:tcPr>
          <w:p w:rsidR="00954B58" w:rsidRPr="005E1103" w:rsidRDefault="00954B58" w:rsidP="00954B58">
            <w:pPr>
              <w:widowControl w:val="0"/>
              <w:tabs>
                <w:tab w:val="left" w:pos="1840"/>
              </w:tabs>
              <w:autoSpaceDE w:val="0"/>
              <w:autoSpaceDN w:val="0"/>
              <w:adjustRightInd w:val="0"/>
              <w:spacing w:after="0" w:line="240" w:lineRule="auto"/>
              <w:jc w:val="center"/>
              <w:rPr>
                <w:rFonts w:eastAsia="Cambria" w:cstheme="minorHAnsi"/>
                <w:color w:val="000000"/>
                <w:kern w:val="1"/>
                <w:sz w:val="28"/>
                <w:szCs w:val="28"/>
                <w:lang w:val="en-US"/>
              </w:rPr>
            </w:pPr>
            <w:r w:rsidRPr="005E1103">
              <w:rPr>
                <w:rFonts w:eastAsia="Cambria" w:cstheme="minorHAnsi"/>
                <w:b/>
                <w:bCs/>
                <w:color w:val="000000"/>
                <w:sz w:val="28"/>
                <w:szCs w:val="28"/>
                <w:lang w:val="en-US"/>
              </w:rPr>
              <w:t xml:space="preserve">Valor </w:t>
            </w:r>
            <w:r w:rsidRPr="005E1103">
              <w:rPr>
                <w:rFonts w:eastAsia="Cambria" w:cstheme="minorHAnsi"/>
                <w:b/>
                <w:bCs/>
                <w:i/>
                <w:iCs/>
                <w:color w:val="000000"/>
                <w:sz w:val="28"/>
                <w:szCs w:val="28"/>
                <w:lang w:val="en-US"/>
              </w:rPr>
              <w:t>p</w:t>
            </w:r>
          </w:p>
        </w:tc>
        <w:tc>
          <w:tcPr>
            <w:tcW w:w="1816" w:type="dxa"/>
            <w:tcBorders>
              <w:top w:val="single" w:sz="16" w:space="0" w:color="909297"/>
              <w:left w:val="single" w:sz="16" w:space="0" w:color="918F96"/>
              <w:bottom w:val="single" w:sz="16" w:space="0" w:color="918F96"/>
              <w:right w:val="single" w:sz="16" w:space="0" w:color="909297"/>
            </w:tcBorders>
            <w:vAlign w:val="center"/>
          </w:tcPr>
          <w:p w:rsidR="00954B58" w:rsidRPr="005E1103" w:rsidRDefault="00954B58" w:rsidP="00954B58">
            <w:pPr>
              <w:widowControl w:val="0"/>
              <w:tabs>
                <w:tab w:val="left" w:pos="1840"/>
              </w:tabs>
              <w:autoSpaceDE w:val="0"/>
              <w:autoSpaceDN w:val="0"/>
              <w:adjustRightInd w:val="0"/>
              <w:spacing w:after="0" w:line="240" w:lineRule="auto"/>
              <w:jc w:val="center"/>
              <w:rPr>
                <w:rFonts w:eastAsia="Cambria" w:cstheme="minorHAnsi"/>
                <w:color w:val="000000"/>
                <w:kern w:val="1"/>
                <w:sz w:val="28"/>
                <w:szCs w:val="28"/>
                <w:lang w:val="en-US"/>
              </w:rPr>
            </w:pPr>
            <w:r w:rsidRPr="005E1103">
              <w:rPr>
                <w:rFonts w:eastAsia="Cambria" w:cstheme="minorHAnsi"/>
                <w:b/>
                <w:bCs/>
                <w:color w:val="000000"/>
                <w:sz w:val="28"/>
                <w:szCs w:val="28"/>
                <w:lang w:val="en-US"/>
              </w:rPr>
              <w:t>Conclusión</w:t>
            </w:r>
          </w:p>
        </w:tc>
      </w:tr>
      <w:tr w:rsidR="00954B58" w:rsidRPr="005E1103" w:rsidTr="00954B58">
        <w:trPr>
          <w:trHeight w:val="805"/>
        </w:trPr>
        <w:tc>
          <w:tcPr>
            <w:tcW w:w="4219" w:type="dxa"/>
            <w:tcBorders>
              <w:top w:val="single" w:sz="16" w:space="0" w:color="918F96"/>
              <w:left w:val="single" w:sz="16" w:space="0" w:color="909297"/>
              <w:bottom w:val="single" w:sz="16" w:space="0" w:color="918F96"/>
              <w:right w:val="single" w:sz="16" w:space="0" w:color="918F96"/>
            </w:tcBorders>
            <w:vAlign w:val="center"/>
          </w:tcPr>
          <w:p w:rsidR="00954B58" w:rsidRPr="005E1103" w:rsidRDefault="00954B58" w:rsidP="00954B58">
            <w:pPr>
              <w:widowControl w:val="0"/>
              <w:tabs>
                <w:tab w:val="left" w:pos="1840"/>
              </w:tabs>
              <w:autoSpaceDE w:val="0"/>
              <w:autoSpaceDN w:val="0"/>
              <w:adjustRightInd w:val="0"/>
              <w:spacing w:after="0" w:line="240" w:lineRule="auto"/>
              <w:jc w:val="both"/>
              <w:rPr>
                <w:rFonts w:eastAsia="Cambria" w:cstheme="minorHAnsi"/>
                <w:color w:val="000000"/>
                <w:kern w:val="1"/>
                <w:sz w:val="28"/>
                <w:szCs w:val="28"/>
              </w:rPr>
            </w:pPr>
            <w:r w:rsidRPr="005E1103">
              <w:rPr>
                <w:rFonts w:eastAsia="Cambria" w:cstheme="minorHAnsi"/>
                <w:color w:val="000000"/>
                <w:sz w:val="28"/>
                <w:szCs w:val="28"/>
              </w:rPr>
              <w:t>H1- Los hombres expresan tener mejor estado de salud que las mujeres.</w:t>
            </w:r>
          </w:p>
        </w:tc>
        <w:tc>
          <w:tcPr>
            <w:tcW w:w="1418" w:type="dxa"/>
            <w:tcBorders>
              <w:top w:val="single" w:sz="16" w:space="0" w:color="918F96"/>
              <w:left w:val="single" w:sz="16" w:space="0" w:color="918F96"/>
              <w:bottom w:val="single" w:sz="16" w:space="0" w:color="918F96"/>
              <w:right w:val="single" w:sz="16" w:space="0" w:color="918F96"/>
            </w:tcBorders>
            <w:vAlign w:val="center"/>
          </w:tcPr>
          <w:p w:rsidR="00954B58" w:rsidRPr="005E1103" w:rsidRDefault="00954B58" w:rsidP="00954B58">
            <w:pPr>
              <w:widowControl w:val="0"/>
              <w:tabs>
                <w:tab w:val="left" w:pos="1840"/>
              </w:tabs>
              <w:autoSpaceDE w:val="0"/>
              <w:autoSpaceDN w:val="0"/>
              <w:adjustRightInd w:val="0"/>
              <w:spacing w:after="0" w:line="240" w:lineRule="auto"/>
              <w:jc w:val="center"/>
              <w:rPr>
                <w:rFonts w:eastAsia="Cambria" w:cstheme="minorHAnsi"/>
                <w:color w:val="000000"/>
                <w:kern w:val="1"/>
                <w:sz w:val="28"/>
                <w:szCs w:val="28"/>
              </w:rPr>
            </w:pPr>
            <w:r w:rsidRPr="005E1103">
              <w:rPr>
                <w:rFonts w:eastAsia="Cambria" w:cstheme="minorHAnsi"/>
                <w:color w:val="000000"/>
                <w:sz w:val="28"/>
                <w:szCs w:val="28"/>
              </w:rPr>
              <w:t xml:space="preserve">Prueba </w:t>
            </w:r>
            <w:r w:rsidRPr="005E1103">
              <w:rPr>
                <w:rFonts w:eastAsia="Cambria" w:cstheme="minorHAnsi"/>
                <w:i/>
                <w:iCs/>
                <w:color w:val="000000"/>
                <w:sz w:val="28"/>
                <w:szCs w:val="28"/>
              </w:rPr>
              <w:t xml:space="preserve">t </w:t>
            </w:r>
            <w:r w:rsidRPr="005E1103">
              <w:rPr>
                <w:rFonts w:eastAsia="Cambria" w:cstheme="minorHAnsi"/>
                <w:color w:val="000000"/>
                <w:sz w:val="28"/>
                <w:szCs w:val="28"/>
              </w:rPr>
              <w:t>para muestras independientes</w:t>
            </w:r>
          </w:p>
        </w:tc>
        <w:tc>
          <w:tcPr>
            <w:tcW w:w="1275" w:type="dxa"/>
            <w:tcBorders>
              <w:top w:val="single" w:sz="16" w:space="0" w:color="918F96"/>
              <w:left w:val="single" w:sz="16" w:space="0" w:color="918F96"/>
              <w:bottom w:val="single" w:sz="16" w:space="0" w:color="918F96"/>
              <w:right w:val="single" w:sz="16" w:space="0" w:color="918F96"/>
            </w:tcBorders>
            <w:vAlign w:val="center"/>
          </w:tcPr>
          <w:p w:rsidR="00954B58" w:rsidRPr="005E1103" w:rsidRDefault="00954B58" w:rsidP="00954B58">
            <w:pPr>
              <w:widowControl w:val="0"/>
              <w:tabs>
                <w:tab w:val="left" w:pos="1840"/>
              </w:tabs>
              <w:autoSpaceDE w:val="0"/>
              <w:autoSpaceDN w:val="0"/>
              <w:adjustRightInd w:val="0"/>
              <w:spacing w:after="0" w:line="240" w:lineRule="auto"/>
              <w:jc w:val="center"/>
              <w:rPr>
                <w:rFonts w:eastAsia="Cambria" w:cstheme="minorHAnsi"/>
                <w:color w:val="000000"/>
                <w:sz w:val="28"/>
                <w:szCs w:val="28"/>
                <w:lang w:val="en-US"/>
              </w:rPr>
            </w:pPr>
            <w:r w:rsidRPr="005E1103">
              <w:rPr>
                <w:rFonts w:eastAsia="Cambria" w:cstheme="minorHAnsi"/>
                <w:i/>
                <w:iCs/>
                <w:color w:val="000000"/>
                <w:sz w:val="28"/>
                <w:szCs w:val="28"/>
                <w:lang w:val="en-US"/>
              </w:rPr>
              <w:t>p</w:t>
            </w:r>
            <w:r w:rsidRPr="005E1103">
              <w:rPr>
                <w:rFonts w:eastAsia="Cambria" w:cstheme="minorHAnsi"/>
                <w:color w:val="000000"/>
                <w:sz w:val="28"/>
                <w:szCs w:val="28"/>
                <w:lang w:val="en-US"/>
              </w:rPr>
              <w:t>&gt;0,05</w:t>
            </w:r>
          </w:p>
          <w:p w:rsidR="00954B58" w:rsidRPr="005E1103" w:rsidRDefault="00954B58" w:rsidP="00954B58">
            <w:pPr>
              <w:widowControl w:val="0"/>
              <w:tabs>
                <w:tab w:val="left" w:pos="1840"/>
              </w:tabs>
              <w:autoSpaceDE w:val="0"/>
              <w:autoSpaceDN w:val="0"/>
              <w:adjustRightInd w:val="0"/>
              <w:spacing w:after="0" w:line="240" w:lineRule="auto"/>
              <w:jc w:val="center"/>
              <w:rPr>
                <w:rFonts w:eastAsia="Cambria" w:cstheme="minorHAnsi"/>
                <w:color w:val="000000"/>
                <w:kern w:val="1"/>
                <w:sz w:val="28"/>
                <w:szCs w:val="28"/>
                <w:lang w:val="en-US"/>
              </w:rPr>
            </w:pPr>
            <w:r w:rsidRPr="005E1103">
              <w:rPr>
                <w:rFonts w:eastAsia="Cambria" w:cstheme="minorHAnsi"/>
                <w:color w:val="000000"/>
                <w:sz w:val="28"/>
                <w:szCs w:val="28"/>
                <w:lang w:val="en-US"/>
              </w:rPr>
              <w:t>Se acepta H</w:t>
            </w:r>
            <w:r w:rsidRPr="005E1103">
              <w:rPr>
                <w:rFonts w:eastAsia="Cambria" w:cstheme="minorHAnsi"/>
                <w:color w:val="000000"/>
                <w:sz w:val="28"/>
                <w:szCs w:val="28"/>
                <w:vertAlign w:val="subscript"/>
                <w:lang w:val="en-US"/>
              </w:rPr>
              <w:t>0</w:t>
            </w:r>
          </w:p>
        </w:tc>
        <w:tc>
          <w:tcPr>
            <w:tcW w:w="1816" w:type="dxa"/>
            <w:tcBorders>
              <w:top w:val="single" w:sz="16" w:space="0" w:color="918F96"/>
              <w:left w:val="single" w:sz="16" w:space="0" w:color="918F96"/>
              <w:bottom w:val="single" w:sz="16" w:space="0" w:color="918F96"/>
              <w:right w:val="single" w:sz="16" w:space="0" w:color="909297"/>
            </w:tcBorders>
            <w:vAlign w:val="center"/>
          </w:tcPr>
          <w:p w:rsidR="00954B58" w:rsidRPr="005E1103" w:rsidRDefault="00954B58" w:rsidP="00954B58">
            <w:pPr>
              <w:widowControl w:val="0"/>
              <w:tabs>
                <w:tab w:val="left" w:pos="1840"/>
              </w:tabs>
              <w:autoSpaceDE w:val="0"/>
              <w:autoSpaceDN w:val="0"/>
              <w:adjustRightInd w:val="0"/>
              <w:spacing w:after="0" w:line="240" w:lineRule="auto"/>
              <w:jc w:val="both"/>
              <w:rPr>
                <w:rFonts w:eastAsia="Cambria" w:cstheme="minorHAnsi"/>
                <w:color w:val="000000"/>
                <w:kern w:val="1"/>
                <w:sz w:val="28"/>
                <w:szCs w:val="28"/>
              </w:rPr>
            </w:pPr>
            <w:r w:rsidRPr="005E1103">
              <w:rPr>
                <w:rFonts w:eastAsia="Cambria" w:cstheme="minorHAnsi"/>
                <w:color w:val="000000"/>
                <w:sz w:val="28"/>
                <w:szCs w:val="28"/>
              </w:rPr>
              <w:t xml:space="preserve">No hay diferencias estadísticamente significativas. </w:t>
            </w:r>
          </w:p>
        </w:tc>
      </w:tr>
      <w:tr w:rsidR="00954B58" w:rsidRPr="005E1103" w:rsidTr="00954B58">
        <w:trPr>
          <w:trHeight w:val="805"/>
        </w:trPr>
        <w:tc>
          <w:tcPr>
            <w:tcW w:w="4219" w:type="dxa"/>
            <w:tcBorders>
              <w:top w:val="single" w:sz="16" w:space="0" w:color="918F96"/>
              <w:left w:val="single" w:sz="16" w:space="0" w:color="909297"/>
              <w:bottom w:val="single" w:sz="16" w:space="0" w:color="918F96"/>
              <w:right w:val="single" w:sz="16" w:space="0" w:color="918F96"/>
            </w:tcBorders>
            <w:vAlign w:val="center"/>
          </w:tcPr>
          <w:p w:rsidR="00954B58" w:rsidRPr="005E1103" w:rsidRDefault="00954B58" w:rsidP="00954B58">
            <w:pPr>
              <w:widowControl w:val="0"/>
              <w:tabs>
                <w:tab w:val="left" w:pos="1840"/>
              </w:tabs>
              <w:autoSpaceDE w:val="0"/>
              <w:autoSpaceDN w:val="0"/>
              <w:adjustRightInd w:val="0"/>
              <w:spacing w:after="0" w:line="240" w:lineRule="auto"/>
              <w:jc w:val="both"/>
              <w:rPr>
                <w:rFonts w:eastAsia="Cambria" w:cstheme="minorHAnsi"/>
                <w:color w:val="000000"/>
                <w:kern w:val="1"/>
                <w:sz w:val="28"/>
                <w:szCs w:val="28"/>
              </w:rPr>
            </w:pPr>
            <w:r w:rsidRPr="005E1103">
              <w:rPr>
                <w:rFonts w:eastAsia="Cambria" w:cstheme="minorHAnsi"/>
                <w:color w:val="000000"/>
                <w:sz w:val="28"/>
                <w:szCs w:val="28"/>
              </w:rPr>
              <w:t>H2- El índice de CV mejora cuando las personas con DI se encuentran en un proceso de inserción laboral.</w:t>
            </w:r>
          </w:p>
        </w:tc>
        <w:tc>
          <w:tcPr>
            <w:tcW w:w="1418" w:type="dxa"/>
            <w:tcBorders>
              <w:top w:val="single" w:sz="16" w:space="0" w:color="918F96"/>
              <w:left w:val="single" w:sz="16" w:space="0" w:color="918F96"/>
              <w:bottom w:val="single" w:sz="16" w:space="0" w:color="918F96"/>
              <w:right w:val="single" w:sz="16" w:space="0" w:color="918F96"/>
            </w:tcBorders>
            <w:vAlign w:val="center"/>
          </w:tcPr>
          <w:p w:rsidR="00954B58" w:rsidRPr="005E1103" w:rsidRDefault="00954B58" w:rsidP="00954B58">
            <w:pPr>
              <w:widowControl w:val="0"/>
              <w:tabs>
                <w:tab w:val="left" w:pos="1840"/>
              </w:tabs>
              <w:autoSpaceDE w:val="0"/>
              <w:autoSpaceDN w:val="0"/>
              <w:adjustRightInd w:val="0"/>
              <w:spacing w:after="0" w:line="240" w:lineRule="auto"/>
              <w:jc w:val="center"/>
              <w:rPr>
                <w:rFonts w:eastAsia="Cambria" w:cstheme="minorHAnsi"/>
                <w:color w:val="000000"/>
                <w:kern w:val="1"/>
                <w:sz w:val="28"/>
                <w:szCs w:val="28"/>
              </w:rPr>
            </w:pPr>
            <w:r w:rsidRPr="005E1103">
              <w:rPr>
                <w:rFonts w:eastAsia="Cambria" w:cstheme="minorHAnsi"/>
                <w:color w:val="000000"/>
                <w:sz w:val="28"/>
                <w:szCs w:val="28"/>
              </w:rPr>
              <w:t xml:space="preserve">Prueba </w:t>
            </w:r>
            <w:r w:rsidRPr="005E1103">
              <w:rPr>
                <w:rFonts w:eastAsia="Cambria" w:cstheme="minorHAnsi"/>
                <w:i/>
                <w:iCs/>
                <w:color w:val="000000"/>
                <w:sz w:val="28"/>
                <w:szCs w:val="28"/>
              </w:rPr>
              <w:t>U de Mann-Whitney</w:t>
            </w:r>
          </w:p>
        </w:tc>
        <w:tc>
          <w:tcPr>
            <w:tcW w:w="1275" w:type="dxa"/>
            <w:tcBorders>
              <w:top w:val="single" w:sz="16" w:space="0" w:color="918F96"/>
              <w:left w:val="single" w:sz="16" w:space="0" w:color="918F96"/>
              <w:bottom w:val="single" w:sz="16" w:space="0" w:color="918F96"/>
              <w:right w:val="single" w:sz="16" w:space="0" w:color="918F96"/>
            </w:tcBorders>
            <w:vAlign w:val="center"/>
          </w:tcPr>
          <w:p w:rsidR="00954B58" w:rsidRPr="005E1103" w:rsidRDefault="00954B58" w:rsidP="00954B58">
            <w:pPr>
              <w:widowControl w:val="0"/>
              <w:tabs>
                <w:tab w:val="left" w:pos="1840"/>
              </w:tabs>
              <w:autoSpaceDE w:val="0"/>
              <w:autoSpaceDN w:val="0"/>
              <w:adjustRightInd w:val="0"/>
              <w:spacing w:after="0" w:line="240" w:lineRule="auto"/>
              <w:jc w:val="center"/>
              <w:rPr>
                <w:rFonts w:eastAsia="Cambria" w:cstheme="minorHAnsi"/>
                <w:color w:val="000000"/>
                <w:sz w:val="28"/>
                <w:szCs w:val="28"/>
                <w:lang w:val="en-US"/>
              </w:rPr>
            </w:pPr>
            <w:r w:rsidRPr="005E1103">
              <w:rPr>
                <w:rFonts w:eastAsia="Cambria" w:cstheme="minorHAnsi"/>
                <w:i/>
                <w:iCs/>
                <w:color w:val="000000"/>
                <w:sz w:val="28"/>
                <w:szCs w:val="28"/>
                <w:lang w:val="en-US"/>
              </w:rPr>
              <w:t>p</w:t>
            </w:r>
            <w:r w:rsidRPr="005E1103">
              <w:rPr>
                <w:rFonts w:eastAsia="Cambria" w:cstheme="minorHAnsi"/>
                <w:color w:val="000000"/>
                <w:sz w:val="28"/>
                <w:szCs w:val="28"/>
                <w:lang w:val="en-US"/>
              </w:rPr>
              <w:t>≤0,05</w:t>
            </w:r>
          </w:p>
          <w:p w:rsidR="00954B58" w:rsidRPr="005E1103" w:rsidRDefault="00954B58" w:rsidP="00954B58">
            <w:pPr>
              <w:widowControl w:val="0"/>
              <w:tabs>
                <w:tab w:val="left" w:pos="1840"/>
              </w:tabs>
              <w:autoSpaceDE w:val="0"/>
              <w:autoSpaceDN w:val="0"/>
              <w:adjustRightInd w:val="0"/>
              <w:spacing w:after="0" w:line="240" w:lineRule="auto"/>
              <w:jc w:val="center"/>
              <w:rPr>
                <w:rFonts w:eastAsia="Cambria" w:cstheme="minorHAnsi"/>
                <w:color w:val="000000"/>
                <w:kern w:val="1"/>
                <w:sz w:val="28"/>
                <w:szCs w:val="28"/>
                <w:lang w:val="en-US"/>
              </w:rPr>
            </w:pPr>
            <w:r w:rsidRPr="005E1103">
              <w:rPr>
                <w:rFonts w:eastAsia="Cambria" w:cstheme="minorHAnsi"/>
                <w:color w:val="000000"/>
                <w:sz w:val="28"/>
                <w:szCs w:val="28"/>
                <w:lang w:val="en-US"/>
              </w:rPr>
              <w:t>Se rechaza H</w:t>
            </w:r>
            <w:r w:rsidRPr="005E1103">
              <w:rPr>
                <w:rFonts w:eastAsia="Cambria" w:cstheme="minorHAnsi"/>
                <w:color w:val="000000"/>
                <w:sz w:val="28"/>
                <w:szCs w:val="28"/>
                <w:vertAlign w:val="subscript"/>
                <w:lang w:val="en-US"/>
              </w:rPr>
              <w:t>0</w:t>
            </w:r>
          </w:p>
        </w:tc>
        <w:tc>
          <w:tcPr>
            <w:tcW w:w="1816" w:type="dxa"/>
            <w:tcBorders>
              <w:top w:val="single" w:sz="16" w:space="0" w:color="918F96"/>
              <w:left w:val="single" w:sz="16" w:space="0" w:color="918F96"/>
              <w:bottom w:val="single" w:sz="16" w:space="0" w:color="918F96"/>
              <w:right w:val="single" w:sz="16" w:space="0" w:color="909297"/>
            </w:tcBorders>
            <w:vAlign w:val="center"/>
          </w:tcPr>
          <w:p w:rsidR="00954B58" w:rsidRPr="005E1103" w:rsidRDefault="00954B58" w:rsidP="00954B58">
            <w:pPr>
              <w:widowControl w:val="0"/>
              <w:tabs>
                <w:tab w:val="left" w:pos="1840"/>
              </w:tabs>
              <w:autoSpaceDE w:val="0"/>
              <w:autoSpaceDN w:val="0"/>
              <w:adjustRightInd w:val="0"/>
              <w:spacing w:after="0" w:line="240" w:lineRule="auto"/>
              <w:jc w:val="both"/>
              <w:rPr>
                <w:rFonts w:eastAsia="Cambria" w:cstheme="minorHAnsi"/>
                <w:color w:val="000000"/>
                <w:kern w:val="1"/>
                <w:sz w:val="28"/>
                <w:szCs w:val="28"/>
              </w:rPr>
            </w:pPr>
            <w:r w:rsidRPr="005E1103">
              <w:rPr>
                <w:rFonts w:eastAsia="Cambria" w:cstheme="minorHAnsi"/>
                <w:color w:val="000000"/>
                <w:sz w:val="28"/>
                <w:szCs w:val="28"/>
              </w:rPr>
              <w:t xml:space="preserve">Existen diferencias estadísticamente significativas. </w:t>
            </w:r>
          </w:p>
        </w:tc>
      </w:tr>
      <w:tr w:rsidR="00954B58" w:rsidRPr="005E1103" w:rsidTr="00954B58">
        <w:trPr>
          <w:trHeight w:val="805"/>
        </w:trPr>
        <w:tc>
          <w:tcPr>
            <w:tcW w:w="4219" w:type="dxa"/>
            <w:tcBorders>
              <w:top w:val="single" w:sz="16" w:space="0" w:color="918F96"/>
              <w:left w:val="single" w:sz="16" w:space="0" w:color="909297"/>
              <w:bottom w:val="single" w:sz="16" w:space="0" w:color="918F96"/>
              <w:right w:val="single" w:sz="16" w:space="0" w:color="918F96"/>
            </w:tcBorders>
            <w:vAlign w:val="center"/>
          </w:tcPr>
          <w:p w:rsidR="00954B58" w:rsidRPr="005E1103" w:rsidRDefault="00954B58" w:rsidP="00954B58">
            <w:pPr>
              <w:widowControl w:val="0"/>
              <w:tabs>
                <w:tab w:val="left" w:pos="1840"/>
              </w:tabs>
              <w:autoSpaceDE w:val="0"/>
              <w:autoSpaceDN w:val="0"/>
              <w:adjustRightInd w:val="0"/>
              <w:spacing w:after="0" w:line="240" w:lineRule="auto"/>
              <w:jc w:val="both"/>
              <w:rPr>
                <w:rFonts w:eastAsia="Cambria" w:cstheme="minorHAnsi"/>
                <w:color w:val="000000"/>
                <w:kern w:val="1"/>
                <w:sz w:val="28"/>
                <w:szCs w:val="28"/>
              </w:rPr>
            </w:pPr>
            <w:r w:rsidRPr="005E1103">
              <w:rPr>
                <w:rFonts w:eastAsia="Cambria" w:cstheme="minorHAnsi"/>
                <w:color w:val="000000"/>
                <w:sz w:val="28"/>
                <w:szCs w:val="28"/>
              </w:rPr>
              <w:t>H3- Las personas que residen en viviendas tuteladas ostentarán un mejor índice de CV que aquellas con otro tipo de residencia.</w:t>
            </w:r>
          </w:p>
        </w:tc>
        <w:tc>
          <w:tcPr>
            <w:tcW w:w="1418" w:type="dxa"/>
            <w:tcBorders>
              <w:top w:val="single" w:sz="16" w:space="0" w:color="918F96"/>
              <w:left w:val="single" w:sz="16" w:space="0" w:color="918F96"/>
              <w:bottom w:val="single" w:sz="16" w:space="0" w:color="918F96"/>
              <w:right w:val="single" w:sz="16" w:space="0" w:color="918F96"/>
            </w:tcBorders>
            <w:vAlign w:val="center"/>
          </w:tcPr>
          <w:p w:rsidR="00954B58" w:rsidRPr="005E1103" w:rsidRDefault="00954B58" w:rsidP="00954B58">
            <w:pPr>
              <w:widowControl w:val="0"/>
              <w:tabs>
                <w:tab w:val="left" w:pos="1840"/>
              </w:tabs>
              <w:autoSpaceDE w:val="0"/>
              <w:autoSpaceDN w:val="0"/>
              <w:adjustRightInd w:val="0"/>
              <w:spacing w:after="0" w:line="240" w:lineRule="auto"/>
              <w:jc w:val="center"/>
              <w:rPr>
                <w:rFonts w:eastAsia="Cambria" w:cstheme="minorHAnsi"/>
                <w:color w:val="000000"/>
                <w:kern w:val="1"/>
                <w:sz w:val="28"/>
                <w:szCs w:val="28"/>
              </w:rPr>
            </w:pPr>
            <w:r w:rsidRPr="005E1103">
              <w:rPr>
                <w:rFonts w:eastAsia="Cambria" w:cstheme="minorHAnsi"/>
                <w:color w:val="000000"/>
                <w:sz w:val="28"/>
                <w:szCs w:val="28"/>
              </w:rPr>
              <w:t xml:space="preserve">Prueba </w:t>
            </w:r>
            <w:r w:rsidRPr="005E1103">
              <w:rPr>
                <w:rFonts w:eastAsia="Cambria" w:cstheme="minorHAnsi"/>
                <w:i/>
                <w:iCs/>
                <w:color w:val="000000"/>
                <w:sz w:val="28"/>
                <w:szCs w:val="28"/>
              </w:rPr>
              <w:t>U de Mann-Whitney</w:t>
            </w:r>
          </w:p>
        </w:tc>
        <w:tc>
          <w:tcPr>
            <w:tcW w:w="1275" w:type="dxa"/>
            <w:tcBorders>
              <w:top w:val="single" w:sz="16" w:space="0" w:color="918F96"/>
              <w:left w:val="single" w:sz="16" w:space="0" w:color="918F96"/>
              <w:bottom w:val="single" w:sz="16" w:space="0" w:color="918F96"/>
              <w:right w:val="single" w:sz="16" w:space="0" w:color="918F96"/>
            </w:tcBorders>
            <w:vAlign w:val="center"/>
          </w:tcPr>
          <w:p w:rsidR="00954B58" w:rsidRPr="005E1103" w:rsidRDefault="00954B58" w:rsidP="00954B58">
            <w:pPr>
              <w:widowControl w:val="0"/>
              <w:tabs>
                <w:tab w:val="left" w:pos="1840"/>
              </w:tabs>
              <w:autoSpaceDE w:val="0"/>
              <w:autoSpaceDN w:val="0"/>
              <w:adjustRightInd w:val="0"/>
              <w:spacing w:after="0" w:line="240" w:lineRule="auto"/>
              <w:jc w:val="center"/>
              <w:rPr>
                <w:rFonts w:eastAsia="Cambria" w:cstheme="minorHAnsi"/>
                <w:color w:val="000000"/>
                <w:sz w:val="28"/>
                <w:szCs w:val="28"/>
                <w:lang w:val="en-US"/>
              </w:rPr>
            </w:pPr>
            <w:r w:rsidRPr="005E1103">
              <w:rPr>
                <w:rFonts w:eastAsia="Cambria" w:cstheme="minorHAnsi"/>
                <w:i/>
                <w:iCs/>
                <w:color w:val="000000"/>
                <w:sz w:val="28"/>
                <w:szCs w:val="28"/>
                <w:lang w:val="en-US"/>
              </w:rPr>
              <w:t>p</w:t>
            </w:r>
            <w:r w:rsidRPr="005E1103">
              <w:rPr>
                <w:rFonts w:eastAsia="Cambria" w:cstheme="minorHAnsi"/>
                <w:color w:val="000000"/>
                <w:sz w:val="28"/>
                <w:szCs w:val="28"/>
                <w:lang w:val="en-US"/>
              </w:rPr>
              <w:t>&gt;0,05</w:t>
            </w:r>
          </w:p>
          <w:p w:rsidR="00954B58" w:rsidRPr="005E1103" w:rsidRDefault="00954B58" w:rsidP="00954B58">
            <w:pPr>
              <w:widowControl w:val="0"/>
              <w:tabs>
                <w:tab w:val="left" w:pos="1840"/>
              </w:tabs>
              <w:autoSpaceDE w:val="0"/>
              <w:autoSpaceDN w:val="0"/>
              <w:adjustRightInd w:val="0"/>
              <w:spacing w:after="0" w:line="240" w:lineRule="auto"/>
              <w:jc w:val="center"/>
              <w:rPr>
                <w:rFonts w:eastAsia="Cambria" w:cstheme="minorHAnsi"/>
                <w:color w:val="000000"/>
                <w:kern w:val="1"/>
                <w:sz w:val="28"/>
                <w:szCs w:val="28"/>
                <w:lang w:val="en-US"/>
              </w:rPr>
            </w:pPr>
            <w:r w:rsidRPr="005E1103">
              <w:rPr>
                <w:rFonts w:eastAsia="Cambria" w:cstheme="minorHAnsi"/>
                <w:color w:val="000000"/>
                <w:sz w:val="28"/>
                <w:szCs w:val="28"/>
                <w:lang w:val="en-US"/>
              </w:rPr>
              <w:t>Se acepta H</w:t>
            </w:r>
            <w:r w:rsidRPr="005E1103">
              <w:rPr>
                <w:rFonts w:eastAsia="Cambria" w:cstheme="minorHAnsi"/>
                <w:color w:val="000000"/>
                <w:sz w:val="28"/>
                <w:szCs w:val="28"/>
                <w:vertAlign w:val="subscript"/>
                <w:lang w:val="en-US"/>
              </w:rPr>
              <w:t>0</w:t>
            </w:r>
          </w:p>
        </w:tc>
        <w:tc>
          <w:tcPr>
            <w:tcW w:w="1816" w:type="dxa"/>
            <w:tcBorders>
              <w:top w:val="single" w:sz="16" w:space="0" w:color="918F96"/>
              <w:left w:val="single" w:sz="16" w:space="0" w:color="918F96"/>
              <w:bottom w:val="single" w:sz="16" w:space="0" w:color="918F96"/>
              <w:right w:val="single" w:sz="16" w:space="0" w:color="909297"/>
            </w:tcBorders>
            <w:vAlign w:val="center"/>
          </w:tcPr>
          <w:p w:rsidR="00954B58" w:rsidRPr="005E1103" w:rsidRDefault="00954B58" w:rsidP="00954B58">
            <w:pPr>
              <w:widowControl w:val="0"/>
              <w:tabs>
                <w:tab w:val="left" w:pos="1840"/>
              </w:tabs>
              <w:autoSpaceDE w:val="0"/>
              <w:autoSpaceDN w:val="0"/>
              <w:adjustRightInd w:val="0"/>
              <w:spacing w:after="0" w:line="240" w:lineRule="auto"/>
              <w:jc w:val="both"/>
              <w:rPr>
                <w:rFonts w:eastAsia="Cambria" w:cstheme="minorHAnsi"/>
                <w:color w:val="000000"/>
                <w:kern w:val="1"/>
                <w:sz w:val="28"/>
                <w:szCs w:val="28"/>
              </w:rPr>
            </w:pPr>
            <w:r w:rsidRPr="005E1103">
              <w:rPr>
                <w:rFonts w:eastAsia="Cambria" w:cstheme="minorHAnsi"/>
                <w:color w:val="000000"/>
                <w:sz w:val="28"/>
                <w:szCs w:val="28"/>
              </w:rPr>
              <w:t xml:space="preserve">No hay diferencias estadísticamente significativas. </w:t>
            </w:r>
          </w:p>
        </w:tc>
      </w:tr>
      <w:tr w:rsidR="00954B58" w:rsidRPr="005E1103" w:rsidTr="00954B58">
        <w:trPr>
          <w:trHeight w:val="1026"/>
        </w:trPr>
        <w:tc>
          <w:tcPr>
            <w:tcW w:w="4219" w:type="dxa"/>
            <w:tcBorders>
              <w:top w:val="single" w:sz="16" w:space="0" w:color="918F96"/>
              <w:left w:val="single" w:sz="16" w:space="0" w:color="909297"/>
              <w:bottom w:val="single" w:sz="16" w:space="0" w:color="918F96"/>
              <w:right w:val="single" w:sz="16" w:space="0" w:color="918F96"/>
            </w:tcBorders>
            <w:vAlign w:val="center"/>
          </w:tcPr>
          <w:p w:rsidR="00954B58" w:rsidRPr="005E1103" w:rsidRDefault="00954B58" w:rsidP="00954B58">
            <w:pPr>
              <w:widowControl w:val="0"/>
              <w:tabs>
                <w:tab w:val="left" w:pos="1840"/>
              </w:tabs>
              <w:autoSpaceDE w:val="0"/>
              <w:autoSpaceDN w:val="0"/>
              <w:adjustRightInd w:val="0"/>
              <w:spacing w:after="0" w:line="240" w:lineRule="auto"/>
              <w:jc w:val="both"/>
              <w:rPr>
                <w:rFonts w:eastAsia="Cambria" w:cstheme="minorHAnsi"/>
                <w:color w:val="000000"/>
                <w:kern w:val="1"/>
                <w:sz w:val="28"/>
                <w:szCs w:val="28"/>
              </w:rPr>
            </w:pPr>
            <w:r w:rsidRPr="005E1103">
              <w:rPr>
                <w:rFonts w:eastAsia="Cambria" w:cstheme="minorHAnsi"/>
                <w:color w:val="000000"/>
                <w:sz w:val="28"/>
                <w:szCs w:val="28"/>
              </w:rPr>
              <w:t>H4- Las personas que residen en viviendas tuteladas obtendrán puntuaciones más favorables en autodeterminación que aquellas con otro tipo de residencia.</w:t>
            </w:r>
          </w:p>
        </w:tc>
        <w:tc>
          <w:tcPr>
            <w:tcW w:w="1418" w:type="dxa"/>
            <w:tcBorders>
              <w:top w:val="single" w:sz="16" w:space="0" w:color="918F96"/>
              <w:left w:val="single" w:sz="16" w:space="0" w:color="918F96"/>
              <w:bottom w:val="single" w:sz="16" w:space="0" w:color="918F96"/>
              <w:right w:val="single" w:sz="16" w:space="0" w:color="918F96"/>
            </w:tcBorders>
            <w:vAlign w:val="center"/>
          </w:tcPr>
          <w:p w:rsidR="00954B58" w:rsidRPr="005E1103" w:rsidRDefault="00954B58" w:rsidP="00954B58">
            <w:pPr>
              <w:widowControl w:val="0"/>
              <w:tabs>
                <w:tab w:val="left" w:pos="1840"/>
              </w:tabs>
              <w:autoSpaceDE w:val="0"/>
              <w:autoSpaceDN w:val="0"/>
              <w:adjustRightInd w:val="0"/>
              <w:spacing w:after="0" w:line="240" w:lineRule="auto"/>
              <w:jc w:val="center"/>
              <w:rPr>
                <w:rFonts w:eastAsia="Cambria" w:cstheme="minorHAnsi"/>
                <w:color w:val="000000"/>
                <w:kern w:val="1"/>
                <w:sz w:val="28"/>
                <w:szCs w:val="28"/>
              </w:rPr>
            </w:pPr>
            <w:r w:rsidRPr="005E1103">
              <w:rPr>
                <w:rFonts w:eastAsia="Cambria" w:cstheme="minorHAnsi"/>
                <w:color w:val="000000"/>
                <w:sz w:val="28"/>
                <w:szCs w:val="28"/>
              </w:rPr>
              <w:t xml:space="preserve">Prueba </w:t>
            </w:r>
            <w:r w:rsidRPr="005E1103">
              <w:rPr>
                <w:rFonts w:eastAsia="Cambria" w:cstheme="minorHAnsi"/>
                <w:i/>
                <w:iCs/>
                <w:color w:val="000000"/>
                <w:sz w:val="28"/>
                <w:szCs w:val="28"/>
              </w:rPr>
              <w:t xml:space="preserve">t </w:t>
            </w:r>
            <w:r w:rsidRPr="005E1103">
              <w:rPr>
                <w:rFonts w:eastAsia="Cambria" w:cstheme="minorHAnsi"/>
                <w:color w:val="000000"/>
                <w:sz w:val="28"/>
                <w:szCs w:val="28"/>
              </w:rPr>
              <w:t>para muestras independientes</w:t>
            </w:r>
          </w:p>
        </w:tc>
        <w:tc>
          <w:tcPr>
            <w:tcW w:w="1275" w:type="dxa"/>
            <w:tcBorders>
              <w:top w:val="single" w:sz="16" w:space="0" w:color="918F96"/>
              <w:left w:val="single" w:sz="16" w:space="0" w:color="918F96"/>
              <w:bottom w:val="single" w:sz="16" w:space="0" w:color="918F96"/>
              <w:right w:val="single" w:sz="16" w:space="0" w:color="918F96"/>
            </w:tcBorders>
            <w:vAlign w:val="center"/>
          </w:tcPr>
          <w:p w:rsidR="00954B58" w:rsidRPr="005E1103" w:rsidRDefault="00954B58" w:rsidP="00954B58">
            <w:pPr>
              <w:widowControl w:val="0"/>
              <w:tabs>
                <w:tab w:val="left" w:pos="1840"/>
              </w:tabs>
              <w:autoSpaceDE w:val="0"/>
              <w:autoSpaceDN w:val="0"/>
              <w:adjustRightInd w:val="0"/>
              <w:spacing w:after="0" w:line="240" w:lineRule="auto"/>
              <w:jc w:val="center"/>
              <w:rPr>
                <w:rFonts w:eastAsia="Cambria" w:cstheme="minorHAnsi"/>
                <w:color w:val="000000"/>
                <w:sz w:val="28"/>
                <w:szCs w:val="28"/>
                <w:lang w:val="en-US"/>
              </w:rPr>
            </w:pPr>
            <w:r w:rsidRPr="005E1103">
              <w:rPr>
                <w:rFonts w:eastAsia="Cambria" w:cstheme="minorHAnsi"/>
                <w:i/>
                <w:iCs/>
                <w:color w:val="000000"/>
                <w:sz w:val="28"/>
                <w:szCs w:val="28"/>
                <w:lang w:val="en-US"/>
              </w:rPr>
              <w:t>p</w:t>
            </w:r>
            <w:r w:rsidRPr="005E1103">
              <w:rPr>
                <w:rFonts w:eastAsia="Cambria" w:cstheme="minorHAnsi"/>
                <w:color w:val="000000"/>
                <w:sz w:val="28"/>
                <w:szCs w:val="28"/>
                <w:lang w:val="en-US"/>
              </w:rPr>
              <w:t>&gt;0,05</w:t>
            </w:r>
          </w:p>
          <w:p w:rsidR="00954B58" w:rsidRPr="005E1103" w:rsidRDefault="00954B58" w:rsidP="00954B58">
            <w:pPr>
              <w:widowControl w:val="0"/>
              <w:tabs>
                <w:tab w:val="left" w:pos="1840"/>
              </w:tabs>
              <w:autoSpaceDE w:val="0"/>
              <w:autoSpaceDN w:val="0"/>
              <w:adjustRightInd w:val="0"/>
              <w:spacing w:after="0" w:line="240" w:lineRule="auto"/>
              <w:jc w:val="center"/>
              <w:rPr>
                <w:rFonts w:eastAsia="Cambria" w:cstheme="minorHAnsi"/>
                <w:color w:val="000000"/>
                <w:kern w:val="1"/>
                <w:sz w:val="28"/>
                <w:szCs w:val="28"/>
                <w:lang w:val="en-US"/>
              </w:rPr>
            </w:pPr>
            <w:r w:rsidRPr="005E1103">
              <w:rPr>
                <w:rFonts w:eastAsia="Cambria" w:cstheme="minorHAnsi"/>
                <w:color w:val="000000"/>
                <w:sz w:val="28"/>
                <w:szCs w:val="28"/>
                <w:lang w:val="en-US"/>
              </w:rPr>
              <w:t>Se acepta H</w:t>
            </w:r>
            <w:r w:rsidRPr="005E1103">
              <w:rPr>
                <w:rFonts w:eastAsia="Cambria" w:cstheme="minorHAnsi"/>
                <w:color w:val="000000"/>
                <w:sz w:val="28"/>
                <w:szCs w:val="28"/>
                <w:vertAlign w:val="subscript"/>
                <w:lang w:val="en-US"/>
              </w:rPr>
              <w:t>0</w:t>
            </w:r>
          </w:p>
        </w:tc>
        <w:tc>
          <w:tcPr>
            <w:tcW w:w="1816" w:type="dxa"/>
            <w:tcBorders>
              <w:top w:val="single" w:sz="16" w:space="0" w:color="918F96"/>
              <w:left w:val="single" w:sz="16" w:space="0" w:color="918F96"/>
              <w:bottom w:val="single" w:sz="16" w:space="0" w:color="918F96"/>
              <w:right w:val="single" w:sz="16" w:space="0" w:color="909297"/>
            </w:tcBorders>
            <w:vAlign w:val="center"/>
          </w:tcPr>
          <w:p w:rsidR="00954B58" w:rsidRPr="005E1103" w:rsidRDefault="00954B58" w:rsidP="00954B58">
            <w:pPr>
              <w:widowControl w:val="0"/>
              <w:tabs>
                <w:tab w:val="left" w:pos="1840"/>
              </w:tabs>
              <w:autoSpaceDE w:val="0"/>
              <w:autoSpaceDN w:val="0"/>
              <w:adjustRightInd w:val="0"/>
              <w:spacing w:after="0" w:line="240" w:lineRule="auto"/>
              <w:jc w:val="both"/>
              <w:rPr>
                <w:rFonts w:eastAsia="Cambria" w:cstheme="minorHAnsi"/>
                <w:color w:val="000000"/>
                <w:kern w:val="1"/>
                <w:sz w:val="28"/>
                <w:szCs w:val="28"/>
              </w:rPr>
            </w:pPr>
            <w:r w:rsidRPr="005E1103">
              <w:rPr>
                <w:rFonts w:eastAsia="Cambria" w:cstheme="minorHAnsi"/>
                <w:color w:val="000000"/>
                <w:sz w:val="28"/>
                <w:szCs w:val="28"/>
              </w:rPr>
              <w:t xml:space="preserve">No hay diferencias estadísticamente significativas. </w:t>
            </w:r>
          </w:p>
        </w:tc>
      </w:tr>
      <w:tr w:rsidR="00954B58" w:rsidRPr="005E1103" w:rsidTr="00954B58">
        <w:trPr>
          <w:trHeight w:val="805"/>
        </w:trPr>
        <w:tc>
          <w:tcPr>
            <w:tcW w:w="4219" w:type="dxa"/>
            <w:tcBorders>
              <w:top w:val="single" w:sz="16" w:space="0" w:color="918F96"/>
              <w:left w:val="single" w:sz="16" w:space="0" w:color="909297"/>
              <w:bottom w:val="single" w:sz="16" w:space="0" w:color="918F96"/>
              <w:right w:val="single" w:sz="16" w:space="0" w:color="918F96"/>
            </w:tcBorders>
            <w:vAlign w:val="center"/>
          </w:tcPr>
          <w:p w:rsidR="00954B58" w:rsidRPr="005E1103" w:rsidRDefault="00954B58" w:rsidP="00954B58">
            <w:pPr>
              <w:widowControl w:val="0"/>
              <w:tabs>
                <w:tab w:val="left" w:pos="1840"/>
              </w:tabs>
              <w:autoSpaceDE w:val="0"/>
              <w:autoSpaceDN w:val="0"/>
              <w:adjustRightInd w:val="0"/>
              <w:spacing w:after="0" w:line="240" w:lineRule="auto"/>
              <w:jc w:val="both"/>
              <w:rPr>
                <w:rFonts w:eastAsia="Cambria" w:cstheme="minorHAnsi"/>
                <w:color w:val="000000"/>
                <w:kern w:val="1"/>
                <w:sz w:val="28"/>
                <w:szCs w:val="28"/>
              </w:rPr>
            </w:pPr>
            <w:r w:rsidRPr="005E1103">
              <w:rPr>
                <w:rFonts w:eastAsia="Cambria" w:cstheme="minorHAnsi"/>
                <w:color w:val="000000"/>
                <w:sz w:val="28"/>
                <w:szCs w:val="28"/>
              </w:rPr>
              <w:t>H5- Las mujeres considerarán que el derecho a la intimidad se vulnera con una mayor frecuencia que los hombres.</w:t>
            </w:r>
          </w:p>
        </w:tc>
        <w:tc>
          <w:tcPr>
            <w:tcW w:w="1418" w:type="dxa"/>
            <w:tcBorders>
              <w:top w:val="single" w:sz="16" w:space="0" w:color="918F96"/>
              <w:left w:val="single" w:sz="16" w:space="0" w:color="918F96"/>
              <w:bottom w:val="single" w:sz="16" w:space="0" w:color="918F96"/>
              <w:right w:val="single" w:sz="16" w:space="0" w:color="918F96"/>
            </w:tcBorders>
            <w:vAlign w:val="center"/>
          </w:tcPr>
          <w:p w:rsidR="00954B58" w:rsidRPr="005E1103" w:rsidRDefault="00954B58" w:rsidP="00954B58">
            <w:pPr>
              <w:widowControl w:val="0"/>
              <w:tabs>
                <w:tab w:val="left" w:pos="1840"/>
              </w:tabs>
              <w:autoSpaceDE w:val="0"/>
              <w:autoSpaceDN w:val="0"/>
              <w:adjustRightInd w:val="0"/>
              <w:spacing w:after="0" w:line="240" w:lineRule="auto"/>
              <w:jc w:val="center"/>
              <w:rPr>
                <w:rFonts w:eastAsia="Cambria" w:cstheme="minorHAnsi"/>
                <w:color w:val="000000"/>
                <w:kern w:val="1"/>
                <w:sz w:val="28"/>
                <w:szCs w:val="28"/>
              </w:rPr>
            </w:pPr>
            <w:r w:rsidRPr="005E1103">
              <w:rPr>
                <w:rFonts w:eastAsia="Cambria" w:cstheme="minorHAnsi"/>
                <w:color w:val="000000"/>
                <w:sz w:val="28"/>
                <w:szCs w:val="28"/>
              </w:rPr>
              <w:t xml:space="preserve">Prueba </w:t>
            </w:r>
            <w:r w:rsidRPr="005E1103">
              <w:rPr>
                <w:rFonts w:eastAsia="Cambria" w:cstheme="minorHAnsi"/>
                <w:i/>
                <w:iCs/>
                <w:color w:val="000000"/>
                <w:sz w:val="28"/>
                <w:szCs w:val="28"/>
              </w:rPr>
              <w:t>U de Mann-Whitney</w:t>
            </w:r>
          </w:p>
        </w:tc>
        <w:tc>
          <w:tcPr>
            <w:tcW w:w="1275" w:type="dxa"/>
            <w:tcBorders>
              <w:top w:val="single" w:sz="16" w:space="0" w:color="918F96"/>
              <w:left w:val="single" w:sz="16" w:space="0" w:color="918F96"/>
              <w:bottom w:val="single" w:sz="16" w:space="0" w:color="918F96"/>
              <w:right w:val="single" w:sz="16" w:space="0" w:color="918F96"/>
            </w:tcBorders>
            <w:vAlign w:val="center"/>
          </w:tcPr>
          <w:p w:rsidR="00954B58" w:rsidRPr="005E1103" w:rsidRDefault="00954B58" w:rsidP="00954B58">
            <w:pPr>
              <w:widowControl w:val="0"/>
              <w:tabs>
                <w:tab w:val="left" w:pos="1840"/>
              </w:tabs>
              <w:autoSpaceDE w:val="0"/>
              <w:autoSpaceDN w:val="0"/>
              <w:adjustRightInd w:val="0"/>
              <w:spacing w:after="0" w:line="240" w:lineRule="auto"/>
              <w:jc w:val="center"/>
              <w:rPr>
                <w:rFonts w:eastAsia="Cambria" w:cstheme="minorHAnsi"/>
                <w:color w:val="000000"/>
                <w:sz w:val="28"/>
                <w:szCs w:val="28"/>
                <w:lang w:val="en-US"/>
              </w:rPr>
            </w:pPr>
            <w:r w:rsidRPr="005E1103">
              <w:rPr>
                <w:rFonts w:eastAsia="Cambria" w:cstheme="minorHAnsi"/>
                <w:i/>
                <w:iCs/>
                <w:color w:val="000000"/>
                <w:sz w:val="28"/>
                <w:szCs w:val="28"/>
                <w:lang w:val="en-US"/>
              </w:rPr>
              <w:t>p</w:t>
            </w:r>
            <w:r w:rsidRPr="005E1103">
              <w:rPr>
                <w:rFonts w:eastAsia="Cambria" w:cstheme="minorHAnsi"/>
                <w:color w:val="000000"/>
                <w:sz w:val="28"/>
                <w:szCs w:val="28"/>
                <w:lang w:val="en-US"/>
              </w:rPr>
              <w:t>&gt;0,05</w:t>
            </w:r>
          </w:p>
          <w:p w:rsidR="00954B58" w:rsidRPr="005E1103" w:rsidRDefault="00954B58" w:rsidP="00954B58">
            <w:pPr>
              <w:widowControl w:val="0"/>
              <w:tabs>
                <w:tab w:val="left" w:pos="1840"/>
              </w:tabs>
              <w:autoSpaceDE w:val="0"/>
              <w:autoSpaceDN w:val="0"/>
              <w:adjustRightInd w:val="0"/>
              <w:spacing w:after="0" w:line="240" w:lineRule="auto"/>
              <w:jc w:val="center"/>
              <w:rPr>
                <w:rFonts w:eastAsia="Cambria" w:cstheme="minorHAnsi"/>
                <w:color w:val="000000"/>
                <w:kern w:val="1"/>
                <w:sz w:val="28"/>
                <w:szCs w:val="28"/>
                <w:lang w:val="en-US"/>
              </w:rPr>
            </w:pPr>
            <w:r w:rsidRPr="005E1103">
              <w:rPr>
                <w:rFonts w:eastAsia="Cambria" w:cstheme="minorHAnsi"/>
                <w:color w:val="000000"/>
                <w:sz w:val="28"/>
                <w:szCs w:val="28"/>
                <w:lang w:val="en-US"/>
              </w:rPr>
              <w:t>Se acepta H</w:t>
            </w:r>
            <w:r w:rsidRPr="005E1103">
              <w:rPr>
                <w:rFonts w:eastAsia="Cambria" w:cstheme="minorHAnsi"/>
                <w:color w:val="000000"/>
                <w:sz w:val="28"/>
                <w:szCs w:val="28"/>
                <w:vertAlign w:val="subscript"/>
                <w:lang w:val="en-US"/>
              </w:rPr>
              <w:t>0</w:t>
            </w:r>
          </w:p>
        </w:tc>
        <w:tc>
          <w:tcPr>
            <w:tcW w:w="1816" w:type="dxa"/>
            <w:tcBorders>
              <w:top w:val="single" w:sz="16" w:space="0" w:color="918F96"/>
              <w:left w:val="single" w:sz="16" w:space="0" w:color="918F96"/>
              <w:bottom w:val="single" w:sz="16" w:space="0" w:color="918F96"/>
              <w:right w:val="single" w:sz="16" w:space="0" w:color="909297"/>
            </w:tcBorders>
            <w:vAlign w:val="center"/>
          </w:tcPr>
          <w:p w:rsidR="00954B58" w:rsidRPr="005E1103" w:rsidRDefault="00954B58" w:rsidP="00954B58">
            <w:pPr>
              <w:widowControl w:val="0"/>
              <w:tabs>
                <w:tab w:val="left" w:pos="1840"/>
              </w:tabs>
              <w:autoSpaceDE w:val="0"/>
              <w:autoSpaceDN w:val="0"/>
              <w:adjustRightInd w:val="0"/>
              <w:spacing w:after="0" w:line="240" w:lineRule="auto"/>
              <w:jc w:val="both"/>
              <w:rPr>
                <w:rFonts w:eastAsia="Cambria" w:cstheme="minorHAnsi"/>
                <w:color w:val="000000"/>
                <w:kern w:val="1"/>
                <w:sz w:val="28"/>
                <w:szCs w:val="28"/>
              </w:rPr>
            </w:pPr>
            <w:r w:rsidRPr="005E1103">
              <w:rPr>
                <w:rFonts w:eastAsia="Cambria" w:cstheme="minorHAnsi"/>
                <w:color w:val="000000"/>
                <w:sz w:val="28"/>
                <w:szCs w:val="28"/>
              </w:rPr>
              <w:t>No existen diferencias estadísticamente significativas.</w:t>
            </w:r>
          </w:p>
        </w:tc>
      </w:tr>
      <w:tr w:rsidR="00954B58" w:rsidRPr="005E1103" w:rsidTr="00954B58">
        <w:trPr>
          <w:trHeight w:val="1011"/>
        </w:trPr>
        <w:tc>
          <w:tcPr>
            <w:tcW w:w="4219" w:type="dxa"/>
            <w:tcBorders>
              <w:top w:val="single" w:sz="16" w:space="0" w:color="918F96"/>
              <w:left w:val="single" w:sz="16" w:space="0" w:color="909297"/>
              <w:bottom w:val="single" w:sz="16" w:space="0" w:color="918F96"/>
              <w:right w:val="single" w:sz="16" w:space="0" w:color="918F96"/>
            </w:tcBorders>
            <w:vAlign w:val="center"/>
          </w:tcPr>
          <w:p w:rsidR="00954B58" w:rsidRPr="005E1103" w:rsidRDefault="00954B58" w:rsidP="00954B58">
            <w:pPr>
              <w:widowControl w:val="0"/>
              <w:tabs>
                <w:tab w:val="left" w:pos="1840"/>
              </w:tabs>
              <w:autoSpaceDE w:val="0"/>
              <w:autoSpaceDN w:val="0"/>
              <w:adjustRightInd w:val="0"/>
              <w:spacing w:after="0" w:line="240" w:lineRule="auto"/>
              <w:jc w:val="both"/>
              <w:rPr>
                <w:rFonts w:eastAsia="Cambria" w:cstheme="minorHAnsi"/>
                <w:color w:val="000000"/>
                <w:kern w:val="1"/>
                <w:sz w:val="28"/>
                <w:szCs w:val="28"/>
              </w:rPr>
            </w:pPr>
            <w:r w:rsidRPr="005E1103">
              <w:rPr>
                <w:rFonts w:eastAsia="Cambria" w:cstheme="minorHAnsi"/>
                <w:color w:val="000000"/>
                <w:sz w:val="28"/>
                <w:szCs w:val="28"/>
              </w:rPr>
              <w:t xml:space="preserve">H6- Las personas cuya situación laboral es estar trabajando en el CEE manifestarán una mejor puntuación en la dimensión de bienestar material que las </w:t>
            </w:r>
            <w:r w:rsidRPr="005E1103">
              <w:rPr>
                <w:rFonts w:eastAsia="Cambria" w:cstheme="minorHAnsi"/>
                <w:color w:val="000000"/>
                <w:sz w:val="28"/>
                <w:szCs w:val="28"/>
              </w:rPr>
              <w:lastRenderedPageBreak/>
              <w:t>personas del CO.</w:t>
            </w:r>
          </w:p>
        </w:tc>
        <w:tc>
          <w:tcPr>
            <w:tcW w:w="1418" w:type="dxa"/>
            <w:tcBorders>
              <w:top w:val="single" w:sz="16" w:space="0" w:color="918F96"/>
              <w:left w:val="single" w:sz="16" w:space="0" w:color="918F96"/>
              <w:bottom w:val="single" w:sz="16" w:space="0" w:color="918F96"/>
              <w:right w:val="single" w:sz="16" w:space="0" w:color="918F96"/>
            </w:tcBorders>
            <w:vAlign w:val="center"/>
          </w:tcPr>
          <w:p w:rsidR="00954B58" w:rsidRPr="005E1103" w:rsidRDefault="00954B58" w:rsidP="00954B58">
            <w:pPr>
              <w:widowControl w:val="0"/>
              <w:tabs>
                <w:tab w:val="left" w:pos="1840"/>
              </w:tabs>
              <w:autoSpaceDE w:val="0"/>
              <w:autoSpaceDN w:val="0"/>
              <w:adjustRightInd w:val="0"/>
              <w:spacing w:after="0" w:line="240" w:lineRule="auto"/>
              <w:jc w:val="center"/>
              <w:rPr>
                <w:rFonts w:eastAsia="Cambria" w:cstheme="minorHAnsi"/>
                <w:color w:val="000000"/>
                <w:kern w:val="1"/>
                <w:sz w:val="28"/>
                <w:szCs w:val="28"/>
              </w:rPr>
            </w:pPr>
            <w:r w:rsidRPr="005E1103">
              <w:rPr>
                <w:rFonts w:eastAsia="Cambria" w:cstheme="minorHAnsi"/>
                <w:color w:val="000000"/>
                <w:sz w:val="28"/>
                <w:szCs w:val="28"/>
              </w:rPr>
              <w:lastRenderedPageBreak/>
              <w:t xml:space="preserve">Prueba </w:t>
            </w:r>
            <w:r w:rsidRPr="005E1103">
              <w:rPr>
                <w:rFonts w:eastAsia="Cambria" w:cstheme="minorHAnsi"/>
                <w:i/>
                <w:iCs/>
                <w:color w:val="000000"/>
                <w:sz w:val="28"/>
                <w:szCs w:val="28"/>
              </w:rPr>
              <w:t xml:space="preserve">t </w:t>
            </w:r>
            <w:r w:rsidRPr="005E1103">
              <w:rPr>
                <w:rFonts w:eastAsia="Cambria" w:cstheme="minorHAnsi"/>
                <w:color w:val="000000"/>
                <w:sz w:val="28"/>
                <w:szCs w:val="28"/>
              </w:rPr>
              <w:t>para muestras independientes</w:t>
            </w:r>
          </w:p>
        </w:tc>
        <w:tc>
          <w:tcPr>
            <w:tcW w:w="1275" w:type="dxa"/>
            <w:tcBorders>
              <w:top w:val="single" w:sz="16" w:space="0" w:color="918F96"/>
              <w:left w:val="single" w:sz="16" w:space="0" w:color="918F96"/>
              <w:bottom w:val="single" w:sz="16" w:space="0" w:color="918F96"/>
              <w:right w:val="single" w:sz="16" w:space="0" w:color="918F96"/>
            </w:tcBorders>
            <w:vAlign w:val="center"/>
          </w:tcPr>
          <w:p w:rsidR="00954B58" w:rsidRPr="005E1103" w:rsidRDefault="00954B58" w:rsidP="00954B58">
            <w:pPr>
              <w:widowControl w:val="0"/>
              <w:tabs>
                <w:tab w:val="left" w:pos="1840"/>
              </w:tabs>
              <w:autoSpaceDE w:val="0"/>
              <w:autoSpaceDN w:val="0"/>
              <w:adjustRightInd w:val="0"/>
              <w:spacing w:after="0" w:line="240" w:lineRule="auto"/>
              <w:jc w:val="center"/>
              <w:rPr>
                <w:rFonts w:eastAsia="Cambria" w:cstheme="minorHAnsi"/>
                <w:color w:val="000000"/>
                <w:sz w:val="28"/>
                <w:szCs w:val="28"/>
                <w:lang w:val="en-US"/>
              </w:rPr>
            </w:pPr>
            <w:r w:rsidRPr="005E1103">
              <w:rPr>
                <w:rFonts w:eastAsia="Cambria" w:cstheme="minorHAnsi"/>
                <w:i/>
                <w:iCs/>
                <w:color w:val="000000"/>
                <w:sz w:val="28"/>
                <w:szCs w:val="28"/>
                <w:lang w:val="en-US"/>
              </w:rPr>
              <w:t>p</w:t>
            </w:r>
            <w:r w:rsidRPr="005E1103">
              <w:rPr>
                <w:rFonts w:eastAsia="Cambria" w:cstheme="minorHAnsi"/>
                <w:color w:val="000000"/>
                <w:sz w:val="28"/>
                <w:szCs w:val="28"/>
                <w:lang w:val="en-US"/>
              </w:rPr>
              <w:t>≤0,05</w:t>
            </w:r>
          </w:p>
          <w:p w:rsidR="00954B58" w:rsidRPr="005E1103" w:rsidRDefault="00954B58" w:rsidP="00954B58">
            <w:pPr>
              <w:widowControl w:val="0"/>
              <w:tabs>
                <w:tab w:val="left" w:pos="1840"/>
              </w:tabs>
              <w:autoSpaceDE w:val="0"/>
              <w:autoSpaceDN w:val="0"/>
              <w:adjustRightInd w:val="0"/>
              <w:spacing w:after="0" w:line="240" w:lineRule="auto"/>
              <w:jc w:val="center"/>
              <w:rPr>
                <w:rFonts w:eastAsia="Cambria" w:cstheme="minorHAnsi"/>
                <w:color w:val="000000"/>
                <w:kern w:val="1"/>
                <w:sz w:val="28"/>
                <w:szCs w:val="28"/>
                <w:lang w:val="en-US"/>
              </w:rPr>
            </w:pPr>
            <w:r w:rsidRPr="005E1103">
              <w:rPr>
                <w:rFonts w:eastAsia="Cambria" w:cstheme="minorHAnsi"/>
                <w:color w:val="000000"/>
                <w:sz w:val="28"/>
                <w:szCs w:val="28"/>
                <w:lang w:val="en-US"/>
              </w:rPr>
              <w:t>Se rechaza H</w:t>
            </w:r>
            <w:r w:rsidRPr="005E1103">
              <w:rPr>
                <w:rFonts w:eastAsia="Cambria" w:cstheme="minorHAnsi"/>
                <w:color w:val="000000"/>
                <w:sz w:val="28"/>
                <w:szCs w:val="28"/>
                <w:vertAlign w:val="subscript"/>
                <w:lang w:val="en-US"/>
              </w:rPr>
              <w:t>0</w:t>
            </w:r>
          </w:p>
        </w:tc>
        <w:tc>
          <w:tcPr>
            <w:tcW w:w="1816" w:type="dxa"/>
            <w:tcBorders>
              <w:top w:val="single" w:sz="16" w:space="0" w:color="918F96"/>
              <w:left w:val="single" w:sz="16" w:space="0" w:color="918F96"/>
              <w:bottom w:val="single" w:sz="16" w:space="0" w:color="918F96"/>
              <w:right w:val="single" w:sz="16" w:space="0" w:color="909297"/>
            </w:tcBorders>
            <w:vAlign w:val="center"/>
          </w:tcPr>
          <w:p w:rsidR="00954B58" w:rsidRPr="005E1103" w:rsidRDefault="00954B58" w:rsidP="00954B58">
            <w:pPr>
              <w:widowControl w:val="0"/>
              <w:tabs>
                <w:tab w:val="left" w:pos="1840"/>
              </w:tabs>
              <w:autoSpaceDE w:val="0"/>
              <w:autoSpaceDN w:val="0"/>
              <w:adjustRightInd w:val="0"/>
              <w:spacing w:after="0" w:line="240" w:lineRule="auto"/>
              <w:jc w:val="both"/>
              <w:rPr>
                <w:rFonts w:eastAsia="Cambria" w:cstheme="minorHAnsi"/>
                <w:color w:val="000000"/>
                <w:kern w:val="1"/>
                <w:sz w:val="28"/>
                <w:szCs w:val="28"/>
              </w:rPr>
            </w:pPr>
            <w:r w:rsidRPr="005E1103">
              <w:rPr>
                <w:rFonts w:eastAsia="Cambria" w:cstheme="minorHAnsi"/>
                <w:color w:val="000000"/>
                <w:sz w:val="28"/>
                <w:szCs w:val="28"/>
              </w:rPr>
              <w:t xml:space="preserve">Existen diferencias estadísticamente significativas. </w:t>
            </w:r>
          </w:p>
        </w:tc>
      </w:tr>
      <w:tr w:rsidR="00954B58" w:rsidRPr="005E1103" w:rsidTr="00954B58">
        <w:trPr>
          <w:trHeight w:val="805"/>
        </w:trPr>
        <w:tc>
          <w:tcPr>
            <w:tcW w:w="4219" w:type="dxa"/>
            <w:tcBorders>
              <w:top w:val="single" w:sz="16" w:space="0" w:color="918F96"/>
              <w:left w:val="single" w:sz="16" w:space="0" w:color="909297"/>
              <w:bottom w:val="single" w:sz="16" w:space="0" w:color="918F96"/>
              <w:right w:val="single" w:sz="16" w:space="0" w:color="918F96"/>
            </w:tcBorders>
            <w:vAlign w:val="center"/>
          </w:tcPr>
          <w:p w:rsidR="00954B58" w:rsidRPr="005E1103" w:rsidRDefault="00954B58" w:rsidP="00954B58">
            <w:pPr>
              <w:widowControl w:val="0"/>
              <w:tabs>
                <w:tab w:val="left" w:pos="1840"/>
              </w:tabs>
              <w:autoSpaceDE w:val="0"/>
              <w:autoSpaceDN w:val="0"/>
              <w:adjustRightInd w:val="0"/>
              <w:spacing w:after="0" w:line="240" w:lineRule="auto"/>
              <w:jc w:val="both"/>
              <w:rPr>
                <w:rFonts w:eastAsia="Cambria" w:cstheme="minorHAnsi"/>
                <w:color w:val="000000"/>
                <w:kern w:val="1"/>
                <w:sz w:val="28"/>
                <w:szCs w:val="28"/>
              </w:rPr>
            </w:pPr>
            <w:r w:rsidRPr="005E1103">
              <w:rPr>
                <w:rFonts w:eastAsia="Cambria" w:cstheme="minorHAnsi"/>
                <w:color w:val="000000"/>
                <w:sz w:val="28"/>
                <w:szCs w:val="28"/>
              </w:rPr>
              <w:lastRenderedPageBreak/>
              <w:t>H7- A medida que aumenta la edad de las personas disminuye su CV.</w:t>
            </w:r>
          </w:p>
        </w:tc>
        <w:tc>
          <w:tcPr>
            <w:tcW w:w="1418" w:type="dxa"/>
            <w:tcBorders>
              <w:top w:val="single" w:sz="16" w:space="0" w:color="918F96"/>
              <w:left w:val="single" w:sz="16" w:space="0" w:color="918F96"/>
              <w:bottom w:val="single" w:sz="16" w:space="0" w:color="918F96"/>
              <w:right w:val="single" w:sz="16" w:space="0" w:color="918F96"/>
            </w:tcBorders>
            <w:vAlign w:val="center"/>
          </w:tcPr>
          <w:p w:rsidR="00954B58" w:rsidRPr="005E1103" w:rsidRDefault="00954B58" w:rsidP="00954B58">
            <w:pPr>
              <w:widowControl w:val="0"/>
              <w:tabs>
                <w:tab w:val="left" w:pos="1840"/>
              </w:tabs>
              <w:autoSpaceDE w:val="0"/>
              <w:autoSpaceDN w:val="0"/>
              <w:adjustRightInd w:val="0"/>
              <w:spacing w:after="0" w:line="240" w:lineRule="auto"/>
              <w:jc w:val="center"/>
              <w:rPr>
                <w:rFonts w:eastAsia="Cambria" w:cstheme="minorHAnsi"/>
                <w:color w:val="000000"/>
                <w:kern w:val="1"/>
                <w:sz w:val="28"/>
                <w:szCs w:val="28"/>
              </w:rPr>
            </w:pPr>
            <w:r w:rsidRPr="005E1103">
              <w:rPr>
                <w:rFonts w:eastAsia="Cambria" w:cstheme="minorHAnsi"/>
                <w:color w:val="000000"/>
                <w:sz w:val="28"/>
                <w:szCs w:val="28"/>
              </w:rPr>
              <w:t xml:space="preserve">Prueba </w:t>
            </w:r>
            <w:r w:rsidRPr="005E1103">
              <w:rPr>
                <w:rFonts w:eastAsia="Cambria" w:cstheme="minorHAnsi"/>
                <w:i/>
                <w:iCs/>
                <w:color w:val="000000"/>
                <w:sz w:val="28"/>
                <w:szCs w:val="28"/>
              </w:rPr>
              <w:t>H de Kruskal-Wallis</w:t>
            </w:r>
          </w:p>
        </w:tc>
        <w:tc>
          <w:tcPr>
            <w:tcW w:w="1275" w:type="dxa"/>
            <w:tcBorders>
              <w:top w:val="single" w:sz="16" w:space="0" w:color="918F96"/>
              <w:left w:val="single" w:sz="16" w:space="0" w:color="918F96"/>
              <w:bottom w:val="single" w:sz="16" w:space="0" w:color="918F96"/>
              <w:right w:val="single" w:sz="16" w:space="0" w:color="918F96"/>
            </w:tcBorders>
            <w:vAlign w:val="center"/>
          </w:tcPr>
          <w:p w:rsidR="00954B58" w:rsidRPr="005E1103" w:rsidRDefault="00954B58" w:rsidP="00954B58">
            <w:pPr>
              <w:widowControl w:val="0"/>
              <w:tabs>
                <w:tab w:val="left" w:pos="1840"/>
              </w:tabs>
              <w:autoSpaceDE w:val="0"/>
              <w:autoSpaceDN w:val="0"/>
              <w:adjustRightInd w:val="0"/>
              <w:spacing w:after="0" w:line="240" w:lineRule="auto"/>
              <w:jc w:val="center"/>
              <w:rPr>
                <w:rFonts w:eastAsia="Cambria" w:cstheme="minorHAnsi"/>
                <w:color w:val="000000"/>
                <w:sz w:val="28"/>
                <w:szCs w:val="28"/>
                <w:lang w:val="en-US"/>
              </w:rPr>
            </w:pPr>
            <w:r w:rsidRPr="005E1103">
              <w:rPr>
                <w:rFonts w:eastAsia="Cambria" w:cstheme="minorHAnsi"/>
                <w:i/>
                <w:iCs/>
                <w:color w:val="000000"/>
                <w:sz w:val="28"/>
                <w:szCs w:val="28"/>
                <w:lang w:val="en-US"/>
              </w:rPr>
              <w:t>p</w:t>
            </w:r>
            <w:r w:rsidRPr="005E1103">
              <w:rPr>
                <w:rFonts w:eastAsia="Cambria" w:cstheme="minorHAnsi"/>
                <w:color w:val="000000"/>
                <w:sz w:val="28"/>
                <w:szCs w:val="28"/>
                <w:lang w:val="en-US"/>
              </w:rPr>
              <w:t>&gt;0,05</w:t>
            </w:r>
          </w:p>
          <w:p w:rsidR="00954B58" w:rsidRPr="005E1103" w:rsidRDefault="00954B58" w:rsidP="00954B58">
            <w:pPr>
              <w:widowControl w:val="0"/>
              <w:tabs>
                <w:tab w:val="left" w:pos="1840"/>
              </w:tabs>
              <w:autoSpaceDE w:val="0"/>
              <w:autoSpaceDN w:val="0"/>
              <w:adjustRightInd w:val="0"/>
              <w:spacing w:after="0" w:line="240" w:lineRule="auto"/>
              <w:jc w:val="center"/>
              <w:rPr>
                <w:rFonts w:eastAsia="Cambria" w:cstheme="minorHAnsi"/>
                <w:color w:val="000000"/>
                <w:kern w:val="1"/>
                <w:sz w:val="28"/>
                <w:szCs w:val="28"/>
                <w:lang w:val="en-US"/>
              </w:rPr>
            </w:pPr>
            <w:r w:rsidRPr="005E1103">
              <w:rPr>
                <w:rFonts w:eastAsia="Cambria" w:cstheme="minorHAnsi"/>
                <w:color w:val="000000"/>
                <w:sz w:val="28"/>
                <w:szCs w:val="28"/>
                <w:lang w:val="en-US"/>
              </w:rPr>
              <w:t>Se acepta H</w:t>
            </w:r>
            <w:r w:rsidRPr="005E1103">
              <w:rPr>
                <w:rFonts w:eastAsia="Cambria" w:cstheme="minorHAnsi"/>
                <w:color w:val="000000"/>
                <w:sz w:val="28"/>
                <w:szCs w:val="28"/>
                <w:vertAlign w:val="subscript"/>
                <w:lang w:val="en-US"/>
              </w:rPr>
              <w:t>0</w:t>
            </w:r>
          </w:p>
        </w:tc>
        <w:tc>
          <w:tcPr>
            <w:tcW w:w="1816" w:type="dxa"/>
            <w:tcBorders>
              <w:top w:val="single" w:sz="16" w:space="0" w:color="918F96"/>
              <w:left w:val="single" w:sz="16" w:space="0" w:color="918F96"/>
              <w:bottom w:val="single" w:sz="16" w:space="0" w:color="918F96"/>
              <w:right w:val="single" w:sz="16" w:space="0" w:color="909297"/>
            </w:tcBorders>
            <w:vAlign w:val="center"/>
          </w:tcPr>
          <w:p w:rsidR="00954B58" w:rsidRPr="005E1103" w:rsidRDefault="00954B58" w:rsidP="00954B58">
            <w:pPr>
              <w:widowControl w:val="0"/>
              <w:tabs>
                <w:tab w:val="left" w:pos="1840"/>
              </w:tabs>
              <w:autoSpaceDE w:val="0"/>
              <w:autoSpaceDN w:val="0"/>
              <w:adjustRightInd w:val="0"/>
              <w:spacing w:after="0" w:line="240" w:lineRule="auto"/>
              <w:jc w:val="both"/>
              <w:rPr>
                <w:rFonts w:eastAsia="Cambria" w:cstheme="minorHAnsi"/>
                <w:color w:val="000000"/>
                <w:kern w:val="1"/>
                <w:sz w:val="28"/>
                <w:szCs w:val="28"/>
              </w:rPr>
            </w:pPr>
            <w:r w:rsidRPr="005E1103">
              <w:rPr>
                <w:rFonts w:eastAsia="Cambria" w:cstheme="minorHAnsi"/>
                <w:color w:val="000000"/>
                <w:sz w:val="28"/>
                <w:szCs w:val="28"/>
              </w:rPr>
              <w:t xml:space="preserve">No hay diferencias estadísticamente significativas. </w:t>
            </w:r>
          </w:p>
        </w:tc>
      </w:tr>
      <w:tr w:rsidR="00954B58" w:rsidRPr="005E1103" w:rsidTr="00954B58">
        <w:trPr>
          <w:trHeight w:val="821"/>
        </w:trPr>
        <w:tc>
          <w:tcPr>
            <w:tcW w:w="4219" w:type="dxa"/>
            <w:tcBorders>
              <w:top w:val="single" w:sz="16" w:space="0" w:color="918F96"/>
              <w:left w:val="single" w:sz="16" w:space="0" w:color="909297"/>
              <w:bottom w:val="single" w:sz="16" w:space="0" w:color="918F96"/>
              <w:right w:val="single" w:sz="16" w:space="0" w:color="918F96"/>
            </w:tcBorders>
            <w:vAlign w:val="center"/>
          </w:tcPr>
          <w:p w:rsidR="00954B58" w:rsidRPr="005E1103" w:rsidRDefault="00954B58" w:rsidP="00954B58">
            <w:pPr>
              <w:widowControl w:val="0"/>
              <w:tabs>
                <w:tab w:val="left" w:pos="1840"/>
              </w:tabs>
              <w:autoSpaceDE w:val="0"/>
              <w:autoSpaceDN w:val="0"/>
              <w:adjustRightInd w:val="0"/>
              <w:spacing w:after="0" w:line="240" w:lineRule="auto"/>
              <w:jc w:val="both"/>
              <w:rPr>
                <w:rFonts w:eastAsia="Cambria" w:cstheme="minorHAnsi"/>
                <w:color w:val="000000"/>
                <w:kern w:val="1"/>
                <w:sz w:val="28"/>
                <w:szCs w:val="28"/>
              </w:rPr>
            </w:pPr>
            <w:r w:rsidRPr="005E1103">
              <w:rPr>
                <w:rFonts w:eastAsia="Cambria" w:cstheme="minorHAnsi"/>
                <w:color w:val="000000"/>
                <w:sz w:val="28"/>
                <w:szCs w:val="28"/>
              </w:rPr>
              <w:t>H8- Los hombres tienen un mejor índice de CV en general que las mujeres.</w:t>
            </w:r>
          </w:p>
        </w:tc>
        <w:tc>
          <w:tcPr>
            <w:tcW w:w="1418" w:type="dxa"/>
            <w:tcBorders>
              <w:top w:val="single" w:sz="16" w:space="0" w:color="918F96"/>
              <w:left w:val="single" w:sz="16" w:space="0" w:color="918F96"/>
              <w:bottom w:val="single" w:sz="16" w:space="0" w:color="918F96"/>
              <w:right w:val="single" w:sz="16" w:space="0" w:color="918F96"/>
            </w:tcBorders>
            <w:vAlign w:val="center"/>
          </w:tcPr>
          <w:p w:rsidR="00954B58" w:rsidRPr="005E1103" w:rsidRDefault="00954B58" w:rsidP="00954B58">
            <w:pPr>
              <w:widowControl w:val="0"/>
              <w:tabs>
                <w:tab w:val="left" w:pos="1840"/>
              </w:tabs>
              <w:autoSpaceDE w:val="0"/>
              <w:autoSpaceDN w:val="0"/>
              <w:adjustRightInd w:val="0"/>
              <w:spacing w:after="0" w:line="240" w:lineRule="auto"/>
              <w:jc w:val="center"/>
              <w:rPr>
                <w:rFonts w:eastAsia="Cambria" w:cstheme="minorHAnsi"/>
                <w:color w:val="000000"/>
                <w:kern w:val="1"/>
                <w:sz w:val="28"/>
                <w:szCs w:val="28"/>
              </w:rPr>
            </w:pPr>
            <w:r w:rsidRPr="005E1103">
              <w:rPr>
                <w:rFonts w:eastAsia="Cambria" w:cstheme="minorHAnsi"/>
                <w:color w:val="000000"/>
                <w:sz w:val="28"/>
                <w:szCs w:val="28"/>
              </w:rPr>
              <w:t xml:space="preserve">Prueba </w:t>
            </w:r>
            <w:r w:rsidRPr="005E1103">
              <w:rPr>
                <w:rFonts w:eastAsia="Cambria" w:cstheme="minorHAnsi"/>
                <w:i/>
                <w:iCs/>
                <w:color w:val="000000"/>
                <w:sz w:val="28"/>
                <w:szCs w:val="28"/>
              </w:rPr>
              <w:t>U de Mann-Whitney</w:t>
            </w:r>
          </w:p>
        </w:tc>
        <w:tc>
          <w:tcPr>
            <w:tcW w:w="1275" w:type="dxa"/>
            <w:tcBorders>
              <w:top w:val="single" w:sz="16" w:space="0" w:color="918F96"/>
              <w:left w:val="single" w:sz="16" w:space="0" w:color="918F96"/>
              <w:bottom w:val="single" w:sz="16" w:space="0" w:color="918F96"/>
              <w:right w:val="single" w:sz="16" w:space="0" w:color="918F96"/>
            </w:tcBorders>
            <w:vAlign w:val="center"/>
          </w:tcPr>
          <w:p w:rsidR="00954B58" w:rsidRPr="005E1103" w:rsidRDefault="00954B58" w:rsidP="00954B58">
            <w:pPr>
              <w:widowControl w:val="0"/>
              <w:tabs>
                <w:tab w:val="left" w:pos="1840"/>
              </w:tabs>
              <w:autoSpaceDE w:val="0"/>
              <w:autoSpaceDN w:val="0"/>
              <w:adjustRightInd w:val="0"/>
              <w:spacing w:after="0" w:line="240" w:lineRule="auto"/>
              <w:jc w:val="center"/>
              <w:rPr>
                <w:rFonts w:eastAsia="Cambria" w:cstheme="minorHAnsi"/>
                <w:color w:val="000000"/>
                <w:sz w:val="28"/>
                <w:szCs w:val="28"/>
                <w:lang w:val="en-US"/>
              </w:rPr>
            </w:pPr>
            <w:r w:rsidRPr="005E1103">
              <w:rPr>
                <w:rFonts w:eastAsia="Cambria" w:cstheme="minorHAnsi"/>
                <w:i/>
                <w:iCs/>
                <w:color w:val="000000"/>
                <w:sz w:val="28"/>
                <w:szCs w:val="28"/>
                <w:lang w:val="en-US"/>
              </w:rPr>
              <w:t>p</w:t>
            </w:r>
            <w:r w:rsidRPr="005E1103">
              <w:rPr>
                <w:rFonts w:eastAsia="Cambria" w:cstheme="minorHAnsi"/>
                <w:color w:val="000000"/>
                <w:sz w:val="28"/>
                <w:szCs w:val="28"/>
                <w:lang w:val="en-US"/>
              </w:rPr>
              <w:t>&gt;0,05</w:t>
            </w:r>
          </w:p>
          <w:p w:rsidR="00954B58" w:rsidRPr="005E1103" w:rsidRDefault="00954B58" w:rsidP="00954B58">
            <w:pPr>
              <w:widowControl w:val="0"/>
              <w:tabs>
                <w:tab w:val="left" w:pos="1840"/>
              </w:tabs>
              <w:autoSpaceDE w:val="0"/>
              <w:autoSpaceDN w:val="0"/>
              <w:adjustRightInd w:val="0"/>
              <w:spacing w:after="0" w:line="240" w:lineRule="auto"/>
              <w:jc w:val="center"/>
              <w:rPr>
                <w:rFonts w:eastAsia="Cambria" w:cstheme="minorHAnsi"/>
                <w:color w:val="000000"/>
                <w:kern w:val="1"/>
                <w:sz w:val="28"/>
                <w:szCs w:val="28"/>
                <w:lang w:val="en-US"/>
              </w:rPr>
            </w:pPr>
            <w:r w:rsidRPr="005E1103">
              <w:rPr>
                <w:rFonts w:eastAsia="Cambria" w:cstheme="minorHAnsi"/>
                <w:color w:val="000000"/>
                <w:sz w:val="28"/>
                <w:szCs w:val="28"/>
                <w:lang w:val="en-US"/>
              </w:rPr>
              <w:t>Se acepta H</w:t>
            </w:r>
            <w:r w:rsidRPr="005E1103">
              <w:rPr>
                <w:rFonts w:eastAsia="Cambria" w:cstheme="minorHAnsi"/>
                <w:color w:val="000000"/>
                <w:sz w:val="28"/>
                <w:szCs w:val="28"/>
                <w:vertAlign w:val="subscript"/>
                <w:lang w:val="en-US"/>
              </w:rPr>
              <w:t>0</w:t>
            </w:r>
          </w:p>
        </w:tc>
        <w:tc>
          <w:tcPr>
            <w:tcW w:w="1816" w:type="dxa"/>
            <w:tcBorders>
              <w:top w:val="single" w:sz="16" w:space="0" w:color="918F96"/>
              <w:left w:val="single" w:sz="16" w:space="0" w:color="918F96"/>
              <w:bottom w:val="single" w:sz="16" w:space="0" w:color="918F96"/>
              <w:right w:val="single" w:sz="16" w:space="0" w:color="909297"/>
            </w:tcBorders>
            <w:vAlign w:val="center"/>
          </w:tcPr>
          <w:p w:rsidR="00954B58" w:rsidRPr="005E1103" w:rsidRDefault="00954B58" w:rsidP="00954B58">
            <w:pPr>
              <w:widowControl w:val="0"/>
              <w:tabs>
                <w:tab w:val="left" w:pos="1840"/>
              </w:tabs>
              <w:autoSpaceDE w:val="0"/>
              <w:autoSpaceDN w:val="0"/>
              <w:adjustRightInd w:val="0"/>
              <w:spacing w:after="0" w:line="240" w:lineRule="auto"/>
              <w:jc w:val="both"/>
              <w:rPr>
                <w:rFonts w:eastAsia="Cambria" w:cstheme="minorHAnsi"/>
                <w:color w:val="000000"/>
                <w:kern w:val="1"/>
                <w:sz w:val="28"/>
                <w:szCs w:val="28"/>
              </w:rPr>
            </w:pPr>
            <w:r w:rsidRPr="005E1103">
              <w:rPr>
                <w:rFonts w:eastAsia="Cambria" w:cstheme="minorHAnsi"/>
                <w:color w:val="000000"/>
                <w:sz w:val="28"/>
                <w:szCs w:val="28"/>
              </w:rPr>
              <w:t xml:space="preserve">No hay diferencias estadísticamente significativas. </w:t>
            </w:r>
          </w:p>
        </w:tc>
      </w:tr>
      <w:tr w:rsidR="00954B58" w:rsidRPr="005E1103" w:rsidTr="00954B58">
        <w:trPr>
          <w:trHeight w:val="805"/>
        </w:trPr>
        <w:tc>
          <w:tcPr>
            <w:tcW w:w="4219" w:type="dxa"/>
            <w:tcBorders>
              <w:top w:val="single" w:sz="16" w:space="0" w:color="918F96"/>
              <w:left w:val="single" w:sz="16" w:space="0" w:color="909297"/>
              <w:bottom w:val="single" w:sz="16" w:space="0" w:color="909297"/>
              <w:right w:val="single" w:sz="16" w:space="0" w:color="918F96"/>
            </w:tcBorders>
            <w:vAlign w:val="center"/>
          </w:tcPr>
          <w:p w:rsidR="00954B58" w:rsidRPr="005E1103" w:rsidRDefault="00954B58" w:rsidP="00954B58">
            <w:pPr>
              <w:widowControl w:val="0"/>
              <w:tabs>
                <w:tab w:val="left" w:pos="1840"/>
              </w:tabs>
              <w:autoSpaceDE w:val="0"/>
              <w:autoSpaceDN w:val="0"/>
              <w:adjustRightInd w:val="0"/>
              <w:spacing w:after="0" w:line="240" w:lineRule="auto"/>
              <w:jc w:val="both"/>
              <w:rPr>
                <w:rFonts w:eastAsia="Cambria" w:cstheme="minorHAnsi"/>
                <w:color w:val="000000"/>
                <w:kern w:val="1"/>
                <w:sz w:val="28"/>
                <w:szCs w:val="28"/>
              </w:rPr>
            </w:pPr>
            <w:r w:rsidRPr="005E1103">
              <w:rPr>
                <w:rFonts w:eastAsia="Cambria" w:cstheme="minorHAnsi"/>
                <w:color w:val="000000"/>
                <w:sz w:val="28"/>
                <w:szCs w:val="28"/>
              </w:rPr>
              <w:t>H9- Las personas residentes en el ámbito urbano presentarán niveles superiores de CV que las de ámbito rural.</w:t>
            </w:r>
          </w:p>
        </w:tc>
        <w:tc>
          <w:tcPr>
            <w:tcW w:w="1418" w:type="dxa"/>
            <w:tcBorders>
              <w:top w:val="single" w:sz="16" w:space="0" w:color="918F96"/>
              <w:left w:val="single" w:sz="16" w:space="0" w:color="918F96"/>
              <w:bottom w:val="single" w:sz="16" w:space="0" w:color="909297"/>
              <w:right w:val="single" w:sz="16" w:space="0" w:color="918F96"/>
            </w:tcBorders>
            <w:vAlign w:val="center"/>
          </w:tcPr>
          <w:p w:rsidR="00954B58" w:rsidRPr="005E1103" w:rsidRDefault="00954B58" w:rsidP="00954B58">
            <w:pPr>
              <w:widowControl w:val="0"/>
              <w:tabs>
                <w:tab w:val="left" w:pos="1840"/>
              </w:tabs>
              <w:autoSpaceDE w:val="0"/>
              <w:autoSpaceDN w:val="0"/>
              <w:adjustRightInd w:val="0"/>
              <w:spacing w:after="0" w:line="240" w:lineRule="auto"/>
              <w:jc w:val="center"/>
              <w:rPr>
                <w:rFonts w:eastAsia="Cambria" w:cstheme="minorHAnsi"/>
                <w:color w:val="000000"/>
                <w:kern w:val="1"/>
                <w:sz w:val="28"/>
                <w:szCs w:val="28"/>
              </w:rPr>
            </w:pPr>
            <w:r w:rsidRPr="005E1103">
              <w:rPr>
                <w:rFonts w:eastAsia="Cambria" w:cstheme="minorHAnsi"/>
                <w:color w:val="000000"/>
                <w:sz w:val="28"/>
                <w:szCs w:val="28"/>
              </w:rPr>
              <w:t xml:space="preserve">Prueba </w:t>
            </w:r>
            <w:r w:rsidRPr="005E1103">
              <w:rPr>
                <w:rFonts w:eastAsia="Cambria" w:cstheme="minorHAnsi"/>
                <w:i/>
                <w:iCs/>
                <w:color w:val="000000"/>
                <w:sz w:val="28"/>
                <w:szCs w:val="28"/>
              </w:rPr>
              <w:t>U de Mann-Whitney</w:t>
            </w:r>
          </w:p>
        </w:tc>
        <w:tc>
          <w:tcPr>
            <w:tcW w:w="1275" w:type="dxa"/>
            <w:tcBorders>
              <w:top w:val="single" w:sz="16" w:space="0" w:color="918F96"/>
              <w:left w:val="single" w:sz="16" w:space="0" w:color="918F96"/>
              <w:bottom w:val="single" w:sz="16" w:space="0" w:color="909297"/>
              <w:right w:val="single" w:sz="16" w:space="0" w:color="918F96"/>
            </w:tcBorders>
            <w:vAlign w:val="center"/>
          </w:tcPr>
          <w:p w:rsidR="00954B58" w:rsidRPr="005E1103" w:rsidRDefault="00954B58" w:rsidP="00954B58">
            <w:pPr>
              <w:widowControl w:val="0"/>
              <w:tabs>
                <w:tab w:val="left" w:pos="1840"/>
              </w:tabs>
              <w:autoSpaceDE w:val="0"/>
              <w:autoSpaceDN w:val="0"/>
              <w:adjustRightInd w:val="0"/>
              <w:spacing w:after="0" w:line="240" w:lineRule="auto"/>
              <w:jc w:val="center"/>
              <w:rPr>
                <w:rFonts w:eastAsia="Cambria" w:cstheme="minorHAnsi"/>
                <w:color w:val="000000"/>
                <w:sz w:val="28"/>
                <w:szCs w:val="28"/>
                <w:lang w:val="en-US"/>
              </w:rPr>
            </w:pPr>
            <w:r w:rsidRPr="005E1103">
              <w:rPr>
                <w:rFonts w:eastAsia="Cambria" w:cstheme="minorHAnsi"/>
                <w:i/>
                <w:iCs/>
                <w:color w:val="000000"/>
                <w:sz w:val="28"/>
                <w:szCs w:val="28"/>
                <w:lang w:val="en-US"/>
              </w:rPr>
              <w:t>p</w:t>
            </w:r>
            <w:r w:rsidRPr="005E1103">
              <w:rPr>
                <w:rFonts w:eastAsia="Cambria" w:cstheme="minorHAnsi"/>
                <w:color w:val="000000"/>
                <w:sz w:val="28"/>
                <w:szCs w:val="28"/>
                <w:lang w:val="en-US"/>
              </w:rPr>
              <w:t>&gt;0,05</w:t>
            </w:r>
          </w:p>
          <w:p w:rsidR="00954B58" w:rsidRPr="005E1103" w:rsidRDefault="00954B58" w:rsidP="00954B58">
            <w:pPr>
              <w:widowControl w:val="0"/>
              <w:tabs>
                <w:tab w:val="left" w:pos="1840"/>
              </w:tabs>
              <w:autoSpaceDE w:val="0"/>
              <w:autoSpaceDN w:val="0"/>
              <w:adjustRightInd w:val="0"/>
              <w:spacing w:after="0" w:line="240" w:lineRule="auto"/>
              <w:jc w:val="center"/>
              <w:rPr>
                <w:rFonts w:eastAsia="Cambria" w:cstheme="minorHAnsi"/>
                <w:color w:val="000000"/>
                <w:kern w:val="1"/>
                <w:sz w:val="28"/>
                <w:szCs w:val="28"/>
                <w:lang w:val="en-US"/>
              </w:rPr>
            </w:pPr>
            <w:r w:rsidRPr="005E1103">
              <w:rPr>
                <w:rFonts w:eastAsia="Cambria" w:cstheme="minorHAnsi"/>
                <w:color w:val="000000"/>
                <w:sz w:val="28"/>
                <w:szCs w:val="28"/>
                <w:lang w:val="en-US"/>
              </w:rPr>
              <w:t>Se acepta H</w:t>
            </w:r>
            <w:r w:rsidRPr="005E1103">
              <w:rPr>
                <w:rFonts w:eastAsia="Cambria" w:cstheme="minorHAnsi"/>
                <w:color w:val="000000"/>
                <w:sz w:val="28"/>
                <w:szCs w:val="28"/>
                <w:vertAlign w:val="subscript"/>
                <w:lang w:val="en-US"/>
              </w:rPr>
              <w:t>0</w:t>
            </w:r>
          </w:p>
        </w:tc>
        <w:tc>
          <w:tcPr>
            <w:tcW w:w="1816" w:type="dxa"/>
            <w:tcBorders>
              <w:top w:val="single" w:sz="16" w:space="0" w:color="918F96"/>
              <w:left w:val="single" w:sz="16" w:space="0" w:color="918F96"/>
              <w:bottom w:val="single" w:sz="16" w:space="0" w:color="909297"/>
              <w:right w:val="single" w:sz="16" w:space="0" w:color="909297"/>
            </w:tcBorders>
            <w:vAlign w:val="center"/>
          </w:tcPr>
          <w:p w:rsidR="00954B58" w:rsidRPr="005E1103" w:rsidRDefault="00954B58" w:rsidP="00954B58">
            <w:pPr>
              <w:widowControl w:val="0"/>
              <w:tabs>
                <w:tab w:val="left" w:pos="1840"/>
              </w:tabs>
              <w:autoSpaceDE w:val="0"/>
              <w:autoSpaceDN w:val="0"/>
              <w:adjustRightInd w:val="0"/>
              <w:spacing w:after="0" w:line="240" w:lineRule="auto"/>
              <w:jc w:val="both"/>
              <w:rPr>
                <w:rFonts w:eastAsia="Cambria" w:cstheme="minorHAnsi"/>
                <w:color w:val="000000"/>
                <w:kern w:val="1"/>
                <w:sz w:val="28"/>
                <w:szCs w:val="28"/>
              </w:rPr>
            </w:pPr>
            <w:r w:rsidRPr="005E1103">
              <w:rPr>
                <w:rFonts w:eastAsia="Cambria" w:cstheme="minorHAnsi"/>
                <w:color w:val="000000"/>
                <w:sz w:val="28"/>
                <w:szCs w:val="28"/>
              </w:rPr>
              <w:t xml:space="preserve">No hay diferencias estadísticamente significativas. </w:t>
            </w:r>
          </w:p>
        </w:tc>
      </w:tr>
    </w:tbl>
    <w:p w:rsidR="00954B58" w:rsidRPr="005E1103" w:rsidRDefault="00954B58" w:rsidP="00954B58">
      <w:pPr>
        <w:spacing w:after="0" w:line="360" w:lineRule="auto"/>
        <w:jc w:val="both"/>
        <w:rPr>
          <w:rFonts w:eastAsia="Times New Roman" w:cstheme="minorHAnsi"/>
          <w:i/>
          <w:color w:val="000000"/>
          <w:sz w:val="28"/>
          <w:szCs w:val="28"/>
          <w:lang w:eastAsia="es-ES"/>
        </w:rPr>
      </w:pPr>
      <w:r w:rsidRPr="005E1103">
        <w:rPr>
          <w:rFonts w:eastAsia="Times New Roman" w:cstheme="minorHAnsi"/>
          <w:color w:val="000000"/>
          <w:sz w:val="28"/>
          <w:szCs w:val="28"/>
          <w:lang w:eastAsia="es-ES"/>
        </w:rPr>
        <w:t xml:space="preserve">Tabla </w:t>
      </w:r>
      <w:r w:rsidRPr="005E1103">
        <w:rPr>
          <w:rFonts w:eastAsia="Times New Roman" w:cstheme="minorHAnsi"/>
          <w:i/>
          <w:color w:val="000000"/>
          <w:sz w:val="28"/>
          <w:szCs w:val="28"/>
          <w:lang w:eastAsia="es-ES"/>
        </w:rPr>
        <w:t xml:space="preserve">1. </w:t>
      </w:r>
      <w:r w:rsidRPr="005E1103">
        <w:rPr>
          <w:rFonts w:eastAsia="Times New Roman" w:cstheme="minorHAnsi"/>
          <w:color w:val="000000"/>
          <w:sz w:val="28"/>
          <w:szCs w:val="28"/>
          <w:lang w:eastAsia="es-ES"/>
        </w:rPr>
        <w:t xml:space="preserve">Relación de hipótesis y contraste. Fuente: elaboración propia (2013). </w:t>
      </w:r>
    </w:p>
    <w:p w:rsidR="00954B58" w:rsidRPr="005E1103" w:rsidRDefault="00954B58" w:rsidP="00954B58">
      <w:pPr>
        <w:spacing w:after="0" w:line="360" w:lineRule="auto"/>
        <w:jc w:val="both"/>
        <w:rPr>
          <w:rFonts w:eastAsia="Times New Roman" w:cstheme="minorHAnsi"/>
          <w:color w:val="000000"/>
          <w:sz w:val="28"/>
          <w:szCs w:val="28"/>
          <w:lang w:eastAsia="es-ES"/>
        </w:rPr>
      </w:pPr>
    </w:p>
    <w:p w:rsidR="00954B58" w:rsidRPr="005E1103" w:rsidRDefault="00954B58" w:rsidP="00954B58">
      <w:pPr>
        <w:spacing w:after="0" w:line="360" w:lineRule="auto"/>
        <w:jc w:val="both"/>
        <w:rPr>
          <w:rFonts w:eastAsia="Times New Roman" w:cstheme="minorHAnsi"/>
          <w:color w:val="000000"/>
          <w:sz w:val="28"/>
          <w:szCs w:val="28"/>
          <w:lang w:eastAsia="es-ES"/>
        </w:rPr>
      </w:pPr>
      <w:r w:rsidRPr="005E1103">
        <w:rPr>
          <w:rFonts w:eastAsia="Times New Roman" w:cstheme="minorHAnsi"/>
          <w:color w:val="000000"/>
          <w:sz w:val="28"/>
          <w:szCs w:val="28"/>
          <w:lang w:eastAsia="es-ES"/>
        </w:rPr>
        <w:t>Por otro lado, centrándonos en la evaluación global de cada dimensión de la escala, constatamos que el percentil del Índice de Calidad de Vida es de 65,4 (ver Tabla 2).</w:t>
      </w:r>
    </w:p>
    <w:tbl>
      <w:tblPr>
        <w:tblW w:w="8007" w:type="dxa"/>
        <w:jc w:val="cente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ayout w:type="fixed"/>
        <w:tblLook w:val="0000" w:firstRow="0" w:lastRow="0" w:firstColumn="0" w:lastColumn="0" w:noHBand="0" w:noVBand="0"/>
      </w:tblPr>
      <w:tblGrid>
        <w:gridCol w:w="2464"/>
        <w:gridCol w:w="2210"/>
        <w:gridCol w:w="1387"/>
        <w:gridCol w:w="1946"/>
      </w:tblGrid>
      <w:tr w:rsidR="00954B58" w:rsidRPr="005E1103" w:rsidTr="00954B58">
        <w:trPr>
          <w:trHeight w:val="422"/>
          <w:jc w:val="center"/>
        </w:trPr>
        <w:tc>
          <w:tcPr>
            <w:tcW w:w="6061" w:type="dxa"/>
            <w:gridSpan w:val="3"/>
            <w:shd w:val="clear" w:color="auto" w:fill="auto"/>
            <w:tcMar>
              <w:left w:w="0" w:type="dxa"/>
              <w:right w:w="0" w:type="dxa"/>
            </w:tcMar>
            <w:vAlign w:val="center"/>
          </w:tcPr>
          <w:p w:rsidR="00954B58" w:rsidRPr="005E1103" w:rsidRDefault="00954B58" w:rsidP="00954B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center"/>
              <w:rPr>
                <w:rFonts w:eastAsia="Times New Roman" w:cstheme="minorHAnsi"/>
                <w:b/>
                <w:color w:val="000000"/>
                <w:sz w:val="28"/>
                <w:szCs w:val="28"/>
                <w:lang w:eastAsia="es-ES"/>
              </w:rPr>
            </w:pPr>
            <w:bookmarkStart w:id="53" w:name="OLE_LINK1"/>
            <w:r w:rsidRPr="005E1103">
              <w:rPr>
                <w:rFonts w:eastAsia="Times New Roman" w:cstheme="minorHAnsi"/>
                <w:b/>
                <w:color w:val="000000"/>
                <w:sz w:val="28"/>
                <w:szCs w:val="28"/>
                <w:lang w:eastAsia="es-ES"/>
              </w:rPr>
              <w:t>INFORME DE OTRAS PERSONAS - Valores medios</w:t>
            </w:r>
          </w:p>
        </w:tc>
        <w:tc>
          <w:tcPr>
            <w:tcW w:w="1946" w:type="dxa"/>
            <w:shd w:val="clear" w:color="auto" w:fill="auto"/>
            <w:vAlign w:val="center"/>
          </w:tcPr>
          <w:p w:rsidR="00954B58" w:rsidRPr="005E1103" w:rsidRDefault="00954B58" w:rsidP="00954B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center"/>
              <w:rPr>
                <w:rFonts w:eastAsia="Times New Roman" w:cstheme="minorHAnsi"/>
                <w:color w:val="000000"/>
                <w:sz w:val="28"/>
                <w:szCs w:val="28"/>
                <w:lang w:eastAsia="es-ES"/>
              </w:rPr>
            </w:pPr>
            <w:r w:rsidRPr="005E1103">
              <w:rPr>
                <w:rFonts w:eastAsia="Times New Roman" w:cstheme="minorHAnsi"/>
                <w:color w:val="000000"/>
                <w:sz w:val="28"/>
                <w:szCs w:val="28"/>
                <w:lang w:eastAsia="es-ES"/>
              </w:rPr>
              <w:t>Nº de registros: 75</w:t>
            </w:r>
          </w:p>
        </w:tc>
      </w:tr>
      <w:tr w:rsidR="00954B58" w:rsidRPr="005E1103" w:rsidTr="00954B58">
        <w:trPr>
          <w:trHeight w:val="495"/>
          <w:jc w:val="center"/>
        </w:trPr>
        <w:tc>
          <w:tcPr>
            <w:tcW w:w="2464" w:type="dxa"/>
            <w:shd w:val="clear" w:color="auto" w:fill="auto"/>
            <w:tcMar>
              <w:left w:w="0" w:type="dxa"/>
              <w:right w:w="0" w:type="dxa"/>
            </w:tcMar>
            <w:vAlign w:val="center"/>
          </w:tcPr>
          <w:p w:rsidR="00954B58" w:rsidRPr="005E1103" w:rsidRDefault="00954B58" w:rsidP="00954B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240" w:lineRule="auto"/>
              <w:jc w:val="center"/>
              <w:rPr>
                <w:rFonts w:eastAsia="Times New Roman" w:cstheme="minorHAnsi"/>
                <w:color w:val="000000"/>
                <w:sz w:val="28"/>
                <w:szCs w:val="28"/>
                <w:lang w:eastAsia="es-ES"/>
              </w:rPr>
            </w:pPr>
            <w:r w:rsidRPr="005E1103">
              <w:rPr>
                <w:rFonts w:eastAsia="Times New Roman" w:cstheme="minorHAnsi"/>
                <w:color w:val="000000"/>
                <w:sz w:val="28"/>
                <w:szCs w:val="28"/>
                <w:lang w:eastAsia="es-ES"/>
              </w:rPr>
              <w:t>Dimensiones de CV</w:t>
            </w:r>
          </w:p>
        </w:tc>
        <w:tc>
          <w:tcPr>
            <w:tcW w:w="2210" w:type="dxa"/>
            <w:shd w:val="clear" w:color="auto" w:fill="auto"/>
            <w:vAlign w:val="center"/>
          </w:tcPr>
          <w:p w:rsidR="00954B58" w:rsidRPr="005E1103" w:rsidRDefault="00954B58" w:rsidP="00954B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240" w:lineRule="auto"/>
              <w:jc w:val="center"/>
              <w:rPr>
                <w:rFonts w:eastAsia="Times New Roman" w:cstheme="minorHAnsi"/>
                <w:color w:val="000000"/>
                <w:sz w:val="28"/>
                <w:szCs w:val="28"/>
                <w:lang w:eastAsia="es-ES"/>
              </w:rPr>
            </w:pPr>
            <w:r w:rsidRPr="005E1103">
              <w:rPr>
                <w:rFonts w:eastAsia="Times New Roman" w:cstheme="minorHAnsi"/>
                <w:color w:val="000000"/>
                <w:sz w:val="28"/>
                <w:szCs w:val="28"/>
                <w:lang w:eastAsia="es-ES"/>
              </w:rPr>
              <w:t>Puntuaciones directas totales</w:t>
            </w:r>
          </w:p>
        </w:tc>
        <w:tc>
          <w:tcPr>
            <w:tcW w:w="1387" w:type="dxa"/>
            <w:shd w:val="clear" w:color="auto" w:fill="auto"/>
            <w:vAlign w:val="center"/>
          </w:tcPr>
          <w:p w:rsidR="00954B58" w:rsidRPr="005E1103" w:rsidRDefault="00954B58" w:rsidP="00954B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240" w:lineRule="auto"/>
              <w:jc w:val="center"/>
              <w:rPr>
                <w:rFonts w:eastAsia="Times New Roman" w:cstheme="minorHAnsi"/>
                <w:color w:val="000000"/>
                <w:sz w:val="28"/>
                <w:szCs w:val="28"/>
                <w:lang w:eastAsia="es-ES"/>
              </w:rPr>
            </w:pPr>
            <w:r w:rsidRPr="005E1103">
              <w:rPr>
                <w:rFonts w:eastAsia="Times New Roman" w:cstheme="minorHAnsi"/>
                <w:color w:val="000000"/>
                <w:sz w:val="28"/>
                <w:szCs w:val="28"/>
                <w:lang w:eastAsia="es-ES"/>
              </w:rPr>
              <w:t>Puntuaciones estándar</w:t>
            </w:r>
          </w:p>
        </w:tc>
        <w:tc>
          <w:tcPr>
            <w:tcW w:w="1946" w:type="dxa"/>
            <w:shd w:val="clear" w:color="auto" w:fill="auto"/>
            <w:vAlign w:val="center"/>
          </w:tcPr>
          <w:p w:rsidR="00954B58" w:rsidRPr="005E1103" w:rsidRDefault="00954B58" w:rsidP="00954B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240" w:lineRule="auto"/>
              <w:jc w:val="center"/>
              <w:rPr>
                <w:rFonts w:eastAsia="Times New Roman" w:cstheme="minorHAnsi"/>
                <w:color w:val="000000"/>
                <w:sz w:val="28"/>
                <w:szCs w:val="28"/>
                <w:lang w:eastAsia="es-ES"/>
              </w:rPr>
            </w:pPr>
            <w:r w:rsidRPr="005E1103">
              <w:rPr>
                <w:rFonts w:eastAsia="Times New Roman" w:cstheme="minorHAnsi"/>
                <w:color w:val="000000"/>
                <w:sz w:val="28"/>
                <w:szCs w:val="28"/>
                <w:lang w:eastAsia="es-ES"/>
              </w:rPr>
              <w:t>Percentiles de las dimensiones</w:t>
            </w:r>
          </w:p>
        </w:tc>
      </w:tr>
      <w:tr w:rsidR="00954B58" w:rsidRPr="005E1103" w:rsidTr="00954B58">
        <w:trPr>
          <w:trHeight w:val="248"/>
          <w:jc w:val="center"/>
        </w:trPr>
        <w:tc>
          <w:tcPr>
            <w:tcW w:w="2464" w:type="dxa"/>
            <w:shd w:val="clear" w:color="auto" w:fill="auto"/>
            <w:tcMar>
              <w:left w:w="0" w:type="dxa"/>
              <w:right w:w="0" w:type="dxa"/>
            </w:tcMar>
            <w:vAlign w:val="center"/>
          </w:tcPr>
          <w:p w:rsidR="00954B58" w:rsidRPr="005E1103" w:rsidRDefault="00954B58" w:rsidP="00954B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center"/>
              <w:rPr>
                <w:rFonts w:eastAsia="Times New Roman" w:cstheme="minorHAnsi"/>
                <w:color w:val="000000"/>
                <w:sz w:val="28"/>
                <w:szCs w:val="28"/>
                <w:lang w:eastAsia="es-ES"/>
              </w:rPr>
            </w:pPr>
            <w:r w:rsidRPr="005E1103">
              <w:rPr>
                <w:rFonts w:eastAsia="Times New Roman" w:cstheme="minorHAnsi"/>
                <w:color w:val="000000"/>
                <w:sz w:val="28"/>
                <w:szCs w:val="28"/>
                <w:lang w:eastAsia="es-ES"/>
              </w:rPr>
              <w:t>Autodeterminación</w:t>
            </w:r>
          </w:p>
        </w:tc>
        <w:tc>
          <w:tcPr>
            <w:tcW w:w="2210" w:type="dxa"/>
            <w:shd w:val="clear" w:color="auto" w:fill="auto"/>
            <w:vAlign w:val="center"/>
          </w:tcPr>
          <w:p w:rsidR="00954B58" w:rsidRPr="005E1103" w:rsidRDefault="00954B58" w:rsidP="00954B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center"/>
              <w:rPr>
                <w:rFonts w:eastAsia="Times New Roman" w:cstheme="minorHAnsi"/>
                <w:color w:val="000000"/>
                <w:sz w:val="28"/>
                <w:szCs w:val="28"/>
                <w:lang w:eastAsia="es-ES"/>
              </w:rPr>
            </w:pPr>
            <w:r w:rsidRPr="005E1103">
              <w:rPr>
                <w:rFonts w:eastAsia="Times New Roman" w:cstheme="minorHAnsi"/>
                <w:color w:val="000000"/>
                <w:sz w:val="28"/>
                <w:szCs w:val="28"/>
                <w:lang w:eastAsia="es-ES"/>
              </w:rPr>
              <w:t>25,8</w:t>
            </w:r>
          </w:p>
        </w:tc>
        <w:tc>
          <w:tcPr>
            <w:tcW w:w="1387" w:type="dxa"/>
            <w:shd w:val="clear" w:color="auto" w:fill="auto"/>
            <w:vAlign w:val="center"/>
          </w:tcPr>
          <w:p w:rsidR="00954B58" w:rsidRPr="005E1103" w:rsidRDefault="00954B58" w:rsidP="00954B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center"/>
              <w:rPr>
                <w:rFonts w:eastAsia="Times New Roman" w:cstheme="minorHAnsi"/>
                <w:color w:val="000000"/>
                <w:sz w:val="28"/>
                <w:szCs w:val="28"/>
                <w:lang w:eastAsia="es-ES"/>
              </w:rPr>
            </w:pPr>
            <w:r w:rsidRPr="005E1103">
              <w:rPr>
                <w:rFonts w:eastAsia="Times New Roman" w:cstheme="minorHAnsi"/>
                <w:color w:val="000000"/>
                <w:sz w:val="28"/>
                <w:szCs w:val="28"/>
                <w:lang w:eastAsia="es-ES"/>
              </w:rPr>
              <w:t>11,0</w:t>
            </w:r>
          </w:p>
        </w:tc>
        <w:tc>
          <w:tcPr>
            <w:tcW w:w="1946" w:type="dxa"/>
            <w:shd w:val="clear" w:color="auto" w:fill="auto"/>
            <w:vAlign w:val="center"/>
          </w:tcPr>
          <w:p w:rsidR="00954B58" w:rsidRPr="005E1103" w:rsidRDefault="00954B58" w:rsidP="00954B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center"/>
              <w:rPr>
                <w:rFonts w:eastAsia="Times New Roman" w:cstheme="minorHAnsi"/>
                <w:color w:val="000000"/>
                <w:sz w:val="28"/>
                <w:szCs w:val="28"/>
                <w:lang w:eastAsia="es-ES"/>
              </w:rPr>
            </w:pPr>
            <w:r w:rsidRPr="005E1103">
              <w:rPr>
                <w:rFonts w:eastAsia="Times New Roman" w:cstheme="minorHAnsi"/>
                <w:color w:val="000000"/>
                <w:sz w:val="28"/>
                <w:szCs w:val="28"/>
                <w:lang w:eastAsia="es-ES"/>
              </w:rPr>
              <w:t>56,5</w:t>
            </w:r>
          </w:p>
        </w:tc>
      </w:tr>
      <w:tr w:rsidR="00954B58" w:rsidRPr="005E1103" w:rsidTr="00954B58">
        <w:trPr>
          <w:trHeight w:val="248"/>
          <w:jc w:val="center"/>
        </w:trPr>
        <w:tc>
          <w:tcPr>
            <w:tcW w:w="2464" w:type="dxa"/>
            <w:shd w:val="clear" w:color="auto" w:fill="auto"/>
            <w:tcMar>
              <w:left w:w="0" w:type="dxa"/>
              <w:right w:w="0" w:type="dxa"/>
            </w:tcMar>
            <w:vAlign w:val="center"/>
          </w:tcPr>
          <w:p w:rsidR="00954B58" w:rsidRPr="005E1103" w:rsidRDefault="00954B58" w:rsidP="00954B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center"/>
              <w:rPr>
                <w:rFonts w:eastAsia="Times New Roman" w:cstheme="minorHAnsi"/>
                <w:color w:val="000000"/>
                <w:sz w:val="28"/>
                <w:szCs w:val="28"/>
                <w:lang w:eastAsia="es-ES"/>
              </w:rPr>
            </w:pPr>
            <w:r w:rsidRPr="005E1103">
              <w:rPr>
                <w:rFonts w:eastAsia="Times New Roman" w:cstheme="minorHAnsi"/>
                <w:color w:val="000000"/>
                <w:sz w:val="28"/>
                <w:szCs w:val="28"/>
                <w:lang w:eastAsia="es-ES"/>
              </w:rPr>
              <w:t>Derechos</w:t>
            </w:r>
          </w:p>
        </w:tc>
        <w:tc>
          <w:tcPr>
            <w:tcW w:w="2210" w:type="dxa"/>
            <w:shd w:val="clear" w:color="auto" w:fill="auto"/>
            <w:vAlign w:val="center"/>
          </w:tcPr>
          <w:p w:rsidR="00954B58" w:rsidRPr="005E1103" w:rsidRDefault="00954B58" w:rsidP="00954B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center"/>
              <w:rPr>
                <w:rFonts w:eastAsia="Times New Roman" w:cstheme="minorHAnsi"/>
                <w:color w:val="000000"/>
                <w:sz w:val="28"/>
                <w:szCs w:val="28"/>
                <w:lang w:eastAsia="es-ES"/>
              </w:rPr>
            </w:pPr>
            <w:r w:rsidRPr="005E1103">
              <w:rPr>
                <w:rFonts w:eastAsia="Times New Roman" w:cstheme="minorHAnsi"/>
                <w:color w:val="000000"/>
                <w:sz w:val="28"/>
                <w:szCs w:val="28"/>
                <w:lang w:eastAsia="es-ES"/>
              </w:rPr>
              <w:t>33,9</w:t>
            </w:r>
          </w:p>
        </w:tc>
        <w:tc>
          <w:tcPr>
            <w:tcW w:w="1387" w:type="dxa"/>
            <w:shd w:val="clear" w:color="auto" w:fill="auto"/>
            <w:vAlign w:val="center"/>
          </w:tcPr>
          <w:p w:rsidR="00954B58" w:rsidRPr="005E1103" w:rsidRDefault="00954B58" w:rsidP="00954B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center"/>
              <w:rPr>
                <w:rFonts w:eastAsia="Times New Roman" w:cstheme="minorHAnsi"/>
                <w:color w:val="000000"/>
                <w:sz w:val="28"/>
                <w:szCs w:val="28"/>
                <w:lang w:eastAsia="es-ES"/>
              </w:rPr>
            </w:pPr>
            <w:r w:rsidRPr="005E1103">
              <w:rPr>
                <w:rFonts w:eastAsia="Times New Roman" w:cstheme="minorHAnsi"/>
                <w:color w:val="000000"/>
                <w:sz w:val="28"/>
                <w:szCs w:val="28"/>
                <w:lang w:eastAsia="es-ES"/>
              </w:rPr>
              <w:t>13,6</w:t>
            </w:r>
          </w:p>
        </w:tc>
        <w:tc>
          <w:tcPr>
            <w:tcW w:w="1946" w:type="dxa"/>
            <w:shd w:val="clear" w:color="auto" w:fill="auto"/>
            <w:vAlign w:val="center"/>
          </w:tcPr>
          <w:p w:rsidR="00954B58" w:rsidRPr="005E1103" w:rsidRDefault="00954B58" w:rsidP="00954B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center"/>
              <w:rPr>
                <w:rFonts w:eastAsia="Times New Roman" w:cstheme="minorHAnsi"/>
                <w:color w:val="000000"/>
                <w:sz w:val="28"/>
                <w:szCs w:val="28"/>
                <w:lang w:eastAsia="es-ES"/>
              </w:rPr>
            </w:pPr>
            <w:r w:rsidRPr="005E1103">
              <w:rPr>
                <w:rFonts w:eastAsia="Times New Roman" w:cstheme="minorHAnsi"/>
                <w:color w:val="000000"/>
                <w:sz w:val="28"/>
                <w:szCs w:val="28"/>
                <w:lang w:eastAsia="es-ES"/>
              </w:rPr>
              <w:t>86,3</w:t>
            </w:r>
          </w:p>
        </w:tc>
      </w:tr>
      <w:tr w:rsidR="00954B58" w:rsidRPr="005E1103" w:rsidTr="00954B58">
        <w:trPr>
          <w:trHeight w:val="248"/>
          <w:jc w:val="center"/>
        </w:trPr>
        <w:tc>
          <w:tcPr>
            <w:tcW w:w="2464" w:type="dxa"/>
            <w:shd w:val="clear" w:color="auto" w:fill="auto"/>
            <w:tcMar>
              <w:left w:w="0" w:type="dxa"/>
              <w:right w:w="0" w:type="dxa"/>
            </w:tcMar>
            <w:vAlign w:val="center"/>
          </w:tcPr>
          <w:p w:rsidR="00954B58" w:rsidRPr="005E1103" w:rsidRDefault="00954B58" w:rsidP="00954B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center"/>
              <w:rPr>
                <w:rFonts w:eastAsia="Times New Roman" w:cstheme="minorHAnsi"/>
                <w:color w:val="000000"/>
                <w:sz w:val="28"/>
                <w:szCs w:val="28"/>
                <w:lang w:eastAsia="es-ES"/>
              </w:rPr>
            </w:pPr>
            <w:r w:rsidRPr="005E1103">
              <w:rPr>
                <w:rFonts w:eastAsia="Times New Roman" w:cstheme="minorHAnsi"/>
                <w:color w:val="000000"/>
                <w:sz w:val="28"/>
                <w:szCs w:val="28"/>
                <w:lang w:eastAsia="es-ES"/>
              </w:rPr>
              <w:t>Bienestar Emocional</w:t>
            </w:r>
          </w:p>
        </w:tc>
        <w:tc>
          <w:tcPr>
            <w:tcW w:w="2210" w:type="dxa"/>
            <w:shd w:val="clear" w:color="auto" w:fill="auto"/>
            <w:vAlign w:val="center"/>
          </w:tcPr>
          <w:p w:rsidR="00954B58" w:rsidRPr="005E1103" w:rsidRDefault="00954B58" w:rsidP="00954B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center"/>
              <w:rPr>
                <w:rFonts w:eastAsia="Times New Roman" w:cstheme="minorHAnsi"/>
                <w:color w:val="000000"/>
                <w:sz w:val="28"/>
                <w:szCs w:val="28"/>
                <w:lang w:eastAsia="es-ES"/>
              </w:rPr>
            </w:pPr>
            <w:r w:rsidRPr="005E1103">
              <w:rPr>
                <w:rFonts w:eastAsia="Times New Roman" w:cstheme="minorHAnsi"/>
                <w:color w:val="000000"/>
                <w:sz w:val="28"/>
                <w:szCs w:val="28"/>
                <w:lang w:eastAsia="es-ES"/>
              </w:rPr>
              <w:t>33,1</w:t>
            </w:r>
          </w:p>
        </w:tc>
        <w:tc>
          <w:tcPr>
            <w:tcW w:w="1387" w:type="dxa"/>
            <w:shd w:val="clear" w:color="auto" w:fill="auto"/>
            <w:vAlign w:val="center"/>
          </w:tcPr>
          <w:p w:rsidR="00954B58" w:rsidRPr="005E1103" w:rsidRDefault="00954B58" w:rsidP="00954B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center"/>
              <w:rPr>
                <w:rFonts w:eastAsia="Times New Roman" w:cstheme="minorHAnsi"/>
                <w:color w:val="000000"/>
                <w:sz w:val="28"/>
                <w:szCs w:val="28"/>
                <w:lang w:eastAsia="es-ES"/>
              </w:rPr>
            </w:pPr>
            <w:r w:rsidRPr="005E1103">
              <w:rPr>
                <w:rFonts w:eastAsia="Times New Roman" w:cstheme="minorHAnsi"/>
                <w:color w:val="000000"/>
                <w:sz w:val="28"/>
                <w:szCs w:val="28"/>
                <w:lang w:eastAsia="es-ES"/>
              </w:rPr>
              <w:t>13,3</w:t>
            </w:r>
          </w:p>
        </w:tc>
        <w:tc>
          <w:tcPr>
            <w:tcW w:w="1946" w:type="dxa"/>
            <w:shd w:val="clear" w:color="auto" w:fill="auto"/>
            <w:vAlign w:val="center"/>
          </w:tcPr>
          <w:p w:rsidR="00954B58" w:rsidRPr="005E1103" w:rsidRDefault="00954B58" w:rsidP="00954B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center"/>
              <w:rPr>
                <w:rFonts w:eastAsia="Times New Roman" w:cstheme="minorHAnsi"/>
                <w:color w:val="000000"/>
                <w:sz w:val="28"/>
                <w:szCs w:val="28"/>
                <w:lang w:eastAsia="es-ES"/>
              </w:rPr>
            </w:pPr>
            <w:r w:rsidRPr="005E1103">
              <w:rPr>
                <w:rFonts w:eastAsia="Times New Roman" w:cstheme="minorHAnsi"/>
                <w:color w:val="000000"/>
                <w:sz w:val="28"/>
                <w:szCs w:val="28"/>
                <w:lang w:eastAsia="es-ES"/>
              </w:rPr>
              <w:t>81,8</w:t>
            </w:r>
          </w:p>
        </w:tc>
      </w:tr>
      <w:tr w:rsidR="00954B58" w:rsidRPr="005E1103" w:rsidTr="00954B58">
        <w:trPr>
          <w:trHeight w:val="248"/>
          <w:jc w:val="center"/>
        </w:trPr>
        <w:tc>
          <w:tcPr>
            <w:tcW w:w="2464" w:type="dxa"/>
            <w:shd w:val="clear" w:color="auto" w:fill="auto"/>
            <w:tcMar>
              <w:left w:w="0" w:type="dxa"/>
              <w:right w:w="0" w:type="dxa"/>
            </w:tcMar>
            <w:vAlign w:val="center"/>
          </w:tcPr>
          <w:p w:rsidR="00954B58" w:rsidRPr="005E1103" w:rsidRDefault="00954B58" w:rsidP="00954B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center"/>
              <w:rPr>
                <w:rFonts w:eastAsia="Times New Roman" w:cstheme="minorHAnsi"/>
                <w:color w:val="000000"/>
                <w:sz w:val="28"/>
                <w:szCs w:val="28"/>
                <w:lang w:eastAsia="es-ES"/>
              </w:rPr>
            </w:pPr>
            <w:r w:rsidRPr="005E1103">
              <w:rPr>
                <w:rFonts w:eastAsia="Times New Roman" w:cstheme="minorHAnsi"/>
                <w:color w:val="000000"/>
                <w:sz w:val="28"/>
                <w:szCs w:val="28"/>
                <w:lang w:eastAsia="es-ES"/>
              </w:rPr>
              <w:t>Inclusión Social</w:t>
            </w:r>
          </w:p>
        </w:tc>
        <w:tc>
          <w:tcPr>
            <w:tcW w:w="2210" w:type="dxa"/>
            <w:shd w:val="clear" w:color="auto" w:fill="auto"/>
            <w:vAlign w:val="center"/>
          </w:tcPr>
          <w:p w:rsidR="00954B58" w:rsidRPr="005E1103" w:rsidRDefault="00954B58" w:rsidP="00954B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center"/>
              <w:rPr>
                <w:rFonts w:eastAsia="Times New Roman" w:cstheme="minorHAnsi"/>
                <w:color w:val="000000"/>
                <w:sz w:val="28"/>
                <w:szCs w:val="28"/>
                <w:lang w:eastAsia="es-ES"/>
              </w:rPr>
            </w:pPr>
            <w:r w:rsidRPr="005E1103">
              <w:rPr>
                <w:rFonts w:eastAsia="Times New Roman" w:cstheme="minorHAnsi"/>
                <w:color w:val="000000"/>
                <w:sz w:val="28"/>
                <w:szCs w:val="28"/>
                <w:lang w:eastAsia="es-ES"/>
              </w:rPr>
              <w:t>29,0</w:t>
            </w:r>
          </w:p>
        </w:tc>
        <w:tc>
          <w:tcPr>
            <w:tcW w:w="1387" w:type="dxa"/>
            <w:shd w:val="clear" w:color="auto" w:fill="auto"/>
            <w:vAlign w:val="center"/>
          </w:tcPr>
          <w:p w:rsidR="00954B58" w:rsidRPr="005E1103" w:rsidRDefault="00954B58" w:rsidP="00954B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center"/>
              <w:rPr>
                <w:rFonts w:eastAsia="Times New Roman" w:cstheme="minorHAnsi"/>
                <w:color w:val="000000"/>
                <w:sz w:val="28"/>
                <w:szCs w:val="28"/>
                <w:lang w:eastAsia="es-ES"/>
              </w:rPr>
            </w:pPr>
            <w:r w:rsidRPr="005E1103">
              <w:rPr>
                <w:rFonts w:eastAsia="Times New Roman" w:cstheme="minorHAnsi"/>
                <w:color w:val="000000"/>
                <w:sz w:val="28"/>
                <w:szCs w:val="28"/>
                <w:lang w:eastAsia="es-ES"/>
              </w:rPr>
              <w:t>10,3</w:t>
            </w:r>
          </w:p>
        </w:tc>
        <w:tc>
          <w:tcPr>
            <w:tcW w:w="1946" w:type="dxa"/>
            <w:shd w:val="clear" w:color="auto" w:fill="auto"/>
            <w:vAlign w:val="center"/>
          </w:tcPr>
          <w:p w:rsidR="00954B58" w:rsidRPr="005E1103" w:rsidRDefault="00954B58" w:rsidP="00954B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center"/>
              <w:rPr>
                <w:rFonts w:eastAsia="Times New Roman" w:cstheme="minorHAnsi"/>
                <w:color w:val="000000"/>
                <w:sz w:val="28"/>
                <w:szCs w:val="28"/>
                <w:lang w:eastAsia="es-ES"/>
              </w:rPr>
            </w:pPr>
            <w:r w:rsidRPr="005E1103">
              <w:rPr>
                <w:rFonts w:eastAsia="Times New Roman" w:cstheme="minorHAnsi"/>
                <w:color w:val="000000"/>
                <w:sz w:val="28"/>
                <w:szCs w:val="28"/>
                <w:lang w:eastAsia="es-ES"/>
              </w:rPr>
              <w:t>52,9</w:t>
            </w:r>
          </w:p>
        </w:tc>
      </w:tr>
      <w:tr w:rsidR="00954B58" w:rsidRPr="005E1103" w:rsidTr="00954B58">
        <w:trPr>
          <w:trHeight w:val="248"/>
          <w:jc w:val="center"/>
        </w:trPr>
        <w:tc>
          <w:tcPr>
            <w:tcW w:w="2464" w:type="dxa"/>
            <w:shd w:val="clear" w:color="auto" w:fill="auto"/>
            <w:tcMar>
              <w:left w:w="0" w:type="dxa"/>
              <w:right w:w="0" w:type="dxa"/>
            </w:tcMar>
            <w:vAlign w:val="center"/>
          </w:tcPr>
          <w:p w:rsidR="00954B58" w:rsidRPr="005E1103" w:rsidRDefault="00954B58" w:rsidP="00954B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center"/>
              <w:rPr>
                <w:rFonts w:eastAsia="Times New Roman" w:cstheme="minorHAnsi"/>
                <w:color w:val="000000"/>
                <w:sz w:val="28"/>
                <w:szCs w:val="28"/>
                <w:lang w:eastAsia="es-ES"/>
              </w:rPr>
            </w:pPr>
            <w:r w:rsidRPr="005E1103">
              <w:rPr>
                <w:rFonts w:eastAsia="Times New Roman" w:cstheme="minorHAnsi"/>
                <w:color w:val="000000"/>
                <w:sz w:val="28"/>
                <w:szCs w:val="28"/>
                <w:lang w:eastAsia="es-ES"/>
              </w:rPr>
              <w:lastRenderedPageBreak/>
              <w:t>Desarrollo Personal</w:t>
            </w:r>
          </w:p>
        </w:tc>
        <w:tc>
          <w:tcPr>
            <w:tcW w:w="2210" w:type="dxa"/>
            <w:shd w:val="clear" w:color="auto" w:fill="auto"/>
            <w:vAlign w:val="center"/>
          </w:tcPr>
          <w:p w:rsidR="00954B58" w:rsidRPr="005E1103" w:rsidRDefault="00954B58" w:rsidP="00954B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center"/>
              <w:rPr>
                <w:rFonts w:eastAsia="Times New Roman" w:cstheme="minorHAnsi"/>
                <w:color w:val="000000"/>
                <w:sz w:val="28"/>
                <w:szCs w:val="28"/>
                <w:lang w:eastAsia="es-ES"/>
              </w:rPr>
            </w:pPr>
            <w:r w:rsidRPr="005E1103">
              <w:rPr>
                <w:rFonts w:eastAsia="Times New Roman" w:cstheme="minorHAnsi"/>
                <w:color w:val="000000"/>
                <w:sz w:val="28"/>
                <w:szCs w:val="28"/>
                <w:lang w:eastAsia="es-ES"/>
              </w:rPr>
              <w:t>31,0</w:t>
            </w:r>
          </w:p>
        </w:tc>
        <w:tc>
          <w:tcPr>
            <w:tcW w:w="1387" w:type="dxa"/>
            <w:shd w:val="clear" w:color="auto" w:fill="auto"/>
            <w:vAlign w:val="center"/>
          </w:tcPr>
          <w:p w:rsidR="00954B58" w:rsidRPr="005E1103" w:rsidRDefault="00954B58" w:rsidP="00954B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center"/>
              <w:rPr>
                <w:rFonts w:eastAsia="Times New Roman" w:cstheme="minorHAnsi"/>
                <w:color w:val="000000"/>
                <w:sz w:val="28"/>
                <w:szCs w:val="28"/>
                <w:lang w:eastAsia="es-ES"/>
              </w:rPr>
            </w:pPr>
            <w:r w:rsidRPr="005E1103">
              <w:rPr>
                <w:rFonts w:eastAsia="Times New Roman" w:cstheme="minorHAnsi"/>
                <w:color w:val="000000"/>
                <w:sz w:val="28"/>
                <w:szCs w:val="28"/>
                <w:lang w:eastAsia="es-ES"/>
              </w:rPr>
              <w:t>12,6</w:t>
            </w:r>
          </w:p>
        </w:tc>
        <w:tc>
          <w:tcPr>
            <w:tcW w:w="1946" w:type="dxa"/>
            <w:shd w:val="clear" w:color="auto" w:fill="auto"/>
            <w:vAlign w:val="center"/>
          </w:tcPr>
          <w:p w:rsidR="00954B58" w:rsidRPr="005E1103" w:rsidRDefault="00954B58" w:rsidP="00954B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center"/>
              <w:rPr>
                <w:rFonts w:eastAsia="Times New Roman" w:cstheme="minorHAnsi"/>
                <w:color w:val="000000"/>
                <w:sz w:val="28"/>
                <w:szCs w:val="28"/>
                <w:lang w:eastAsia="es-ES"/>
              </w:rPr>
            </w:pPr>
            <w:r w:rsidRPr="005E1103">
              <w:rPr>
                <w:rFonts w:eastAsia="Times New Roman" w:cstheme="minorHAnsi"/>
                <w:color w:val="000000"/>
                <w:sz w:val="28"/>
                <w:szCs w:val="28"/>
                <w:lang w:eastAsia="es-ES"/>
              </w:rPr>
              <w:t>76,8</w:t>
            </w:r>
          </w:p>
        </w:tc>
      </w:tr>
      <w:tr w:rsidR="00954B58" w:rsidRPr="005E1103" w:rsidTr="00954B58">
        <w:trPr>
          <w:trHeight w:val="248"/>
          <w:jc w:val="center"/>
        </w:trPr>
        <w:tc>
          <w:tcPr>
            <w:tcW w:w="2464" w:type="dxa"/>
            <w:shd w:val="clear" w:color="auto" w:fill="auto"/>
            <w:tcMar>
              <w:left w:w="0" w:type="dxa"/>
              <w:right w:w="0" w:type="dxa"/>
            </w:tcMar>
            <w:vAlign w:val="center"/>
          </w:tcPr>
          <w:p w:rsidR="00954B58" w:rsidRPr="005E1103" w:rsidRDefault="00954B58" w:rsidP="00954B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center"/>
              <w:rPr>
                <w:rFonts w:eastAsia="Times New Roman" w:cstheme="minorHAnsi"/>
                <w:color w:val="000000"/>
                <w:sz w:val="28"/>
                <w:szCs w:val="28"/>
                <w:lang w:eastAsia="es-ES"/>
              </w:rPr>
            </w:pPr>
            <w:r w:rsidRPr="005E1103">
              <w:rPr>
                <w:rFonts w:eastAsia="Times New Roman" w:cstheme="minorHAnsi"/>
                <w:color w:val="000000"/>
                <w:sz w:val="28"/>
                <w:szCs w:val="28"/>
                <w:lang w:eastAsia="es-ES"/>
              </w:rPr>
              <w:t>Relaciones Interpersonales</w:t>
            </w:r>
          </w:p>
        </w:tc>
        <w:tc>
          <w:tcPr>
            <w:tcW w:w="2210" w:type="dxa"/>
            <w:shd w:val="clear" w:color="auto" w:fill="auto"/>
            <w:vAlign w:val="center"/>
          </w:tcPr>
          <w:p w:rsidR="00954B58" w:rsidRPr="005E1103" w:rsidRDefault="00954B58" w:rsidP="00954B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center"/>
              <w:rPr>
                <w:rFonts w:eastAsia="Times New Roman" w:cstheme="minorHAnsi"/>
                <w:color w:val="000000"/>
                <w:sz w:val="28"/>
                <w:szCs w:val="28"/>
                <w:lang w:eastAsia="es-ES"/>
              </w:rPr>
            </w:pPr>
            <w:r w:rsidRPr="005E1103">
              <w:rPr>
                <w:rFonts w:eastAsia="Times New Roman" w:cstheme="minorHAnsi"/>
                <w:color w:val="000000"/>
                <w:sz w:val="28"/>
                <w:szCs w:val="28"/>
                <w:lang w:eastAsia="es-ES"/>
              </w:rPr>
              <w:t>24,1</w:t>
            </w:r>
          </w:p>
        </w:tc>
        <w:tc>
          <w:tcPr>
            <w:tcW w:w="1387" w:type="dxa"/>
            <w:shd w:val="clear" w:color="auto" w:fill="auto"/>
            <w:vAlign w:val="center"/>
          </w:tcPr>
          <w:p w:rsidR="00954B58" w:rsidRPr="005E1103" w:rsidRDefault="00954B58" w:rsidP="00954B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center"/>
              <w:rPr>
                <w:rFonts w:eastAsia="Times New Roman" w:cstheme="minorHAnsi"/>
                <w:color w:val="000000"/>
                <w:sz w:val="28"/>
                <w:szCs w:val="28"/>
                <w:lang w:eastAsia="es-ES"/>
              </w:rPr>
            </w:pPr>
            <w:r w:rsidRPr="005E1103">
              <w:rPr>
                <w:rFonts w:eastAsia="Times New Roman" w:cstheme="minorHAnsi"/>
                <w:color w:val="000000"/>
                <w:sz w:val="28"/>
                <w:szCs w:val="28"/>
                <w:lang w:eastAsia="es-ES"/>
              </w:rPr>
              <w:t>9,4</w:t>
            </w:r>
          </w:p>
        </w:tc>
        <w:tc>
          <w:tcPr>
            <w:tcW w:w="1946" w:type="dxa"/>
            <w:shd w:val="clear" w:color="auto" w:fill="auto"/>
            <w:vAlign w:val="center"/>
          </w:tcPr>
          <w:p w:rsidR="00954B58" w:rsidRPr="005E1103" w:rsidRDefault="00954B58" w:rsidP="00954B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center"/>
              <w:rPr>
                <w:rFonts w:eastAsia="Times New Roman" w:cstheme="minorHAnsi"/>
                <w:color w:val="000000"/>
                <w:sz w:val="28"/>
                <w:szCs w:val="28"/>
                <w:lang w:eastAsia="es-ES"/>
              </w:rPr>
            </w:pPr>
            <w:r w:rsidRPr="005E1103">
              <w:rPr>
                <w:rFonts w:eastAsia="Times New Roman" w:cstheme="minorHAnsi"/>
                <w:color w:val="000000"/>
                <w:sz w:val="28"/>
                <w:szCs w:val="28"/>
                <w:lang w:eastAsia="es-ES"/>
              </w:rPr>
              <w:t>44,1</w:t>
            </w:r>
          </w:p>
        </w:tc>
      </w:tr>
      <w:tr w:rsidR="00954B58" w:rsidRPr="005E1103" w:rsidTr="00954B58">
        <w:trPr>
          <w:trHeight w:val="248"/>
          <w:jc w:val="center"/>
        </w:trPr>
        <w:tc>
          <w:tcPr>
            <w:tcW w:w="2464" w:type="dxa"/>
            <w:shd w:val="clear" w:color="auto" w:fill="auto"/>
            <w:tcMar>
              <w:left w:w="0" w:type="dxa"/>
              <w:right w:w="0" w:type="dxa"/>
            </w:tcMar>
            <w:vAlign w:val="center"/>
          </w:tcPr>
          <w:p w:rsidR="00954B58" w:rsidRPr="005E1103" w:rsidRDefault="00954B58" w:rsidP="00954B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center"/>
              <w:rPr>
                <w:rFonts w:eastAsia="Times New Roman" w:cstheme="minorHAnsi"/>
                <w:color w:val="000000"/>
                <w:sz w:val="28"/>
                <w:szCs w:val="28"/>
                <w:lang w:eastAsia="es-ES"/>
              </w:rPr>
            </w:pPr>
            <w:r w:rsidRPr="005E1103">
              <w:rPr>
                <w:rFonts w:eastAsia="Times New Roman" w:cstheme="minorHAnsi"/>
                <w:color w:val="000000"/>
                <w:sz w:val="28"/>
                <w:szCs w:val="28"/>
                <w:lang w:eastAsia="es-ES"/>
              </w:rPr>
              <w:t>Bienestar Material</w:t>
            </w:r>
          </w:p>
        </w:tc>
        <w:tc>
          <w:tcPr>
            <w:tcW w:w="2210" w:type="dxa"/>
            <w:shd w:val="clear" w:color="auto" w:fill="auto"/>
            <w:vAlign w:val="center"/>
          </w:tcPr>
          <w:p w:rsidR="00954B58" w:rsidRPr="005E1103" w:rsidRDefault="00954B58" w:rsidP="00954B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center"/>
              <w:rPr>
                <w:rFonts w:eastAsia="Times New Roman" w:cstheme="minorHAnsi"/>
                <w:color w:val="000000"/>
                <w:sz w:val="28"/>
                <w:szCs w:val="28"/>
                <w:lang w:eastAsia="es-ES"/>
              </w:rPr>
            </w:pPr>
            <w:r w:rsidRPr="005E1103">
              <w:rPr>
                <w:rFonts w:eastAsia="Times New Roman" w:cstheme="minorHAnsi"/>
                <w:color w:val="000000"/>
                <w:sz w:val="28"/>
                <w:szCs w:val="28"/>
                <w:lang w:eastAsia="es-ES"/>
              </w:rPr>
              <w:t>29,5</w:t>
            </w:r>
          </w:p>
        </w:tc>
        <w:tc>
          <w:tcPr>
            <w:tcW w:w="1387" w:type="dxa"/>
            <w:shd w:val="clear" w:color="auto" w:fill="auto"/>
            <w:vAlign w:val="center"/>
          </w:tcPr>
          <w:p w:rsidR="00954B58" w:rsidRPr="005E1103" w:rsidRDefault="00954B58" w:rsidP="00954B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center"/>
              <w:rPr>
                <w:rFonts w:eastAsia="Times New Roman" w:cstheme="minorHAnsi"/>
                <w:color w:val="000000"/>
                <w:sz w:val="28"/>
                <w:szCs w:val="28"/>
                <w:lang w:eastAsia="es-ES"/>
              </w:rPr>
            </w:pPr>
            <w:r w:rsidRPr="005E1103">
              <w:rPr>
                <w:rFonts w:eastAsia="Times New Roman" w:cstheme="minorHAnsi"/>
                <w:color w:val="000000"/>
                <w:sz w:val="28"/>
                <w:szCs w:val="28"/>
                <w:lang w:eastAsia="es-ES"/>
              </w:rPr>
              <w:t>9,6</w:t>
            </w:r>
          </w:p>
        </w:tc>
        <w:tc>
          <w:tcPr>
            <w:tcW w:w="1946" w:type="dxa"/>
            <w:shd w:val="clear" w:color="auto" w:fill="auto"/>
            <w:vAlign w:val="center"/>
          </w:tcPr>
          <w:p w:rsidR="00954B58" w:rsidRPr="005E1103" w:rsidRDefault="00954B58" w:rsidP="00954B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center"/>
              <w:rPr>
                <w:rFonts w:eastAsia="Times New Roman" w:cstheme="minorHAnsi"/>
                <w:color w:val="000000"/>
                <w:sz w:val="28"/>
                <w:szCs w:val="28"/>
                <w:lang w:eastAsia="es-ES"/>
              </w:rPr>
            </w:pPr>
            <w:r w:rsidRPr="005E1103">
              <w:rPr>
                <w:rFonts w:eastAsia="Times New Roman" w:cstheme="minorHAnsi"/>
                <w:color w:val="000000"/>
                <w:sz w:val="28"/>
                <w:szCs w:val="28"/>
                <w:lang w:eastAsia="es-ES"/>
              </w:rPr>
              <w:t>45,4</w:t>
            </w:r>
          </w:p>
        </w:tc>
      </w:tr>
      <w:tr w:rsidR="00954B58" w:rsidRPr="005E1103" w:rsidTr="00954B58">
        <w:trPr>
          <w:trHeight w:val="248"/>
          <w:jc w:val="center"/>
        </w:trPr>
        <w:tc>
          <w:tcPr>
            <w:tcW w:w="2464" w:type="dxa"/>
            <w:shd w:val="clear" w:color="auto" w:fill="auto"/>
            <w:tcMar>
              <w:left w:w="0" w:type="dxa"/>
              <w:right w:w="0" w:type="dxa"/>
            </w:tcMar>
            <w:vAlign w:val="center"/>
          </w:tcPr>
          <w:p w:rsidR="00954B58" w:rsidRPr="005E1103" w:rsidRDefault="00954B58" w:rsidP="00954B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center"/>
              <w:rPr>
                <w:rFonts w:eastAsia="Times New Roman" w:cstheme="minorHAnsi"/>
                <w:color w:val="000000"/>
                <w:sz w:val="28"/>
                <w:szCs w:val="28"/>
                <w:lang w:eastAsia="es-ES"/>
              </w:rPr>
            </w:pPr>
            <w:r w:rsidRPr="005E1103">
              <w:rPr>
                <w:rFonts w:eastAsia="Times New Roman" w:cstheme="minorHAnsi"/>
                <w:color w:val="000000"/>
                <w:sz w:val="28"/>
                <w:szCs w:val="28"/>
                <w:lang w:eastAsia="es-ES"/>
              </w:rPr>
              <w:t>Bienestar físico</w:t>
            </w:r>
          </w:p>
        </w:tc>
        <w:tc>
          <w:tcPr>
            <w:tcW w:w="2210" w:type="dxa"/>
            <w:shd w:val="clear" w:color="auto" w:fill="auto"/>
            <w:vAlign w:val="center"/>
          </w:tcPr>
          <w:p w:rsidR="00954B58" w:rsidRPr="005E1103" w:rsidRDefault="00954B58" w:rsidP="00954B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center"/>
              <w:rPr>
                <w:rFonts w:eastAsia="Times New Roman" w:cstheme="minorHAnsi"/>
                <w:color w:val="000000"/>
                <w:sz w:val="28"/>
                <w:szCs w:val="28"/>
                <w:lang w:eastAsia="es-ES"/>
              </w:rPr>
            </w:pPr>
            <w:r w:rsidRPr="005E1103">
              <w:rPr>
                <w:rFonts w:eastAsia="Times New Roman" w:cstheme="minorHAnsi"/>
                <w:color w:val="000000"/>
                <w:sz w:val="28"/>
                <w:szCs w:val="28"/>
                <w:lang w:eastAsia="es-ES"/>
              </w:rPr>
              <w:t>28,9</w:t>
            </w:r>
          </w:p>
        </w:tc>
        <w:tc>
          <w:tcPr>
            <w:tcW w:w="1387" w:type="dxa"/>
            <w:shd w:val="clear" w:color="auto" w:fill="auto"/>
            <w:vAlign w:val="center"/>
          </w:tcPr>
          <w:p w:rsidR="00954B58" w:rsidRPr="005E1103" w:rsidRDefault="00954B58" w:rsidP="00954B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center"/>
              <w:rPr>
                <w:rFonts w:eastAsia="Times New Roman" w:cstheme="minorHAnsi"/>
                <w:color w:val="000000"/>
                <w:sz w:val="28"/>
                <w:szCs w:val="28"/>
                <w:lang w:eastAsia="es-ES"/>
              </w:rPr>
            </w:pPr>
            <w:r w:rsidRPr="005E1103">
              <w:rPr>
                <w:rFonts w:eastAsia="Times New Roman" w:cstheme="minorHAnsi"/>
                <w:color w:val="000000"/>
                <w:sz w:val="28"/>
                <w:szCs w:val="28"/>
                <w:lang w:eastAsia="es-ES"/>
              </w:rPr>
              <w:t>9,3</w:t>
            </w:r>
          </w:p>
        </w:tc>
        <w:tc>
          <w:tcPr>
            <w:tcW w:w="1946" w:type="dxa"/>
            <w:shd w:val="clear" w:color="auto" w:fill="auto"/>
            <w:vAlign w:val="center"/>
          </w:tcPr>
          <w:p w:rsidR="00954B58" w:rsidRPr="005E1103" w:rsidRDefault="00954B58" w:rsidP="00954B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center"/>
              <w:rPr>
                <w:rFonts w:eastAsia="Times New Roman" w:cstheme="minorHAnsi"/>
                <w:color w:val="000000"/>
                <w:sz w:val="28"/>
                <w:szCs w:val="28"/>
                <w:lang w:eastAsia="es-ES"/>
              </w:rPr>
            </w:pPr>
            <w:r w:rsidRPr="005E1103">
              <w:rPr>
                <w:rFonts w:eastAsia="Times New Roman" w:cstheme="minorHAnsi"/>
                <w:color w:val="000000"/>
                <w:sz w:val="28"/>
                <w:szCs w:val="28"/>
                <w:lang w:eastAsia="es-ES"/>
              </w:rPr>
              <w:t>42,9</w:t>
            </w:r>
          </w:p>
        </w:tc>
      </w:tr>
      <w:tr w:rsidR="00954B58" w:rsidRPr="005E1103" w:rsidTr="00954B58">
        <w:trPr>
          <w:trHeight w:val="248"/>
          <w:jc w:val="center"/>
        </w:trPr>
        <w:tc>
          <w:tcPr>
            <w:tcW w:w="4674" w:type="dxa"/>
            <w:gridSpan w:val="2"/>
            <w:shd w:val="clear" w:color="auto" w:fill="auto"/>
            <w:tcMar>
              <w:left w:w="0" w:type="dxa"/>
              <w:right w:w="0" w:type="dxa"/>
            </w:tcMar>
            <w:vAlign w:val="center"/>
          </w:tcPr>
          <w:p w:rsidR="00954B58" w:rsidRPr="005E1103" w:rsidRDefault="00954B58" w:rsidP="00954B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240" w:lineRule="auto"/>
              <w:jc w:val="center"/>
              <w:rPr>
                <w:rFonts w:eastAsia="Times New Roman" w:cstheme="minorHAnsi"/>
                <w:color w:val="000000"/>
                <w:sz w:val="28"/>
                <w:szCs w:val="28"/>
                <w:lang w:eastAsia="es-ES"/>
              </w:rPr>
            </w:pPr>
            <w:r w:rsidRPr="005E1103">
              <w:rPr>
                <w:rFonts w:eastAsia="Times New Roman" w:cstheme="minorHAnsi"/>
                <w:color w:val="000000"/>
                <w:sz w:val="28"/>
                <w:szCs w:val="28"/>
                <w:lang w:eastAsia="es-ES"/>
              </w:rPr>
              <w:t>Puntuación Estándar Total</w:t>
            </w:r>
          </w:p>
        </w:tc>
        <w:tc>
          <w:tcPr>
            <w:tcW w:w="1387" w:type="dxa"/>
            <w:shd w:val="clear" w:color="auto" w:fill="auto"/>
            <w:vAlign w:val="center"/>
          </w:tcPr>
          <w:p w:rsidR="00954B58" w:rsidRPr="005E1103" w:rsidRDefault="00954B58" w:rsidP="00954B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center"/>
              <w:rPr>
                <w:rFonts w:eastAsia="Times New Roman" w:cstheme="minorHAnsi"/>
                <w:color w:val="000000"/>
                <w:sz w:val="28"/>
                <w:szCs w:val="28"/>
                <w:lang w:eastAsia="es-ES"/>
              </w:rPr>
            </w:pPr>
            <w:r w:rsidRPr="005E1103">
              <w:rPr>
                <w:rFonts w:eastAsia="Times New Roman" w:cstheme="minorHAnsi"/>
                <w:color w:val="000000"/>
                <w:sz w:val="28"/>
                <w:szCs w:val="28"/>
                <w:lang w:eastAsia="es-ES"/>
              </w:rPr>
              <w:t>89,0</w:t>
            </w:r>
          </w:p>
        </w:tc>
        <w:tc>
          <w:tcPr>
            <w:tcW w:w="1946" w:type="dxa"/>
            <w:shd w:val="clear" w:color="auto" w:fill="auto"/>
            <w:vAlign w:val="center"/>
          </w:tcPr>
          <w:p w:rsidR="00954B58" w:rsidRPr="005E1103" w:rsidRDefault="00954B58" w:rsidP="00954B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center"/>
              <w:rPr>
                <w:rFonts w:eastAsia="Times New Roman" w:cstheme="minorHAnsi"/>
                <w:color w:val="000000"/>
                <w:sz w:val="28"/>
                <w:szCs w:val="28"/>
                <w:lang w:eastAsia="es-ES"/>
              </w:rPr>
            </w:pPr>
          </w:p>
        </w:tc>
      </w:tr>
      <w:tr w:rsidR="00954B58" w:rsidRPr="005E1103" w:rsidTr="00954B58">
        <w:trPr>
          <w:trHeight w:val="287"/>
          <w:jc w:val="center"/>
        </w:trPr>
        <w:tc>
          <w:tcPr>
            <w:tcW w:w="4674" w:type="dxa"/>
            <w:gridSpan w:val="2"/>
            <w:shd w:val="clear" w:color="auto" w:fill="auto"/>
            <w:tcMar>
              <w:left w:w="0" w:type="dxa"/>
              <w:right w:w="0" w:type="dxa"/>
            </w:tcMar>
            <w:vAlign w:val="center"/>
          </w:tcPr>
          <w:p w:rsidR="00954B58" w:rsidRPr="005E1103" w:rsidRDefault="00954B58" w:rsidP="00954B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240" w:lineRule="auto"/>
              <w:jc w:val="center"/>
              <w:rPr>
                <w:rFonts w:eastAsia="Times New Roman" w:cstheme="minorHAnsi"/>
                <w:b/>
                <w:color w:val="000000"/>
                <w:sz w:val="28"/>
                <w:szCs w:val="28"/>
                <w:lang w:eastAsia="es-ES"/>
              </w:rPr>
            </w:pPr>
            <w:r w:rsidRPr="005E1103">
              <w:rPr>
                <w:rFonts w:eastAsia="Times New Roman" w:cstheme="minorHAnsi"/>
                <w:b/>
                <w:color w:val="000000"/>
                <w:sz w:val="28"/>
                <w:szCs w:val="28"/>
                <w:lang w:eastAsia="es-ES"/>
              </w:rPr>
              <w:t>Índice de CV</w:t>
            </w:r>
          </w:p>
        </w:tc>
        <w:tc>
          <w:tcPr>
            <w:tcW w:w="1387" w:type="dxa"/>
            <w:shd w:val="clear" w:color="auto" w:fill="auto"/>
            <w:vAlign w:val="center"/>
          </w:tcPr>
          <w:p w:rsidR="00954B58" w:rsidRPr="005E1103" w:rsidRDefault="00954B58" w:rsidP="00954B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center"/>
              <w:rPr>
                <w:rFonts w:eastAsia="Times New Roman" w:cstheme="minorHAnsi"/>
                <w:color w:val="000000"/>
                <w:sz w:val="28"/>
                <w:szCs w:val="28"/>
                <w:lang w:eastAsia="es-ES"/>
              </w:rPr>
            </w:pPr>
            <w:r w:rsidRPr="005E1103">
              <w:rPr>
                <w:rFonts w:eastAsia="Times New Roman" w:cstheme="minorHAnsi"/>
                <w:color w:val="000000"/>
                <w:sz w:val="28"/>
                <w:szCs w:val="28"/>
                <w:lang w:eastAsia="es-ES"/>
              </w:rPr>
              <w:t>107,6</w:t>
            </w:r>
          </w:p>
        </w:tc>
        <w:tc>
          <w:tcPr>
            <w:tcW w:w="1946" w:type="dxa"/>
            <w:shd w:val="clear" w:color="auto" w:fill="auto"/>
            <w:vAlign w:val="center"/>
          </w:tcPr>
          <w:p w:rsidR="00954B58" w:rsidRPr="005E1103" w:rsidRDefault="00954B58" w:rsidP="00954B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center"/>
              <w:rPr>
                <w:rFonts w:eastAsia="Times New Roman" w:cstheme="minorHAnsi"/>
                <w:color w:val="000000"/>
                <w:sz w:val="28"/>
                <w:szCs w:val="28"/>
                <w:lang w:eastAsia="es-ES"/>
              </w:rPr>
            </w:pPr>
          </w:p>
        </w:tc>
      </w:tr>
      <w:tr w:rsidR="00954B58" w:rsidRPr="005E1103" w:rsidTr="00954B58">
        <w:trPr>
          <w:trHeight w:val="260"/>
          <w:jc w:val="center"/>
        </w:trPr>
        <w:tc>
          <w:tcPr>
            <w:tcW w:w="6061" w:type="dxa"/>
            <w:gridSpan w:val="3"/>
            <w:shd w:val="clear" w:color="auto" w:fill="auto"/>
            <w:tcMar>
              <w:left w:w="0" w:type="dxa"/>
              <w:right w:w="0" w:type="dxa"/>
            </w:tcMar>
            <w:vAlign w:val="center"/>
          </w:tcPr>
          <w:p w:rsidR="00954B58" w:rsidRPr="005E1103" w:rsidRDefault="00954B58" w:rsidP="00954B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center"/>
              <w:rPr>
                <w:rFonts w:eastAsia="Times New Roman" w:cstheme="minorHAnsi"/>
                <w:b/>
                <w:color w:val="000000"/>
                <w:sz w:val="28"/>
                <w:szCs w:val="28"/>
                <w:lang w:eastAsia="es-ES"/>
              </w:rPr>
            </w:pPr>
            <w:r w:rsidRPr="005E1103">
              <w:rPr>
                <w:rFonts w:eastAsia="Times New Roman" w:cstheme="minorHAnsi"/>
                <w:b/>
                <w:color w:val="000000"/>
                <w:sz w:val="28"/>
                <w:szCs w:val="28"/>
                <w:lang w:eastAsia="es-ES"/>
              </w:rPr>
              <w:t>Percentil del Índice de Calidad de Vida</w:t>
            </w:r>
          </w:p>
        </w:tc>
        <w:tc>
          <w:tcPr>
            <w:tcW w:w="1946" w:type="dxa"/>
            <w:shd w:val="clear" w:color="auto" w:fill="auto"/>
            <w:vAlign w:val="center"/>
          </w:tcPr>
          <w:p w:rsidR="00954B58" w:rsidRPr="005E1103" w:rsidRDefault="00954B58" w:rsidP="00954B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center"/>
              <w:rPr>
                <w:rFonts w:eastAsia="Times New Roman" w:cstheme="minorHAnsi"/>
                <w:color w:val="000000"/>
                <w:sz w:val="28"/>
                <w:szCs w:val="28"/>
                <w:lang w:eastAsia="es-ES"/>
              </w:rPr>
            </w:pPr>
            <w:r w:rsidRPr="005E1103">
              <w:rPr>
                <w:rFonts w:eastAsia="Times New Roman" w:cstheme="minorHAnsi"/>
                <w:color w:val="000000"/>
                <w:sz w:val="28"/>
                <w:szCs w:val="28"/>
                <w:lang w:eastAsia="es-ES"/>
              </w:rPr>
              <w:t>65,4</w:t>
            </w:r>
          </w:p>
        </w:tc>
      </w:tr>
    </w:tbl>
    <w:bookmarkEnd w:id="53"/>
    <w:p w:rsidR="00954B58" w:rsidRPr="005E1103" w:rsidRDefault="00954B58" w:rsidP="00954B58">
      <w:pPr>
        <w:spacing w:after="0" w:line="360" w:lineRule="auto"/>
        <w:jc w:val="both"/>
        <w:rPr>
          <w:rFonts w:eastAsia="Times New Roman" w:cstheme="minorHAnsi"/>
          <w:color w:val="000000"/>
          <w:sz w:val="28"/>
          <w:szCs w:val="28"/>
          <w:lang w:eastAsia="es-ES"/>
        </w:rPr>
      </w:pPr>
      <w:r w:rsidRPr="005E1103">
        <w:rPr>
          <w:rFonts w:eastAsia="Times New Roman" w:cstheme="minorHAnsi"/>
          <w:color w:val="000000"/>
          <w:sz w:val="28"/>
          <w:szCs w:val="28"/>
          <w:lang w:eastAsia="es-ES"/>
        </w:rPr>
        <w:t xml:space="preserve">Tabla </w:t>
      </w:r>
      <w:r w:rsidRPr="005E1103">
        <w:rPr>
          <w:rFonts w:eastAsia="Times New Roman" w:cstheme="minorHAnsi"/>
          <w:i/>
          <w:color w:val="000000"/>
          <w:sz w:val="28"/>
          <w:szCs w:val="28"/>
          <w:lang w:eastAsia="es-ES"/>
        </w:rPr>
        <w:t>2</w:t>
      </w:r>
      <w:r w:rsidRPr="005E1103">
        <w:rPr>
          <w:rFonts w:eastAsia="Times New Roman" w:cstheme="minorHAnsi"/>
          <w:color w:val="000000"/>
          <w:sz w:val="28"/>
          <w:szCs w:val="28"/>
          <w:lang w:eastAsia="es-ES"/>
        </w:rPr>
        <w:t>. Resumen global de puntuaciones en cada dimensión. Escala INICO-FEAPS. Fuente: elaboración propia.</w:t>
      </w:r>
    </w:p>
    <w:p w:rsidR="00954B58" w:rsidRPr="005E1103" w:rsidRDefault="00954B58" w:rsidP="00954B58">
      <w:pPr>
        <w:spacing w:after="0" w:line="360" w:lineRule="auto"/>
        <w:jc w:val="both"/>
        <w:rPr>
          <w:rFonts w:eastAsia="Times New Roman" w:cstheme="minorHAnsi"/>
          <w:color w:val="000000"/>
          <w:sz w:val="28"/>
          <w:szCs w:val="28"/>
          <w:lang w:eastAsia="es-ES"/>
        </w:rPr>
      </w:pPr>
    </w:p>
    <w:p w:rsidR="00954B58" w:rsidRPr="005E1103" w:rsidRDefault="00954B58" w:rsidP="00954B58">
      <w:pPr>
        <w:spacing w:after="0" w:line="360" w:lineRule="auto"/>
        <w:jc w:val="both"/>
        <w:rPr>
          <w:rFonts w:eastAsia="Times New Roman" w:cstheme="minorHAnsi"/>
          <w:color w:val="000000"/>
          <w:sz w:val="28"/>
          <w:szCs w:val="28"/>
          <w:lang w:eastAsia="es-ES"/>
        </w:rPr>
      </w:pPr>
      <w:r w:rsidRPr="005E1103">
        <w:rPr>
          <w:rFonts w:eastAsia="Times New Roman" w:cstheme="minorHAnsi"/>
          <w:color w:val="000000"/>
          <w:sz w:val="28"/>
          <w:szCs w:val="28"/>
          <w:lang w:eastAsia="es-ES"/>
        </w:rPr>
        <w:t xml:space="preserve">Observamos que las dimensiones con una puntuación más favorable son </w:t>
      </w:r>
      <w:r w:rsidRPr="005E1103">
        <w:rPr>
          <w:rFonts w:eastAsia="Times New Roman" w:cstheme="minorHAnsi"/>
          <w:i/>
          <w:color w:val="000000"/>
          <w:sz w:val="28"/>
          <w:szCs w:val="28"/>
          <w:lang w:eastAsia="es-ES"/>
        </w:rPr>
        <w:t>Derechos</w:t>
      </w:r>
      <w:r w:rsidRPr="005E1103">
        <w:rPr>
          <w:rFonts w:eastAsia="Times New Roman" w:cstheme="minorHAnsi"/>
          <w:color w:val="000000"/>
          <w:sz w:val="28"/>
          <w:szCs w:val="28"/>
          <w:lang w:eastAsia="es-ES"/>
        </w:rPr>
        <w:t xml:space="preserve">, </w:t>
      </w:r>
      <w:r w:rsidRPr="005E1103">
        <w:rPr>
          <w:rFonts w:eastAsia="Times New Roman" w:cstheme="minorHAnsi"/>
          <w:i/>
          <w:color w:val="000000"/>
          <w:sz w:val="28"/>
          <w:szCs w:val="28"/>
          <w:lang w:eastAsia="es-ES"/>
        </w:rPr>
        <w:t>Bienestar Emocional</w:t>
      </w:r>
      <w:r w:rsidRPr="005E1103">
        <w:rPr>
          <w:rFonts w:eastAsia="Times New Roman" w:cstheme="minorHAnsi"/>
          <w:color w:val="000000"/>
          <w:sz w:val="28"/>
          <w:szCs w:val="28"/>
          <w:lang w:eastAsia="es-ES"/>
        </w:rPr>
        <w:t xml:space="preserve"> y </w:t>
      </w:r>
      <w:r w:rsidRPr="005E1103">
        <w:rPr>
          <w:rFonts w:eastAsia="Times New Roman" w:cstheme="minorHAnsi"/>
          <w:i/>
          <w:color w:val="000000"/>
          <w:sz w:val="28"/>
          <w:szCs w:val="28"/>
          <w:lang w:eastAsia="es-ES"/>
        </w:rPr>
        <w:t>Desarrollo Personal</w:t>
      </w:r>
      <w:r w:rsidRPr="005E1103">
        <w:rPr>
          <w:rFonts w:eastAsia="Times New Roman" w:cstheme="minorHAnsi"/>
          <w:color w:val="000000"/>
          <w:sz w:val="28"/>
          <w:szCs w:val="28"/>
          <w:lang w:eastAsia="es-ES"/>
        </w:rPr>
        <w:t xml:space="preserve">. Por el contrario, las dimensiones que han obtenido una puntuación más desfavorable corresponden a </w:t>
      </w:r>
      <w:r w:rsidRPr="005E1103">
        <w:rPr>
          <w:rFonts w:eastAsia="Times New Roman" w:cstheme="minorHAnsi"/>
          <w:i/>
          <w:color w:val="000000"/>
          <w:sz w:val="28"/>
          <w:szCs w:val="28"/>
          <w:lang w:eastAsia="es-ES"/>
        </w:rPr>
        <w:t>Bienestar Físico</w:t>
      </w:r>
      <w:r w:rsidRPr="005E1103">
        <w:rPr>
          <w:rFonts w:eastAsia="Times New Roman" w:cstheme="minorHAnsi"/>
          <w:color w:val="000000"/>
          <w:sz w:val="28"/>
          <w:szCs w:val="28"/>
          <w:lang w:eastAsia="es-ES"/>
        </w:rPr>
        <w:t xml:space="preserve">, </w:t>
      </w:r>
      <w:r w:rsidRPr="005E1103">
        <w:rPr>
          <w:rFonts w:eastAsia="Times New Roman" w:cstheme="minorHAnsi"/>
          <w:i/>
          <w:color w:val="000000"/>
          <w:sz w:val="28"/>
          <w:szCs w:val="28"/>
          <w:lang w:eastAsia="es-ES"/>
        </w:rPr>
        <w:t>Relaciones Interpersonales</w:t>
      </w:r>
      <w:r w:rsidRPr="005E1103">
        <w:rPr>
          <w:rFonts w:eastAsia="Times New Roman" w:cstheme="minorHAnsi"/>
          <w:color w:val="000000"/>
          <w:sz w:val="28"/>
          <w:szCs w:val="28"/>
          <w:lang w:eastAsia="es-ES"/>
        </w:rPr>
        <w:t xml:space="preserve">, </w:t>
      </w:r>
      <w:r w:rsidRPr="005E1103">
        <w:rPr>
          <w:rFonts w:eastAsia="Times New Roman" w:cstheme="minorHAnsi"/>
          <w:i/>
          <w:color w:val="000000"/>
          <w:sz w:val="28"/>
          <w:szCs w:val="28"/>
          <w:lang w:eastAsia="es-ES"/>
        </w:rPr>
        <w:t>Bienestar Material</w:t>
      </w:r>
      <w:r w:rsidRPr="005E1103">
        <w:rPr>
          <w:rFonts w:eastAsia="Times New Roman" w:cstheme="minorHAnsi"/>
          <w:color w:val="000000"/>
          <w:sz w:val="28"/>
          <w:szCs w:val="28"/>
          <w:lang w:eastAsia="es-ES"/>
        </w:rPr>
        <w:t xml:space="preserve"> e </w:t>
      </w:r>
      <w:r w:rsidRPr="005E1103">
        <w:rPr>
          <w:rFonts w:eastAsia="Times New Roman" w:cstheme="minorHAnsi"/>
          <w:i/>
          <w:color w:val="000000"/>
          <w:sz w:val="28"/>
          <w:szCs w:val="28"/>
          <w:lang w:eastAsia="es-ES"/>
        </w:rPr>
        <w:t xml:space="preserve">Inclusión Social. </w:t>
      </w:r>
      <w:r w:rsidRPr="005E1103">
        <w:rPr>
          <w:rFonts w:eastAsia="Times New Roman" w:cstheme="minorHAnsi"/>
          <w:color w:val="000000"/>
          <w:sz w:val="28"/>
          <w:szCs w:val="28"/>
          <w:lang w:eastAsia="es-ES"/>
        </w:rPr>
        <w:t>Estos resultados se relacionan con los obtenidos en un estudio reciente (Santamaría, Verdugo, Orgaz, Gómez y Jordán de Urríes, 2012) en el que se investigó la calidad de vida percibida por trabajadores con discapacidad intelectual en empleo ordinario.</w:t>
      </w:r>
    </w:p>
    <w:p w:rsidR="00954B58" w:rsidRPr="005E1103" w:rsidRDefault="00954B58" w:rsidP="00954B58">
      <w:pPr>
        <w:spacing w:line="360" w:lineRule="auto"/>
        <w:contextualSpacing/>
        <w:jc w:val="both"/>
        <w:rPr>
          <w:rFonts w:eastAsia="Times New Roman" w:cstheme="minorHAnsi"/>
          <w:color w:val="000000"/>
          <w:sz w:val="28"/>
          <w:szCs w:val="28"/>
          <w:lang w:eastAsia="es-ES"/>
        </w:rPr>
      </w:pPr>
      <w:r w:rsidRPr="005E1103">
        <w:rPr>
          <w:rFonts w:eastAsia="Times New Roman" w:cstheme="minorHAnsi"/>
          <w:b/>
          <w:color w:val="000000"/>
          <w:sz w:val="28"/>
          <w:szCs w:val="28"/>
          <w:lang w:eastAsia="es-ES"/>
        </w:rPr>
        <w:t>Conclusiones</w:t>
      </w:r>
    </w:p>
    <w:p w:rsidR="00954B58" w:rsidRPr="005E1103" w:rsidRDefault="00954B58" w:rsidP="00954B58">
      <w:pPr>
        <w:spacing w:after="0" w:line="360" w:lineRule="auto"/>
        <w:jc w:val="both"/>
        <w:rPr>
          <w:rFonts w:eastAsia="Times New Roman" w:cstheme="minorHAnsi"/>
          <w:color w:val="000000"/>
          <w:sz w:val="28"/>
          <w:szCs w:val="28"/>
          <w:lang w:eastAsia="es-ES"/>
        </w:rPr>
      </w:pPr>
      <w:r w:rsidRPr="005E1103">
        <w:rPr>
          <w:rFonts w:eastAsia="Times New Roman" w:cstheme="minorHAnsi"/>
          <w:color w:val="000000"/>
          <w:sz w:val="28"/>
          <w:szCs w:val="28"/>
          <w:lang w:eastAsia="es-ES"/>
        </w:rPr>
        <w:t xml:space="preserve">La mejora de la calidad de vida se ve influenciada por factores como el acceso a un empleo. La inserción laboral impacta positivamente en el bienestar e independencia de las personas. Esta afirmación es coincidente con la obtenida por Pallisera y Rius (2007) donde se corrobora que las personas con discapacidad intelectual una vez que consiguen acceder a un empleo y consiguen cierta  estabilidad laboral, manifiestan otros intereses como disfrutar de una vida independiente. Además, se observa mejora en </w:t>
      </w:r>
      <w:r w:rsidRPr="005E1103">
        <w:rPr>
          <w:rFonts w:eastAsia="Times New Roman" w:cstheme="minorHAnsi"/>
          <w:color w:val="000000"/>
          <w:sz w:val="28"/>
          <w:szCs w:val="28"/>
          <w:lang w:eastAsia="es-ES"/>
        </w:rPr>
        <w:lastRenderedPageBreak/>
        <w:t xml:space="preserve">la dimensión de </w:t>
      </w:r>
      <w:r w:rsidRPr="005E1103">
        <w:rPr>
          <w:rFonts w:eastAsia="Times New Roman" w:cstheme="minorHAnsi"/>
          <w:i/>
          <w:color w:val="000000"/>
          <w:sz w:val="28"/>
          <w:szCs w:val="28"/>
          <w:lang w:eastAsia="es-ES"/>
        </w:rPr>
        <w:t>bienestar material</w:t>
      </w:r>
      <w:r w:rsidRPr="005E1103">
        <w:rPr>
          <w:rFonts w:eastAsia="Times New Roman" w:cstheme="minorHAnsi"/>
          <w:color w:val="000000"/>
          <w:sz w:val="28"/>
          <w:szCs w:val="28"/>
          <w:lang w:eastAsia="es-ES"/>
        </w:rPr>
        <w:t xml:space="preserve">, dato que coincide con el trabajo de Schalock, Gardner y Bradley (2008) sobre Calidad de vida para personas con discapacidad intelectual y otras discapacidades del desarrollo. En otro estudio efectuado por Verdugo y Vicent (2004) se expone que el empleo tiene influencias positivas en el nivel de calidad de vida. </w:t>
      </w:r>
      <w:r w:rsidRPr="005E1103">
        <w:rPr>
          <w:rFonts w:eastAsia="Times New Roman" w:cstheme="minorHAnsi"/>
          <w:sz w:val="28"/>
          <w:szCs w:val="28"/>
          <w:lang w:eastAsia="es-ES"/>
        </w:rPr>
        <w:t xml:space="preserve">Afecta directamente a la autodeterminación de las personas con discapacidad intelectual y les permite gozar de una mayor independencia económica, por lo tanto, hace que se sientan menos dependientes de sus familias. Desde estos centros se fomenta la autodeterminación y se tienen en cuenta las preferencias de las personas, ofreciéndoles oportunidades y mecanismos para que puedan expresar sus opiniones, pero en algunos casos, el papel proteccionista que asume la familia supone un obstáculo. </w:t>
      </w:r>
      <w:r w:rsidRPr="005E1103">
        <w:rPr>
          <w:rFonts w:eastAsia="Times New Roman" w:cstheme="minorHAnsi"/>
          <w:color w:val="000000"/>
          <w:sz w:val="28"/>
          <w:szCs w:val="28"/>
          <w:lang w:eastAsia="es-ES"/>
        </w:rPr>
        <w:t xml:space="preserve">Otro factor que puede influir en la mejora de la autodeterminación es el tipo de vivienda.  Las viviendas tuteladas tienen por objetivo fomentar una vida independiente con los apoyos necesarios. Pero en nuestra muestra poblacional, la puntuación alcanzada por aquellas personas que residen en una de ellas, no difiere de la de quienes residen con la familia, presentando una puntuación similar en autoterderminación y en el índice de calidad de vida general. </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 xml:space="preserve">En cuestión de salud y de </w:t>
      </w:r>
      <w:r w:rsidRPr="005E1103">
        <w:rPr>
          <w:rFonts w:eastAsia="Times New Roman" w:cstheme="minorHAnsi"/>
          <w:i/>
          <w:sz w:val="28"/>
          <w:szCs w:val="28"/>
          <w:lang w:eastAsia="es-ES"/>
        </w:rPr>
        <w:t>bienestar físico</w:t>
      </w:r>
      <w:r w:rsidRPr="005E1103">
        <w:rPr>
          <w:rFonts w:eastAsia="Times New Roman" w:cstheme="minorHAnsi"/>
          <w:sz w:val="28"/>
          <w:szCs w:val="28"/>
          <w:lang w:eastAsia="es-ES"/>
        </w:rPr>
        <w:t xml:space="preserve"> en general, no encontramos diferencias según el género. De manera general, las personas que han participado en el estudio perciben un estado de salud semejante. Pese a todo, se precisa una mayor incidencia en la mejora de hábitos saludables, relacionados con la alimentación (un alto porcentaje tiene sobrepeso) y en la práctica de ejercicio físico regular.</w:t>
      </w:r>
    </w:p>
    <w:p w:rsidR="00954B58" w:rsidRPr="005E1103" w:rsidRDefault="00954B58" w:rsidP="00954B58">
      <w:pPr>
        <w:spacing w:after="0" w:line="360" w:lineRule="auto"/>
        <w:jc w:val="both"/>
        <w:rPr>
          <w:rFonts w:eastAsia="Times New Roman" w:cstheme="minorHAnsi"/>
          <w:color w:val="000000"/>
          <w:sz w:val="28"/>
          <w:szCs w:val="28"/>
          <w:lang w:eastAsia="es-ES"/>
        </w:rPr>
      </w:pPr>
      <w:r w:rsidRPr="005E1103">
        <w:rPr>
          <w:rFonts w:eastAsia="Times New Roman" w:cstheme="minorHAnsi"/>
          <w:sz w:val="28"/>
          <w:szCs w:val="28"/>
          <w:lang w:eastAsia="es-ES"/>
        </w:rPr>
        <w:t xml:space="preserve">Por otra parte, cuando hablamos de </w:t>
      </w:r>
      <w:r w:rsidRPr="005E1103">
        <w:rPr>
          <w:rFonts w:eastAsia="Times New Roman" w:cstheme="minorHAnsi"/>
          <w:i/>
          <w:sz w:val="28"/>
          <w:szCs w:val="28"/>
          <w:lang w:eastAsia="es-ES"/>
        </w:rPr>
        <w:t>Derechos</w:t>
      </w:r>
      <w:r w:rsidRPr="005E1103">
        <w:rPr>
          <w:rFonts w:eastAsia="Times New Roman" w:cstheme="minorHAnsi"/>
          <w:sz w:val="28"/>
          <w:szCs w:val="28"/>
          <w:lang w:eastAsia="es-ES"/>
        </w:rPr>
        <w:t>, m</w:t>
      </w:r>
      <w:r w:rsidRPr="005E1103">
        <w:rPr>
          <w:rFonts w:eastAsia="Times New Roman" w:cstheme="minorHAnsi"/>
          <w:color w:val="000000"/>
          <w:sz w:val="28"/>
          <w:szCs w:val="28"/>
          <w:lang w:eastAsia="es-ES"/>
        </w:rPr>
        <w:t xml:space="preserve">uchas personas ven vulnerado su derecho a la intimidad porque a causa de su discapacidad les </w:t>
      </w:r>
      <w:r w:rsidRPr="005E1103">
        <w:rPr>
          <w:rFonts w:eastAsia="Times New Roman" w:cstheme="minorHAnsi"/>
          <w:color w:val="000000"/>
          <w:sz w:val="28"/>
          <w:szCs w:val="28"/>
          <w:lang w:eastAsia="es-ES"/>
        </w:rPr>
        <w:lastRenderedPageBreak/>
        <w:t>resulta complicado o imposible defenderse de la intromisión indebida de otras personas en sus vidas. No obstante, desde estos centros se está haciendo un gran trabajo en formación e información en derechos, llevándose a cabo un proyecto para fomentar el conocimiento de los mismos y aprender a reivindicarlos, así como a defenderse en el caso de que alguno sea vulnerado.</w:t>
      </w:r>
    </w:p>
    <w:p w:rsidR="00954B58" w:rsidRPr="005E1103" w:rsidRDefault="00954B58" w:rsidP="00954B58">
      <w:pPr>
        <w:spacing w:after="0" w:line="360" w:lineRule="auto"/>
        <w:jc w:val="both"/>
        <w:rPr>
          <w:rFonts w:eastAsia="Times New Roman" w:cstheme="minorHAnsi"/>
          <w:color w:val="000000"/>
          <w:sz w:val="28"/>
          <w:szCs w:val="28"/>
          <w:lang w:eastAsia="es-ES"/>
        </w:rPr>
      </w:pPr>
      <w:r w:rsidRPr="005E1103">
        <w:rPr>
          <w:rFonts w:eastAsia="Times New Roman" w:cstheme="minorHAnsi"/>
          <w:color w:val="000000"/>
          <w:sz w:val="28"/>
          <w:szCs w:val="28"/>
          <w:lang w:eastAsia="es-ES"/>
        </w:rPr>
        <w:t>Se estudiaron otros factores que podrían influir en el nivel de CV como son la edad, el género o el ámbito geográfico de residencia. Según el estudio llevado a cabo por  Abay Analistas Económicos y Sociales (2013), la edad es un factor influyente, sin embargo, los resultados a los que se llegaron con esta investigación pusieron de manifiesto que el índice general de CV no variaba a medida que la edad aumentaba. A diferencia de los resultados de la investigación de Gómez-Vela y Verdugo (2004), donde las mujeres con discapacidad intelectual en general, se sentían menos satisfechas consigo mismas, con su imagen y con su vida, lo que repercutía en un menor Índice de CV, en esta investigación el género no resultó ser un factor influyente. Así mismo, considerábamos que la ciudad podía ofrecer mayores oportunidades de trabajo, de relaciones, de ocio… No obstante, el ámbito geográfico de residencia no resultó ser  un factor que estableciese diferencias en el nivel de CV.</w:t>
      </w:r>
    </w:p>
    <w:p w:rsidR="00954B58" w:rsidRPr="005E1103" w:rsidRDefault="00954B58" w:rsidP="00954B58">
      <w:pPr>
        <w:spacing w:after="0" w:line="360" w:lineRule="auto"/>
        <w:jc w:val="both"/>
        <w:rPr>
          <w:rFonts w:eastAsia="Times New Roman" w:cstheme="minorHAnsi"/>
          <w:color w:val="000000"/>
          <w:sz w:val="28"/>
          <w:szCs w:val="28"/>
          <w:lang w:eastAsia="es-ES"/>
        </w:rPr>
      </w:pPr>
      <w:r w:rsidRPr="005E1103">
        <w:rPr>
          <w:rFonts w:eastAsia="Times New Roman" w:cstheme="minorHAnsi"/>
          <w:color w:val="000000"/>
          <w:sz w:val="28"/>
          <w:szCs w:val="28"/>
          <w:lang w:eastAsia="es-ES"/>
        </w:rPr>
        <w:t xml:space="preserve">Hay que mencionar además, que se ofrece apoyo para la mejora y permanencia de un estado de disfrute, de estar bien consigo mismo situando el foco en la prevención, en el mantenimiento y la promoción del bienestar emocional e intervenir con aquellas personas que presenten alteraciones de la conducta o trastornos mentales, así como en el desarrollo de competencias con el fin de que tengan oportunidades y facilidades en el entorno para el aprendizaje, buscando la mayor </w:t>
      </w:r>
      <w:r w:rsidRPr="005E1103">
        <w:rPr>
          <w:rFonts w:eastAsia="Times New Roman" w:cstheme="minorHAnsi"/>
          <w:color w:val="000000"/>
          <w:sz w:val="28"/>
          <w:szCs w:val="28"/>
          <w:lang w:eastAsia="es-ES"/>
        </w:rPr>
        <w:lastRenderedPageBreak/>
        <w:t>autonomía posible en todas las áreas de trabajo. Conviene subrayar que el acceso a las  tecnologías sigue siendo muy limitado, pocas personas disponen de móvil y, especialmente, de Internet.</w:t>
      </w:r>
    </w:p>
    <w:p w:rsidR="00954B58" w:rsidRPr="005E1103" w:rsidRDefault="00954B58" w:rsidP="00954B58">
      <w:pPr>
        <w:spacing w:after="0" w:line="360" w:lineRule="auto"/>
        <w:jc w:val="both"/>
        <w:rPr>
          <w:rFonts w:eastAsia="Times New Roman" w:cstheme="minorHAnsi"/>
          <w:color w:val="000000"/>
          <w:sz w:val="28"/>
          <w:szCs w:val="28"/>
          <w:lang w:eastAsia="es-ES"/>
        </w:rPr>
      </w:pPr>
      <w:r w:rsidRPr="005E1103">
        <w:rPr>
          <w:rFonts w:eastAsia="Times New Roman" w:cstheme="minorHAnsi"/>
          <w:color w:val="000000"/>
          <w:sz w:val="28"/>
          <w:szCs w:val="28"/>
          <w:lang w:eastAsia="es-ES"/>
        </w:rPr>
        <w:t>Cabe señalar que la asociación muestra su compromiso con la inclusión, ofreciendo oportunidades para el acceso y disfrute de los recursos de la comunidad, sin embargo, las personas usuarias de estos centros siguen necesitando que se refuercen las acciones dirigidas al fomento de la inclusión social pues muestran dificultades para realizar actividades sin apoyo en la comunidad, con otras personas sin discapacidad y principalmente, para conseguir amigos. En la mayor parte de los casos, el círculo de amigos es muy reducido y se limita a los compañeros del centro. Por ello, los programas de ocio pueden ayudar a generar mejores resultados en calidad de vida si se organizan en colaboración con otros recursos comunitarios (Aja, Gerolin, Canto y Vidorreta, 2014; Kim, Larson y Lakin, 2001; O’Brien, Thesing, Tuck y Capie, 2001; Veitch, Bray y Ross, 2003).</w:t>
      </w:r>
    </w:p>
    <w:p w:rsidR="00954B58" w:rsidRPr="005E1103" w:rsidRDefault="00954B58" w:rsidP="00954B58">
      <w:pPr>
        <w:spacing w:after="0" w:line="360" w:lineRule="auto"/>
        <w:jc w:val="both"/>
        <w:rPr>
          <w:rFonts w:eastAsia="Times New Roman" w:cstheme="minorHAnsi"/>
          <w:color w:val="000000"/>
          <w:sz w:val="28"/>
          <w:szCs w:val="28"/>
          <w:lang w:eastAsia="es-ES"/>
        </w:rPr>
      </w:pPr>
      <w:r w:rsidRPr="005E1103">
        <w:rPr>
          <w:rFonts w:eastAsia="Times New Roman" w:cstheme="minorHAnsi"/>
          <w:color w:val="000000"/>
          <w:sz w:val="28"/>
          <w:szCs w:val="28"/>
          <w:lang w:eastAsia="es-ES"/>
        </w:rPr>
        <w:t>Encontramos que la calidad de vida mejoraría con proyectos de transformación dirigidos a impulsar acciones creativas en los centros para orientar su organización hacia la inclusión y la calidad de vida de estas personas, pero siempre desde el compromiso ético. Se deben realizar más acciones en ambientes comunitarios y evitar, en la medida de lo posible, el desarrollo de las mismas en entornos institucionales. Los apoyos deben ofrecerse en ambientes inclusivos para facilitar la adquisición de habilidades en interacción con otras personas y poder vivir realmente la experiencia.</w:t>
      </w:r>
    </w:p>
    <w:p w:rsidR="00954B58" w:rsidRPr="005E1103" w:rsidRDefault="00954B58" w:rsidP="00954B58">
      <w:pPr>
        <w:spacing w:after="0" w:line="360" w:lineRule="auto"/>
        <w:jc w:val="both"/>
        <w:rPr>
          <w:rFonts w:eastAsia="Times New Roman" w:cstheme="minorHAnsi"/>
          <w:b/>
          <w:color w:val="000000"/>
          <w:sz w:val="28"/>
          <w:szCs w:val="28"/>
          <w:lang w:eastAsia="es-ES"/>
        </w:rPr>
      </w:pPr>
      <w:r w:rsidRPr="005E1103">
        <w:rPr>
          <w:rFonts w:eastAsia="Times New Roman" w:cstheme="minorHAnsi"/>
          <w:b/>
          <w:color w:val="000000"/>
          <w:sz w:val="28"/>
          <w:szCs w:val="28"/>
          <w:lang w:eastAsia="es-ES"/>
        </w:rPr>
        <w:t>Referencias bibliográficas</w:t>
      </w:r>
    </w:p>
    <w:p w:rsidR="00954B58" w:rsidRPr="005E1103" w:rsidRDefault="00954B58" w:rsidP="00954B58">
      <w:pPr>
        <w:spacing w:after="0" w:line="360" w:lineRule="auto"/>
        <w:jc w:val="both"/>
        <w:rPr>
          <w:rFonts w:eastAsia="Times New Roman" w:cstheme="minorHAnsi"/>
          <w:color w:val="000000"/>
          <w:sz w:val="28"/>
          <w:szCs w:val="28"/>
          <w:lang w:eastAsia="es-ES"/>
        </w:rPr>
      </w:pPr>
      <w:r w:rsidRPr="005E1103">
        <w:rPr>
          <w:rFonts w:eastAsia="Times New Roman" w:cstheme="minorHAnsi"/>
          <w:color w:val="000000"/>
          <w:sz w:val="28"/>
          <w:szCs w:val="28"/>
          <w:highlight w:val="white"/>
          <w:lang w:eastAsia="es-ES"/>
        </w:rPr>
        <w:lastRenderedPageBreak/>
        <w:t xml:space="preserve">Abay Analistas (2013), </w:t>
      </w:r>
      <w:r w:rsidRPr="005E1103">
        <w:rPr>
          <w:rFonts w:eastAsia="Times New Roman" w:cstheme="minorHAnsi"/>
          <w:i/>
          <w:color w:val="000000"/>
          <w:sz w:val="28"/>
          <w:szCs w:val="28"/>
          <w:highlight w:val="white"/>
          <w:lang w:eastAsia="es-ES"/>
        </w:rPr>
        <w:t>Primer panel de indicadores de calidad de vida de personas con discapacidad intelectual en Aragón</w:t>
      </w:r>
      <w:r w:rsidRPr="005E1103">
        <w:rPr>
          <w:rFonts w:eastAsia="Times New Roman" w:cstheme="minorHAnsi"/>
          <w:color w:val="000000"/>
          <w:sz w:val="28"/>
          <w:szCs w:val="28"/>
          <w:highlight w:val="white"/>
          <w:lang w:eastAsia="es-ES"/>
        </w:rPr>
        <w:t>, Abay Analistas Económicos y Sociales y Asociación ATADES.</w:t>
      </w:r>
    </w:p>
    <w:p w:rsidR="00954B58" w:rsidRPr="005E1103" w:rsidRDefault="00954B58" w:rsidP="00954B58">
      <w:pPr>
        <w:spacing w:after="0" w:line="360" w:lineRule="auto"/>
        <w:jc w:val="both"/>
        <w:rPr>
          <w:rFonts w:eastAsia="Times New Roman" w:cstheme="minorHAnsi"/>
          <w:color w:val="000000"/>
          <w:sz w:val="28"/>
          <w:szCs w:val="28"/>
          <w:lang w:eastAsia="es-ES"/>
        </w:rPr>
      </w:pPr>
      <w:r w:rsidRPr="005E1103">
        <w:rPr>
          <w:rFonts w:eastAsia="Times New Roman" w:cstheme="minorHAnsi"/>
          <w:color w:val="000000"/>
          <w:sz w:val="28"/>
          <w:szCs w:val="28"/>
          <w:lang w:eastAsia="es-ES"/>
        </w:rPr>
        <w:t xml:space="preserve">Aja Ramos, Ramón Enrique, Gerolin, Mirko, Canto Conbarro, Ana y Vidorreta Gutiérrez, Irama, </w:t>
      </w:r>
      <w:r w:rsidRPr="005E1103">
        <w:rPr>
          <w:rFonts w:eastAsia="Times New Roman" w:cstheme="minorHAnsi"/>
          <w:color w:val="000000"/>
          <w:sz w:val="28"/>
          <w:szCs w:val="28"/>
          <w:lang w:eastAsia="es-ES"/>
        </w:rPr>
        <w:sym w:font="MT Extra" w:char="F03D"/>
      </w:r>
      <w:r w:rsidRPr="005E1103">
        <w:rPr>
          <w:rFonts w:eastAsia="Times New Roman" w:cstheme="minorHAnsi"/>
          <w:color w:val="000000"/>
          <w:sz w:val="28"/>
          <w:szCs w:val="28"/>
          <w:lang w:eastAsia="es-ES"/>
        </w:rPr>
        <w:t>Influencia de factores personales y ambientales en la calidad de vida de personas con discapacidad intelectual</w:t>
      </w:r>
      <w:r w:rsidRPr="005E1103">
        <w:rPr>
          <w:rFonts w:eastAsia="Times New Roman" w:cstheme="minorHAnsi"/>
          <w:color w:val="000000"/>
          <w:sz w:val="28"/>
          <w:szCs w:val="28"/>
          <w:lang w:eastAsia="es-ES"/>
        </w:rPr>
        <w:sym w:font="MT Extra" w:char="F03F"/>
      </w:r>
      <w:r w:rsidRPr="005E1103">
        <w:rPr>
          <w:rFonts w:eastAsia="Times New Roman" w:cstheme="minorHAnsi"/>
          <w:color w:val="000000"/>
          <w:sz w:val="28"/>
          <w:szCs w:val="28"/>
          <w:lang w:eastAsia="es-ES"/>
        </w:rPr>
        <w:t xml:space="preserve">, </w:t>
      </w:r>
      <w:r w:rsidRPr="005E1103">
        <w:rPr>
          <w:rFonts w:eastAsia="Times New Roman" w:cstheme="minorHAnsi"/>
          <w:i/>
          <w:color w:val="000000"/>
          <w:sz w:val="28"/>
          <w:szCs w:val="28"/>
          <w:lang w:eastAsia="es-ES"/>
        </w:rPr>
        <w:t>Revista Siglo Cero, 45</w:t>
      </w:r>
      <w:r w:rsidRPr="005E1103">
        <w:rPr>
          <w:rFonts w:eastAsia="Times New Roman" w:cstheme="minorHAnsi"/>
          <w:color w:val="000000"/>
          <w:sz w:val="28"/>
          <w:szCs w:val="28"/>
          <w:lang w:eastAsia="es-ES"/>
        </w:rPr>
        <w:t>(3), 251, (2014), págs. 47-61.</w:t>
      </w:r>
    </w:p>
    <w:p w:rsidR="00954B58" w:rsidRPr="005E1103" w:rsidRDefault="00954B58" w:rsidP="00954B58">
      <w:pPr>
        <w:spacing w:after="0" w:line="360" w:lineRule="auto"/>
        <w:jc w:val="both"/>
        <w:rPr>
          <w:rFonts w:eastAsia="Times New Roman" w:cstheme="minorHAnsi"/>
          <w:color w:val="000000"/>
          <w:sz w:val="28"/>
          <w:szCs w:val="28"/>
          <w:lang w:eastAsia="es-ES"/>
        </w:rPr>
      </w:pPr>
      <w:r w:rsidRPr="005E1103">
        <w:rPr>
          <w:rFonts w:eastAsia="Times New Roman" w:cstheme="minorHAnsi"/>
          <w:color w:val="000000"/>
          <w:sz w:val="28"/>
          <w:szCs w:val="28"/>
          <w:lang w:eastAsia="es-ES"/>
        </w:rPr>
        <w:t xml:space="preserve">Bobes García, Julio, González García-Portilla , María Paz, Bousoño García, Manuel y Suárez Retuerta, Enrique, </w:t>
      </w:r>
      <w:r w:rsidRPr="005E1103">
        <w:rPr>
          <w:rFonts w:eastAsia="Times New Roman" w:cstheme="minorHAnsi"/>
          <w:color w:val="000000"/>
          <w:sz w:val="28"/>
          <w:szCs w:val="28"/>
          <w:lang w:eastAsia="es-ES"/>
        </w:rPr>
        <w:sym w:font="MT Extra" w:char="F03D"/>
      </w:r>
      <w:r w:rsidRPr="005E1103">
        <w:rPr>
          <w:rFonts w:eastAsia="Times New Roman" w:cstheme="minorHAnsi"/>
          <w:color w:val="000000"/>
          <w:sz w:val="28"/>
          <w:szCs w:val="28"/>
          <w:lang w:eastAsia="es-ES"/>
        </w:rPr>
        <w:t>Desarrollo histórico del concepto de Calidad de Vida</w:t>
      </w:r>
      <w:r w:rsidRPr="005E1103">
        <w:rPr>
          <w:rFonts w:eastAsia="Times New Roman" w:cstheme="minorHAnsi"/>
          <w:color w:val="000000"/>
          <w:sz w:val="28"/>
          <w:szCs w:val="28"/>
          <w:lang w:eastAsia="es-ES"/>
        </w:rPr>
        <w:sym w:font="MT Extra" w:char="F03F"/>
      </w:r>
      <w:r w:rsidRPr="005E1103">
        <w:rPr>
          <w:rFonts w:eastAsia="Times New Roman" w:cstheme="minorHAnsi"/>
          <w:color w:val="000000"/>
          <w:sz w:val="28"/>
          <w:szCs w:val="28"/>
          <w:lang w:eastAsia="es-ES"/>
        </w:rPr>
        <w:t xml:space="preserve">, </w:t>
      </w:r>
      <w:r w:rsidRPr="005E1103">
        <w:rPr>
          <w:rFonts w:eastAsia="Times New Roman" w:cstheme="minorHAnsi"/>
          <w:i/>
          <w:color w:val="000000"/>
          <w:sz w:val="28"/>
          <w:szCs w:val="28"/>
          <w:lang w:eastAsia="es-ES"/>
        </w:rPr>
        <w:t>Monografías de Psiquiatría, V</w:t>
      </w:r>
      <w:r w:rsidRPr="005E1103">
        <w:rPr>
          <w:rFonts w:eastAsia="Times New Roman" w:cstheme="minorHAnsi"/>
          <w:color w:val="000000"/>
          <w:sz w:val="28"/>
          <w:szCs w:val="28"/>
          <w:lang w:eastAsia="es-ES"/>
        </w:rPr>
        <w:t>, 6, (1993), págs. 5-9.</w:t>
      </w:r>
    </w:p>
    <w:p w:rsidR="00954B58" w:rsidRPr="005E1103" w:rsidRDefault="00954B58" w:rsidP="00954B58">
      <w:pPr>
        <w:spacing w:after="0" w:line="360" w:lineRule="auto"/>
        <w:jc w:val="both"/>
        <w:rPr>
          <w:rFonts w:eastAsia="Times New Roman" w:cstheme="minorHAnsi"/>
          <w:color w:val="000000"/>
          <w:sz w:val="28"/>
          <w:szCs w:val="28"/>
          <w:lang w:eastAsia="es-ES"/>
        </w:rPr>
      </w:pPr>
      <w:r w:rsidRPr="005E1103">
        <w:rPr>
          <w:rFonts w:eastAsia="Times New Roman" w:cstheme="minorHAnsi"/>
          <w:color w:val="000000"/>
          <w:sz w:val="28"/>
          <w:szCs w:val="28"/>
          <w:lang w:eastAsia="es-ES"/>
        </w:rPr>
        <w:t xml:space="preserve">FEAPS (2010), </w:t>
      </w:r>
      <w:r w:rsidRPr="005E1103">
        <w:rPr>
          <w:rFonts w:eastAsia="Times New Roman" w:cstheme="minorHAnsi"/>
          <w:i/>
          <w:color w:val="000000"/>
          <w:sz w:val="28"/>
          <w:szCs w:val="28"/>
          <w:lang w:eastAsia="es-ES"/>
        </w:rPr>
        <w:t>IV Plan Estratégico de FEAPS (2011-2014)</w:t>
      </w:r>
      <w:r w:rsidRPr="005E1103">
        <w:rPr>
          <w:rFonts w:eastAsia="Times New Roman" w:cstheme="minorHAnsi"/>
          <w:color w:val="000000"/>
          <w:sz w:val="28"/>
          <w:szCs w:val="28"/>
          <w:lang w:eastAsia="es-ES"/>
        </w:rPr>
        <w:t>, Madrid, FEAPS.</w:t>
      </w:r>
    </w:p>
    <w:p w:rsidR="00954B58" w:rsidRPr="005E1103" w:rsidRDefault="00954B58" w:rsidP="00954B58">
      <w:pPr>
        <w:spacing w:after="0" w:line="360" w:lineRule="auto"/>
        <w:jc w:val="both"/>
        <w:rPr>
          <w:rFonts w:eastAsia="Times New Roman" w:cstheme="minorHAnsi"/>
          <w:color w:val="000000"/>
          <w:sz w:val="28"/>
          <w:szCs w:val="28"/>
          <w:lang w:val="en-US" w:eastAsia="es-ES"/>
        </w:rPr>
      </w:pPr>
      <w:r w:rsidRPr="005E1103">
        <w:rPr>
          <w:rFonts w:eastAsia="Times New Roman" w:cstheme="minorHAnsi"/>
          <w:color w:val="000000"/>
          <w:sz w:val="28"/>
          <w:szCs w:val="28"/>
          <w:lang w:eastAsia="es-ES"/>
        </w:rPr>
        <w:t xml:space="preserve">Gómez Vela, María y Verdugo Alonso, Miguel Ángel, </w:t>
      </w:r>
      <w:r w:rsidRPr="005E1103">
        <w:rPr>
          <w:rFonts w:eastAsia="Times New Roman" w:cstheme="minorHAnsi"/>
          <w:color w:val="000000"/>
          <w:sz w:val="28"/>
          <w:szCs w:val="28"/>
          <w:lang w:eastAsia="es-ES"/>
        </w:rPr>
        <w:sym w:font="MT Extra" w:char="F03D"/>
      </w:r>
      <w:r w:rsidRPr="005E1103">
        <w:rPr>
          <w:rFonts w:eastAsia="Times New Roman" w:cstheme="minorHAnsi"/>
          <w:color w:val="000000"/>
          <w:sz w:val="28"/>
          <w:szCs w:val="28"/>
          <w:lang w:eastAsia="es-ES"/>
        </w:rPr>
        <w:t>El cuestionario de evaluación de la calidad de vida de alumnos de educación secundaria obligatoria: Descripción, validación inicial y resultados obtenidos tras su aplicación en una muestra de adolescentes con discapacidad y sin ella</w:t>
      </w:r>
      <w:r w:rsidRPr="005E1103">
        <w:rPr>
          <w:rFonts w:eastAsia="Times New Roman" w:cstheme="minorHAnsi"/>
          <w:color w:val="000000"/>
          <w:sz w:val="28"/>
          <w:szCs w:val="28"/>
          <w:lang w:eastAsia="es-ES"/>
        </w:rPr>
        <w:sym w:font="MT Extra" w:char="F03F"/>
      </w:r>
      <w:r w:rsidRPr="005E1103">
        <w:rPr>
          <w:rFonts w:eastAsia="Times New Roman" w:cstheme="minorHAnsi"/>
          <w:color w:val="000000"/>
          <w:sz w:val="28"/>
          <w:szCs w:val="28"/>
          <w:lang w:eastAsia="es-ES"/>
        </w:rPr>
        <w:t xml:space="preserve">, </w:t>
      </w:r>
      <w:r w:rsidRPr="005E1103">
        <w:rPr>
          <w:rFonts w:eastAsia="Times New Roman" w:cstheme="minorHAnsi"/>
          <w:i/>
          <w:color w:val="000000"/>
          <w:sz w:val="28"/>
          <w:szCs w:val="28"/>
          <w:lang w:eastAsia="es-ES"/>
        </w:rPr>
        <w:t>Revista Siglo Cero, 35</w:t>
      </w:r>
      <w:r w:rsidRPr="005E1103">
        <w:rPr>
          <w:rFonts w:eastAsia="Times New Roman" w:cstheme="minorHAnsi"/>
          <w:color w:val="000000"/>
          <w:sz w:val="28"/>
          <w:szCs w:val="28"/>
          <w:lang w:eastAsia="es-ES"/>
        </w:rPr>
        <w:t xml:space="preserve">(4), 212, (2004), págs. </w:t>
      </w:r>
      <w:r w:rsidRPr="005E1103">
        <w:rPr>
          <w:rFonts w:eastAsia="Times New Roman" w:cstheme="minorHAnsi"/>
          <w:color w:val="000000"/>
          <w:sz w:val="28"/>
          <w:szCs w:val="28"/>
          <w:lang w:val="en-US" w:eastAsia="es-ES"/>
        </w:rPr>
        <w:t>5-17.</w:t>
      </w:r>
    </w:p>
    <w:p w:rsidR="00954B58" w:rsidRPr="005E1103" w:rsidRDefault="00954B58" w:rsidP="00954B58">
      <w:pPr>
        <w:spacing w:after="0" w:line="360" w:lineRule="auto"/>
        <w:jc w:val="both"/>
        <w:rPr>
          <w:rFonts w:eastAsia="Times New Roman" w:cstheme="minorHAnsi"/>
          <w:color w:val="000000"/>
          <w:sz w:val="28"/>
          <w:szCs w:val="28"/>
          <w:lang w:val="en-US" w:eastAsia="es-ES"/>
        </w:rPr>
      </w:pPr>
      <w:r w:rsidRPr="005E1103">
        <w:rPr>
          <w:rFonts w:eastAsia="Times New Roman" w:cstheme="minorHAnsi"/>
          <w:color w:val="000000"/>
          <w:sz w:val="28"/>
          <w:szCs w:val="28"/>
          <w:lang w:val="en-US" w:eastAsia="es-ES"/>
        </w:rPr>
        <w:t xml:space="preserve">Kim, Shannon, Larson, Sheryl A. &amp; Lakin, Charlie, </w:t>
      </w:r>
      <w:r w:rsidRPr="005E1103">
        <w:rPr>
          <w:rFonts w:eastAsia="Times New Roman" w:cstheme="minorHAnsi"/>
          <w:color w:val="000000"/>
          <w:sz w:val="28"/>
          <w:szCs w:val="28"/>
          <w:lang w:eastAsia="es-ES"/>
        </w:rPr>
        <w:sym w:font="MT Extra" w:char="F03D"/>
      </w:r>
      <w:r w:rsidRPr="005E1103">
        <w:rPr>
          <w:rFonts w:eastAsia="Times New Roman" w:cstheme="minorHAnsi"/>
          <w:color w:val="000000"/>
          <w:sz w:val="28"/>
          <w:szCs w:val="28"/>
          <w:lang w:val="en-US" w:eastAsia="es-ES"/>
        </w:rPr>
        <w:t>Behavioural outcomes of deinstitutionalisation for people with intellectual disability: a review of US studies conducted between 1980 and 1999</w:t>
      </w:r>
      <w:r w:rsidRPr="005E1103">
        <w:rPr>
          <w:rFonts w:eastAsia="Times New Roman" w:cstheme="minorHAnsi"/>
          <w:color w:val="000000"/>
          <w:sz w:val="28"/>
          <w:szCs w:val="28"/>
          <w:lang w:eastAsia="es-ES"/>
        </w:rPr>
        <w:sym w:font="MT Extra" w:char="F03F"/>
      </w:r>
      <w:r w:rsidRPr="005E1103">
        <w:rPr>
          <w:rFonts w:eastAsia="Times New Roman" w:cstheme="minorHAnsi"/>
          <w:color w:val="000000"/>
          <w:sz w:val="28"/>
          <w:szCs w:val="28"/>
          <w:lang w:val="en-US" w:eastAsia="es-ES"/>
        </w:rPr>
        <w:t xml:space="preserve">. </w:t>
      </w:r>
      <w:r w:rsidRPr="005E1103">
        <w:rPr>
          <w:rFonts w:eastAsia="Times New Roman" w:cstheme="minorHAnsi"/>
          <w:i/>
          <w:color w:val="000000"/>
          <w:sz w:val="28"/>
          <w:szCs w:val="28"/>
          <w:lang w:val="en-US" w:eastAsia="es-ES"/>
        </w:rPr>
        <w:t>Journal of Intellectual &amp; Developmental Disability</w:t>
      </w:r>
      <w:r w:rsidRPr="005E1103">
        <w:rPr>
          <w:rFonts w:eastAsia="Times New Roman" w:cstheme="minorHAnsi"/>
          <w:color w:val="000000"/>
          <w:sz w:val="28"/>
          <w:szCs w:val="28"/>
          <w:lang w:val="en-US" w:eastAsia="es-ES"/>
        </w:rPr>
        <w:t xml:space="preserve">, </w:t>
      </w:r>
      <w:r w:rsidRPr="005E1103">
        <w:rPr>
          <w:rFonts w:eastAsia="Times New Roman" w:cstheme="minorHAnsi"/>
          <w:i/>
          <w:color w:val="000000"/>
          <w:sz w:val="28"/>
          <w:szCs w:val="28"/>
          <w:lang w:val="en-US" w:eastAsia="es-ES"/>
        </w:rPr>
        <w:t>26</w:t>
      </w:r>
      <w:r w:rsidRPr="005E1103">
        <w:rPr>
          <w:rFonts w:eastAsia="Times New Roman" w:cstheme="minorHAnsi"/>
          <w:color w:val="000000"/>
          <w:sz w:val="28"/>
          <w:szCs w:val="28"/>
          <w:lang w:val="en-US" w:eastAsia="es-ES"/>
        </w:rPr>
        <w:t>(1), (2001), págs. 35-50.</w:t>
      </w:r>
    </w:p>
    <w:p w:rsidR="00954B58" w:rsidRPr="005E1103" w:rsidRDefault="00954B58" w:rsidP="00954B58">
      <w:pPr>
        <w:spacing w:after="0" w:line="360" w:lineRule="auto"/>
        <w:jc w:val="both"/>
        <w:rPr>
          <w:rFonts w:eastAsia="Times New Roman" w:cstheme="minorHAnsi"/>
          <w:color w:val="000000"/>
          <w:sz w:val="28"/>
          <w:szCs w:val="28"/>
          <w:lang w:val="en-US" w:eastAsia="es-ES"/>
        </w:rPr>
      </w:pPr>
      <w:r w:rsidRPr="005E1103">
        <w:rPr>
          <w:rFonts w:eastAsia="Times New Roman" w:cstheme="minorHAnsi"/>
          <w:color w:val="000000"/>
          <w:sz w:val="28"/>
          <w:szCs w:val="28"/>
          <w:lang w:val="en-US" w:eastAsia="es-ES"/>
        </w:rPr>
        <w:t xml:space="preserve">Mirfin-Veitch, Brigit, Bray, Anne &amp; Ross, Nicola, </w:t>
      </w:r>
      <w:r w:rsidRPr="005E1103">
        <w:rPr>
          <w:rFonts w:eastAsia="Times New Roman" w:cstheme="minorHAnsi"/>
          <w:color w:val="000000"/>
          <w:sz w:val="28"/>
          <w:szCs w:val="28"/>
          <w:lang w:eastAsia="es-ES"/>
        </w:rPr>
        <w:sym w:font="MT Extra" w:char="F03D"/>
      </w:r>
      <w:r w:rsidRPr="005E1103">
        <w:rPr>
          <w:rFonts w:eastAsia="Times New Roman" w:cstheme="minorHAnsi"/>
          <w:color w:val="000000"/>
          <w:sz w:val="28"/>
          <w:szCs w:val="28"/>
          <w:lang w:val="en-US" w:eastAsia="es-ES"/>
        </w:rPr>
        <w:t>It was the hardest and most painful decision of my life!’ Seeking permanent out-of-home placement for sons and daughters with intellectual disabilities</w:t>
      </w:r>
      <w:r w:rsidRPr="005E1103">
        <w:rPr>
          <w:rFonts w:eastAsia="Times New Roman" w:cstheme="minorHAnsi"/>
          <w:color w:val="000000"/>
          <w:sz w:val="28"/>
          <w:szCs w:val="28"/>
          <w:lang w:eastAsia="es-ES"/>
        </w:rPr>
        <w:sym w:font="MT Extra" w:char="F03F"/>
      </w:r>
      <w:r w:rsidRPr="005E1103">
        <w:rPr>
          <w:rFonts w:eastAsia="Times New Roman" w:cstheme="minorHAnsi"/>
          <w:color w:val="000000"/>
          <w:sz w:val="28"/>
          <w:szCs w:val="28"/>
          <w:lang w:val="en-US" w:eastAsia="es-ES"/>
        </w:rPr>
        <w:t xml:space="preserve">, </w:t>
      </w:r>
      <w:r w:rsidRPr="005E1103">
        <w:rPr>
          <w:rFonts w:eastAsia="Times New Roman" w:cstheme="minorHAnsi"/>
          <w:i/>
          <w:color w:val="000000"/>
          <w:sz w:val="28"/>
          <w:szCs w:val="28"/>
          <w:lang w:val="en-US" w:eastAsia="es-ES"/>
        </w:rPr>
        <w:t>Journal of Intellectual &amp; developmental Disability</w:t>
      </w:r>
      <w:r w:rsidRPr="005E1103">
        <w:rPr>
          <w:rFonts w:eastAsia="Times New Roman" w:cstheme="minorHAnsi"/>
          <w:color w:val="000000"/>
          <w:sz w:val="28"/>
          <w:szCs w:val="28"/>
          <w:lang w:val="en-US" w:eastAsia="es-ES"/>
        </w:rPr>
        <w:t>, 28, (2003), págs. 99-111.</w:t>
      </w:r>
    </w:p>
    <w:p w:rsidR="00954B58" w:rsidRPr="005E1103" w:rsidRDefault="00954B58" w:rsidP="00954B58">
      <w:pPr>
        <w:spacing w:after="0" w:line="360" w:lineRule="auto"/>
        <w:jc w:val="both"/>
        <w:rPr>
          <w:rFonts w:eastAsia="Times New Roman" w:cstheme="minorHAnsi"/>
          <w:color w:val="000000"/>
          <w:sz w:val="28"/>
          <w:szCs w:val="28"/>
          <w:lang w:eastAsia="es-ES"/>
        </w:rPr>
      </w:pPr>
      <w:r w:rsidRPr="005E1103">
        <w:rPr>
          <w:rFonts w:eastAsia="Times New Roman" w:cstheme="minorHAnsi"/>
          <w:color w:val="000000"/>
          <w:sz w:val="28"/>
          <w:szCs w:val="28"/>
          <w:lang w:val="en-US" w:eastAsia="es-ES"/>
        </w:rPr>
        <w:t xml:space="preserve">O’Brien, Patricia, Thesing, Avril, Tuck, Bryan &amp; Capie, Angus, </w:t>
      </w:r>
      <w:r w:rsidRPr="005E1103">
        <w:rPr>
          <w:rFonts w:eastAsia="Times New Roman" w:cstheme="minorHAnsi"/>
          <w:color w:val="000000"/>
          <w:sz w:val="28"/>
          <w:szCs w:val="28"/>
          <w:lang w:eastAsia="es-ES"/>
        </w:rPr>
        <w:sym w:font="MT Extra" w:char="F03D"/>
      </w:r>
      <w:r w:rsidRPr="005E1103">
        <w:rPr>
          <w:rFonts w:eastAsia="Times New Roman" w:cstheme="minorHAnsi"/>
          <w:color w:val="000000"/>
          <w:sz w:val="28"/>
          <w:szCs w:val="28"/>
          <w:lang w:val="en-US" w:eastAsia="es-ES"/>
        </w:rPr>
        <w:t xml:space="preserve">Perceptions of change, advantage and quality of life for people with intellectual </w:t>
      </w:r>
      <w:r w:rsidRPr="005E1103">
        <w:rPr>
          <w:rFonts w:eastAsia="Times New Roman" w:cstheme="minorHAnsi"/>
          <w:color w:val="000000"/>
          <w:sz w:val="28"/>
          <w:szCs w:val="28"/>
          <w:lang w:val="en-US" w:eastAsia="es-ES"/>
        </w:rPr>
        <w:lastRenderedPageBreak/>
        <w:t>disability who left a long stay institution to live in the community</w:t>
      </w:r>
      <w:r w:rsidRPr="005E1103">
        <w:rPr>
          <w:rFonts w:eastAsia="Times New Roman" w:cstheme="minorHAnsi"/>
          <w:color w:val="000000"/>
          <w:sz w:val="28"/>
          <w:szCs w:val="28"/>
          <w:lang w:eastAsia="es-ES"/>
        </w:rPr>
        <w:sym w:font="MT Extra" w:char="F03F"/>
      </w:r>
      <w:r w:rsidRPr="005E1103">
        <w:rPr>
          <w:rFonts w:eastAsia="Times New Roman" w:cstheme="minorHAnsi"/>
          <w:color w:val="000000"/>
          <w:sz w:val="28"/>
          <w:szCs w:val="28"/>
          <w:lang w:val="en-US" w:eastAsia="es-ES"/>
        </w:rPr>
        <w:t xml:space="preserve">, </w:t>
      </w:r>
      <w:r w:rsidRPr="005E1103">
        <w:rPr>
          <w:rFonts w:eastAsia="Times New Roman" w:cstheme="minorHAnsi"/>
          <w:i/>
          <w:color w:val="000000"/>
          <w:sz w:val="28"/>
          <w:szCs w:val="28"/>
          <w:lang w:val="en-US" w:eastAsia="es-ES"/>
        </w:rPr>
        <w:t>Journal of Intellectual &amp; Developmental Disability</w:t>
      </w:r>
      <w:r w:rsidRPr="005E1103">
        <w:rPr>
          <w:rFonts w:eastAsia="Times New Roman" w:cstheme="minorHAnsi"/>
          <w:color w:val="000000"/>
          <w:sz w:val="28"/>
          <w:szCs w:val="28"/>
          <w:lang w:val="en-US" w:eastAsia="es-ES"/>
        </w:rPr>
        <w:t xml:space="preserve">, </w:t>
      </w:r>
      <w:r w:rsidRPr="005E1103">
        <w:rPr>
          <w:rFonts w:eastAsia="Times New Roman" w:cstheme="minorHAnsi"/>
          <w:i/>
          <w:color w:val="000000"/>
          <w:sz w:val="28"/>
          <w:szCs w:val="28"/>
          <w:lang w:val="en-US" w:eastAsia="es-ES"/>
        </w:rPr>
        <w:t>26</w:t>
      </w:r>
      <w:r w:rsidRPr="005E1103">
        <w:rPr>
          <w:rFonts w:eastAsia="Times New Roman" w:cstheme="minorHAnsi"/>
          <w:color w:val="000000"/>
          <w:sz w:val="28"/>
          <w:szCs w:val="28"/>
          <w:lang w:val="en-US" w:eastAsia="es-ES"/>
        </w:rPr>
        <w:t xml:space="preserve">(1), (2001), págs. </w:t>
      </w:r>
      <w:r w:rsidRPr="005E1103">
        <w:rPr>
          <w:rFonts w:eastAsia="Times New Roman" w:cstheme="minorHAnsi"/>
          <w:color w:val="000000"/>
          <w:sz w:val="28"/>
          <w:szCs w:val="28"/>
          <w:lang w:eastAsia="es-ES"/>
        </w:rPr>
        <w:t>67-82.</w:t>
      </w:r>
    </w:p>
    <w:p w:rsidR="00954B58" w:rsidRPr="005E1103" w:rsidRDefault="00954B58" w:rsidP="00954B58">
      <w:pPr>
        <w:spacing w:after="0" w:line="360" w:lineRule="auto"/>
        <w:jc w:val="both"/>
        <w:rPr>
          <w:rFonts w:eastAsia="Times New Roman" w:cstheme="minorHAnsi"/>
          <w:color w:val="000000"/>
          <w:sz w:val="28"/>
          <w:szCs w:val="28"/>
          <w:lang w:eastAsia="es-ES"/>
        </w:rPr>
      </w:pPr>
      <w:r w:rsidRPr="005E1103">
        <w:rPr>
          <w:rFonts w:eastAsia="Times New Roman" w:cstheme="minorHAnsi"/>
          <w:color w:val="000000"/>
          <w:sz w:val="28"/>
          <w:szCs w:val="28"/>
          <w:lang w:eastAsia="es-ES"/>
        </w:rPr>
        <w:t xml:space="preserve">Nueva York, </w:t>
      </w:r>
      <w:r w:rsidRPr="005E1103">
        <w:rPr>
          <w:rFonts w:eastAsia="Times New Roman" w:cstheme="minorHAnsi"/>
          <w:i/>
          <w:color w:val="000000"/>
          <w:sz w:val="28"/>
          <w:szCs w:val="28"/>
          <w:lang w:eastAsia="es-ES"/>
        </w:rPr>
        <w:t>Convención sobre los Derechos de las Personas con Discapacidad y Protocolo Facultativo</w:t>
      </w:r>
      <w:r w:rsidRPr="005E1103">
        <w:rPr>
          <w:rFonts w:eastAsia="Times New Roman" w:cstheme="minorHAnsi"/>
          <w:color w:val="000000"/>
          <w:sz w:val="28"/>
          <w:szCs w:val="28"/>
          <w:lang w:eastAsia="es-ES"/>
        </w:rPr>
        <w:t>, 13 de diciembre de 2006.</w:t>
      </w:r>
    </w:p>
    <w:p w:rsidR="00954B58" w:rsidRPr="005E1103" w:rsidRDefault="00954B58" w:rsidP="00954B58">
      <w:pPr>
        <w:spacing w:after="0" w:line="360" w:lineRule="auto"/>
        <w:jc w:val="both"/>
        <w:rPr>
          <w:rFonts w:eastAsia="Times New Roman" w:cstheme="minorHAnsi"/>
          <w:color w:val="000000"/>
          <w:sz w:val="28"/>
          <w:szCs w:val="28"/>
          <w:lang w:eastAsia="es-ES"/>
        </w:rPr>
      </w:pPr>
      <w:r w:rsidRPr="005E1103">
        <w:rPr>
          <w:rFonts w:eastAsia="Times New Roman" w:cstheme="minorHAnsi"/>
          <w:color w:val="000000"/>
          <w:sz w:val="28"/>
          <w:szCs w:val="28"/>
          <w:lang w:eastAsia="es-ES"/>
        </w:rPr>
        <w:t xml:space="preserve">Pallisera Díaz, María y Rius Bonjoch, María, </w:t>
      </w:r>
      <w:r w:rsidRPr="005E1103">
        <w:rPr>
          <w:rFonts w:eastAsia="Times New Roman" w:cstheme="minorHAnsi"/>
          <w:color w:val="000000"/>
          <w:sz w:val="28"/>
          <w:szCs w:val="28"/>
          <w:lang w:eastAsia="es-ES"/>
        </w:rPr>
        <w:sym w:font="MT Extra" w:char="F03D"/>
      </w:r>
      <w:r w:rsidRPr="005E1103">
        <w:rPr>
          <w:rFonts w:eastAsia="Times New Roman" w:cstheme="minorHAnsi"/>
          <w:color w:val="000000"/>
          <w:sz w:val="28"/>
          <w:szCs w:val="28"/>
          <w:lang w:eastAsia="es-ES"/>
        </w:rPr>
        <w:t>¿Y después del trabajo, qué? Más allá de la integración laboral de las personas con discapacidad</w:t>
      </w:r>
      <w:r w:rsidRPr="005E1103">
        <w:rPr>
          <w:rFonts w:eastAsia="Times New Roman" w:cstheme="minorHAnsi"/>
          <w:color w:val="000000"/>
          <w:sz w:val="28"/>
          <w:szCs w:val="28"/>
          <w:lang w:eastAsia="es-ES"/>
        </w:rPr>
        <w:sym w:font="MT Extra" w:char="F03F"/>
      </w:r>
      <w:r w:rsidRPr="005E1103">
        <w:rPr>
          <w:rFonts w:eastAsia="Times New Roman" w:cstheme="minorHAnsi"/>
          <w:color w:val="000000"/>
          <w:sz w:val="28"/>
          <w:szCs w:val="28"/>
          <w:lang w:eastAsia="es-ES"/>
        </w:rPr>
        <w:t xml:space="preserve">, </w:t>
      </w:r>
      <w:r w:rsidRPr="005E1103">
        <w:rPr>
          <w:rFonts w:eastAsia="Times New Roman" w:cstheme="minorHAnsi"/>
          <w:i/>
          <w:color w:val="000000"/>
          <w:sz w:val="28"/>
          <w:szCs w:val="28"/>
          <w:lang w:eastAsia="es-ES"/>
        </w:rPr>
        <w:t>Revista de Educación, 342</w:t>
      </w:r>
      <w:r w:rsidRPr="005E1103">
        <w:rPr>
          <w:rFonts w:eastAsia="Times New Roman" w:cstheme="minorHAnsi"/>
          <w:color w:val="000000"/>
          <w:sz w:val="28"/>
          <w:szCs w:val="28"/>
          <w:lang w:eastAsia="es-ES"/>
        </w:rPr>
        <w:t>, (2007), págs. 329-348.</w:t>
      </w:r>
    </w:p>
    <w:p w:rsidR="00954B58" w:rsidRPr="005E1103" w:rsidRDefault="00954B58" w:rsidP="00954B58">
      <w:pPr>
        <w:spacing w:after="0" w:line="360" w:lineRule="auto"/>
        <w:jc w:val="both"/>
        <w:rPr>
          <w:rFonts w:eastAsia="Times New Roman" w:cstheme="minorHAnsi"/>
          <w:color w:val="000000"/>
          <w:sz w:val="28"/>
          <w:szCs w:val="28"/>
          <w:lang w:val="en-GB" w:eastAsia="es-ES"/>
        </w:rPr>
      </w:pPr>
      <w:r w:rsidRPr="005E1103">
        <w:rPr>
          <w:rFonts w:eastAsia="Times New Roman" w:cstheme="minorHAnsi"/>
          <w:color w:val="000000"/>
          <w:sz w:val="28"/>
          <w:szCs w:val="28"/>
          <w:lang w:eastAsia="es-ES"/>
        </w:rPr>
        <w:t xml:space="preserve">Santamaría Domínguez, Mónica, Verdugo Alonso, Miguel Ángel, Orgaz Baz, Begoña, Gómez Sánchez, Laura y Jordán de Urríes Vega, Francisco de Borja, </w:t>
      </w:r>
      <w:r w:rsidRPr="005E1103">
        <w:rPr>
          <w:rFonts w:eastAsia="Times New Roman" w:cstheme="minorHAnsi"/>
          <w:color w:val="000000"/>
          <w:sz w:val="28"/>
          <w:szCs w:val="28"/>
          <w:lang w:eastAsia="es-ES"/>
        </w:rPr>
        <w:sym w:font="MT Extra" w:char="F03D"/>
      </w:r>
      <w:r w:rsidRPr="005E1103">
        <w:rPr>
          <w:rFonts w:eastAsia="Times New Roman" w:cstheme="minorHAnsi"/>
          <w:color w:val="000000"/>
          <w:sz w:val="28"/>
          <w:szCs w:val="28"/>
          <w:lang w:eastAsia="es-ES"/>
        </w:rPr>
        <w:t>Calidad de vida percibida por trabajadores con discapacidad intelectual en empleo ordinario</w:t>
      </w:r>
      <w:r w:rsidRPr="005E1103">
        <w:rPr>
          <w:rFonts w:eastAsia="Times New Roman" w:cstheme="minorHAnsi"/>
          <w:color w:val="000000"/>
          <w:sz w:val="28"/>
          <w:szCs w:val="28"/>
          <w:lang w:eastAsia="es-ES"/>
        </w:rPr>
        <w:sym w:font="MT Extra" w:char="F03F"/>
      </w:r>
      <w:r w:rsidRPr="005E1103">
        <w:rPr>
          <w:rFonts w:eastAsia="Times New Roman" w:cstheme="minorHAnsi"/>
          <w:color w:val="000000"/>
          <w:sz w:val="28"/>
          <w:szCs w:val="28"/>
          <w:lang w:eastAsia="es-ES"/>
        </w:rPr>
        <w:t xml:space="preserve">, </w:t>
      </w:r>
      <w:r w:rsidRPr="005E1103">
        <w:rPr>
          <w:rFonts w:eastAsia="Times New Roman" w:cstheme="minorHAnsi"/>
          <w:i/>
          <w:color w:val="000000"/>
          <w:sz w:val="28"/>
          <w:szCs w:val="28"/>
          <w:lang w:eastAsia="es-ES"/>
        </w:rPr>
        <w:t>Revista Siglo Cero, 43</w:t>
      </w:r>
      <w:r w:rsidRPr="005E1103">
        <w:rPr>
          <w:rFonts w:eastAsia="Times New Roman" w:cstheme="minorHAnsi"/>
          <w:color w:val="000000"/>
          <w:sz w:val="28"/>
          <w:szCs w:val="28"/>
          <w:lang w:eastAsia="es-ES"/>
        </w:rPr>
        <w:t xml:space="preserve">(2), (2012), págs. </w:t>
      </w:r>
      <w:r w:rsidRPr="005E1103">
        <w:rPr>
          <w:rFonts w:eastAsia="Times New Roman" w:cstheme="minorHAnsi"/>
          <w:color w:val="000000"/>
          <w:sz w:val="28"/>
          <w:szCs w:val="28"/>
          <w:lang w:val="en-GB" w:eastAsia="es-ES"/>
        </w:rPr>
        <w:t>242, 46-61.</w:t>
      </w:r>
    </w:p>
    <w:p w:rsidR="00954B58" w:rsidRPr="005E1103" w:rsidRDefault="00954B58" w:rsidP="00954B58">
      <w:pPr>
        <w:spacing w:after="0" w:line="360" w:lineRule="auto"/>
        <w:jc w:val="both"/>
        <w:rPr>
          <w:rFonts w:eastAsia="Times New Roman" w:cstheme="minorHAnsi"/>
          <w:color w:val="000000"/>
          <w:sz w:val="28"/>
          <w:szCs w:val="28"/>
          <w:lang w:val="en-GB" w:eastAsia="es-ES"/>
        </w:rPr>
      </w:pPr>
      <w:r w:rsidRPr="005E1103">
        <w:rPr>
          <w:rFonts w:eastAsia="Times New Roman" w:cstheme="minorHAnsi"/>
          <w:color w:val="000000"/>
          <w:sz w:val="28"/>
          <w:szCs w:val="28"/>
          <w:lang w:val="en-GB" w:eastAsia="es-ES"/>
        </w:rPr>
        <w:t xml:space="preserve">Schalock, Robert &amp; Verdugo Alonso, Miguel Ángel (2002), </w:t>
      </w:r>
      <w:r w:rsidRPr="005E1103">
        <w:rPr>
          <w:rFonts w:eastAsia="Times New Roman" w:cstheme="minorHAnsi"/>
          <w:i/>
          <w:color w:val="000000"/>
          <w:sz w:val="28"/>
          <w:szCs w:val="28"/>
          <w:lang w:val="en-GB" w:eastAsia="es-ES"/>
        </w:rPr>
        <w:t>The concept of quality of life in human services: A handbook for human service practitioners,</w:t>
      </w:r>
      <w:r w:rsidRPr="005E1103">
        <w:rPr>
          <w:rFonts w:eastAsia="Times New Roman" w:cstheme="minorHAnsi"/>
          <w:color w:val="000000"/>
          <w:sz w:val="28"/>
          <w:szCs w:val="28"/>
          <w:lang w:val="en-GB" w:eastAsia="es-ES"/>
        </w:rPr>
        <w:t xml:space="preserve"> Washington, D.C., American Association on Mental Retardation.</w:t>
      </w:r>
    </w:p>
    <w:p w:rsidR="00954B58" w:rsidRPr="005E1103" w:rsidRDefault="00954B58" w:rsidP="00954B58">
      <w:pPr>
        <w:spacing w:after="0" w:line="360" w:lineRule="auto"/>
        <w:jc w:val="both"/>
        <w:rPr>
          <w:rFonts w:eastAsia="Times New Roman" w:cstheme="minorHAnsi"/>
          <w:color w:val="000000"/>
          <w:sz w:val="28"/>
          <w:szCs w:val="28"/>
          <w:lang w:eastAsia="es-ES"/>
        </w:rPr>
      </w:pPr>
      <w:r w:rsidRPr="005E1103">
        <w:rPr>
          <w:rFonts w:eastAsia="Times New Roman" w:cstheme="minorHAnsi"/>
          <w:color w:val="000000"/>
          <w:sz w:val="28"/>
          <w:szCs w:val="28"/>
          <w:lang w:val="en-GB" w:eastAsia="es-ES"/>
        </w:rPr>
        <w:t xml:space="preserve">Schalock, Robert &amp; Verdugo Alonso, Miguel Ángel (2002/2003), </w:t>
      </w:r>
      <w:r w:rsidRPr="005E1103">
        <w:rPr>
          <w:rFonts w:eastAsia="Times New Roman" w:cstheme="minorHAnsi"/>
          <w:i/>
          <w:color w:val="000000"/>
          <w:sz w:val="28"/>
          <w:szCs w:val="28"/>
          <w:lang w:val="en-GB" w:eastAsia="es-ES"/>
        </w:rPr>
        <w:t xml:space="preserve">Quality of life for human service practitioners. </w:t>
      </w:r>
      <w:r w:rsidRPr="005E1103">
        <w:rPr>
          <w:rFonts w:eastAsia="Times New Roman" w:cstheme="minorHAnsi"/>
          <w:color w:val="000000"/>
          <w:sz w:val="28"/>
          <w:szCs w:val="28"/>
          <w:lang w:eastAsia="es-ES"/>
        </w:rPr>
        <w:t xml:space="preserve">Washington, D.C., American Association on Mental Retardation. Traducido al castellano por Verdugo Alonso, Miguel Ángel y Jenaro Río, Cristina (2003), </w:t>
      </w:r>
      <w:r w:rsidRPr="005E1103">
        <w:rPr>
          <w:rFonts w:eastAsia="Times New Roman" w:cstheme="minorHAnsi"/>
          <w:i/>
          <w:color w:val="000000"/>
          <w:sz w:val="28"/>
          <w:szCs w:val="28"/>
          <w:lang w:eastAsia="es-ES"/>
        </w:rPr>
        <w:t>Calidad de vida. Manual para profesionales de la educación, salud y servicios sociales,</w:t>
      </w:r>
      <w:r w:rsidRPr="005E1103">
        <w:rPr>
          <w:rFonts w:eastAsia="Times New Roman" w:cstheme="minorHAnsi"/>
          <w:color w:val="000000"/>
          <w:sz w:val="28"/>
          <w:szCs w:val="28"/>
          <w:lang w:eastAsia="es-ES"/>
        </w:rPr>
        <w:t xml:space="preserve"> Madrid, Alianza.</w:t>
      </w:r>
    </w:p>
    <w:p w:rsidR="00954B58" w:rsidRPr="005E1103" w:rsidRDefault="00954B58" w:rsidP="00954B58">
      <w:pPr>
        <w:spacing w:after="0" w:line="360" w:lineRule="auto"/>
        <w:jc w:val="both"/>
        <w:rPr>
          <w:rFonts w:eastAsia="Times New Roman" w:cstheme="minorHAnsi"/>
          <w:color w:val="000000"/>
          <w:sz w:val="28"/>
          <w:szCs w:val="28"/>
          <w:lang w:eastAsia="es-ES"/>
        </w:rPr>
      </w:pPr>
      <w:r w:rsidRPr="005E1103">
        <w:rPr>
          <w:rFonts w:eastAsia="Times New Roman" w:cstheme="minorHAnsi"/>
          <w:color w:val="000000"/>
          <w:sz w:val="28"/>
          <w:szCs w:val="28"/>
          <w:lang w:eastAsia="es-ES"/>
        </w:rPr>
        <w:t xml:space="preserve">Tamarit Cuadrado, Javier (2006), Calidad en el sector de las ONG de acción social: claves desde el compromiso. En </w:t>
      </w:r>
      <w:r w:rsidRPr="005E1103">
        <w:rPr>
          <w:rFonts w:eastAsia="Times New Roman" w:cstheme="minorHAnsi"/>
          <w:i/>
          <w:color w:val="000000"/>
          <w:sz w:val="28"/>
          <w:szCs w:val="28"/>
          <w:lang w:eastAsia="es-ES"/>
        </w:rPr>
        <w:t>Conferencia del Congreso Calidad, Tercer Sector y Políticas Sociales,</w:t>
      </w:r>
      <w:r w:rsidRPr="005E1103">
        <w:rPr>
          <w:rFonts w:eastAsia="Times New Roman" w:cstheme="minorHAnsi"/>
          <w:color w:val="000000"/>
          <w:sz w:val="28"/>
          <w:szCs w:val="28"/>
          <w:lang w:eastAsia="es-ES"/>
        </w:rPr>
        <w:t xml:space="preserve"> Madrid, Plataforma de ONG y de Acción Social.</w:t>
      </w:r>
    </w:p>
    <w:p w:rsidR="00954B58" w:rsidRPr="005E1103" w:rsidRDefault="00954B58" w:rsidP="00954B58">
      <w:pPr>
        <w:spacing w:after="0" w:line="360" w:lineRule="auto"/>
        <w:jc w:val="both"/>
        <w:rPr>
          <w:rFonts w:eastAsia="Times New Roman" w:cstheme="minorHAnsi"/>
          <w:color w:val="000000"/>
          <w:sz w:val="28"/>
          <w:szCs w:val="28"/>
          <w:lang w:eastAsia="es-ES"/>
        </w:rPr>
      </w:pPr>
      <w:r w:rsidRPr="005E1103">
        <w:rPr>
          <w:rFonts w:eastAsia="Times New Roman" w:cstheme="minorHAnsi"/>
          <w:color w:val="000000"/>
          <w:sz w:val="28"/>
          <w:szCs w:val="28"/>
          <w:lang w:eastAsia="es-ES"/>
        </w:rPr>
        <w:lastRenderedPageBreak/>
        <w:t xml:space="preserve">Verdugo Alonso, Miguel Ángel. (Dir.), Arias Martínez, Benito, Gómez Sánchez, Laura Elisabeth y Schalock, Robert (2009), </w:t>
      </w:r>
      <w:r w:rsidRPr="005E1103">
        <w:rPr>
          <w:rFonts w:eastAsia="Times New Roman" w:cstheme="minorHAnsi"/>
          <w:i/>
          <w:color w:val="000000"/>
          <w:sz w:val="28"/>
          <w:szCs w:val="28"/>
          <w:lang w:eastAsia="es-ES"/>
        </w:rPr>
        <w:t>Escala GENCAT. Manual de aplicación de la escala GENCAT de Calidad de Vida,</w:t>
      </w:r>
      <w:r w:rsidRPr="005E1103">
        <w:rPr>
          <w:rFonts w:eastAsia="Times New Roman" w:cstheme="minorHAnsi"/>
          <w:color w:val="000000"/>
          <w:sz w:val="28"/>
          <w:szCs w:val="28"/>
          <w:lang w:eastAsia="es-ES"/>
        </w:rPr>
        <w:t xml:space="preserve"> Barcelona, Institut Català d’Assistència i Serveis Socials.</w:t>
      </w:r>
    </w:p>
    <w:p w:rsidR="00954B58" w:rsidRPr="005E1103" w:rsidRDefault="00954B58" w:rsidP="00954B58">
      <w:pPr>
        <w:spacing w:after="0" w:line="360" w:lineRule="auto"/>
        <w:jc w:val="both"/>
        <w:rPr>
          <w:rFonts w:eastAsia="Times New Roman" w:cstheme="minorHAnsi"/>
          <w:color w:val="000000"/>
          <w:sz w:val="28"/>
          <w:szCs w:val="28"/>
          <w:lang w:eastAsia="es-ES"/>
        </w:rPr>
      </w:pPr>
      <w:r w:rsidRPr="005E1103">
        <w:rPr>
          <w:rFonts w:eastAsia="Times New Roman" w:cstheme="minorHAnsi"/>
          <w:color w:val="000000"/>
          <w:sz w:val="28"/>
          <w:szCs w:val="28"/>
          <w:lang w:eastAsia="es-ES"/>
        </w:rPr>
        <w:t xml:space="preserve">Verdugo Alonso, Miguel Ángel, Sainz Modinos, Fabián, Gómez Sánchez, Laura Elisabeth y Gómez Santamaría, Susana (2009), </w:t>
      </w:r>
      <w:r w:rsidRPr="005E1103">
        <w:rPr>
          <w:rFonts w:eastAsia="Times New Roman" w:cstheme="minorHAnsi"/>
          <w:i/>
          <w:color w:val="000000"/>
          <w:sz w:val="28"/>
          <w:szCs w:val="28"/>
          <w:lang w:eastAsia="es-ES"/>
        </w:rPr>
        <w:t>Bases para el desarrollo de un modelo de evaluación para personas con discapacidad intelectual adultas que viven en servicios residenciales,</w:t>
      </w:r>
      <w:r w:rsidRPr="005E1103">
        <w:rPr>
          <w:rFonts w:eastAsia="Times New Roman" w:cstheme="minorHAnsi"/>
          <w:color w:val="000000"/>
          <w:sz w:val="28"/>
          <w:szCs w:val="28"/>
          <w:lang w:eastAsia="es-ES"/>
        </w:rPr>
        <w:t xml:space="preserve"> Salamanca, INICO.</w:t>
      </w:r>
    </w:p>
    <w:p w:rsidR="00954B58" w:rsidRPr="005E1103" w:rsidRDefault="00954B58" w:rsidP="00954B58">
      <w:pPr>
        <w:spacing w:after="0" w:line="360" w:lineRule="auto"/>
        <w:jc w:val="both"/>
        <w:rPr>
          <w:rFonts w:eastAsia="Cambria" w:cstheme="minorHAnsi"/>
          <w:sz w:val="28"/>
          <w:szCs w:val="28"/>
        </w:rPr>
      </w:pPr>
      <w:r w:rsidRPr="005E1103">
        <w:rPr>
          <w:rFonts w:eastAsia="Cambria" w:cstheme="minorHAnsi"/>
          <w:sz w:val="28"/>
          <w:szCs w:val="28"/>
          <w:lang w:val="en-US"/>
        </w:rPr>
        <w:t xml:space="preserve">Verdugo Alonso, Miguel Ángel, Navas Macho, Patricia, Gómez Sánchez, Laura Elisabeth &amp; Schalock, Robert, </w:t>
      </w:r>
      <w:r w:rsidRPr="005E1103">
        <w:rPr>
          <w:rFonts w:eastAsia="Cambria" w:cstheme="minorHAnsi"/>
          <w:sz w:val="28"/>
          <w:szCs w:val="28"/>
          <w:lang w:val="es-ES_tradnl"/>
        </w:rPr>
        <w:sym w:font="MT Extra" w:char="F03D"/>
      </w:r>
      <w:r w:rsidRPr="005E1103">
        <w:rPr>
          <w:rFonts w:eastAsia="Cambria" w:cstheme="minorHAnsi"/>
          <w:sz w:val="28"/>
          <w:szCs w:val="28"/>
          <w:lang w:val="en-GB"/>
        </w:rPr>
        <w:t>The concept of quality of life and its role in enhancing human Rights in the field of intellectual disability</w:t>
      </w:r>
      <w:r w:rsidRPr="005E1103">
        <w:rPr>
          <w:rFonts w:eastAsia="Cambria" w:cstheme="minorHAnsi"/>
          <w:sz w:val="28"/>
          <w:szCs w:val="28"/>
          <w:lang w:val="es-ES_tradnl"/>
        </w:rPr>
        <w:sym w:font="MT Extra" w:char="F03F"/>
      </w:r>
      <w:r w:rsidRPr="005E1103">
        <w:rPr>
          <w:rFonts w:eastAsia="Cambria" w:cstheme="minorHAnsi"/>
          <w:sz w:val="28"/>
          <w:szCs w:val="28"/>
          <w:lang w:val="en-US"/>
        </w:rPr>
        <w:t>,</w:t>
      </w:r>
      <w:r w:rsidRPr="005E1103">
        <w:rPr>
          <w:rFonts w:eastAsia="Cambria" w:cstheme="minorHAnsi"/>
          <w:sz w:val="28"/>
          <w:szCs w:val="28"/>
          <w:lang w:val="en-GB"/>
        </w:rPr>
        <w:t xml:space="preserve"> </w:t>
      </w:r>
      <w:r w:rsidRPr="005E1103">
        <w:rPr>
          <w:rFonts w:eastAsia="Cambria" w:cstheme="minorHAnsi"/>
          <w:i/>
          <w:sz w:val="28"/>
          <w:szCs w:val="28"/>
          <w:lang w:val="en-GB"/>
        </w:rPr>
        <w:t>Journal of Intellectual Disability Research</w:t>
      </w:r>
      <w:r w:rsidRPr="005E1103">
        <w:rPr>
          <w:rFonts w:eastAsia="Cambria" w:cstheme="minorHAnsi"/>
          <w:sz w:val="28"/>
          <w:szCs w:val="28"/>
          <w:lang w:val="en-GB"/>
        </w:rPr>
        <w:t xml:space="preserve">, </w:t>
      </w:r>
      <w:r w:rsidRPr="005E1103">
        <w:rPr>
          <w:rFonts w:eastAsia="Cambria" w:cstheme="minorHAnsi"/>
          <w:i/>
          <w:sz w:val="28"/>
          <w:szCs w:val="28"/>
          <w:lang w:val="en-GB"/>
        </w:rPr>
        <w:t>56</w:t>
      </w:r>
      <w:r w:rsidRPr="005E1103">
        <w:rPr>
          <w:rFonts w:eastAsia="Cambria" w:cstheme="minorHAnsi"/>
          <w:sz w:val="28"/>
          <w:szCs w:val="28"/>
          <w:lang w:val="en-GB"/>
        </w:rPr>
        <w:t xml:space="preserve">(11), (2012), págs. </w:t>
      </w:r>
      <w:r w:rsidRPr="005E1103">
        <w:rPr>
          <w:rFonts w:eastAsia="Cambria" w:cstheme="minorHAnsi"/>
          <w:sz w:val="28"/>
          <w:szCs w:val="28"/>
        </w:rPr>
        <w:t>1036-1045.</w:t>
      </w:r>
    </w:p>
    <w:p w:rsidR="00954B58" w:rsidRPr="005E1103" w:rsidRDefault="00954B58" w:rsidP="00954B58">
      <w:pPr>
        <w:spacing w:after="0" w:line="360" w:lineRule="auto"/>
        <w:jc w:val="both"/>
        <w:rPr>
          <w:rFonts w:eastAsia="Times New Roman" w:cstheme="minorHAnsi"/>
          <w:color w:val="000000"/>
          <w:sz w:val="28"/>
          <w:szCs w:val="28"/>
          <w:lang w:eastAsia="es-ES"/>
        </w:rPr>
      </w:pPr>
      <w:r w:rsidRPr="005E1103">
        <w:rPr>
          <w:rFonts w:eastAsia="Times New Roman" w:cstheme="minorHAnsi"/>
          <w:color w:val="000000"/>
          <w:sz w:val="28"/>
          <w:szCs w:val="28"/>
          <w:lang w:eastAsia="es-ES"/>
        </w:rPr>
        <w:t xml:space="preserve">Verdugo Alonso, Miguel Ángel, Gómez Sánchez, Laura Elisabeth, Arias Martínez, Benito, Santamaría Domínguez, Mónica, Clavero Herrero, Daniel y Tamarit Cuadrado, Javier (2013), </w:t>
      </w:r>
      <w:r w:rsidRPr="005E1103">
        <w:rPr>
          <w:rFonts w:eastAsia="Times New Roman" w:cstheme="minorHAnsi"/>
          <w:i/>
          <w:color w:val="000000"/>
          <w:sz w:val="28"/>
          <w:szCs w:val="28"/>
          <w:lang w:eastAsia="es-ES"/>
        </w:rPr>
        <w:t>Escala INICO-FEAPS. Evaluación Integral de la Calidad de Vida de personas con Discapacidad Intelectual o del Desarrollo,</w:t>
      </w:r>
      <w:r w:rsidRPr="005E1103">
        <w:rPr>
          <w:rFonts w:eastAsia="Times New Roman" w:cstheme="minorHAnsi"/>
          <w:color w:val="000000"/>
          <w:sz w:val="28"/>
          <w:szCs w:val="28"/>
          <w:lang w:eastAsia="es-ES"/>
        </w:rPr>
        <w:t xml:space="preserve"> Salamanca, INICO.</w:t>
      </w:r>
    </w:p>
    <w:p w:rsidR="00954B58" w:rsidRPr="005E1103" w:rsidRDefault="00954B58" w:rsidP="00954B58">
      <w:pPr>
        <w:spacing w:after="0" w:line="360" w:lineRule="auto"/>
        <w:jc w:val="both"/>
        <w:rPr>
          <w:rFonts w:eastAsia="Times New Roman" w:cstheme="minorHAnsi"/>
          <w:color w:val="000000"/>
          <w:sz w:val="28"/>
          <w:szCs w:val="28"/>
          <w:lang w:eastAsia="es-ES"/>
        </w:rPr>
      </w:pPr>
      <w:r w:rsidRPr="005E1103">
        <w:rPr>
          <w:rFonts w:eastAsia="Times New Roman" w:cstheme="minorHAnsi"/>
          <w:color w:val="000000"/>
          <w:sz w:val="28"/>
          <w:szCs w:val="28"/>
          <w:lang w:eastAsia="es-ES"/>
        </w:rPr>
        <w:t xml:space="preserve">Verdugo Alonso, Miguel Ángel y Vicent Ramis, Carmen (2004), </w:t>
      </w:r>
      <w:r w:rsidRPr="005E1103">
        <w:rPr>
          <w:rFonts w:eastAsia="Times New Roman" w:cstheme="minorHAnsi"/>
          <w:i/>
          <w:color w:val="000000"/>
          <w:sz w:val="28"/>
          <w:szCs w:val="28"/>
          <w:lang w:eastAsia="es-ES"/>
        </w:rPr>
        <w:t>Evaluación de la calidad de vida en Empleo con Apoyo. Proyecto ALSOI</w:t>
      </w:r>
      <w:r w:rsidRPr="005E1103">
        <w:rPr>
          <w:rFonts w:eastAsia="Times New Roman" w:cstheme="minorHAnsi"/>
          <w:color w:val="000000"/>
          <w:sz w:val="28"/>
          <w:szCs w:val="28"/>
          <w:lang w:eastAsia="es-ES"/>
        </w:rPr>
        <w:t>, Salamanca, Publicaciones INICO.</w:t>
      </w:r>
    </w:p>
    <w:p w:rsidR="00954B58" w:rsidRPr="005E1103" w:rsidRDefault="00954B58">
      <w:pPr>
        <w:rPr>
          <w:rFonts w:eastAsia="Times New Roman" w:cstheme="minorHAnsi"/>
          <w:color w:val="000000"/>
          <w:sz w:val="28"/>
          <w:szCs w:val="28"/>
          <w:lang w:eastAsia="es-ES"/>
        </w:rPr>
      </w:pPr>
      <w:r w:rsidRPr="005E1103">
        <w:rPr>
          <w:rFonts w:eastAsia="Times New Roman" w:cstheme="minorHAnsi"/>
          <w:color w:val="000000"/>
          <w:sz w:val="28"/>
          <w:szCs w:val="28"/>
          <w:lang w:eastAsia="es-ES"/>
        </w:rPr>
        <w:br w:type="page"/>
      </w:r>
    </w:p>
    <w:p w:rsidR="00954B58" w:rsidRPr="005E1103" w:rsidRDefault="00954B58" w:rsidP="00954B58">
      <w:pPr>
        <w:spacing w:line="360" w:lineRule="auto"/>
        <w:rPr>
          <w:rFonts w:eastAsia="Calibri" w:cstheme="minorHAnsi"/>
          <w:color w:val="0000FF"/>
          <w:sz w:val="28"/>
          <w:szCs w:val="28"/>
          <w:u w:val="single"/>
        </w:rPr>
      </w:pPr>
    </w:p>
    <w:p w:rsidR="00954B58" w:rsidRPr="005E1103" w:rsidRDefault="00954B58" w:rsidP="00954B58">
      <w:pPr>
        <w:pBdr>
          <w:top w:val="single" w:sz="4" w:space="1" w:color="auto"/>
          <w:left w:val="single" w:sz="4" w:space="4" w:color="auto"/>
          <w:bottom w:val="single" w:sz="4" w:space="1" w:color="auto"/>
          <w:right w:val="single" w:sz="4" w:space="4" w:color="auto"/>
        </w:pBdr>
        <w:jc w:val="center"/>
        <w:rPr>
          <w:rFonts w:cstheme="minorHAnsi"/>
          <w:b/>
          <w:sz w:val="28"/>
          <w:szCs w:val="28"/>
        </w:rPr>
      </w:pPr>
      <w:r w:rsidRPr="005E1103">
        <w:rPr>
          <w:rFonts w:cstheme="minorHAnsi"/>
          <w:b/>
          <w:sz w:val="28"/>
          <w:szCs w:val="28"/>
        </w:rPr>
        <w:t>COMUNICACIÓN 6</w:t>
      </w:r>
    </w:p>
    <w:p w:rsidR="00954B58" w:rsidRPr="005E1103" w:rsidRDefault="00954B58" w:rsidP="00954B58">
      <w:pPr>
        <w:pBdr>
          <w:top w:val="single" w:sz="4" w:space="1" w:color="auto"/>
          <w:left w:val="single" w:sz="4" w:space="4" w:color="auto"/>
          <w:bottom w:val="single" w:sz="4" w:space="1" w:color="auto"/>
          <w:right w:val="single" w:sz="4" w:space="4" w:color="auto"/>
        </w:pBdr>
        <w:jc w:val="center"/>
        <w:rPr>
          <w:rFonts w:cstheme="minorHAnsi"/>
          <w:b/>
          <w:sz w:val="28"/>
          <w:szCs w:val="28"/>
        </w:rPr>
      </w:pPr>
      <w:r w:rsidRPr="005E1103">
        <w:rPr>
          <w:rFonts w:cstheme="minorHAnsi"/>
          <w:b/>
          <w:sz w:val="28"/>
          <w:szCs w:val="28"/>
        </w:rPr>
        <w:t>PERCEPCIÓN DE ADQUISICIÓN DE COMPETENCIAS GENÉRICAS DE ESTUDIANTES UNIVERSITARIOS CON DISCAPACIDAD EN LAS UNIVERSIDADES ESPAÑOLAS</w:t>
      </w:r>
    </w:p>
    <w:p w:rsidR="00954B58" w:rsidRPr="005E1103" w:rsidRDefault="00954B58" w:rsidP="00954B58">
      <w:pPr>
        <w:jc w:val="right"/>
        <w:rPr>
          <w:rFonts w:cstheme="minorHAnsi"/>
          <w:sz w:val="28"/>
          <w:szCs w:val="28"/>
        </w:rPr>
      </w:pPr>
    </w:p>
    <w:p w:rsidR="00954B58" w:rsidRPr="005E1103" w:rsidRDefault="00954B58" w:rsidP="00954B58">
      <w:pPr>
        <w:jc w:val="right"/>
        <w:rPr>
          <w:rFonts w:cstheme="minorHAnsi"/>
          <w:sz w:val="28"/>
          <w:szCs w:val="28"/>
        </w:rPr>
      </w:pPr>
      <w:r w:rsidRPr="005E1103">
        <w:rPr>
          <w:rFonts w:cstheme="minorHAnsi"/>
          <w:sz w:val="28"/>
          <w:szCs w:val="28"/>
        </w:rPr>
        <w:t>Pablo Anglada, José Luis Aguilera, Adela Rodríguez Quesada, Francisco Mendoza</w:t>
      </w:r>
    </w:p>
    <w:p w:rsidR="00954B58" w:rsidRPr="005E1103" w:rsidRDefault="00954B58" w:rsidP="00954B58">
      <w:pPr>
        <w:jc w:val="right"/>
        <w:rPr>
          <w:rFonts w:cstheme="minorHAnsi"/>
          <w:sz w:val="28"/>
          <w:szCs w:val="28"/>
        </w:rPr>
      </w:pPr>
      <w:r w:rsidRPr="005E1103">
        <w:rPr>
          <w:rFonts w:cstheme="minorHAnsi"/>
          <w:sz w:val="28"/>
          <w:szCs w:val="28"/>
        </w:rPr>
        <w:t>Equipo de Investigación Multidisciplinar de Atención a la Diversidad</w:t>
      </w:r>
    </w:p>
    <w:p w:rsidR="00954B58" w:rsidRPr="005E1103" w:rsidRDefault="00954B58" w:rsidP="00954B58">
      <w:pPr>
        <w:jc w:val="right"/>
        <w:rPr>
          <w:rFonts w:cstheme="minorHAnsi"/>
          <w:sz w:val="28"/>
          <w:szCs w:val="28"/>
        </w:rPr>
      </w:pPr>
      <w:r w:rsidRPr="005E1103">
        <w:rPr>
          <w:rFonts w:cstheme="minorHAnsi"/>
          <w:sz w:val="28"/>
          <w:szCs w:val="28"/>
        </w:rPr>
        <w:t xml:space="preserve">Facultad de Formación del Profesorado y Educación </w:t>
      </w:r>
    </w:p>
    <w:p w:rsidR="00954B58" w:rsidRPr="005E1103" w:rsidRDefault="00954B58" w:rsidP="00954B58">
      <w:pPr>
        <w:jc w:val="right"/>
        <w:rPr>
          <w:rFonts w:cstheme="minorHAnsi"/>
          <w:sz w:val="28"/>
          <w:szCs w:val="28"/>
        </w:rPr>
      </w:pPr>
      <w:r w:rsidRPr="005E1103">
        <w:rPr>
          <w:rFonts w:cstheme="minorHAnsi"/>
          <w:sz w:val="28"/>
          <w:szCs w:val="28"/>
        </w:rPr>
        <w:t>Universidad Autónoma de Madrid</w:t>
      </w:r>
    </w:p>
    <w:p w:rsidR="00954B58" w:rsidRPr="005E1103" w:rsidRDefault="00954B58" w:rsidP="00954B58">
      <w:pPr>
        <w:numPr>
          <w:ilvl w:val="0"/>
          <w:numId w:val="72"/>
        </w:numPr>
        <w:spacing w:after="0" w:line="360" w:lineRule="auto"/>
        <w:ind w:left="0" w:firstLine="0"/>
        <w:contextualSpacing/>
        <w:jc w:val="both"/>
        <w:rPr>
          <w:rFonts w:eastAsia="Times New Roman" w:cstheme="minorHAnsi"/>
          <w:b/>
          <w:sz w:val="28"/>
          <w:szCs w:val="28"/>
          <w:lang w:eastAsia="es-ES"/>
        </w:rPr>
      </w:pPr>
      <w:r w:rsidRPr="005E1103">
        <w:rPr>
          <w:rFonts w:eastAsia="Times New Roman" w:cstheme="minorHAnsi"/>
          <w:b/>
          <w:sz w:val="28"/>
          <w:szCs w:val="28"/>
          <w:lang w:eastAsia="es-ES"/>
        </w:rPr>
        <w:t>Introducción.</w:t>
      </w:r>
    </w:p>
    <w:p w:rsidR="00954B58" w:rsidRPr="005E1103" w:rsidRDefault="00954B58" w:rsidP="00954B58">
      <w:pPr>
        <w:spacing w:after="0" w:line="360" w:lineRule="auto"/>
        <w:contextualSpacing/>
        <w:jc w:val="both"/>
        <w:rPr>
          <w:rFonts w:eastAsia="Times New Roman" w:cstheme="minorHAnsi"/>
          <w:sz w:val="28"/>
          <w:szCs w:val="28"/>
          <w:lang w:eastAsia="es-ES"/>
        </w:rPr>
      </w:pPr>
      <w:r w:rsidRPr="005E1103">
        <w:rPr>
          <w:rFonts w:eastAsia="Times New Roman" w:cstheme="minorHAnsi"/>
          <w:sz w:val="28"/>
          <w:szCs w:val="28"/>
          <w:lang w:eastAsia="es-ES"/>
        </w:rPr>
        <w:t>Desde la entrada en vigor del EEES y las sucesivas modificaciones de los actuales planes de estudio universitarios se viene enfatizando que cualquier actividad profesional debe realizarse, entre otros, desde el respeto y promoción de los Derechos Humanos y los principios dispuestos en la Ley 51/2003, de 2 de diciembre, de Igualdad de oportunidades, no discriminación y accesibilidad universal de las personas con discapacidad. Esta prescripción lleva, necesariamente, a que la totalidad de las Universidades españolas consideren, no solo la creación de servicios de orientación para el estudiantado con discapacidad, si no, otras tantas medidas que faciliten el acceso y la enseñanza de esta parte del alumnado.</w:t>
      </w:r>
    </w:p>
    <w:p w:rsidR="00954B58" w:rsidRPr="005E1103" w:rsidRDefault="00954B58" w:rsidP="00954B58">
      <w:pPr>
        <w:spacing w:after="0" w:line="360" w:lineRule="auto"/>
        <w:ind w:left="720"/>
        <w:contextualSpacing/>
        <w:jc w:val="both"/>
        <w:rPr>
          <w:rFonts w:eastAsia="Times New Roman" w:cstheme="minorHAnsi"/>
          <w:sz w:val="28"/>
          <w:szCs w:val="28"/>
          <w:lang w:eastAsia="es-ES"/>
        </w:rPr>
      </w:pPr>
    </w:p>
    <w:p w:rsidR="00954B58" w:rsidRPr="005E1103" w:rsidRDefault="00954B58" w:rsidP="00954B58">
      <w:pPr>
        <w:spacing w:after="0" w:line="360" w:lineRule="auto"/>
        <w:contextualSpacing/>
        <w:jc w:val="both"/>
        <w:rPr>
          <w:rFonts w:eastAsia="Times New Roman" w:cstheme="minorHAnsi"/>
          <w:sz w:val="28"/>
          <w:szCs w:val="28"/>
          <w:lang w:eastAsia="es-ES"/>
        </w:rPr>
      </w:pPr>
      <w:r w:rsidRPr="005E1103">
        <w:rPr>
          <w:rFonts w:eastAsia="Times New Roman" w:cstheme="minorHAnsi"/>
          <w:sz w:val="28"/>
          <w:szCs w:val="28"/>
          <w:lang w:eastAsia="es-ES"/>
        </w:rPr>
        <w:t xml:space="preserve">Varios estudios advierten de la existencia de aspectos claramente mejorables en la enseñanza de los alumnos con discapacidad, lo que repercute a nivel curricular en la relación docente-discente, la adquisición </w:t>
      </w:r>
      <w:r w:rsidRPr="005E1103">
        <w:rPr>
          <w:rFonts w:eastAsia="Times New Roman" w:cstheme="minorHAnsi"/>
          <w:sz w:val="28"/>
          <w:szCs w:val="28"/>
          <w:lang w:eastAsia="es-ES"/>
        </w:rPr>
        <w:lastRenderedPageBreak/>
        <w:t>de competencias y la preparación del propio personal docente (Murray, Wren y Keys, 2015; Luque y Rodríguez, 2008; Simón et al.,  2006).  Se ha venido observando en los estudios anteriores (Aranda et al. 2014) que a los estudiantes con discapacidad prefieren vivir en el anonimato, pero a la vez, en un mundo inclusivo; motivo por el que, a veces, no quieren sobresalir, ni les atrae plasmar en un cuestionario ninguna diferencia humana o discapacidad. Pese a la existencia de estas limitaciones, nos hemos planteado desarrollar un plan de trabajo que abarque al alumnado con discapacidad, ampliando la muestra al ámbito nacional. Esto se hizo en colaboración con la Oficina de Acción Solidaria de nuestra institución, y el resto de recursos de apoyo a las personas con discapacidad de las universidades públicas que han colaborado, para conocer mejor aquellos aspectos que limitan la adquisición de las competencias genéricas propuestas en los “verificas” para todos los alumnos universitarios.</w:t>
      </w:r>
    </w:p>
    <w:p w:rsidR="00954B58" w:rsidRPr="005E1103" w:rsidRDefault="00954B58" w:rsidP="00954B58">
      <w:pPr>
        <w:spacing w:after="0" w:line="360" w:lineRule="auto"/>
        <w:ind w:left="720"/>
        <w:contextualSpacing/>
        <w:jc w:val="both"/>
        <w:rPr>
          <w:rFonts w:eastAsia="Times New Roman" w:cstheme="minorHAnsi"/>
          <w:sz w:val="28"/>
          <w:szCs w:val="28"/>
          <w:lang w:eastAsia="es-ES"/>
        </w:rPr>
      </w:pPr>
    </w:p>
    <w:p w:rsidR="00954B58" w:rsidRPr="005E1103" w:rsidRDefault="00954B58" w:rsidP="00954B58">
      <w:pPr>
        <w:spacing w:after="0" w:line="360" w:lineRule="auto"/>
        <w:contextualSpacing/>
        <w:jc w:val="both"/>
        <w:rPr>
          <w:rFonts w:eastAsia="Times New Roman" w:cstheme="minorHAnsi"/>
          <w:sz w:val="28"/>
          <w:szCs w:val="28"/>
          <w:lang w:eastAsia="es-ES"/>
        </w:rPr>
      </w:pPr>
      <w:r w:rsidRPr="005E1103">
        <w:rPr>
          <w:rFonts w:eastAsia="Times New Roman" w:cstheme="minorHAnsi"/>
          <w:sz w:val="28"/>
          <w:szCs w:val="28"/>
          <w:lang w:eastAsia="es-ES"/>
        </w:rPr>
        <w:t xml:space="preserve">La difusión que se viene haciendo de los resultados de ediciones anteriores está logrando generar una red de colaboración entre profesores de diferentes universidades que muestran interés por el tema propuesto en este proyecto, lo que supone un avance en la generación de redes de colaboración interuniversitaria. Con estos antecedentes, el punto de partida de esta investigación se muestra muy oportuno, pues no solo parte de un sólido recorrido, sino que hemos constatado un claro interés para el resto de universidades españolas.   </w:t>
      </w:r>
    </w:p>
    <w:p w:rsidR="00954B58" w:rsidRPr="005E1103" w:rsidRDefault="00954B58" w:rsidP="00954B58">
      <w:pPr>
        <w:spacing w:after="0" w:line="360" w:lineRule="auto"/>
        <w:ind w:left="720"/>
        <w:contextualSpacing/>
        <w:jc w:val="both"/>
        <w:rPr>
          <w:rFonts w:eastAsia="Times New Roman" w:cstheme="minorHAnsi"/>
          <w:sz w:val="28"/>
          <w:szCs w:val="28"/>
          <w:lang w:eastAsia="es-ES"/>
        </w:rPr>
      </w:pPr>
    </w:p>
    <w:p w:rsidR="00954B58" w:rsidRPr="005E1103" w:rsidRDefault="00954B58" w:rsidP="00954B58">
      <w:pPr>
        <w:spacing w:after="0" w:line="360" w:lineRule="auto"/>
        <w:contextualSpacing/>
        <w:jc w:val="both"/>
        <w:rPr>
          <w:rFonts w:eastAsia="Times New Roman" w:cstheme="minorHAnsi"/>
          <w:sz w:val="28"/>
          <w:szCs w:val="28"/>
          <w:lang w:eastAsia="es-ES"/>
        </w:rPr>
      </w:pPr>
      <w:r w:rsidRPr="005E1103">
        <w:rPr>
          <w:rFonts w:eastAsia="Times New Roman" w:cstheme="minorHAnsi"/>
          <w:sz w:val="28"/>
          <w:szCs w:val="28"/>
          <w:lang w:eastAsia="es-ES"/>
        </w:rPr>
        <w:t xml:space="preserve">Una vez analizado el interés y la relevancia de los resultados obtenidos en la Universidad Autónoma de Madrid el curso pasado, se ha querido contrastar los resultados, además de mejorar en lo posible los </w:t>
      </w:r>
      <w:r w:rsidRPr="005E1103">
        <w:rPr>
          <w:rFonts w:eastAsia="Times New Roman" w:cstheme="minorHAnsi"/>
          <w:sz w:val="28"/>
          <w:szCs w:val="28"/>
          <w:lang w:eastAsia="es-ES"/>
        </w:rPr>
        <w:lastRenderedPageBreak/>
        <w:t>instrumentos, afinar la metodología y ampliar la muestra a otras universidades españolas. Esto nos permite contrastar y conocer mejor la percepción que tienen los estudiantes universitarios con discapacidad sobre la adquisición de competencias generales en sus titulaciones universitarias.</w:t>
      </w:r>
    </w:p>
    <w:p w:rsidR="00954B58" w:rsidRPr="005E1103" w:rsidRDefault="00954B58" w:rsidP="00954B58">
      <w:pPr>
        <w:spacing w:after="0" w:line="360" w:lineRule="auto"/>
        <w:ind w:left="720"/>
        <w:contextualSpacing/>
        <w:jc w:val="both"/>
        <w:rPr>
          <w:rFonts w:eastAsia="Times New Roman" w:cstheme="minorHAnsi"/>
          <w:sz w:val="28"/>
          <w:szCs w:val="28"/>
          <w:lang w:eastAsia="es-ES"/>
        </w:rPr>
      </w:pPr>
    </w:p>
    <w:p w:rsidR="00954B58" w:rsidRPr="005E1103" w:rsidRDefault="00954B58" w:rsidP="00954B58">
      <w:pPr>
        <w:spacing w:after="0" w:line="360" w:lineRule="auto"/>
        <w:contextualSpacing/>
        <w:jc w:val="both"/>
        <w:rPr>
          <w:rFonts w:eastAsia="Times New Roman" w:cstheme="minorHAnsi"/>
          <w:b/>
          <w:sz w:val="28"/>
          <w:szCs w:val="28"/>
          <w:lang w:eastAsia="es-ES"/>
        </w:rPr>
      </w:pPr>
      <w:r w:rsidRPr="005E1103">
        <w:rPr>
          <w:rFonts w:eastAsia="Times New Roman" w:cstheme="minorHAnsi"/>
          <w:b/>
          <w:sz w:val="28"/>
          <w:szCs w:val="28"/>
          <w:lang w:eastAsia="es-ES"/>
        </w:rPr>
        <w:t xml:space="preserve">2.- Objetivos. </w:t>
      </w:r>
    </w:p>
    <w:p w:rsidR="00954B58" w:rsidRPr="005E1103" w:rsidRDefault="00954B58" w:rsidP="00954B58">
      <w:pPr>
        <w:spacing w:after="0" w:line="360" w:lineRule="auto"/>
        <w:contextualSpacing/>
        <w:jc w:val="both"/>
        <w:rPr>
          <w:rFonts w:eastAsia="Times New Roman" w:cstheme="minorHAnsi"/>
          <w:sz w:val="28"/>
          <w:szCs w:val="28"/>
          <w:lang w:eastAsia="es-ES"/>
        </w:rPr>
      </w:pPr>
      <w:r w:rsidRPr="005E1103">
        <w:rPr>
          <w:rFonts w:eastAsia="Times New Roman" w:cstheme="minorHAnsi"/>
          <w:sz w:val="28"/>
          <w:szCs w:val="28"/>
          <w:lang w:eastAsia="es-ES"/>
        </w:rPr>
        <w:t>Conocer la percepción de los estudiantes con discapacidad con respecto al grado de adquisición de competencias genéricas y tener datos que permitan elaborar propuestas de mejora en el ajuste de la enseñanza a las necesidades de los estudiantes con discapacidad en la universidad, contribuyendo con ello a incrementar el rendimiento de estos alumnos mediante el logro de competencias consideradas fundamentales.</w:t>
      </w:r>
    </w:p>
    <w:p w:rsidR="00954B58" w:rsidRPr="005E1103" w:rsidRDefault="00954B58" w:rsidP="00954B58">
      <w:pPr>
        <w:spacing w:after="0" w:line="360" w:lineRule="auto"/>
        <w:ind w:left="720"/>
        <w:contextualSpacing/>
        <w:jc w:val="both"/>
        <w:rPr>
          <w:rFonts w:eastAsia="Times New Roman" w:cstheme="minorHAnsi"/>
          <w:sz w:val="28"/>
          <w:szCs w:val="28"/>
          <w:lang w:eastAsia="es-ES"/>
        </w:rPr>
      </w:pPr>
    </w:p>
    <w:p w:rsidR="00954B58" w:rsidRPr="005E1103" w:rsidRDefault="00954B58" w:rsidP="00954B58">
      <w:pPr>
        <w:spacing w:after="0" w:line="360" w:lineRule="auto"/>
        <w:contextualSpacing/>
        <w:jc w:val="both"/>
        <w:rPr>
          <w:rFonts w:eastAsia="Times New Roman" w:cstheme="minorHAnsi"/>
          <w:b/>
          <w:sz w:val="28"/>
          <w:szCs w:val="28"/>
          <w:lang w:eastAsia="es-ES"/>
        </w:rPr>
      </w:pPr>
    </w:p>
    <w:p w:rsidR="00954B58" w:rsidRPr="005E1103" w:rsidRDefault="00954B58" w:rsidP="00954B58">
      <w:pPr>
        <w:spacing w:after="0" w:line="360" w:lineRule="auto"/>
        <w:contextualSpacing/>
        <w:jc w:val="both"/>
        <w:rPr>
          <w:rFonts w:eastAsia="Times New Roman" w:cstheme="minorHAnsi"/>
          <w:b/>
          <w:sz w:val="28"/>
          <w:szCs w:val="28"/>
          <w:lang w:eastAsia="es-ES"/>
        </w:rPr>
      </w:pPr>
      <w:r w:rsidRPr="005E1103">
        <w:rPr>
          <w:rFonts w:eastAsia="Times New Roman" w:cstheme="minorHAnsi"/>
          <w:b/>
          <w:sz w:val="28"/>
          <w:szCs w:val="28"/>
          <w:lang w:eastAsia="es-ES"/>
        </w:rPr>
        <w:t>2.1 Objetivos específicos:</w:t>
      </w:r>
    </w:p>
    <w:p w:rsidR="00954B58" w:rsidRPr="005E1103" w:rsidRDefault="00954B58" w:rsidP="00954B58">
      <w:pPr>
        <w:spacing w:after="0" w:line="360" w:lineRule="auto"/>
        <w:ind w:firstLine="720"/>
        <w:contextualSpacing/>
        <w:jc w:val="both"/>
        <w:rPr>
          <w:rFonts w:eastAsia="Times New Roman" w:cstheme="minorHAnsi"/>
          <w:sz w:val="28"/>
          <w:szCs w:val="28"/>
          <w:lang w:eastAsia="es-ES"/>
        </w:rPr>
      </w:pPr>
      <w:r w:rsidRPr="005E1103">
        <w:rPr>
          <w:rFonts w:eastAsia="Times New Roman" w:cstheme="minorHAnsi"/>
          <w:sz w:val="28"/>
          <w:szCs w:val="28"/>
          <w:lang w:eastAsia="es-ES"/>
        </w:rPr>
        <w:t>1.- Contactar con los servicios de apoyo al estudiante con discapacidad de las diferentes universidades públicas de carácter nacional facilitando su colaboración en el estudio.</w:t>
      </w:r>
    </w:p>
    <w:p w:rsidR="00954B58" w:rsidRPr="005E1103" w:rsidRDefault="00954B58" w:rsidP="00954B58">
      <w:pPr>
        <w:spacing w:after="0" w:line="360" w:lineRule="auto"/>
        <w:ind w:firstLine="720"/>
        <w:contextualSpacing/>
        <w:jc w:val="both"/>
        <w:rPr>
          <w:rFonts w:eastAsia="Times New Roman" w:cstheme="minorHAnsi"/>
          <w:sz w:val="28"/>
          <w:szCs w:val="28"/>
          <w:lang w:eastAsia="es-ES"/>
        </w:rPr>
      </w:pPr>
      <w:r w:rsidRPr="005E1103">
        <w:rPr>
          <w:rFonts w:eastAsia="Times New Roman" w:cstheme="minorHAnsi"/>
          <w:sz w:val="28"/>
          <w:szCs w:val="28"/>
          <w:lang w:eastAsia="es-ES"/>
        </w:rPr>
        <w:t xml:space="preserve">2.- Mejora de la herramienta desarrollada para la evaluación de los resultados de aprendizaje de las competencias genéricas de los estudiantes con discapacidad para su uso en el estudio.  </w:t>
      </w:r>
    </w:p>
    <w:p w:rsidR="00954B58" w:rsidRPr="005E1103" w:rsidRDefault="00954B58" w:rsidP="00954B58">
      <w:pPr>
        <w:spacing w:after="0" w:line="360" w:lineRule="auto"/>
        <w:ind w:firstLine="720"/>
        <w:contextualSpacing/>
        <w:jc w:val="both"/>
        <w:rPr>
          <w:rFonts w:eastAsia="Times New Roman" w:cstheme="minorHAnsi"/>
          <w:sz w:val="28"/>
          <w:szCs w:val="28"/>
          <w:lang w:eastAsia="es-ES"/>
        </w:rPr>
      </w:pPr>
      <w:r w:rsidRPr="005E1103">
        <w:rPr>
          <w:rFonts w:eastAsia="Times New Roman" w:cstheme="minorHAnsi"/>
          <w:sz w:val="28"/>
          <w:szCs w:val="28"/>
          <w:lang w:eastAsia="es-ES"/>
        </w:rPr>
        <w:t>3.- Recoger y analizar los resultados sobre la percepción de los estudiantes universitarios con discapacidad sobre la adquisición de competencias generales en el ámbito de varias universidades españolas.</w:t>
      </w:r>
    </w:p>
    <w:p w:rsidR="00954B58" w:rsidRPr="005E1103" w:rsidRDefault="00954B58" w:rsidP="00954B58">
      <w:pPr>
        <w:spacing w:after="0" w:line="360" w:lineRule="auto"/>
        <w:ind w:firstLine="720"/>
        <w:contextualSpacing/>
        <w:jc w:val="both"/>
        <w:rPr>
          <w:rFonts w:eastAsia="Times New Roman" w:cstheme="minorHAnsi"/>
          <w:sz w:val="28"/>
          <w:szCs w:val="28"/>
          <w:lang w:eastAsia="es-ES"/>
        </w:rPr>
      </w:pPr>
      <w:r w:rsidRPr="005E1103">
        <w:rPr>
          <w:rFonts w:eastAsia="Times New Roman" w:cstheme="minorHAnsi"/>
          <w:sz w:val="28"/>
          <w:szCs w:val="28"/>
          <w:lang w:eastAsia="es-ES"/>
        </w:rPr>
        <w:t xml:space="preserve">4.- Elaborar propuestas de mejora del ajuste de la enseñanza a las necesidades de los alumnos universitarios con discapacidad, para su </w:t>
      </w:r>
      <w:r w:rsidRPr="005E1103">
        <w:rPr>
          <w:rFonts w:eastAsia="Times New Roman" w:cstheme="minorHAnsi"/>
          <w:sz w:val="28"/>
          <w:szCs w:val="28"/>
          <w:lang w:eastAsia="es-ES"/>
        </w:rPr>
        <w:lastRenderedPageBreak/>
        <w:t>consideración en las guías docentes y difundirlas entre las universidades participantes y otras interesadas.</w:t>
      </w:r>
    </w:p>
    <w:p w:rsidR="00954B58" w:rsidRPr="005E1103" w:rsidRDefault="00954B58" w:rsidP="00954B58">
      <w:pPr>
        <w:spacing w:after="0" w:line="360" w:lineRule="auto"/>
        <w:ind w:firstLine="720"/>
        <w:contextualSpacing/>
        <w:jc w:val="both"/>
        <w:rPr>
          <w:rFonts w:eastAsia="Times New Roman" w:cstheme="minorHAnsi"/>
          <w:sz w:val="28"/>
          <w:szCs w:val="28"/>
          <w:lang w:eastAsia="es-ES"/>
        </w:rPr>
      </w:pPr>
      <w:r w:rsidRPr="005E1103">
        <w:rPr>
          <w:rFonts w:eastAsia="Times New Roman" w:cstheme="minorHAnsi"/>
          <w:sz w:val="28"/>
          <w:szCs w:val="28"/>
          <w:lang w:eastAsia="es-ES"/>
        </w:rPr>
        <w:t>5.- Desarrollar un cuerpo de conocimiento sobre la atención a los estudiantes con discapacidad en la universidad.</w:t>
      </w:r>
    </w:p>
    <w:p w:rsidR="00954B58" w:rsidRPr="005E1103" w:rsidRDefault="00954B58" w:rsidP="00954B58">
      <w:pPr>
        <w:spacing w:after="0" w:line="360" w:lineRule="auto"/>
        <w:ind w:left="720"/>
        <w:contextualSpacing/>
        <w:jc w:val="both"/>
        <w:rPr>
          <w:rFonts w:eastAsia="Times New Roman" w:cstheme="minorHAnsi"/>
          <w:sz w:val="28"/>
          <w:szCs w:val="28"/>
          <w:lang w:eastAsia="es-ES"/>
        </w:rPr>
      </w:pPr>
    </w:p>
    <w:p w:rsidR="00954B58" w:rsidRPr="005E1103" w:rsidRDefault="00954B58" w:rsidP="00954B58">
      <w:pPr>
        <w:spacing w:after="0" w:line="360" w:lineRule="auto"/>
        <w:jc w:val="both"/>
        <w:rPr>
          <w:rFonts w:eastAsia="Times New Roman" w:cstheme="minorHAnsi"/>
          <w:b/>
          <w:sz w:val="28"/>
          <w:szCs w:val="28"/>
          <w:lang w:eastAsia="es-ES"/>
        </w:rPr>
      </w:pPr>
      <w:r w:rsidRPr="005E1103">
        <w:rPr>
          <w:rFonts w:eastAsia="Times New Roman" w:cstheme="minorHAnsi"/>
          <w:b/>
          <w:sz w:val="28"/>
          <w:szCs w:val="28"/>
          <w:lang w:eastAsia="es-ES"/>
        </w:rPr>
        <w:t xml:space="preserve">3.- Metodología. </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Para el desarrollo del proyecto, el grupo de trabajo implementó el siguiente cronograma:</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b/>
          <w:sz w:val="28"/>
          <w:szCs w:val="28"/>
          <w:lang w:eastAsia="es-ES"/>
        </w:rPr>
        <w:t xml:space="preserve">1ª Fase: </w:t>
      </w:r>
      <w:r w:rsidRPr="005E1103">
        <w:rPr>
          <w:rFonts w:eastAsia="Times New Roman" w:cstheme="minorHAnsi"/>
          <w:sz w:val="28"/>
          <w:szCs w:val="28"/>
          <w:lang w:eastAsia="es-ES"/>
        </w:rPr>
        <w:t xml:space="preserve">Establecimiento de contactos y canales de comunicación. Contacto y comunicación con los recursos de apoyo a los estudiantes con discapacidad de las diferentes universidades públicas nacionales. Se envió por correo electrónico la solicitud de colaboración a la mayoría de las universidades españolas.  En él, les invitaba a participar en el estudio a través del cuestionario creado en la página Typeform (enlace webhttps://linampini.typeform.com/to/Ci4D3e). Estas enviaron el enlace para participar en el estudio a sus estudiantes. Los datos nos fueron llegando recogidos a través de este formulario. </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b/>
          <w:sz w:val="28"/>
          <w:szCs w:val="28"/>
          <w:lang w:eastAsia="es-ES"/>
        </w:rPr>
        <w:br/>
        <w:t>2ª Fase:</w:t>
      </w:r>
      <w:r w:rsidRPr="005E1103">
        <w:rPr>
          <w:rFonts w:eastAsia="Times New Roman" w:cstheme="minorHAnsi"/>
          <w:sz w:val="28"/>
          <w:szCs w:val="28"/>
          <w:lang w:eastAsia="es-ES"/>
        </w:rPr>
        <w:t xml:space="preserve"> Se elaboró y validó el instrumento de recogida de información. Consistió en la elaboración del cuestionario específico de cumplimentación online validado por un grupo de expertos y con alta confiabilidad. Se elaboró un borrador del cuestionario por parte del grupo de trabajo. Este se envió a 10 doctores expertos y se confeccionó la versión final (Ver anexo 1).  </w:t>
      </w:r>
    </w:p>
    <w:p w:rsidR="00954B58" w:rsidRPr="005E1103" w:rsidRDefault="00954B58" w:rsidP="00954B58">
      <w:pPr>
        <w:spacing w:after="0" w:line="360" w:lineRule="auto"/>
        <w:jc w:val="both"/>
        <w:rPr>
          <w:rFonts w:eastAsia="Times New Roman" w:cstheme="minorHAnsi"/>
          <w:sz w:val="28"/>
          <w:szCs w:val="28"/>
          <w:lang w:eastAsia="es-ES"/>
        </w:rPr>
      </w:pP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b/>
          <w:sz w:val="28"/>
          <w:szCs w:val="28"/>
          <w:lang w:eastAsia="es-ES"/>
        </w:rPr>
        <w:t>3ª Fase:</w:t>
      </w:r>
      <w:r w:rsidRPr="005E1103">
        <w:rPr>
          <w:rFonts w:eastAsia="Times New Roman" w:cstheme="minorHAnsi"/>
          <w:sz w:val="28"/>
          <w:szCs w:val="28"/>
          <w:lang w:eastAsia="es-ES"/>
        </w:rPr>
        <w:t xml:space="preserve"> Aplicación de instrumento de recogida de información y clasificación de los datos. Se aplicó el cuestionario online a los alumnos </w:t>
      </w:r>
      <w:r w:rsidRPr="005E1103">
        <w:rPr>
          <w:rFonts w:eastAsia="Times New Roman" w:cstheme="minorHAnsi"/>
          <w:sz w:val="28"/>
          <w:szCs w:val="28"/>
          <w:lang w:eastAsia="es-ES"/>
        </w:rPr>
        <w:lastRenderedPageBreak/>
        <w:t xml:space="preserve">con discapacidad que tienen contacto con los recursos de apoyo de las universidades públicas nacionales. Se dio por concluida la recogida de datos y se inició su análisis en el software SPSS. </w:t>
      </w:r>
    </w:p>
    <w:p w:rsidR="00954B58" w:rsidRPr="005E1103" w:rsidRDefault="00954B58" w:rsidP="00954B58">
      <w:pPr>
        <w:spacing w:after="0" w:line="360" w:lineRule="auto"/>
        <w:jc w:val="both"/>
        <w:rPr>
          <w:rFonts w:eastAsia="Times New Roman" w:cstheme="minorHAnsi"/>
          <w:b/>
          <w:sz w:val="28"/>
          <w:szCs w:val="28"/>
          <w:lang w:eastAsia="es-ES"/>
        </w:rPr>
      </w:pP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b/>
          <w:sz w:val="28"/>
          <w:szCs w:val="28"/>
          <w:lang w:eastAsia="es-ES"/>
        </w:rPr>
        <w:t xml:space="preserve">4ª Fase: </w:t>
      </w:r>
      <w:r w:rsidRPr="005E1103">
        <w:rPr>
          <w:rFonts w:eastAsia="Times New Roman" w:cstheme="minorHAnsi"/>
          <w:sz w:val="28"/>
          <w:szCs w:val="28"/>
          <w:lang w:eastAsia="es-ES"/>
        </w:rPr>
        <w:t xml:space="preserve">Tratamiento y análisis de los datos obtenidos. Se realizó el análisis de frecuencias y los análisis de U de Mann-Whitney y la prueba para muestras independientes de H Kruskal Wallis. </w:t>
      </w:r>
    </w:p>
    <w:p w:rsidR="00954B58" w:rsidRPr="005E1103" w:rsidRDefault="00954B58" w:rsidP="00954B58">
      <w:pPr>
        <w:spacing w:after="0" w:line="360" w:lineRule="auto"/>
        <w:jc w:val="both"/>
        <w:rPr>
          <w:rFonts w:eastAsia="Times New Roman" w:cstheme="minorHAnsi"/>
          <w:b/>
          <w:sz w:val="28"/>
          <w:szCs w:val="28"/>
          <w:lang w:eastAsia="es-ES"/>
        </w:rPr>
      </w:pP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b/>
          <w:sz w:val="28"/>
          <w:szCs w:val="28"/>
          <w:lang w:eastAsia="es-ES"/>
        </w:rPr>
        <w:t xml:space="preserve">5ª Fase: </w:t>
      </w:r>
      <w:r w:rsidRPr="005E1103">
        <w:rPr>
          <w:rFonts w:eastAsia="Times New Roman" w:cstheme="minorHAnsi"/>
          <w:sz w:val="28"/>
          <w:szCs w:val="28"/>
          <w:lang w:eastAsia="es-ES"/>
        </w:rPr>
        <w:t xml:space="preserve">Elaboración del informe de conclusiones y propuestas de mejora. Se realizó la redacción del documento final con los resultados encontrados y discusión.   </w:t>
      </w:r>
    </w:p>
    <w:p w:rsidR="00954B58" w:rsidRPr="005E1103" w:rsidRDefault="00954B58" w:rsidP="00954B58">
      <w:pPr>
        <w:spacing w:after="0" w:line="360" w:lineRule="auto"/>
        <w:jc w:val="both"/>
        <w:rPr>
          <w:rFonts w:eastAsia="Times New Roman" w:cstheme="minorHAnsi"/>
          <w:sz w:val="28"/>
          <w:szCs w:val="28"/>
          <w:lang w:eastAsia="es-ES"/>
        </w:rPr>
      </w:pPr>
    </w:p>
    <w:p w:rsidR="00954B58" w:rsidRPr="005E1103" w:rsidRDefault="00954B58" w:rsidP="00954B58">
      <w:pPr>
        <w:spacing w:after="0" w:line="360" w:lineRule="auto"/>
        <w:jc w:val="both"/>
        <w:rPr>
          <w:rFonts w:eastAsia="Times New Roman" w:cstheme="minorHAnsi"/>
          <w:sz w:val="28"/>
          <w:szCs w:val="28"/>
          <w:lang w:eastAsia="es-ES"/>
        </w:rPr>
      </w:pPr>
    </w:p>
    <w:p w:rsidR="00954B58" w:rsidRPr="005E1103" w:rsidRDefault="00954B58" w:rsidP="00954B58">
      <w:pPr>
        <w:spacing w:after="0" w:line="360" w:lineRule="auto"/>
        <w:ind w:left="720" w:hanging="720"/>
        <w:jc w:val="both"/>
        <w:rPr>
          <w:rFonts w:eastAsia="Times New Roman" w:cstheme="minorHAnsi"/>
          <w:b/>
          <w:sz w:val="28"/>
          <w:szCs w:val="28"/>
          <w:lang w:eastAsia="es-ES"/>
        </w:rPr>
      </w:pPr>
      <w:r w:rsidRPr="005E1103">
        <w:rPr>
          <w:rFonts w:eastAsia="Times New Roman" w:cstheme="minorHAnsi"/>
          <w:b/>
          <w:sz w:val="28"/>
          <w:szCs w:val="28"/>
          <w:lang w:eastAsia="es-ES"/>
        </w:rPr>
        <w:t>5. Instrumento de Medición.</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 xml:space="preserve">Se diseñó un cuestionario a partir de la revisión bibliográfica sobre competencias y la clasificación Internacional que hace el informe “Tuning” (2008). Una vez realizado el primer boceto de preguntas, se les pidió a 10 expertos que evaluaran la pertinencia y el contenido de los ítems. Los expertos fueron seleccionados por su experticia tanto en el tema de competencias como en la elaboración de instrumentos. Nueve de los 10 expertos eran doctores vinculados al trabajo de docencia en las universidades españolas y uno de ellos con una experiencia de más de 3 años era máster. Se recibió, además, una retroalimentación cualitativa de los ítems a partir de la cual se pudieron mejorar en redacción.  El número total de las preguntas fue de 16, divididas en tres categorías: competencias instrumentales (5 ítems), competencias personales (5 ítems) y las competencias sistémicas (6 ítems). El índice de fiabilidad </w:t>
      </w:r>
      <w:r w:rsidRPr="005E1103">
        <w:rPr>
          <w:rFonts w:eastAsia="Times New Roman" w:cstheme="minorHAnsi"/>
          <w:sz w:val="28"/>
          <w:szCs w:val="28"/>
          <w:lang w:eastAsia="es-ES"/>
        </w:rPr>
        <w:lastRenderedPageBreak/>
        <w:t xml:space="preserve">después del proceso fue de 0.894. Adicionalmente, los estudiantes que contestaban al instrumento con deficiente o regular, debían seleccionar uno de los motivos por los que consideraban ese resultado habían sido de esa manera, tal como se muestra a continuación: Motivo A: Dificultades derivadas de mi discapacidad; Motivo B: A la falta de apoyo de mi entorno personal; Motivo C: A la falta de adaptación del docente a mi entorno de aprendizaje; Motivo D: A dificultades en la interacción con mis compañeros; Motivo E: A otros motivos distintos a los anteriores.  </w:t>
      </w:r>
    </w:p>
    <w:p w:rsidR="00954B58" w:rsidRPr="005E1103" w:rsidRDefault="00954B58" w:rsidP="00954B58">
      <w:pPr>
        <w:autoSpaceDE w:val="0"/>
        <w:autoSpaceDN w:val="0"/>
        <w:adjustRightInd w:val="0"/>
        <w:spacing w:after="0" w:line="360" w:lineRule="auto"/>
        <w:jc w:val="both"/>
        <w:rPr>
          <w:rFonts w:eastAsia="Times New Roman" w:cstheme="minorHAnsi"/>
          <w:b/>
          <w:sz w:val="28"/>
          <w:szCs w:val="28"/>
          <w:lang w:eastAsia="es-ES"/>
        </w:rPr>
      </w:pPr>
    </w:p>
    <w:p w:rsidR="00954B58" w:rsidRPr="005E1103" w:rsidRDefault="00954B58" w:rsidP="00954B58">
      <w:pPr>
        <w:autoSpaceDE w:val="0"/>
        <w:autoSpaceDN w:val="0"/>
        <w:adjustRightInd w:val="0"/>
        <w:spacing w:after="0" w:line="360" w:lineRule="auto"/>
        <w:jc w:val="both"/>
        <w:rPr>
          <w:rFonts w:eastAsia="Times New Roman" w:cstheme="minorHAnsi"/>
          <w:b/>
          <w:sz w:val="28"/>
          <w:szCs w:val="28"/>
          <w:lang w:eastAsia="es-ES"/>
        </w:rPr>
      </w:pPr>
      <w:r w:rsidRPr="005E1103">
        <w:rPr>
          <w:rFonts w:eastAsia="Times New Roman" w:cstheme="minorHAnsi"/>
          <w:b/>
          <w:sz w:val="28"/>
          <w:szCs w:val="28"/>
          <w:lang w:eastAsia="es-ES"/>
        </w:rPr>
        <w:t>6. Descripción de la muestra</w:t>
      </w:r>
    </w:p>
    <w:p w:rsidR="00954B58" w:rsidRPr="005E1103" w:rsidRDefault="00954B58" w:rsidP="00954B58">
      <w:pPr>
        <w:autoSpaceDE w:val="0"/>
        <w:autoSpaceDN w:val="0"/>
        <w:adjustRightInd w:val="0"/>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 xml:space="preserve">La muestra estuvo conformada por un N de 167 estudiantes pertenecientes a universidades españolas de edades entre 18 y 60 años; de los cuales el 40.7% eran hombres y el 59.3%mujeres. De ellos, 165 estudiantes presentan alguna discapacidad. </w:t>
      </w:r>
    </w:p>
    <w:p w:rsidR="00954B58" w:rsidRPr="005E1103" w:rsidRDefault="00954B58" w:rsidP="00954B58">
      <w:pPr>
        <w:autoSpaceDE w:val="0"/>
        <w:autoSpaceDN w:val="0"/>
        <w:adjustRightInd w:val="0"/>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 xml:space="preserve">Respecto a las Universidades, participaron 15 instituciones. Las que más estudiantes aportaron fueron la Universidad Politécnica de Madrid con un 20.4% del total de personas encuestadas, le sigue la </w:t>
      </w:r>
      <w:r w:rsidRPr="005E1103">
        <w:rPr>
          <w:rFonts w:eastAsia="Times New Roman" w:cstheme="minorHAnsi"/>
          <w:color w:val="000000"/>
          <w:sz w:val="28"/>
          <w:szCs w:val="28"/>
          <w:lang w:eastAsia="es-ES"/>
        </w:rPr>
        <w:t>Universitat de les Illes Balears</w:t>
      </w:r>
      <w:r w:rsidRPr="005E1103">
        <w:rPr>
          <w:rFonts w:eastAsia="Times New Roman" w:cstheme="minorHAnsi"/>
          <w:sz w:val="28"/>
          <w:szCs w:val="28"/>
          <w:lang w:eastAsia="es-ES"/>
        </w:rPr>
        <w:t xml:space="preserve"> con un 19.2% y la Universidad Internacional de la Rioja con un 15%.  El nivel de estudios de los participantes fue en su mayoría de grado, siendo el 77% de la muestra; el 17% se encontraban realizando algún tipo de máster y el 6% doctorado.  En relación al curso que estos estudiantes cursaban para el periodo 2015-2016, se encontró que el mayor porcentaje pertenecían a segundo curso, ya fuese de grado, de máster o de doctorado, luego con un 30% se ubicaron en el primer curso y finalmente en el tercer y cuarto curso, se ubicaron con un 19% y 20% respectivamente. Respecto a las áreas de conocimiento a la que pertenecen los estudiantes, se encontró que, el mayor número de </w:t>
      </w:r>
      <w:r w:rsidRPr="005E1103">
        <w:rPr>
          <w:rFonts w:eastAsia="Times New Roman" w:cstheme="minorHAnsi"/>
          <w:sz w:val="28"/>
          <w:szCs w:val="28"/>
          <w:lang w:eastAsia="es-ES"/>
        </w:rPr>
        <w:lastRenderedPageBreak/>
        <w:t xml:space="preserve">estudiantes correspondió a la facultad de Formación del Profesorado y al área de Ingeniería e informática con un 20% para ambas áreas, luego se distribuyó por frecuencias inferiores a económicas (14 %), medicina (16 %), Ciencias (15 %), Filosofía y Letras (15 %), Derecho (10 %), Psicología (9 %), Artes (4 %) y otras (15 %). </w:t>
      </w:r>
    </w:p>
    <w:p w:rsidR="00954B58" w:rsidRPr="005E1103" w:rsidRDefault="00954B58" w:rsidP="00954B58">
      <w:pPr>
        <w:autoSpaceDE w:val="0"/>
        <w:autoSpaceDN w:val="0"/>
        <w:adjustRightInd w:val="0"/>
        <w:spacing w:after="0" w:line="360" w:lineRule="auto"/>
        <w:jc w:val="both"/>
        <w:rPr>
          <w:rFonts w:eastAsia="Times New Roman" w:cstheme="minorHAnsi"/>
          <w:sz w:val="28"/>
          <w:szCs w:val="28"/>
          <w:lang w:eastAsia="es-ES"/>
        </w:rPr>
      </w:pPr>
    </w:p>
    <w:p w:rsidR="00954B58" w:rsidRPr="005E1103" w:rsidRDefault="00954B58" w:rsidP="00954B58">
      <w:pPr>
        <w:autoSpaceDE w:val="0"/>
        <w:autoSpaceDN w:val="0"/>
        <w:adjustRightInd w:val="0"/>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 xml:space="preserve">La muestra de 165 estudiantes con discapacidad, se clasificó según el tipo de diagnóstico que presentaba. De esta manera, se encontraron las siguientes diversidades funcionales: </w:t>
      </w:r>
    </w:p>
    <w:p w:rsidR="00954B58" w:rsidRPr="005E1103" w:rsidRDefault="00954B58" w:rsidP="00954B58">
      <w:pPr>
        <w:numPr>
          <w:ilvl w:val="0"/>
          <w:numId w:val="73"/>
        </w:numPr>
        <w:autoSpaceDE w:val="0"/>
        <w:autoSpaceDN w:val="0"/>
        <w:adjustRightInd w:val="0"/>
        <w:spacing w:after="0" w:line="360" w:lineRule="auto"/>
        <w:jc w:val="both"/>
        <w:rPr>
          <w:rFonts w:eastAsia="Times New Roman" w:cstheme="minorHAnsi"/>
          <w:sz w:val="28"/>
          <w:szCs w:val="28"/>
          <w:lang w:eastAsia="es-ES"/>
        </w:rPr>
      </w:pPr>
      <w:r w:rsidRPr="005E1103">
        <w:rPr>
          <w:rFonts w:eastAsia="Times New Roman" w:cstheme="minorHAnsi"/>
          <w:i/>
          <w:sz w:val="28"/>
          <w:szCs w:val="28"/>
          <w:lang w:eastAsia="es-ES"/>
        </w:rPr>
        <w:t>Discapacidad Psíquica</w:t>
      </w:r>
      <w:r w:rsidRPr="005E1103">
        <w:rPr>
          <w:rFonts w:eastAsia="Times New Roman" w:cstheme="minorHAnsi"/>
          <w:sz w:val="28"/>
          <w:szCs w:val="28"/>
          <w:lang w:eastAsia="es-ES"/>
        </w:rPr>
        <w:t xml:space="preserve">: Para fines propios de la investigación, se tomó el término “psíquico” para referirse a todos aquellos diagnósticos del tanto comportamentales como cognitivos, tales como fobias, trastornos de la personalidad, esquizofrenia, etc.   </w:t>
      </w:r>
    </w:p>
    <w:p w:rsidR="00954B58" w:rsidRPr="005E1103" w:rsidRDefault="00954B58" w:rsidP="00954B58">
      <w:pPr>
        <w:numPr>
          <w:ilvl w:val="0"/>
          <w:numId w:val="73"/>
        </w:numPr>
        <w:autoSpaceDE w:val="0"/>
        <w:autoSpaceDN w:val="0"/>
        <w:adjustRightInd w:val="0"/>
        <w:spacing w:after="0" w:line="360" w:lineRule="auto"/>
        <w:jc w:val="both"/>
        <w:rPr>
          <w:rFonts w:eastAsia="Times New Roman" w:cstheme="minorHAnsi"/>
          <w:sz w:val="28"/>
          <w:szCs w:val="28"/>
          <w:lang w:eastAsia="es-ES"/>
        </w:rPr>
      </w:pPr>
      <w:r w:rsidRPr="005E1103">
        <w:rPr>
          <w:rFonts w:eastAsia="Times New Roman" w:cstheme="minorHAnsi"/>
          <w:i/>
          <w:sz w:val="28"/>
          <w:szCs w:val="28"/>
          <w:lang w:eastAsia="es-ES"/>
        </w:rPr>
        <w:t>Discapacidad o afección auditiva</w:t>
      </w:r>
      <w:r w:rsidRPr="005E1103">
        <w:rPr>
          <w:rFonts w:eastAsia="Times New Roman" w:cstheme="minorHAnsi"/>
          <w:sz w:val="28"/>
          <w:szCs w:val="28"/>
          <w:lang w:eastAsia="es-ES"/>
        </w:rPr>
        <w:t xml:space="preserve">: Se refiere a todos aquellos trastornos que engloban numerosas patologías manifestadas a diferentes edades de la vida por afecciones más o menos severas, temporales o definitivas, del sistema auditivo. Estas pueden ser congénitas o adquiridas. </w:t>
      </w:r>
    </w:p>
    <w:p w:rsidR="00954B58" w:rsidRPr="005E1103" w:rsidRDefault="00954B58" w:rsidP="00954B58">
      <w:pPr>
        <w:numPr>
          <w:ilvl w:val="0"/>
          <w:numId w:val="73"/>
        </w:numPr>
        <w:autoSpaceDE w:val="0"/>
        <w:autoSpaceDN w:val="0"/>
        <w:adjustRightInd w:val="0"/>
        <w:spacing w:after="0" w:line="360" w:lineRule="auto"/>
        <w:jc w:val="both"/>
        <w:rPr>
          <w:rFonts w:eastAsia="Times New Roman" w:cstheme="minorHAnsi"/>
          <w:i/>
          <w:sz w:val="28"/>
          <w:szCs w:val="28"/>
          <w:lang w:eastAsia="es-ES"/>
        </w:rPr>
      </w:pPr>
      <w:r w:rsidRPr="005E1103">
        <w:rPr>
          <w:rFonts w:eastAsia="Times New Roman" w:cstheme="minorHAnsi"/>
          <w:i/>
          <w:sz w:val="28"/>
          <w:szCs w:val="28"/>
          <w:lang w:eastAsia="es-ES"/>
        </w:rPr>
        <w:t xml:space="preserve">Discapacidad física: </w:t>
      </w:r>
      <w:r w:rsidRPr="005E1103">
        <w:rPr>
          <w:rFonts w:eastAsia="Times New Roman" w:cstheme="minorHAnsi"/>
          <w:sz w:val="28"/>
          <w:szCs w:val="28"/>
          <w:lang w:eastAsia="es-ES"/>
        </w:rPr>
        <w:t>Se relaciona con limitaciones principalmente en la realización de movimientos. Dentro de esta categoría se incluyen, por ejemplo, las amputaciones, las distrofias musculares y otras.</w:t>
      </w:r>
    </w:p>
    <w:p w:rsidR="00954B58" w:rsidRPr="005E1103" w:rsidRDefault="00954B58" w:rsidP="00954B58">
      <w:pPr>
        <w:numPr>
          <w:ilvl w:val="0"/>
          <w:numId w:val="73"/>
        </w:numPr>
        <w:autoSpaceDE w:val="0"/>
        <w:autoSpaceDN w:val="0"/>
        <w:adjustRightInd w:val="0"/>
        <w:spacing w:after="0" w:line="360" w:lineRule="auto"/>
        <w:jc w:val="both"/>
        <w:rPr>
          <w:rFonts w:eastAsia="Times New Roman" w:cstheme="minorHAnsi"/>
          <w:i/>
          <w:sz w:val="28"/>
          <w:szCs w:val="28"/>
          <w:lang w:eastAsia="es-ES"/>
        </w:rPr>
      </w:pPr>
      <w:r w:rsidRPr="005E1103">
        <w:rPr>
          <w:rFonts w:eastAsia="Times New Roman" w:cstheme="minorHAnsi"/>
          <w:i/>
          <w:sz w:val="28"/>
          <w:szCs w:val="28"/>
          <w:lang w:eastAsia="es-ES"/>
        </w:rPr>
        <w:t xml:space="preserve">Discapacidad visual: </w:t>
      </w:r>
      <w:r w:rsidRPr="005E1103">
        <w:rPr>
          <w:rFonts w:eastAsia="Times New Roman" w:cstheme="minorHAnsi"/>
          <w:sz w:val="28"/>
          <w:szCs w:val="28"/>
          <w:lang w:eastAsia="es-ES"/>
        </w:rPr>
        <w:t xml:space="preserve">Las deficiencias visuales se caracterizan por una limitación total o muy grave de la función visual. </w:t>
      </w:r>
    </w:p>
    <w:p w:rsidR="00954B58" w:rsidRPr="005E1103" w:rsidRDefault="00954B58" w:rsidP="00954B58">
      <w:pPr>
        <w:numPr>
          <w:ilvl w:val="0"/>
          <w:numId w:val="73"/>
        </w:numPr>
        <w:autoSpaceDE w:val="0"/>
        <w:autoSpaceDN w:val="0"/>
        <w:adjustRightInd w:val="0"/>
        <w:spacing w:after="0" w:line="360" w:lineRule="auto"/>
        <w:jc w:val="both"/>
        <w:rPr>
          <w:rFonts w:eastAsia="Times New Roman" w:cstheme="minorHAnsi"/>
          <w:i/>
          <w:sz w:val="28"/>
          <w:szCs w:val="28"/>
          <w:lang w:eastAsia="es-ES"/>
        </w:rPr>
      </w:pPr>
      <w:r w:rsidRPr="005E1103">
        <w:rPr>
          <w:rFonts w:eastAsia="Times New Roman" w:cstheme="minorHAnsi"/>
          <w:i/>
          <w:sz w:val="28"/>
          <w:szCs w:val="28"/>
          <w:lang w:eastAsia="es-ES"/>
        </w:rPr>
        <w:t xml:space="preserve">Múltiple: </w:t>
      </w:r>
      <w:r w:rsidRPr="005E1103">
        <w:rPr>
          <w:rFonts w:eastAsia="Times New Roman" w:cstheme="minorHAnsi"/>
          <w:sz w:val="28"/>
          <w:szCs w:val="28"/>
          <w:lang w:eastAsia="es-ES"/>
        </w:rPr>
        <w:t xml:space="preserve">La categoría múltiple cubre aquellos diagnósticos que son compuestos: por ejemplo, discapacidad física y psíquica. </w:t>
      </w:r>
    </w:p>
    <w:p w:rsidR="00954B58" w:rsidRPr="005E1103" w:rsidRDefault="00954B58" w:rsidP="00954B58">
      <w:pPr>
        <w:numPr>
          <w:ilvl w:val="0"/>
          <w:numId w:val="73"/>
        </w:numPr>
        <w:autoSpaceDE w:val="0"/>
        <w:autoSpaceDN w:val="0"/>
        <w:adjustRightInd w:val="0"/>
        <w:spacing w:after="0" w:line="360" w:lineRule="auto"/>
        <w:jc w:val="both"/>
        <w:rPr>
          <w:rFonts w:eastAsia="Times New Roman" w:cstheme="minorHAnsi"/>
          <w:i/>
          <w:sz w:val="28"/>
          <w:szCs w:val="28"/>
          <w:lang w:eastAsia="es-ES"/>
        </w:rPr>
      </w:pPr>
      <w:r w:rsidRPr="005E1103">
        <w:rPr>
          <w:rFonts w:eastAsia="Times New Roman" w:cstheme="minorHAnsi"/>
          <w:i/>
          <w:sz w:val="28"/>
          <w:szCs w:val="28"/>
          <w:lang w:eastAsia="es-ES"/>
        </w:rPr>
        <w:t xml:space="preserve">Otros: </w:t>
      </w:r>
      <w:r w:rsidRPr="005E1103">
        <w:rPr>
          <w:rFonts w:eastAsia="Times New Roman" w:cstheme="minorHAnsi"/>
          <w:sz w:val="28"/>
          <w:szCs w:val="28"/>
          <w:lang w:eastAsia="es-ES"/>
        </w:rPr>
        <w:t xml:space="preserve">Se incluyeron dentro de estas categorías todos aquellos diagnósticos reportados por los estudiantes y que no hacían parte </w:t>
      </w:r>
      <w:r w:rsidRPr="005E1103">
        <w:rPr>
          <w:rFonts w:eastAsia="Times New Roman" w:cstheme="minorHAnsi"/>
          <w:sz w:val="28"/>
          <w:szCs w:val="28"/>
          <w:lang w:eastAsia="es-ES"/>
        </w:rPr>
        <w:lastRenderedPageBreak/>
        <w:t>de ninguna de las anteriores, como por ejemplo las malformaciones congénitas, del aprendizaje (que no se consideran discapacidades como tal), los trastornos generalizados del desarrollo y enfermedades del sistema nervioso como problemas cardiacos, diabetes, parálisis, esclerosis, migraña, entre otros.</w:t>
      </w:r>
    </w:p>
    <w:p w:rsidR="00954B58" w:rsidRPr="005E1103" w:rsidRDefault="00954B58" w:rsidP="00954B58">
      <w:pPr>
        <w:spacing w:after="0" w:line="360" w:lineRule="auto"/>
        <w:ind w:left="720"/>
        <w:contextualSpacing/>
        <w:rPr>
          <w:rFonts w:eastAsia="Times New Roman" w:cstheme="minorHAnsi"/>
          <w:i/>
          <w:sz w:val="28"/>
          <w:szCs w:val="28"/>
          <w:lang w:eastAsia="es-ES"/>
        </w:rPr>
      </w:pPr>
    </w:p>
    <w:p w:rsidR="00954B58" w:rsidRPr="005E1103" w:rsidRDefault="00954B58" w:rsidP="00954B58">
      <w:pPr>
        <w:autoSpaceDE w:val="0"/>
        <w:autoSpaceDN w:val="0"/>
        <w:adjustRightInd w:val="0"/>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 xml:space="preserve"> De acuerdo a la muestra, el tipo de discapacidad que más se encontró fue el de “discapacidad física” con un 46,06%, luego, la categoría que más puntuación obtuvo fue la de “otros”. Otros de los diagnósticos más frecuente fueron las discapacidades psíquicas con 9.7%, múltiple con 7,27%, auditiva 3.64 % y otros 27.2 %.   </w:t>
      </w:r>
    </w:p>
    <w:p w:rsidR="00954B58" w:rsidRPr="005E1103" w:rsidRDefault="00954B58" w:rsidP="00954B58">
      <w:pPr>
        <w:autoSpaceDE w:val="0"/>
        <w:autoSpaceDN w:val="0"/>
        <w:adjustRightInd w:val="0"/>
        <w:spacing w:after="0" w:line="360" w:lineRule="auto"/>
        <w:jc w:val="both"/>
        <w:rPr>
          <w:rFonts w:eastAsia="Times New Roman" w:cstheme="minorHAnsi"/>
          <w:sz w:val="28"/>
          <w:szCs w:val="28"/>
          <w:lang w:eastAsia="es-ES"/>
        </w:rPr>
      </w:pPr>
    </w:p>
    <w:p w:rsidR="00954B58" w:rsidRPr="005E1103" w:rsidRDefault="00954B58" w:rsidP="00954B58">
      <w:pPr>
        <w:autoSpaceDE w:val="0"/>
        <w:autoSpaceDN w:val="0"/>
        <w:adjustRightInd w:val="0"/>
        <w:spacing w:after="0" w:line="360" w:lineRule="auto"/>
        <w:jc w:val="both"/>
        <w:rPr>
          <w:rFonts w:eastAsia="Times New Roman" w:cstheme="minorHAnsi"/>
          <w:b/>
          <w:sz w:val="28"/>
          <w:szCs w:val="28"/>
          <w:lang w:eastAsia="es-ES"/>
        </w:rPr>
      </w:pPr>
      <w:r w:rsidRPr="005E1103">
        <w:rPr>
          <w:rFonts w:eastAsia="Times New Roman" w:cstheme="minorHAnsi"/>
          <w:b/>
          <w:sz w:val="28"/>
          <w:szCs w:val="28"/>
          <w:lang w:eastAsia="es-ES"/>
        </w:rPr>
        <w:t xml:space="preserve">7. Análisis de los resultados </w:t>
      </w:r>
    </w:p>
    <w:p w:rsidR="00954B58" w:rsidRPr="005E1103" w:rsidRDefault="00954B58" w:rsidP="00954B58">
      <w:pPr>
        <w:autoSpaceDE w:val="0"/>
        <w:autoSpaceDN w:val="0"/>
        <w:adjustRightInd w:val="0"/>
        <w:spacing w:after="0" w:line="360" w:lineRule="auto"/>
        <w:jc w:val="both"/>
        <w:rPr>
          <w:rFonts w:eastAsia="Times New Roman" w:cstheme="minorHAnsi"/>
          <w:sz w:val="28"/>
          <w:szCs w:val="28"/>
          <w:lang w:val="es-CO" w:eastAsia="es-ES"/>
        </w:rPr>
      </w:pPr>
      <w:r w:rsidRPr="005E1103">
        <w:rPr>
          <w:rFonts w:eastAsia="Times New Roman" w:cstheme="minorHAnsi"/>
          <w:sz w:val="28"/>
          <w:szCs w:val="28"/>
          <w:lang w:eastAsia="es-ES"/>
        </w:rPr>
        <w:t xml:space="preserve">Para el análisis </w:t>
      </w:r>
      <w:r w:rsidRPr="005E1103">
        <w:rPr>
          <w:rFonts w:eastAsia="Times New Roman" w:cstheme="minorHAnsi"/>
          <w:sz w:val="28"/>
          <w:szCs w:val="28"/>
          <w:lang w:val="es-CO" w:eastAsia="es-ES"/>
        </w:rPr>
        <w:t xml:space="preserve">de los resultados se utilizó el paquete estadístico SPSS y re realizaron pruebas no paramétricas en los casos en los que no se cumple alguno de las exigencias de la estadística paramétrica inferencial. A continuación, se presentan los hallazgos de las relaciones entre la puntuación total obtenida en el cuestionario y las posibles variables de agrupación: sexo, área de conocimiento, tipo de discapacidad, el curso y universidad.   </w:t>
      </w:r>
    </w:p>
    <w:p w:rsidR="00954B58" w:rsidRPr="005E1103" w:rsidRDefault="00954B58" w:rsidP="00954B58">
      <w:pPr>
        <w:autoSpaceDE w:val="0"/>
        <w:autoSpaceDN w:val="0"/>
        <w:adjustRightInd w:val="0"/>
        <w:spacing w:after="0" w:line="360" w:lineRule="auto"/>
        <w:jc w:val="both"/>
        <w:rPr>
          <w:rFonts w:eastAsia="Times New Roman" w:cstheme="minorHAnsi"/>
          <w:sz w:val="28"/>
          <w:szCs w:val="28"/>
          <w:lang w:val="es-CO" w:eastAsia="es-ES"/>
        </w:rPr>
      </w:pPr>
      <w:r w:rsidRPr="005E1103">
        <w:rPr>
          <w:rFonts w:eastAsia="Times New Roman" w:cstheme="minorHAnsi"/>
          <w:sz w:val="28"/>
          <w:szCs w:val="28"/>
          <w:lang w:val="es-CO" w:eastAsia="es-ES"/>
        </w:rPr>
        <w:t xml:space="preserve">  </w:t>
      </w:r>
    </w:p>
    <w:p w:rsidR="00954B58" w:rsidRPr="005E1103" w:rsidRDefault="00954B58" w:rsidP="00954B58">
      <w:pPr>
        <w:autoSpaceDE w:val="0"/>
        <w:autoSpaceDN w:val="0"/>
        <w:adjustRightInd w:val="0"/>
        <w:spacing w:after="0" w:line="360" w:lineRule="auto"/>
        <w:jc w:val="both"/>
        <w:rPr>
          <w:rFonts w:eastAsia="Times New Roman" w:cstheme="minorHAnsi"/>
          <w:b/>
          <w:sz w:val="28"/>
          <w:szCs w:val="28"/>
          <w:lang w:eastAsia="es-ES"/>
        </w:rPr>
      </w:pPr>
      <w:r w:rsidRPr="005E1103">
        <w:rPr>
          <w:rFonts w:eastAsia="Times New Roman" w:cstheme="minorHAnsi"/>
          <w:b/>
          <w:sz w:val="28"/>
          <w:szCs w:val="28"/>
          <w:lang w:eastAsia="es-ES"/>
        </w:rPr>
        <w:t xml:space="preserve">7.1. Análisis general de toda la muestra. </w:t>
      </w:r>
    </w:p>
    <w:p w:rsidR="00954B58" w:rsidRPr="005E1103" w:rsidRDefault="00954B58" w:rsidP="00954B58">
      <w:pPr>
        <w:autoSpaceDE w:val="0"/>
        <w:autoSpaceDN w:val="0"/>
        <w:adjustRightInd w:val="0"/>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 xml:space="preserve">En el Anexo II, aparecen las medias obtenidas en todos los ítems. Los ítems más valorados son trabajar con personas de otras culturas (ítem 14) 3.5, pensamiento crítico y reflexivo (ítem 9) 3.46 y uso de las TIC (ítem 5) 3,35.  Los que fueron puntuados más bajo fueron lengua extranjera (ítem 4) 2,59, capacidad de innovar y emprender (ítem 15) 3,11 y liderar grupos </w:t>
      </w:r>
      <w:r w:rsidRPr="005E1103">
        <w:rPr>
          <w:rFonts w:eastAsia="Times New Roman" w:cstheme="minorHAnsi"/>
          <w:sz w:val="28"/>
          <w:szCs w:val="28"/>
          <w:lang w:eastAsia="es-ES"/>
        </w:rPr>
        <w:lastRenderedPageBreak/>
        <w:t xml:space="preserve">(ítem 13) 3,15.  La media total de todos ellos fue de 3,2. En relación con los tres factores de competencias, las valoraciones de percepción de competencias fueron: competencias instrumentales 3,1; competencias personales 3,3 y competencias personales 3,3. </w:t>
      </w:r>
    </w:p>
    <w:p w:rsidR="00954B58" w:rsidRPr="005E1103" w:rsidRDefault="00954B58" w:rsidP="00954B58">
      <w:pPr>
        <w:autoSpaceDE w:val="0"/>
        <w:autoSpaceDN w:val="0"/>
        <w:adjustRightInd w:val="0"/>
        <w:spacing w:after="0" w:line="360" w:lineRule="auto"/>
        <w:jc w:val="both"/>
        <w:rPr>
          <w:rFonts w:eastAsia="Times New Roman" w:cstheme="minorHAnsi"/>
          <w:b/>
          <w:sz w:val="28"/>
          <w:szCs w:val="28"/>
          <w:lang w:eastAsia="es-ES"/>
        </w:rPr>
      </w:pPr>
    </w:p>
    <w:p w:rsidR="00954B58" w:rsidRPr="005E1103" w:rsidRDefault="00954B58" w:rsidP="00954B58">
      <w:pPr>
        <w:autoSpaceDE w:val="0"/>
        <w:autoSpaceDN w:val="0"/>
        <w:adjustRightInd w:val="0"/>
        <w:spacing w:after="0" w:line="360" w:lineRule="auto"/>
        <w:jc w:val="both"/>
        <w:rPr>
          <w:rFonts w:eastAsia="Times New Roman" w:cstheme="minorHAnsi"/>
          <w:b/>
          <w:sz w:val="28"/>
          <w:szCs w:val="28"/>
          <w:lang w:eastAsia="es-ES"/>
        </w:rPr>
      </w:pPr>
      <w:r w:rsidRPr="005E1103">
        <w:rPr>
          <w:rFonts w:eastAsia="Times New Roman" w:cstheme="minorHAnsi"/>
          <w:b/>
          <w:sz w:val="28"/>
          <w:szCs w:val="28"/>
          <w:lang w:eastAsia="es-ES"/>
        </w:rPr>
        <w:t>7.2.  Análisis de comparación entre grupos</w:t>
      </w:r>
    </w:p>
    <w:p w:rsidR="00954B58" w:rsidRPr="005E1103" w:rsidRDefault="00954B58" w:rsidP="00954B58">
      <w:pPr>
        <w:autoSpaceDE w:val="0"/>
        <w:autoSpaceDN w:val="0"/>
        <w:adjustRightInd w:val="0"/>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 xml:space="preserve">Se procedió con la prueba de Kruskal Wallis para verificar estadísticamente sí hay diferencias significativas entre las medias de la variable y los distintos tipos de discapacidad y las puntuaciones para cada uno de los factores de la prueba (competencias instrumentales, competencias personales y competencias sistémicas).  En todos los casos, con cinco grados de libertad (gl), se concluye que no existen diferencias significativas entre las medias, por lo que se debe rechazar la hipótesis nula, encontrando que no hay relación entre los tipos de discapacidad y la puntuación en la prueba de percepción de adquisición de competencias.  De igual manera se procedió para comparar las puntuaciones para cada uno de los factores de la prueba con las variables tipo de discapacidad, sexo, curso, universidad, área de estudios y edad, no encontrándose diferencias significativas. </w:t>
      </w:r>
    </w:p>
    <w:p w:rsidR="00954B58" w:rsidRPr="005E1103" w:rsidRDefault="00954B58" w:rsidP="00954B58">
      <w:pPr>
        <w:autoSpaceDE w:val="0"/>
        <w:autoSpaceDN w:val="0"/>
        <w:adjustRightInd w:val="0"/>
        <w:spacing w:after="0" w:line="360" w:lineRule="auto"/>
        <w:jc w:val="both"/>
        <w:rPr>
          <w:rFonts w:eastAsia="Times New Roman" w:cstheme="minorHAnsi"/>
          <w:sz w:val="28"/>
          <w:szCs w:val="28"/>
          <w:lang w:eastAsia="es-ES"/>
        </w:rPr>
      </w:pPr>
    </w:p>
    <w:p w:rsidR="00954B58" w:rsidRPr="005E1103" w:rsidRDefault="00954B58" w:rsidP="00954B58">
      <w:pPr>
        <w:autoSpaceDE w:val="0"/>
        <w:autoSpaceDN w:val="0"/>
        <w:adjustRightInd w:val="0"/>
        <w:spacing w:after="0" w:line="400" w:lineRule="atLeast"/>
        <w:jc w:val="both"/>
        <w:rPr>
          <w:rFonts w:eastAsia="Times New Roman" w:cstheme="minorHAnsi"/>
          <w:b/>
          <w:sz w:val="28"/>
          <w:szCs w:val="28"/>
          <w:lang w:eastAsia="es-ES"/>
        </w:rPr>
      </w:pPr>
      <w:r w:rsidRPr="005E1103">
        <w:rPr>
          <w:rFonts w:eastAsia="Times New Roman" w:cstheme="minorHAnsi"/>
          <w:b/>
          <w:sz w:val="28"/>
          <w:szCs w:val="28"/>
          <w:lang w:eastAsia="es-ES"/>
        </w:rPr>
        <w:t>7.2 Análisis del cuestionario de motivos.</w:t>
      </w:r>
    </w:p>
    <w:p w:rsidR="00954B58" w:rsidRPr="005E1103" w:rsidRDefault="00954B58" w:rsidP="00954B58">
      <w:pPr>
        <w:autoSpaceDE w:val="0"/>
        <w:autoSpaceDN w:val="0"/>
        <w:adjustRightInd w:val="0"/>
        <w:spacing w:after="0" w:line="400" w:lineRule="atLeast"/>
        <w:jc w:val="both"/>
        <w:rPr>
          <w:rFonts w:eastAsia="Times New Roman" w:cstheme="minorHAnsi"/>
          <w:color w:val="000000"/>
          <w:sz w:val="28"/>
          <w:szCs w:val="28"/>
          <w:lang w:val="es-CO" w:eastAsia="es-CO"/>
        </w:rPr>
      </w:pPr>
      <w:r w:rsidRPr="005E1103">
        <w:rPr>
          <w:rFonts w:eastAsia="Times New Roman" w:cstheme="minorHAnsi"/>
          <w:sz w:val="28"/>
          <w:szCs w:val="28"/>
          <w:lang w:eastAsia="es-ES"/>
        </w:rPr>
        <w:t>Un análisis por frecuencia, permite identificar</w:t>
      </w:r>
      <w:r w:rsidRPr="005E1103">
        <w:rPr>
          <w:rFonts w:eastAsia="Times New Roman" w:cstheme="minorHAnsi"/>
          <w:color w:val="000000"/>
          <w:sz w:val="28"/>
          <w:szCs w:val="28"/>
          <w:lang w:val="es-CO" w:eastAsia="es-CO"/>
        </w:rPr>
        <w:t xml:space="preserve"> cuál de los motivos fue seleccionado la mayoría de las veces. En este caso, la mayoría de estudiantes que consideraban que su nivel alcanzado en las competencias que se evaluaban como regular o deficiente contestaron que dicho resultado se debía a motivos distintos a los nombrados. El 29.12% respondió que se debía a las dificultades derivadas de la discapacidad que presentaba el estudiante; en menor medida, contestaron a que el nivel deficiente tenía que ver con la falta de adaptación docente.  </w:t>
      </w:r>
    </w:p>
    <w:p w:rsidR="00954B58" w:rsidRPr="005E1103" w:rsidRDefault="00954B58" w:rsidP="00954B58">
      <w:pPr>
        <w:autoSpaceDE w:val="0"/>
        <w:autoSpaceDN w:val="0"/>
        <w:adjustRightInd w:val="0"/>
        <w:spacing w:after="0" w:line="400" w:lineRule="atLeast"/>
        <w:jc w:val="both"/>
        <w:rPr>
          <w:rFonts w:eastAsia="Times New Roman" w:cstheme="minorHAnsi"/>
          <w:color w:val="000000"/>
          <w:sz w:val="28"/>
          <w:szCs w:val="28"/>
          <w:lang w:val="es-CO" w:eastAsia="es-CO"/>
        </w:rPr>
      </w:pPr>
      <w:r w:rsidRPr="005E1103">
        <w:rPr>
          <w:rFonts w:eastAsia="Times New Roman" w:cstheme="minorHAnsi"/>
          <w:color w:val="000000"/>
          <w:sz w:val="28"/>
          <w:szCs w:val="28"/>
          <w:lang w:val="es-CO" w:eastAsia="es-CO"/>
        </w:rPr>
        <w:lastRenderedPageBreak/>
        <w:t xml:space="preserve">Otro de los motivos que más se seleccionó fue el de “otros”, lo cual indica que existen otras circunstancias diferentes a las que han sido documentadas y sobre las cuales se podría profundizar.  </w:t>
      </w:r>
    </w:p>
    <w:p w:rsidR="00954B58" w:rsidRPr="005E1103" w:rsidRDefault="00954B58" w:rsidP="00954B58">
      <w:pPr>
        <w:autoSpaceDE w:val="0"/>
        <w:autoSpaceDN w:val="0"/>
        <w:adjustRightInd w:val="0"/>
        <w:spacing w:after="0" w:line="360" w:lineRule="auto"/>
        <w:jc w:val="both"/>
        <w:rPr>
          <w:rFonts w:eastAsia="Times New Roman" w:cstheme="minorHAnsi"/>
          <w:b/>
          <w:sz w:val="28"/>
          <w:szCs w:val="28"/>
          <w:lang w:val="es-CO" w:eastAsia="es-ES"/>
        </w:rPr>
      </w:pPr>
    </w:p>
    <w:p w:rsidR="00954B58" w:rsidRPr="005E1103" w:rsidRDefault="00954B58" w:rsidP="00954B58">
      <w:pPr>
        <w:autoSpaceDE w:val="0"/>
        <w:autoSpaceDN w:val="0"/>
        <w:adjustRightInd w:val="0"/>
        <w:spacing w:after="0" w:line="360" w:lineRule="auto"/>
        <w:jc w:val="both"/>
        <w:rPr>
          <w:rFonts w:eastAsia="Times New Roman" w:cstheme="minorHAnsi"/>
          <w:b/>
          <w:sz w:val="28"/>
          <w:szCs w:val="28"/>
          <w:lang w:eastAsia="es-ES"/>
        </w:rPr>
      </w:pPr>
      <w:r w:rsidRPr="005E1103">
        <w:rPr>
          <w:rFonts w:eastAsia="Times New Roman" w:cstheme="minorHAnsi"/>
          <w:b/>
          <w:sz w:val="28"/>
          <w:szCs w:val="28"/>
          <w:lang w:eastAsia="es-ES"/>
        </w:rPr>
        <w:t>8. Conclusiones.</w:t>
      </w:r>
    </w:p>
    <w:p w:rsidR="00954B58" w:rsidRPr="005E1103" w:rsidRDefault="00954B58" w:rsidP="00954B58">
      <w:pPr>
        <w:autoSpaceDE w:val="0"/>
        <w:autoSpaceDN w:val="0"/>
        <w:adjustRightInd w:val="0"/>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 xml:space="preserve">A la vista de toda la información recogida y analizada y tras interpretar los resultados, podemos destacar que, en relación a la puntuación total del cuestionario, no hay relación entre los tipos de discapacidad y la puntuación en la prueba de percepción de adquisición de competencias.  Por otro lado, se encuentra que tampoco hay diferencias significativas entre la puntuación en la prueba y el sexo. </w:t>
      </w:r>
      <w:r w:rsidRPr="005E1103">
        <w:rPr>
          <w:rFonts w:eastAsia="Times New Roman" w:cstheme="minorHAnsi"/>
          <w:b/>
          <w:sz w:val="28"/>
          <w:szCs w:val="28"/>
          <w:lang w:eastAsia="es-ES"/>
        </w:rPr>
        <w:t xml:space="preserve">  </w:t>
      </w:r>
      <w:r w:rsidRPr="005E1103">
        <w:rPr>
          <w:rFonts w:eastAsia="Times New Roman" w:cstheme="minorHAnsi"/>
          <w:sz w:val="28"/>
          <w:szCs w:val="28"/>
          <w:lang w:val="es-CO" w:eastAsia="es-ES"/>
        </w:rPr>
        <w:t xml:space="preserve">Además, se observa que no hay relación entre la variable área de estudio y las puntuaciones obtenidas en los factores competencias instrumentales, competencias personales y competencias sistémicas, ni tampoco para la puntuación total en el cuestionario. </w:t>
      </w:r>
    </w:p>
    <w:p w:rsidR="00954B58" w:rsidRPr="005E1103" w:rsidRDefault="00954B58" w:rsidP="00954B58">
      <w:pPr>
        <w:spacing w:after="0" w:line="360" w:lineRule="auto"/>
        <w:rPr>
          <w:rFonts w:eastAsia="Times New Roman" w:cstheme="minorHAnsi"/>
          <w:b/>
          <w:i/>
          <w:sz w:val="28"/>
          <w:szCs w:val="28"/>
          <w:lang w:eastAsia="es-ES"/>
        </w:rPr>
      </w:pPr>
    </w:p>
    <w:p w:rsidR="00954B58" w:rsidRPr="005E1103" w:rsidRDefault="00954B58" w:rsidP="00954B58">
      <w:pPr>
        <w:autoSpaceDE w:val="0"/>
        <w:autoSpaceDN w:val="0"/>
        <w:adjustRightInd w:val="0"/>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Sin embargo, existe relación entre las puntuaciones de la prueba y el curso al que pertenece el estudiante, en dos casos: (1) La puntuación en las competencias personales y el curso, y (2) la puntuación total de la prueba y el curso.</w:t>
      </w:r>
    </w:p>
    <w:p w:rsidR="00954B58" w:rsidRPr="005E1103" w:rsidRDefault="00954B58" w:rsidP="00954B58">
      <w:pPr>
        <w:autoSpaceDE w:val="0"/>
        <w:autoSpaceDN w:val="0"/>
        <w:adjustRightInd w:val="0"/>
        <w:spacing w:after="0" w:line="360" w:lineRule="auto"/>
        <w:jc w:val="both"/>
        <w:rPr>
          <w:rFonts w:eastAsia="Times New Roman" w:cstheme="minorHAnsi"/>
          <w:sz w:val="28"/>
          <w:szCs w:val="28"/>
          <w:lang w:eastAsia="es-ES"/>
        </w:rPr>
      </w:pPr>
    </w:p>
    <w:p w:rsidR="00954B58" w:rsidRPr="005E1103" w:rsidRDefault="00954B58" w:rsidP="00954B58">
      <w:pPr>
        <w:autoSpaceDE w:val="0"/>
        <w:autoSpaceDN w:val="0"/>
        <w:adjustRightInd w:val="0"/>
        <w:spacing w:after="0" w:line="360" w:lineRule="auto"/>
        <w:jc w:val="both"/>
        <w:rPr>
          <w:rFonts w:eastAsia="Times New Roman" w:cstheme="minorHAnsi"/>
          <w:sz w:val="28"/>
          <w:szCs w:val="28"/>
          <w:lang w:val="es-CO" w:eastAsia="es-ES"/>
        </w:rPr>
      </w:pPr>
      <w:r w:rsidRPr="005E1103">
        <w:rPr>
          <w:rFonts w:eastAsia="Times New Roman" w:cstheme="minorHAnsi"/>
          <w:sz w:val="28"/>
          <w:szCs w:val="28"/>
          <w:lang w:eastAsia="es-ES"/>
        </w:rPr>
        <w:t xml:space="preserve">Para las competencias personales, la significación es de 0,052, y para la puntuación total, el valor es de 0,041; lo cual indica que la relación entre dichas variables es significativamente estadística.  </w:t>
      </w:r>
      <w:r w:rsidRPr="005E1103">
        <w:rPr>
          <w:rFonts w:eastAsia="Times New Roman" w:cstheme="minorHAnsi"/>
          <w:sz w:val="28"/>
          <w:szCs w:val="28"/>
          <w:lang w:val="es-CO" w:eastAsia="es-ES"/>
        </w:rPr>
        <w:t xml:space="preserve">Para el estudio de la relación entre la estar adscrito a una determinada universidad y las puntuaciones en el cuestionario de percepción de adquisición de competencias se encontró que existe relación cuando se evalúa la </w:t>
      </w:r>
      <w:r w:rsidRPr="005E1103">
        <w:rPr>
          <w:rFonts w:eastAsia="Times New Roman" w:cstheme="minorHAnsi"/>
          <w:sz w:val="28"/>
          <w:szCs w:val="28"/>
          <w:lang w:val="es-CO" w:eastAsia="es-ES"/>
        </w:rPr>
        <w:lastRenderedPageBreak/>
        <w:t>competencia de tipo instrumental, con un resultado de 0,041 en el nivel de significancia.</w:t>
      </w:r>
    </w:p>
    <w:p w:rsidR="00954B58" w:rsidRPr="005E1103" w:rsidRDefault="00954B58" w:rsidP="00954B58">
      <w:pPr>
        <w:spacing w:after="0" w:line="360" w:lineRule="auto"/>
        <w:rPr>
          <w:rFonts w:eastAsia="Times New Roman" w:cstheme="minorHAnsi"/>
          <w:sz w:val="28"/>
          <w:szCs w:val="28"/>
          <w:lang w:val="es-CO" w:eastAsia="es-ES"/>
        </w:rPr>
      </w:pPr>
    </w:p>
    <w:p w:rsidR="00954B58" w:rsidRPr="005E1103" w:rsidRDefault="00954B58" w:rsidP="00954B58">
      <w:pPr>
        <w:autoSpaceDE w:val="0"/>
        <w:autoSpaceDN w:val="0"/>
        <w:adjustRightInd w:val="0"/>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 xml:space="preserve">Los ítems que fueron puntuados más bajos en el conjunto de las universidades fueron lengua extranjera, capacidad de innovar y emprender y liderar grupos.   Esto se debería tener en cuenta en la programación de las distintas asignaturas en los distintos grados en todo el ámbito universitario de nuestro país.  </w:t>
      </w:r>
    </w:p>
    <w:p w:rsidR="00954B58" w:rsidRPr="005E1103" w:rsidRDefault="00954B58" w:rsidP="00954B58">
      <w:pPr>
        <w:spacing w:after="0" w:line="360" w:lineRule="auto"/>
        <w:rPr>
          <w:rFonts w:eastAsia="Times New Roman" w:cstheme="minorHAnsi"/>
          <w:sz w:val="28"/>
          <w:szCs w:val="28"/>
          <w:lang w:eastAsia="es-ES"/>
        </w:rPr>
      </w:pPr>
    </w:p>
    <w:p w:rsidR="00954B58" w:rsidRPr="005E1103" w:rsidRDefault="00954B58" w:rsidP="00954B58">
      <w:pPr>
        <w:autoSpaceDE w:val="0"/>
        <w:autoSpaceDN w:val="0"/>
        <w:adjustRightInd w:val="0"/>
        <w:spacing w:after="0" w:line="360" w:lineRule="auto"/>
        <w:jc w:val="both"/>
        <w:rPr>
          <w:rFonts w:eastAsia="Times New Roman" w:cstheme="minorHAnsi"/>
          <w:b/>
          <w:sz w:val="28"/>
          <w:szCs w:val="28"/>
          <w:lang w:eastAsia="es-ES"/>
        </w:rPr>
      </w:pPr>
      <w:r w:rsidRPr="005E1103">
        <w:rPr>
          <w:rFonts w:eastAsia="Times New Roman" w:cstheme="minorHAnsi"/>
          <w:b/>
          <w:sz w:val="28"/>
          <w:szCs w:val="28"/>
          <w:lang w:eastAsia="es-ES"/>
        </w:rPr>
        <w:t>REFERENCIAS:</w:t>
      </w:r>
    </w:p>
    <w:p w:rsidR="00954B58" w:rsidRPr="005E1103" w:rsidRDefault="00954B58" w:rsidP="00954B58">
      <w:pPr>
        <w:spacing w:after="0" w:line="360" w:lineRule="auto"/>
        <w:rPr>
          <w:rFonts w:eastAsia="Times New Roman" w:cstheme="minorHAnsi"/>
          <w:sz w:val="28"/>
          <w:szCs w:val="28"/>
          <w:lang w:eastAsia="es-ES"/>
        </w:rPr>
      </w:pPr>
      <w:r w:rsidRPr="005E1103">
        <w:rPr>
          <w:rFonts w:eastAsia="Times New Roman" w:cstheme="minorHAnsi"/>
          <w:sz w:val="28"/>
          <w:szCs w:val="28"/>
          <w:lang w:eastAsia="es-ES"/>
        </w:rPr>
        <w:t xml:space="preserve">Aranda, R., Rodríguez, A., Andrés, C., Acedo, E., Arias, S., Mendoza, F., Aguilera, J.L, y Marchena, R. (2014). “La formación del profesorado universitario: mejora de los procesos de enseñanza-aprendizaje del alumnado con discapacidad”.  </w:t>
      </w:r>
      <w:r w:rsidRPr="005E1103">
        <w:rPr>
          <w:rFonts w:eastAsia="Times New Roman" w:cstheme="minorHAnsi"/>
          <w:i/>
          <w:sz w:val="28"/>
          <w:szCs w:val="28"/>
          <w:lang w:eastAsia="es-ES"/>
        </w:rPr>
        <w:t xml:space="preserve">Tendencias pedagógicas, </w:t>
      </w:r>
      <w:r w:rsidRPr="005E1103">
        <w:rPr>
          <w:rFonts w:eastAsia="Times New Roman" w:cstheme="minorHAnsi"/>
          <w:sz w:val="28"/>
          <w:szCs w:val="28"/>
          <w:lang w:eastAsia="es-ES"/>
        </w:rPr>
        <w:t>23, págs. 271-300. Disponible en  https://revistas.uam.es/tendenciaspedagogicas/article/view/2084/2182</w:t>
      </w:r>
    </w:p>
    <w:p w:rsidR="00954B58" w:rsidRPr="005E1103" w:rsidRDefault="00954B58" w:rsidP="00954B58">
      <w:pPr>
        <w:autoSpaceDE w:val="0"/>
        <w:autoSpaceDN w:val="0"/>
        <w:adjustRightInd w:val="0"/>
        <w:spacing w:after="0" w:line="360" w:lineRule="auto"/>
        <w:jc w:val="both"/>
        <w:rPr>
          <w:rFonts w:eastAsia="Times New Roman" w:cstheme="minorHAnsi"/>
          <w:sz w:val="28"/>
          <w:szCs w:val="28"/>
          <w:lang w:eastAsia="es-ES"/>
        </w:rPr>
      </w:pP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 xml:space="preserve">Luque, D. &amp; Rodríguez, G. (2008). “Alumnado universitario con discapacidad: elementos para la reflexión psicopedagógica”. </w:t>
      </w:r>
      <w:r w:rsidRPr="005E1103">
        <w:rPr>
          <w:rFonts w:eastAsia="Times New Roman" w:cstheme="minorHAnsi"/>
          <w:i/>
          <w:sz w:val="28"/>
          <w:szCs w:val="28"/>
          <w:lang w:eastAsia="es-ES"/>
        </w:rPr>
        <w:t xml:space="preserve">Revista Española de Orientación y Psicopedagogía,  </w:t>
      </w:r>
      <w:r w:rsidRPr="005E1103">
        <w:rPr>
          <w:rFonts w:eastAsia="Times New Roman" w:cstheme="minorHAnsi"/>
          <w:sz w:val="28"/>
          <w:szCs w:val="28"/>
          <w:lang w:eastAsia="es-ES"/>
        </w:rPr>
        <w:t xml:space="preserve">19, nº 3, págs.270-281. </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Disponible en http://www.redalyc.org/articulo.oa?id=338230780002</w:t>
      </w:r>
    </w:p>
    <w:p w:rsidR="00954B58" w:rsidRPr="005E1103" w:rsidRDefault="00954B58" w:rsidP="00954B58">
      <w:pPr>
        <w:spacing w:after="0" w:line="360" w:lineRule="auto"/>
        <w:jc w:val="both"/>
        <w:rPr>
          <w:rFonts w:eastAsia="Times New Roman" w:cstheme="minorHAnsi"/>
          <w:color w:val="000000"/>
          <w:sz w:val="28"/>
          <w:szCs w:val="28"/>
          <w:lang w:eastAsia="es-ES"/>
        </w:rPr>
      </w:pPr>
    </w:p>
    <w:p w:rsidR="00954B58" w:rsidRPr="005E1103" w:rsidRDefault="00954B58" w:rsidP="00954B58">
      <w:pPr>
        <w:spacing w:after="0" w:line="360" w:lineRule="auto"/>
        <w:jc w:val="both"/>
        <w:rPr>
          <w:rFonts w:eastAsia="Times New Roman" w:cstheme="minorHAnsi"/>
          <w:color w:val="000000"/>
          <w:sz w:val="28"/>
          <w:szCs w:val="28"/>
          <w:lang w:val="en-US" w:eastAsia="es-ES"/>
        </w:rPr>
      </w:pPr>
      <w:r w:rsidRPr="005E1103">
        <w:rPr>
          <w:rFonts w:eastAsia="Times New Roman" w:cstheme="minorHAnsi"/>
          <w:color w:val="000000"/>
          <w:sz w:val="28"/>
          <w:szCs w:val="28"/>
          <w:lang w:val="en-US" w:eastAsia="es-ES"/>
        </w:rPr>
        <w:t>Murray, C., Wren, C. &amp; Keys, C. (2014). “University faculty perceptions of students with learning disabilities: correlates and group differences”</w:t>
      </w:r>
      <w:r w:rsidRPr="005E1103">
        <w:rPr>
          <w:rFonts w:eastAsia="Times New Roman" w:cstheme="minorHAnsi"/>
          <w:i/>
          <w:color w:val="000000"/>
          <w:sz w:val="28"/>
          <w:szCs w:val="28"/>
          <w:lang w:val="en-US" w:eastAsia="es-ES"/>
        </w:rPr>
        <w:t>. Learning Disability Quaterly</w:t>
      </w:r>
      <w:r w:rsidRPr="005E1103">
        <w:rPr>
          <w:rFonts w:eastAsia="Times New Roman" w:cstheme="minorHAnsi"/>
          <w:color w:val="000000"/>
          <w:sz w:val="28"/>
          <w:szCs w:val="28"/>
          <w:lang w:val="en-US" w:eastAsia="es-ES"/>
        </w:rPr>
        <w:t xml:space="preserve">, 31, nº 3, págs. 95-113. </w:t>
      </w:r>
    </w:p>
    <w:p w:rsidR="00954B58" w:rsidRPr="005E1103" w:rsidRDefault="00954B58" w:rsidP="00954B58">
      <w:pPr>
        <w:spacing w:after="0" w:line="360" w:lineRule="auto"/>
        <w:jc w:val="both"/>
        <w:rPr>
          <w:rFonts w:eastAsia="Times New Roman" w:cstheme="minorHAnsi"/>
          <w:color w:val="000000"/>
          <w:sz w:val="28"/>
          <w:szCs w:val="28"/>
          <w:lang w:val="en-US" w:eastAsia="es-CO"/>
        </w:rPr>
      </w:pPr>
    </w:p>
    <w:p w:rsidR="00954B58" w:rsidRPr="005E1103" w:rsidRDefault="00954B58" w:rsidP="00954B58">
      <w:pPr>
        <w:spacing w:after="0" w:line="360" w:lineRule="auto"/>
        <w:jc w:val="both"/>
        <w:rPr>
          <w:rFonts w:eastAsia="Times New Roman" w:cstheme="minorHAnsi"/>
          <w:color w:val="000000"/>
          <w:sz w:val="28"/>
          <w:szCs w:val="28"/>
          <w:lang w:val="es-CO" w:eastAsia="es-CO"/>
        </w:rPr>
      </w:pPr>
      <w:r w:rsidRPr="00BF6455">
        <w:rPr>
          <w:rFonts w:eastAsia="Times New Roman" w:cstheme="minorHAnsi"/>
          <w:color w:val="000000"/>
          <w:sz w:val="28"/>
          <w:szCs w:val="28"/>
          <w:lang w:val="en-US" w:eastAsia="es-CO"/>
        </w:rPr>
        <w:lastRenderedPageBreak/>
        <w:t xml:space="preserve">Simón, C., Sandoval, M. &amp; Asensio, M. (octubre de 2006). </w:t>
      </w:r>
      <w:r w:rsidRPr="005E1103">
        <w:rPr>
          <w:rFonts w:eastAsia="Times New Roman" w:cstheme="minorHAnsi"/>
          <w:color w:val="000000"/>
          <w:sz w:val="28"/>
          <w:szCs w:val="28"/>
          <w:lang w:eastAsia="es-CO"/>
        </w:rPr>
        <w:t>“</w:t>
      </w:r>
      <w:r w:rsidRPr="005E1103">
        <w:rPr>
          <w:rFonts w:eastAsia="Times New Roman" w:cstheme="minorHAnsi"/>
          <w:color w:val="000000"/>
          <w:sz w:val="28"/>
          <w:szCs w:val="28"/>
          <w:lang w:val="es-CO" w:eastAsia="es-CO"/>
        </w:rPr>
        <w:t>Promover una investigación que permita dar voz a los estudiantes con discapacidad: sentido, desafío y dificultades para una investigación participativa. Adaptar la Igualdad, normalizar la diversidad</w:t>
      </w:r>
      <w:r w:rsidRPr="005E1103">
        <w:rPr>
          <w:rFonts w:eastAsia="Times New Roman" w:cstheme="minorHAnsi"/>
          <w:i/>
          <w:color w:val="000000"/>
          <w:sz w:val="28"/>
          <w:szCs w:val="28"/>
          <w:lang w:val="es-CO" w:eastAsia="es-CO"/>
        </w:rPr>
        <w:t>”. II Congreso Nacional sobre Discapacidad y Universidad</w:t>
      </w:r>
      <w:r w:rsidRPr="005E1103">
        <w:rPr>
          <w:rFonts w:eastAsia="Times New Roman" w:cstheme="minorHAnsi"/>
          <w:color w:val="000000"/>
          <w:sz w:val="28"/>
          <w:szCs w:val="28"/>
          <w:lang w:val="es-CO" w:eastAsia="es-CO"/>
        </w:rPr>
        <w:t>, Madrid. Disponible en  http://riberdis.cedd.net/bitstream/handle/11181/3166/II_congreso_nacional_sobre_universidad_y_discapacidad.pdf?sequence=1</w:t>
      </w:r>
    </w:p>
    <w:p w:rsidR="00954B58" w:rsidRPr="005E1103" w:rsidRDefault="00954B58" w:rsidP="00954B58">
      <w:pPr>
        <w:autoSpaceDE w:val="0"/>
        <w:autoSpaceDN w:val="0"/>
        <w:adjustRightInd w:val="0"/>
        <w:spacing w:after="0" w:line="360" w:lineRule="auto"/>
        <w:jc w:val="both"/>
        <w:rPr>
          <w:rFonts w:eastAsia="Times New Roman" w:cstheme="minorHAnsi"/>
          <w:sz w:val="28"/>
          <w:szCs w:val="28"/>
          <w:lang w:val="es-CO" w:eastAsia="es-ES"/>
        </w:rPr>
      </w:pPr>
    </w:p>
    <w:p w:rsidR="00954B58" w:rsidRPr="005E1103" w:rsidRDefault="00954B58" w:rsidP="00954B58">
      <w:pPr>
        <w:spacing w:after="0" w:line="360" w:lineRule="auto"/>
        <w:jc w:val="both"/>
        <w:rPr>
          <w:rFonts w:eastAsia="Times New Roman" w:cstheme="minorHAnsi"/>
          <w:color w:val="000000"/>
          <w:sz w:val="28"/>
          <w:szCs w:val="28"/>
          <w:lang w:eastAsia="es-ES"/>
        </w:rPr>
      </w:pPr>
      <w:r w:rsidRPr="005E1103">
        <w:rPr>
          <w:rFonts w:eastAsia="Times New Roman" w:cstheme="minorHAnsi"/>
          <w:color w:val="000000"/>
          <w:sz w:val="28"/>
          <w:szCs w:val="28"/>
          <w:lang w:val="en-US" w:eastAsia="es-ES"/>
        </w:rPr>
        <w:t xml:space="preserve">Tuning Project (2008). “Universities’ contribution to the Bologna Process. </w:t>
      </w:r>
      <w:r w:rsidRPr="005E1103">
        <w:rPr>
          <w:rFonts w:eastAsia="Times New Roman" w:cstheme="minorHAnsi"/>
          <w:color w:val="000000"/>
          <w:sz w:val="28"/>
          <w:szCs w:val="28"/>
          <w:lang w:eastAsia="es-ES"/>
        </w:rPr>
        <w:t>An Introduction”. [</w:t>
      </w:r>
      <w:r w:rsidRPr="005E1103">
        <w:rPr>
          <w:rFonts w:eastAsia="Times New Roman" w:cstheme="minorHAnsi"/>
          <w:bCs/>
          <w:color w:val="000000"/>
          <w:sz w:val="28"/>
          <w:szCs w:val="28"/>
          <w:lang w:eastAsia="es-ES"/>
        </w:rPr>
        <w:t xml:space="preserve">La contribución de las Universidades al Proceso de Bolonia. Una introducción]. </w:t>
      </w:r>
      <w:r w:rsidRPr="005E1103">
        <w:rPr>
          <w:rFonts w:eastAsia="Times New Roman" w:cstheme="minorHAnsi"/>
          <w:i/>
          <w:sz w:val="28"/>
          <w:szCs w:val="28"/>
          <w:lang w:eastAsia="es-ES"/>
        </w:rPr>
        <w:t>Publicaciones de la Universidad de Deusto</w:t>
      </w:r>
      <w:r w:rsidRPr="005E1103">
        <w:rPr>
          <w:rFonts w:eastAsia="Times New Roman" w:cstheme="minorHAnsi"/>
          <w:color w:val="000000"/>
          <w:sz w:val="28"/>
          <w:szCs w:val="28"/>
          <w:lang w:eastAsia="es-ES"/>
        </w:rPr>
        <w:t xml:space="preserve">. Recuperado de </w:t>
      </w:r>
      <w:hyperlink r:id="rId120" w:history="1">
        <w:r w:rsidRPr="005E1103">
          <w:rPr>
            <w:rStyle w:val="Hipervnculo"/>
            <w:rFonts w:eastAsia="Times New Roman" w:cstheme="minorHAnsi"/>
            <w:sz w:val="28"/>
            <w:szCs w:val="28"/>
            <w:lang w:eastAsia="es-ES"/>
          </w:rPr>
          <w:t>http://www.unideusto.org/tuningeu/images/stories/Publications/Tuning_brochure_en_espanol_listo.pdf</w:t>
        </w:r>
      </w:hyperlink>
    </w:p>
    <w:p w:rsidR="00954B58" w:rsidRPr="005E1103" w:rsidRDefault="00954B58">
      <w:pPr>
        <w:rPr>
          <w:rFonts w:eastAsia="Times New Roman" w:cstheme="minorHAnsi"/>
          <w:color w:val="000000"/>
          <w:sz w:val="28"/>
          <w:szCs w:val="28"/>
          <w:lang w:eastAsia="es-ES"/>
        </w:rPr>
      </w:pPr>
      <w:r w:rsidRPr="005E1103">
        <w:rPr>
          <w:rFonts w:eastAsia="Times New Roman" w:cstheme="minorHAnsi"/>
          <w:color w:val="000000"/>
          <w:sz w:val="28"/>
          <w:szCs w:val="28"/>
          <w:lang w:eastAsia="es-ES"/>
        </w:rPr>
        <w:br w:type="page"/>
      </w:r>
    </w:p>
    <w:p w:rsidR="00954B58" w:rsidRPr="005E1103" w:rsidRDefault="00954B58" w:rsidP="00954B58">
      <w:pPr>
        <w:spacing w:line="360" w:lineRule="auto"/>
        <w:rPr>
          <w:rFonts w:eastAsia="Calibri" w:cstheme="minorHAnsi"/>
          <w:color w:val="0000FF"/>
          <w:sz w:val="28"/>
          <w:szCs w:val="28"/>
          <w:u w:val="single"/>
        </w:rPr>
      </w:pPr>
    </w:p>
    <w:p w:rsidR="00954B58" w:rsidRPr="005E1103" w:rsidRDefault="00954B58" w:rsidP="00954B58">
      <w:pPr>
        <w:pBdr>
          <w:top w:val="single" w:sz="4" w:space="1" w:color="auto"/>
          <w:left w:val="single" w:sz="4" w:space="4" w:color="auto"/>
          <w:bottom w:val="single" w:sz="4" w:space="1" w:color="auto"/>
          <w:right w:val="single" w:sz="4" w:space="4" w:color="auto"/>
        </w:pBdr>
        <w:spacing w:line="360" w:lineRule="auto"/>
        <w:jc w:val="center"/>
        <w:rPr>
          <w:rFonts w:cstheme="minorHAnsi"/>
          <w:b/>
          <w:sz w:val="28"/>
          <w:szCs w:val="28"/>
        </w:rPr>
      </w:pPr>
      <w:r w:rsidRPr="005E1103">
        <w:rPr>
          <w:rFonts w:cstheme="minorHAnsi"/>
          <w:b/>
          <w:sz w:val="28"/>
          <w:szCs w:val="28"/>
        </w:rPr>
        <w:t>COMUNICACIÓN 7</w:t>
      </w:r>
    </w:p>
    <w:p w:rsidR="00954B58" w:rsidRPr="005E1103" w:rsidRDefault="00954B58" w:rsidP="00954B58">
      <w:pPr>
        <w:pBdr>
          <w:top w:val="single" w:sz="4" w:space="1" w:color="auto"/>
          <w:left w:val="single" w:sz="4" w:space="4" w:color="auto"/>
          <w:bottom w:val="single" w:sz="4" w:space="1" w:color="auto"/>
          <w:right w:val="single" w:sz="4" w:space="4" w:color="auto"/>
        </w:pBdr>
        <w:spacing w:line="360" w:lineRule="auto"/>
        <w:jc w:val="center"/>
        <w:rPr>
          <w:rFonts w:cstheme="minorHAnsi"/>
          <w:b/>
          <w:sz w:val="28"/>
          <w:szCs w:val="28"/>
        </w:rPr>
      </w:pPr>
      <w:r w:rsidRPr="005E1103">
        <w:rPr>
          <w:rFonts w:cstheme="minorHAnsi"/>
          <w:b/>
          <w:sz w:val="28"/>
          <w:szCs w:val="28"/>
        </w:rPr>
        <w:t>LA PARTICIPACIÓN EN LA UNIVERSIDAD COMO PROMOTOR DE LA INCLUSIÓN SOCIAL DE LOS JÓVENES CON DISCAPACIDAD INTELECTUAL</w:t>
      </w:r>
    </w:p>
    <w:p w:rsidR="00954B58" w:rsidRPr="005E1103" w:rsidRDefault="00954B58" w:rsidP="00954B58">
      <w:pPr>
        <w:rPr>
          <w:rFonts w:cstheme="minorHAnsi"/>
          <w:b/>
          <w:sz w:val="28"/>
          <w:szCs w:val="28"/>
        </w:rPr>
      </w:pPr>
    </w:p>
    <w:p w:rsidR="00954B58" w:rsidRPr="005E1103" w:rsidRDefault="00954B58" w:rsidP="00954B58">
      <w:pPr>
        <w:jc w:val="right"/>
        <w:rPr>
          <w:rFonts w:cstheme="minorHAnsi"/>
          <w:sz w:val="28"/>
          <w:szCs w:val="28"/>
        </w:rPr>
      </w:pPr>
      <w:r w:rsidRPr="005E1103">
        <w:rPr>
          <w:rFonts w:cstheme="minorHAnsi"/>
          <w:sz w:val="28"/>
          <w:szCs w:val="28"/>
        </w:rPr>
        <w:t>Ana Berástegui Pedro-Viejo</w:t>
      </w:r>
    </w:p>
    <w:p w:rsidR="00954B58" w:rsidRPr="005E1103" w:rsidRDefault="00954B58" w:rsidP="00954B58">
      <w:pPr>
        <w:jc w:val="right"/>
        <w:rPr>
          <w:rFonts w:cstheme="minorHAnsi"/>
          <w:sz w:val="28"/>
          <w:szCs w:val="28"/>
        </w:rPr>
      </w:pPr>
      <w:r w:rsidRPr="005E1103">
        <w:rPr>
          <w:rFonts w:cstheme="minorHAnsi"/>
          <w:sz w:val="28"/>
          <w:szCs w:val="28"/>
        </w:rPr>
        <w:t>Directora de la Cátedra de Familia y Discapacidad: Telefónica-Fundación Repsol-Down Madrid</w:t>
      </w:r>
    </w:p>
    <w:p w:rsidR="00954B58" w:rsidRPr="005E1103" w:rsidRDefault="00954B58" w:rsidP="00954B58">
      <w:pPr>
        <w:jc w:val="right"/>
        <w:rPr>
          <w:rFonts w:cstheme="minorHAnsi"/>
          <w:sz w:val="28"/>
          <w:szCs w:val="28"/>
        </w:rPr>
      </w:pPr>
      <w:r w:rsidRPr="005E1103">
        <w:rPr>
          <w:rFonts w:cstheme="minorHAnsi"/>
          <w:sz w:val="28"/>
          <w:szCs w:val="28"/>
        </w:rPr>
        <w:t>Universidad Pontificia Comillas</w:t>
      </w:r>
    </w:p>
    <w:p w:rsidR="00954B58" w:rsidRPr="005E1103" w:rsidRDefault="00954B58" w:rsidP="00954B58">
      <w:pPr>
        <w:rPr>
          <w:rFonts w:cstheme="minorHAnsi"/>
          <w:sz w:val="28"/>
          <w:szCs w:val="28"/>
        </w:rPr>
      </w:pPr>
    </w:p>
    <w:p w:rsidR="00954B58" w:rsidRPr="005E1103" w:rsidRDefault="00954B58" w:rsidP="00954B58">
      <w:pPr>
        <w:jc w:val="both"/>
        <w:rPr>
          <w:rFonts w:cstheme="minorHAnsi"/>
          <w:sz w:val="28"/>
          <w:szCs w:val="28"/>
        </w:rPr>
      </w:pPr>
      <w:r w:rsidRPr="005E1103">
        <w:rPr>
          <w:rFonts w:cstheme="minorHAnsi"/>
          <w:sz w:val="28"/>
          <w:szCs w:val="28"/>
        </w:rPr>
        <w:t>El entorno universitario, desde su función de investigación y formación, ha sido un aliado natural del movimiento en favor de las personas con discapacidad intelectual (en adelante DI). Los estudios en torno a la discapacidad intelectual se han visto incrementados significativamente en las últimas décadas, impulsados por la progresiva incorporación de estas personas a los distintos ámbitos de la sociedad de manera cada vez más normalizada e inclusiva.</w:t>
      </w:r>
    </w:p>
    <w:p w:rsidR="00954B58" w:rsidRPr="005E1103" w:rsidRDefault="00954B58" w:rsidP="00954B58">
      <w:pPr>
        <w:jc w:val="both"/>
        <w:rPr>
          <w:rFonts w:cstheme="minorHAnsi"/>
          <w:sz w:val="28"/>
          <w:szCs w:val="28"/>
        </w:rPr>
      </w:pPr>
      <w:r w:rsidRPr="005E1103">
        <w:rPr>
          <w:rFonts w:cstheme="minorHAnsi"/>
          <w:sz w:val="28"/>
          <w:szCs w:val="28"/>
        </w:rPr>
        <w:t>La universidad ha sido, así, un potente amplificador de los avances en el concepto y los nuevos paradigmas de abordaje de la discapacidad y un agente de sensibilización de la sociedad en su conjunto, a través de actuaciones muy diversas como jornadas científicas, publicaciones, programas formativos, investigaciones, etc.</w:t>
      </w:r>
    </w:p>
    <w:p w:rsidR="00954B58" w:rsidRPr="005E1103" w:rsidRDefault="00954B58" w:rsidP="00954B58">
      <w:pPr>
        <w:jc w:val="both"/>
        <w:rPr>
          <w:rFonts w:cstheme="minorHAnsi"/>
          <w:sz w:val="28"/>
          <w:szCs w:val="28"/>
        </w:rPr>
      </w:pPr>
      <w:r w:rsidRPr="005E1103">
        <w:rPr>
          <w:rFonts w:cstheme="minorHAnsi"/>
          <w:sz w:val="28"/>
          <w:szCs w:val="28"/>
        </w:rPr>
        <w:t>Sin embargo, a pesar de que las universidades hace tiempo que se han acercado la discapacidad intelectual, son pocas las que han permitido el movimiento inverso, dejando que las personas con DI entren a formar parte de la universidad y la transformen.</w:t>
      </w:r>
    </w:p>
    <w:p w:rsidR="00954B58" w:rsidRPr="005E1103" w:rsidRDefault="00954B58" w:rsidP="00954B58">
      <w:pPr>
        <w:jc w:val="both"/>
        <w:rPr>
          <w:rFonts w:cstheme="minorHAnsi"/>
          <w:sz w:val="28"/>
          <w:szCs w:val="28"/>
        </w:rPr>
      </w:pPr>
    </w:p>
    <w:p w:rsidR="00954B58" w:rsidRPr="005E1103" w:rsidRDefault="00954B58" w:rsidP="00954B58">
      <w:pPr>
        <w:jc w:val="both"/>
        <w:rPr>
          <w:rFonts w:cstheme="minorHAnsi"/>
          <w:sz w:val="28"/>
          <w:szCs w:val="28"/>
        </w:rPr>
      </w:pPr>
      <w:r w:rsidRPr="005E1103">
        <w:rPr>
          <w:rFonts w:cstheme="minorHAnsi"/>
          <w:sz w:val="28"/>
          <w:szCs w:val="28"/>
        </w:rPr>
        <w:t xml:space="preserve">En este sentido, las universidades españolas se han abierto decididamente a las personas con discapacidad, como lo prueba este congreso, y la mayoría de ellas tienen servicios de atención e integración para estos estudiantes; sin embargo, sus servicios no están orientados a la </w:t>
      </w:r>
      <w:r w:rsidRPr="005E1103">
        <w:rPr>
          <w:rFonts w:cstheme="minorHAnsi"/>
          <w:sz w:val="28"/>
          <w:szCs w:val="28"/>
        </w:rPr>
        <w:lastRenderedPageBreak/>
        <w:t xml:space="preserve">discapacidad intelectual que, en líneas generales, han tenido cerrado el acceso a la universidad.  Más recientemente, siguiendo el esfuerzo pionero de la fundación PRODIS y su programa PROMENTOR (Izuzquiza 2012) y de algunas iniciativas internacionales (Cerrillo, Izuzquiza y Egido, 2013), están surgiendo en el entorno Iberoamericano programas de formación postobligatoria para personas con discapacidad intelectual, algunos de los cuales se desarrollan en los entornos universitarios. Todos estos programas están orientados a la mejora de la calidad de vida de los jóvenes con discapacidad en diversas áreas, en especial las referidas a la autodeterminación, la integración laboral, la integración social y el desarrollo personal (Berástegui, García y Lopez-Rioboo, 2014; Florez y Cabezas, 2014). </w:t>
      </w:r>
    </w:p>
    <w:p w:rsidR="00954B58" w:rsidRPr="005E1103" w:rsidRDefault="00954B58" w:rsidP="00954B58">
      <w:pPr>
        <w:jc w:val="both"/>
        <w:rPr>
          <w:rFonts w:cstheme="minorHAnsi"/>
          <w:sz w:val="28"/>
          <w:szCs w:val="28"/>
        </w:rPr>
      </w:pPr>
      <w:r w:rsidRPr="005E1103">
        <w:rPr>
          <w:rFonts w:cstheme="minorHAnsi"/>
          <w:sz w:val="28"/>
          <w:szCs w:val="28"/>
        </w:rPr>
        <w:t>El proyecto DEMOS es un programa puesto en marcha por la Universidad Pontificia Comillas y la Fundación Síndrome de Down de Madrid (en adelante Down Madrid) cuyo objetivo es ofrecer formación especializada en el entorno de la universidad a jóvenes con discapacidad intelectual que han finalizado sus estudios formales, tanto desde la trayectoria ordinaria como desde la educación especial.  Este programa imparte desde 2012 dos titulaciones, de dos cursos de duración cada una: Técnico auxiliar en entornos tecnológicos y Técnico auxiliar en entornos educativos, conocidos familiarmente como TECNODEMOS y EDUCADEMOS.</w:t>
      </w:r>
    </w:p>
    <w:p w:rsidR="00954B58" w:rsidRPr="005E1103" w:rsidRDefault="00954B58" w:rsidP="00954B58">
      <w:pPr>
        <w:jc w:val="both"/>
        <w:rPr>
          <w:rFonts w:cstheme="minorHAnsi"/>
          <w:sz w:val="28"/>
          <w:szCs w:val="28"/>
        </w:rPr>
      </w:pPr>
      <w:r w:rsidRPr="005E1103">
        <w:rPr>
          <w:rFonts w:cstheme="minorHAnsi"/>
          <w:sz w:val="28"/>
          <w:szCs w:val="28"/>
        </w:rPr>
        <w:t xml:space="preserve">El objetivo de la presente comunicación es presentar los resultados que hemos ido encontrando en los cuatro años de andadura del programa DEMOS con respecto a la mejora de la integración social de los jóvenes con Discapacidad Intelectual que cursan estos programas y el especial papel que juega el entorno universitario como oportunidad para el desarrollo de relaciones diversas y enriquecedoras durante el periodo formativo. </w:t>
      </w:r>
    </w:p>
    <w:p w:rsidR="00954B58" w:rsidRPr="005E1103" w:rsidRDefault="00954B58" w:rsidP="00954B58">
      <w:pPr>
        <w:jc w:val="both"/>
        <w:rPr>
          <w:rFonts w:cstheme="minorHAnsi"/>
          <w:sz w:val="28"/>
          <w:szCs w:val="28"/>
        </w:rPr>
      </w:pPr>
    </w:p>
    <w:p w:rsidR="00954B58" w:rsidRPr="005E1103" w:rsidRDefault="00954B58" w:rsidP="00954B58">
      <w:pPr>
        <w:jc w:val="both"/>
        <w:rPr>
          <w:rFonts w:cstheme="minorHAnsi"/>
          <w:sz w:val="28"/>
          <w:szCs w:val="28"/>
        </w:rPr>
      </w:pPr>
      <w:r w:rsidRPr="005E1103">
        <w:rPr>
          <w:rFonts w:cstheme="minorHAnsi"/>
          <w:sz w:val="28"/>
          <w:szCs w:val="28"/>
        </w:rPr>
        <w:t xml:space="preserve">La accesibilidad formativa en entornos integrados ha estado tradicionalmente ligada a la educación infantil y los primeros años de la educación primaria y, en contadas ocasiones, a la educación secundaria, dependiendo de los recursos de cada centro educativo y de las necesidades de cada alumno (Echeita, 2009). Una vez finalizada la escolarización obligatoria, las personas con DI, frecuentemente se segregan de los contextos educativos integrados para cursar “programas </w:t>
      </w:r>
      <w:r w:rsidRPr="005E1103">
        <w:rPr>
          <w:rFonts w:cstheme="minorHAnsi"/>
          <w:sz w:val="28"/>
          <w:szCs w:val="28"/>
        </w:rPr>
        <w:lastRenderedPageBreak/>
        <w:t>de cualificación profesional inicial (PCPI)” con otros estudiantes de similares capacidades y características, siendo muy poco común que los alumnos estudien en entornos mixtos de personas con y sin DI. En el mejor de los casos, el alumno con DI finaliza su formación académica en torno a los dieciocho o diecinueve años, frecuentemente descolgado de sus iguales sin discapacidad que, sin embargo, comienzan nuevas y diferentes etapas formativas. La restricción y la falta de propuestas de formación post-obligatoria encamina a estos jóvenes a la búsqueda de empleo de forma prematura, sin la formación y madurez suficientes, lo que a veces limita el éxito de su integración laboral en entornos ordinarios.</w:t>
      </w:r>
    </w:p>
    <w:p w:rsidR="00954B58" w:rsidRPr="005E1103" w:rsidRDefault="00954B58" w:rsidP="00954B58">
      <w:pPr>
        <w:jc w:val="both"/>
        <w:rPr>
          <w:rFonts w:cstheme="minorHAnsi"/>
          <w:sz w:val="28"/>
          <w:szCs w:val="28"/>
        </w:rPr>
      </w:pPr>
    </w:p>
    <w:p w:rsidR="00954B58" w:rsidRPr="005E1103" w:rsidRDefault="00954B58" w:rsidP="00954B58">
      <w:pPr>
        <w:jc w:val="both"/>
        <w:rPr>
          <w:rFonts w:cstheme="minorHAnsi"/>
          <w:sz w:val="28"/>
          <w:szCs w:val="28"/>
        </w:rPr>
      </w:pPr>
      <w:r w:rsidRPr="005E1103">
        <w:rPr>
          <w:rFonts w:cstheme="minorHAnsi"/>
          <w:sz w:val="28"/>
          <w:szCs w:val="28"/>
        </w:rPr>
        <w:t>Esta situación comporta tres consecuencias negativas de cara a la plena integración de las personas con DI en la vida adulta:</w:t>
      </w:r>
    </w:p>
    <w:p w:rsidR="00954B58" w:rsidRPr="005E1103" w:rsidRDefault="00954B58" w:rsidP="00954B58">
      <w:pPr>
        <w:jc w:val="both"/>
        <w:rPr>
          <w:rFonts w:cstheme="minorHAnsi"/>
          <w:sz w:val="28"/>
          <w:szCs w:val="28"/>
        </w:rPr>
      </w:pPr>
      <w:r w:rsidRPr="005E1103">
        <w:rPr>
          <w:rFonts w:cstheme="minorHAnsi"/>
          <w:sz w:val="28"/>
          <w:szCs w:val="28"/>
        </w:rPr>
        <w:t>•</w:t>
      </w:r>
      <w:r w:rsidRPr="005E1103">
        <w:rPr>
          <w:rFonts w:cstheme="minorHAnsi"/>
          <w:sz w:val="28"/>
          <w:szCs w:val="28"/>
        </w:rPr>
        <w:tab/>
        <w:t>Por un lado, los alumnos que tienen más dificultades en los procesos formativos quizás necesiten formarse durante más tiempo, en lugar de menos, para adquirir las competencias necesarias que les ayuden a insertarse en el mundo laboral;</w:t>
      </w:r>
    </w:p>
    <w:p w:rsidR="00954B58" w:rsidRPr="005E1103" w:rsidRDefault="00954B58" w:rsidP="00954B58">
      <w:pPr>
        <w:jc w:val="both"/>
        <w:rPr>
          <w:rFonts w:cstheme="minorHAnsi"/>
          <w:sz w:val="28"/>
          <w:szCs w:val="28"/>
        </w:rPr>
      </w:pPr>
      <w:r w:rsidRPr="005E1103">
        <w:rPr>
          <w:rFonts w:cstheme="minorHAnsi"/>
          <w:sz w:val="28"/>
          <w:szCs w:val="28"/>
        </w:rPr>
        <w:t>•</w:t>
      </w:r>
      <w:r w:rsidRPr="005E1103">
        <w:rPr>
          <w:rFonts w:cstheme="minorHAnsi"/>
          <w:sz w:val="28"/>
          <w:szCs w:val="28"/>
        </w:rPr>
        <w:tab/>
        <w:t>Por otro lado, la formación en contextos segregados puede dificultar la adquisición de las habilidades interpersonales necesarias para la incorporación al mercado de trabajo, en el que las personas con DI tendrán que convivir en entornos sociales no protegidos.</w:t>
      </w:r>
    </w:p>
    <w:p w:rsidR="00954B58" w:rsidRPr="005E1103" w:rsidRDefault="00954B58" w:rsidP="00954B58">
      <w:pPr>
        <w:jc w:val="both"/>
        <w:rPr>
          <w:rFonts w:cstheme="minorHAnsi"/>
          <w:sz w:val="28"/>
          <w:szCs w:val="28"/>
        </w:rPr>
      </w:pPr>
      <w:r w:rsidRPr="005E1103">
        <w:rPr>
          <w:rFonts w:cstheme="minorHAnsi"/>
          <w:sz w:val="28"/>
          <w:szCs w:val="28"/>
        </w:rPr>
        <w:t>•</w:t>
      </w:r>
      <w:r w:rsidRPr="005E1103">
        <w:rPr>
          <w:rFonts w:cstheme="minorHAnsi"/>
          <w:sz w:val="28"/>
          <w:szCs w:val="28"/>
        </w:rPr>
        <w:tab/>
        <w:t>Por último, la ausencia de los jóvenes con discapacidad intelectual los espacios de socialización normalizados, como es el de la Universidad, los hace invisibles de cara a sus iguales sin discapacidad como personas en transición a la vida adulta, futuros trabajadores y ciudadanos de pleno derecho.</w:t>
      </w:r>
    </w:p>
    <w:p w:rsidR="00954B58" w:rsidRPr="005E1103" w:rsidRDefault="00954B58" w:rsidP="00954B58">
      <w:pPr>
        <w:jc w:val="both"/>
        <w:rPr>
          <w:rFonts w:cstheme="minorHAnsi"/>
          <w:sz w:val="28"/>
          <w:szCs w:val="28"/>
        </w:rPr>
      </w:pPr>
    </w:p>
    <w:p w:rsidR="00954B58" w:rsidRPr="005E1103" w:rsidRDefault="00954B58" w:rsidP="00954B58">
      <w:pPr>
        <w:jc w:val="both"/>
        <w:rPr>
          <w:rFonts w:cstheme="minorHAnsi"/>
          <w:sz w:val="28"/>
          <w:szCs w:val="28"/>
        </w:rPr>
      </w:pPr>
      <w:r w:rsidRPr="005E1103">
        <w:rPr>
          <w:rFonts w:cstheme="minorHAnsi"/>
          <w:sz w:val="28"/>
          <w:szCs w:val="28"/>
        </w:rPr>
        <w:t xml:space="preserve">Frente a la idea de que, una vez acabada la educación obligatoria los alumnos con discapacidad intelectual encuentran un “techo formativo”, en DEMOS pensamos que los jóvenes con discapacidad se benefician del aprendizaje que pueden alcanzar cuando los programas formativos están adaptados en sus objetivos y en su acercamiento pedagógico a su realidad actual y futura. Es decir, los jóvenes con DI son capaces de lograr aprendizajes significativos e importantes en programas adaptados a su </w:t>
      </w:r>
      <w:r w:rsidRPr="005E1103">
        <w:rPr>
          <w:rFonts w:cstheme="minorHAnsi"/>
          <w:sz w:val="28"/>
          <w:szCs w:val="28"/>
        </w:rPr>
        <w:lastRenderedPageBreak/>
        <w:t>discapacidad intelectual, más allá de la formación obligatoria. Por otra parte, no poder beneficiarse de los niveles de formación universitarios, no tiene por qué significar, bajo nuestro punto de vista, no poder compartir el espacio social, cultural y evolutivo que suponen la universidad para una gran parte de los jóvenes. Por último, no hay nada que impida que estos programas se desarrollen en el ámbito de la Universidad, y si muchas ventajas que lo hacen especialmente indicado.</w:t>
      </w:r>
    </w:p>
    <w:p w:rsidR="00954B58" w:rsidRPr="005E1103" w:rsidRDefault="00954B58" w:rsidP="00954B58">
      <w:pPr>
        <w:jc w:val="both"/>
        <w:rPr>
          <w:rFonts w:cstheme="minorHAnsi"/>
          <w:sz w:val="28"/>
          <w:szCs w:val="28"/>
        </w:rPr>
      </w:pPr>
      <w:r w:rsidRPr="005E1103">
        <w:rPr>
          <w:rFonts w:cstheme="minorHAnsi"/>
          <w:sz w:val="28"/>
          <w:szCs w:val="28"/>
        </w:rPr>
        <w:t xml:space="preserve">La incorporación a la vida universitaria aporta en una etapa evolutiva del desarrollo de los jóvenes gran riqueza,  no sólo desde los aprendizajes académicos sino también por toda la variedad de experiencias personales y culturales que ofrece el entorno por lo que uno de los objetivos del programa es la integración plena de los alumnos DEMOS en el campus. </w:t>
      </w:r>
    </w:p>
    <w:p w:rsidR="00954B58" w:rsidRPr="005E1103" w:rsidRDefault="00954B58" w:rsidP="00954B58">
      <w:pPr>
        <w:jc w:val="both"/>
        <w:rPr>
          <w:rFonts w:cstheme="minorHAnsi"/>
          <w:sz w:val="28"/>
          <w:szCs w:val="28"/>
        </w:rPr>
      </w:pPr>
      <w:r w:rsidRPr="005E1103">
        <w:rPr>
          <w:rFonts w:cstheme="minorHAnsi"/>
          <w:sz w:val="28"/>
          <w:szCs w:val="28"/>
        </w:rPr>
        <w:t xml:space="preserve">Entendemos también que la integración en la universidad optimiza el perfil de empleabilidad de los jóvenes con discapacidad intelectual, porque supone un entrenamiento para la interacción en entornos no protegidos en el que su presencia es minoritaria y ofrece oportunidades de aprendizaje de las distancias y los modos relacionales adecuados en contextos integrados. Por el contrario, la formación en contextos segregados puede dificultar la adquisición de las habilidades interpersonales necesarias para la incorporación al mercado de trabajo, en el que las personas con DI tendrán que convivir en entornos sociales no protegidos. Algunos de nuestros alumnos han salido de los entornos formativos integrados a lo largo de primaria y secundaria y necesitan reaprender a compartir el espacio social. </w:t>
      </w:r>
    </w:p>
    <w:p w:rsidR="00954B58" w:rsidRPr="005E1103" w:rsidRDefault="00954B58" w:rsidP="00954B58">
      <w:pPr>
        <w:jc w:val="both"/>
        <w:rPr>
          <w:rFonts w:cstheme="minorHAnsi"/>
          <w:sz w:val="28"/>
          <w:szCs w:val="28"/>
        </w:rPr>
      </w:pPr>
      <w:r w:rsidRPr="005E1103">
        <w:rPr>
          <w:rFonts w:cstheme="minorHAnsi"/>
          <w:sz w:val="28"/>
          <w:szCs w:val="28"/>
        </w:rPr>
        <w:t>Finalmente, creemos que la participación de estos alumnos en el campus crea una cultura de integración laboral en los entornos para los que se preparan (educativo y empresarial). Frente a la invisibilización que implica la educación segregada, programas como DEMOS da a los alumnos universitarios, futuros profesionales, la ocasión de conocer, comprender y compartir con estas personas, descubrir sus experiencias y capacidades y normalizar su presencia, aprendiendo así a convivir, gestionar y enriquecerse en la diversidad y abriendo sus mentes a la posibilidad de trabajar juntos o de contratarlos en un futuro. Abrir las puertas de la universidad a jóvenes con DI también es dar un paso más en la formación integral de todo el resto del alumnado.</w:t>
      </w:r>
    </w:p>
    <w:p w:rsidR="00954B58" w:rsidRPr="005E1103" w:rsidRDefault="00954B58" w:rsidP="00954B58">
      <w:pPr>
        <w:jc w:val="both"/>
        <w:rPr>
          <w:rFonts w:cstheme="minorHAnsi"/>
          <w:sz w:val="28"/>
          <w:szCs w:val="28"/>
        </w:rPr>
      </w:pPr>
    </w:p>
    <w:p w:rsidR="00954B58" w:rsidRPr="005E1103" w:rsidRDefault="00954B58" w:rsidP="00954B58">
      <w:pPr>
        <w:jc w:val="both"/>
        <w:rPr>
          <w:rFonts w:cstheme="minorHAnsi"/>
          <w:sz w:val="28"/>
          <w:szCs w:val="28"/>
        </w:rPr>
      </w:pPr>
      <w:r w:rsidRPr="005E1103">
        <w:rPr>
          <w:rFonts w:cstheme="minorHAnsi"/>
          <w:sz w:val="28"/>
          <w:szCs w:val="28"/>
        </w:rPr>
        <w:lastRenderedPageBreak/>
        <w:t xml:space="preserve">Para facilitar este intercambio se ha creado la figura de los llamados Alumnos de Enlace: se trata de estudiantes de diferentes titulaciones de grado que sirven de nexo entre los alumnos DEMOS y la Universidad, presentándoles el entorno universitario, realizando con ellos las actividades culturales semanales (teatro, pintura o guitarra a elegir), y compartiendo alguna otra actividad informal una vez a la semana (un café, el transporte, una comida, etc). </w:t>
      </w:r>
    </w:p>
    <w:p w:rsidR="00954B58" w:rsidRPr="005E1103" w:rsidRDefault="00954B58" w:rsidP="00954B58">
      <w:pPr>
        <w:jc w:val="both"/>
        <w:rPr>
          <w:rFonts w:cstheme="minorHAnsi"/>
          <w:sz w:val="28"/>
          <w:szCs w:val="28"/>
        </w:rPr>
      </w:pPr>
    </w:p>
    <w:p w:rsidR="00954B58" w:rsidRPr="005E1103" w:rsidRDefault="00954B58" w:rsidP="00954B58">
      <w:pPr>
        <w:jc w:val="both"/>
        <w:rPr>
          <w:rFonts w:cstheme="minorHAnsi"/>
          <w:sz w:val="28"/>
          <w:szCs w:val="28"/>
        </w:rPr>
      </w:pPr>
      <w:r w:rsidRPr="005E1103">
        <w:rPr>
          <w:rFonts w:cstheme="minorHAnsi"/>
          <w:sz w:val="28"/>
          <w:szCs w:val="28"/>
        </w:rPr>
        <w:t>En este sentido los programas DEMOS pretenden ser formativos, no solo para los alumnos matriculados en los mismos sino para todos los alumnos de la Comunidad Universitaria que aprenden a convivir con personas con discapacidad, a trabajar con ellos y a entender la posibilidad de compartir espacio laboral en un futuro.su presencia en una fuente enriquecedora de diversidad para la comunidad universitaria y para la sociedad (Ryan y Struths, 2004). Por otro lado, este programa también persigue la educación y sensibilización de la sociedad, del resto del alumnado, que de forma paulatina, a través del contacto cotidiano, adquiere las habilidades necesarias para relacionarse con las personas con discapacidad intelectual, normalizando las diferencias y convirtiéndose en agentes de inclusión en los entornos cotidianos (escuela, trabajo, ocio, universidad, familia...).</w:t>
      </w:r>
    </w:p>
    <w:p w:rsidR="00954B58" w:rsidRPr="005E1103" w:rsidRDefault="00954B58" w:rsidP="00954B58">
      <w:pPr>
        <w:jc w:val="both"/>
        <w:rPr>
          <w:rFonts w:cstheme="minorHAnsi"/>
          <w:sz w:val="28"/>
          <w:szCs w:val="28"/>
        </w:rPr>
      </w:pPr>
      <w:r w:rsidRPr="005E1103">
        <w:rPr>
          <w:rFonts w:cstheme="minorHAnsi"/>
          <w:sz w:val="28"/>
          <w:szCs w:val="28"/>
        </w:rPr>
        <w:t>Así, la generación de contextos inclusivos forma parte de la formación integral de unos y otros, en la que los alumnos con distintas capacidades comparten además de los espacios, actividades e intereses juntos que les permiten enriquecerse mutuamente.</w:t>
      </w:r>
    </w:p>
    <w:p w:rsidR="00954B58" w:rsidRPr="005E1103" w:rsidRDefault="00954B58" w:rsidP="00954B58">
      <w:pPr>
        <w:jc w:val="both"/>
        <w:rPr>
          <w:rFonts w:cstheme="minorHAnsi"/>
          <w:sz w:val="28"/>
          <w:szCs w:val="28"/>
        </w:rPr>
      </w:pPr>
      <w:r w:rsidRPr="005E1103">
        <w:rPr>
          <w:rFonts w:cstheme="minorHAnsi"/>
          <w:sz w:val="28"/>
          <w:szCs w:val="28"/>
        </w:rPr>
        <w:t xml:space="preserve">A la convivencia cotidiana en el Campus se añaden tres sesiones formativas sobre la DI para los alumnos de enlace, cumpliendo así con el mandato de la Convención </w:t>
      </w:r>
    </w:p>
    <w:p w:rsidR="00954B58" w:rsidRPr="005E1103" w:rsidRDefault="00954B58" w:rsidP="00954B58">
      <w:pPr>
        <w:jc w:val="both"/>
        <w:rPr>
          <w:rFonts w:cstheme="minorHAnsi"/>
          <w:sz w:val="28"/>
          <w:szCs w:val="28"/>
        </w:rPr>
      </w:pPr>
      <w:r w:rsidRPr="005E1103">
        <w:rPr>
          <w:rFonts w:cstheme="minorHAnsi"/>
          <w:sz w:val="28"/>
          <w:szCs w:val="28"/>
        </w:rPr>
        <w:t xml:space="preserve">El programa de alumnos de enlace establece los apoyos y los puentes necesarios para el encuentro entre el alumnado con o sin discapacidad, con la idea de que aprendan a ser compañeros. </w:t>
      </w:r>
    </w:p>
    <w:p w:rsidR="00954B58" w:rsidRPr="005E1103" w:rsidRDefault="00954B58" w:rsidP="00954B58">
      <w:pPr>
        <w:jc w:val="both"/>
        <w:rPr>
          <w:rFonts w:cstheme="minorHAnsi"/>
          <w:sz w:val="28"/>
          <w:szCs w:val="28"/>
        </w:rPr>
      </w:pPr>
      <w:r w:rsidRPr="005E1103">
        <w:rPr>
          <w:rFonts w:cstheme="minorHAnsi"/>
          <w:sz w:val="28"/>
          <w:szCs w:val="28"/>
        </w:rPr>
        <w:t>Generalmente, los alumnos DEMOS, lo que más valoran es el hecho de ser tratados con normalidad por los alumnos de enlace y por el resto de la comunidad universitaria</w:t>
      </w:r>
    </w:p>
    <w:p w:rsidR="00954B58" w:rsidRPr="005E1103" w:rsidRDefault="00954B58" w:rsidP="00954B58">
      <w:pPr>
        <w:jc w:val="both"/>
        <w:rPr>
          <w:rFonts w:cstheme="minorHAnsi"/>
          <w:sz w:val="28"/>
          <w:szCs w:val="28"/>
        </w:rPr>
      </w:pPr>
      <w:r w:rsidRPr="005E1103">
        <w:rPr>
          <w:rFonts w:cstheme="minorHAnsi"/>
          <w:sz w:val="28"/>
          <w:szCs w:val="28"/>
        </w:rPr>
        <w:lastRenderedPageBreak/>
        <w:t>“para mí ha sido como una amiga, porque ha sido cercana conmigo para hablar”</w:t>
      </w:r>
    </w:p>
    <w:p w:rsidR="00954B58" w:rsidRPr="005E1103" w:rsidRDefault="00954B58" w:rsidP="00954B58">
      <w:pPr>
        <w:jc w:val="both"/>
        <w:rPr>
          <w:rFonts w:cstheme="minorHAnsi"/>
          <w:sz w:val="28"/>
          <w:szCs w:val="28"/>
        </w:rPr>
      </w:pPr>
      <w:r w:rsidRPr="005E1103">
        <w:rPr>
          <w:rFonts w:cstheme="minorHAnsi"/>
          <w:sz w:val="28"/>
          <w:szCs w:val="28"/>
        </w:rPr>
        <w:t>“me trata como una compañera más y no diferente”</w:t>
      </w:r>
    </w:p>
    <w:p w:rsidR="00954B58" w:rsidRPr="005E1103" w:rsidRDefault="00954B58" w:rsidP="00954B58">
      <w:pPr>
        <w:jc w:val="both"/>
        <w:rPr>
          <w:rFonts w:cstheme="minorHAnsi"/>
          <w:sz w:val="28"/>
          <w:szCs w:val="28"/>
        </w:rPr>
      </w:pPr>
      <w:r w:rsidRPr="005E1103">
        <w:rPr>
          <w:rFonts w:cstheme="minorHAnsi"/>
          <w:sz w:val="28"/>
          <w:szCs w:val="28"/>
        </w:rPr>
        <w:t>“Me gusta andar por el Campus porque me siento como otra más de la Universidad. Me siento libre. También me gusta bajar a reprografía porque así hablo y veo a distinta gente. Me encanta el rollo universitario porque en la universidad te tratan como a uno más”</w:t>
      </w:r>
    </w:p>
    <w:p w:rsidR="00954B58" w:rsidRPr="005E1103" w:rsidRDefault="00954B58" w:rsidP="00954B58">
      <w:pPr>
        <w:jc w:val="both"/>
        <w:rPr>
          <w:rFonts w:cstheme="minorHAnsi"/>
          <w:sz w:val="28"/>
          <w:szCs w:val="28"/>
        </w:rPr>
      </w:pPr>
    </w:p>
    <w:p w:rsidR="00954B58" w:rsidRPr="005E1103" w:rsidRDefault="00954B58" w:rsidP="00954B58">
      <w:pPr>
        <w:jc w:val="both"/>
        <w:rPr>
          <w:rFonts w:cstheme="minorHAnsi"/>
          <w:sz w:val="28"/>
          <w:szCs w:val="28"/>
        </w:rPr>
      </w:pPr>
      <w:r w:rsidRPr="005E1103">
        <w:rPr>
          <w:rFonts w:cstheme="minorHAnsi"/>
          <w:sz w:val="28"/>
          <w:szCs w:val="28"/>
        </w:rPr>
        <w:t>Los alumnos de enlace, por su parte, aprenden que la convivencia es más natural de lo que pensaban antes de conocer a personas con discapacidad de su edad.</w:t>
      </w:r>
    </w:p>
    <w:p w:rsidR="00954B58" w:rsidRPr="005E1103" w:rsidRDefault="00954B58" w:rsidP="00954B58">
      <w:pPr>
        <w:jc w:val="both"/>
        <w:rPr>
          <w:rFonts w:cstheme="minorHAnsi"/>
          <w:sz w:val="28"/>
          <w:szCs w:val="28"/>
        </w:rPr>
      </w:pPr>
      <w:r w:rsidRPr="005E1103">
        <w:rPr>
          <w:rFonts w:cstheme="minorHAnsi"/>
          <w:sz w:val="28"/>
          <w:szCs w:val="28"/>
        </w:rPr>
        <w:t>“no sólo es posible, sino que es muy natural la interacción entre personas con y sin discapacidad, como ha ocurrido en teatro, donde la integración ha sido absoluta”</w:t>
      </w:r>
    </w:p>
    <w:p w:rsidR="00954B58" w:rsidRPr="005E1103" w:rsidRDefault="00954B58" w:rsidP="00954B58">
      <w:pPr>
        <w:jc w:val="both"/>
        <w:rPr>
          <w:rFonts w:cstheme="minorHAnsi"/>
          <w:sz w:val="28"/>
          <w:szCs w:val="28"/>
        </w:rPr>
      </w:pPr>
      <w:r w:rsidRPr="005E1103">
        <w:rPr>
          <w:rFonts w:cstheme="minorHAnsi"/>
          <w:sz w:val="28"/>
          <w:szCs w:val="28"/>
        </w:rPr>
        <w:t>“no siempre tienen que ser ellos los que se adapten a nuestra forma de pensar, sino que también nosotros tenemos muchas veces que adaptarnos a la suya”</w:t>
      </w:r>
    </w:p>
    <w:p w:rsidR="00954B58" w:rsidRPr="005E1103" w:rsidRDefault="00954B58" w:rsidP="00954B58">
      <w:pPr>
        <w:jc w:val="both"/>
        <w:rPr>
          <w:rFonts w:cstheme="minorHAnsi"/>
          <w:sz w:val="28"/>
          <w:szCs w:val="28"/>
        </w:rPr>
      </w:pPr>
    </w:p>
    <w:p w:rsidR="00954B58" w:rsidRPr="005E1103" w:rsidRDefault="00954B58" w:rsidP="00954B58">
      <w:pPr>
        <w:jc w:val="both"/>
        <w:rPr>
          <w:rFonts w:cstheme="minorHAnsi"/>
          <w:sz w:val="28"/>
          <w:szCs w:val="28"/>
        </w:rPr>
      </w:pPr>
      <w:r w:rsidRPr="005E1103">
        <w:rPr>
          <w:rFonts w:cstheme="minorHAnsi"/>
          <w:sz w:val="28"/>
          <w:szCs w:val="28"/>
        </w:rPr>
        <w:t xml:space="preserve">Estos puentes de compañerismo se transitan por algunos de los alumnos rápidamente y a otras veces poco a poco, siendo el rango de relación desde un compañerismo amable y de apoyo, a una amistad más o menos sólida y estable a lo largo del curso. El programa DEMOS facilita el contacto  pero la amistad no deriva automáticamente de compartir espacios (Mc Villy y cols, 2006). </w:t>
      </w:r>
    </w:p>
    <w:p w:rsidR="00954B58" w:rsidRPr="005E1103" w:rsidRDefault="00954B58" w:rsidP="00954B58">
      <w:pPr>
        <w:jc w:val="both"/>
        <w:rPr>
          <w:rFonts w:cstheme="minorHAnsi"/>
          <w:sz w:val="28"/>
          <w:szCs w:val="28"/>
        </w:rPr>
      </w:pPr>
      <w:r w:rsidRPr="005E1103">
        <w:rPr>
          <w:rFonts w:cstheme="minorHAnsi"/>
          <w:sz w:val="28"/>
          <w:szCs w:val="28"/>
        </w:rPr>
        <w:t xml:space="preserve">Aunque la amistad no es el resultado directo de la convivencia, sí que es un resultado deseable, especialmente para jóvenes con DI., En una investigación participativa desarrollada con los alumnos DEMOS en el curso 2’014/215 se puso de manifiesto como tener amigos sin DI se presenta como apetecible para la mayoría de ellos y aporta cuestiones diferentes frente a los amigos con discapacidad intelectual, destacando las dimensiones de aprendizaje y ayuda, aunque con menor una menor reciprocidad que con estos, como ya había sido destacado en otras investigaciones (Mason, Tims, Hayburn y Watters, 2013). Además, tener compañeros y amigos sin DI se considera más divertido, entre otras </w:t>
      </w:r>
      <w:r w:rsidRPr="005E1103">
        <w:rPr>
          <w:rFonts w:cstheme="minorHAnsi"/>
          <w:sz w:val="28"/>
          <w:szCs w:val="28"/>
        </w:rPr>
        <w:lastRenderedPageBreak/>
        <w:t xml:space="preserve">cuestiones porque da acceso a un mayor rango de actividades de ocio, de manera que los amigos sin DI son el apoyo necesario para superar algunas barreras ligadas a la baja autonomía en el ocio (Mason y cols., 2013). </w:t>
      </w:r>
    </w:p>
    <w:p w:rsidR="00954B58" w:rsidRPr="005E1103" w:rsidRDefault="00954B58" w:rsidP="00954B58">
      <w:pPr>
        <w:jc w:val="both"/>
        <w:rPr>
          <w:rFonts w:cstheme="minorHAnsi"/>
          <w:sz w:val="28"/>
          <w:szCs w:val="28"/>
        </w:rPr>
      </w:pPr>
      <w:r w:rsidRPr="005E1103">
        <w:rPr>
          <w:rFonts w:cstheme="minorHAnsi"/>
          <w:sz w:val="28"/>
          <w:szCs w:val="28"/>
        </w:rPr>
        <w:t xml:space="preserve">Además de la experiencia cualitativa extraída de las evaluaciones del programa de alumnos de enlace y de la investigación participativa en la que se destaca el valor de los amigos sin discapacidad para los alumnos DEMOS, en 2015 pusimos en marcha una investigación para estudiar las diferencias en la calidad de vida de los jóvenes con discapacidad intelectual en los distintos programas de formación postobligatoria que se desarrollaban en la Fundación Síndrome de Down de Madrid, comparando a los alumnos que realizaban programas de PCPI en un centro de educación especial, aquellos que atendían al programa FOCUS, de cualificación profesional postobligatoria pero en los locales de la entidad y aquellos que acudían al programa DEMOS (Garay, Berástegui,  López –Riobóo, García y Martinelli, 2015).  </w:t>
      </w:r>
    </w:p>
    <w:p w:rsidR="00954B58" w:rsidRPr="005E1103" w:rsidRDefault="00954B58" w:rsidP="00954B58">
      <w:pPr>
        <w:jc w:val="both"/>
        <w:rPr>
          <w:rFonts w:cstheme="minorHAnsi"/>
          <w:sz w:val="28"/>
          <w:szCs w:val="28"/>
        </w:rPr>
      </w:pPr>
      <w:r w:rsidRPr="005E1103">
        <w:rPr>
          <w:rFonts w:cstheme="minorHAnsi"/>
          <w:sz w:val="28"/>
          <w:szCs w:val="28"/>
        </w:rPr>
        <w:t xml:space="preserve">Para ello se aplicó  la Escala INICO-FEAPS, en su versión de autoinforme a los 180 jóvenes con Discapacidad Intelectual que cursan su formación en los distintos programas de Down Madrid, el 55% en el programa FOCUS, el 30,2% en el programa DEMOS y el 14,8% en los programas de cualificación profesional del Centro de Educación Especial Carmen Fernández Miranda. La administración se hizo en grupo en aulas de alrededor de 15 alumnos, de manera que el profesor o profesional de apoyo podría contestar a las preguntas de los informantes. Los resultados de esta investigación nos muestran como los tres grupos se mueven en niveles medios de calidad de vida, que además son por lo general medios altos  como se puede observar en el gráfico 1. </w:t>
      </w:r>
    </w:p>
    <w:p w:rsidR="00954B58" w:rsidRPr="005E1103" w:rsidRDefault="00954B58" w:rsidP="00954B58">
      <w:pPr>
        <w:jc w:val="both"/>
        <w:rPr>
          <w:rFonts w:cstheme="minorHAnsi"/>
          <w:sz w:val="28"/>
          <w:szCs w:val="28"/>
        </w:rPr>
      </w:pPr>
      <w:r w:rsidRPr="005E1103">
        <w:rPr>
          <w:rFonts w:cstheme="minorHAnsi"/>
          <w:sz w:val="28"/>
          <w:szCs w:val="28"/>
        </w:rPr>
        <w:t>Sin embargo encontramos diferencias significativas entre los grupos en Bienestar Emocional e Integración Social y la Calidad de vida total, siendo el bienestar emocional y la calidad de vida total significativamente menor en los alumnos de educación especial y la integración social significativamente mayor en el programa DEMOS, mostrando nuestros alumnos una diferencia importante en esta dimensión con respecto a los otros dos grupos.</w:t>
      </w:r>
    </w:p>
    <w:p w:rsidR="00954B58" w:rsidRPr="005E1103" w:rsidRDefault="00954B58" w:rsidP="00954B58">
      <w:pPr>
        <w:jc w:val="both"/>
        <w:rPr>
          <w:rFonts w:cstheme="minorHAnsi"/>
          <w:sz w:val="28"/>
          <w:szCs w:val="28"/>
        </w:rPr>
      </w:pPr>
      <w:r w:rsidRPr="005E1103">
        <w:rPr>
          <w:rFonts w:cstheme="minorHAnsi"/>
          <w:sz w:val="28"/>
          <w:szCs w:val="28"/>
        </w:rPr>
        <w:t xml:space="preserve"> </w:t>
      </w:r>
    </w:p>
    <w:p w:rsidR="00954B58" w:rsidRPr="005E1103" w:rsidRDefault="00954B58" w:rsidP="00954B58">
      <w:pPr>
        <w:jc w:val="both"/>
        <w:rPr>
          <w:rFonts w:cstheme="minorHAnsi"/>
          <w:sz w:val="28"/>
          <w:szCs w:val="28"/>
        </w:rPr>
      </w:pPr>
      <w:r w:rsidRPr="005E1103">
        <w:rPr>
          <w:rFonts w:cstheme="minorHAnsi"/>
          <w:sz w:val="28"/>
          <w:szCs w:val="28"/>
        </w:rPr>
        <w:lastRenderedPageBreak/>
        <w:t>Gráfico 1: Baremos de las escalas de la calidad de vidas en funcíon de los centros y contraste de medias significativo</w:t>
      </w:r>
    </w:p>
    <w:p w:rsidR="00954B58" w:rsidRPr="005E1103" w:rsidRDefault="00954B58" w:rsidP="00954B58">
      <w:pPr>
        <w:jc w:val="both"/>
        <w:rPr>
          <w:rFonts w:cstheme="minorHAnsi"/>
          <w:sz w:val="28"/>
          <w:szCs w:val="28"/>
        </w:rPr>
      </w:pPr>
    </w:p>
    <w:p w:rsidR="00954B58" w:rsidRPr="005E1103" w:rsidRDefault="00954B58" w:rsidP="00954B58">
      <w:pPr>
        <w:jc w:val="both"/>
        <w:rPr>
          <w:rFonts w:cstheme="minorHAnsi"/>
          <w:sz w:val="28"/>
          <w:szCs w:val="28"/>
        </w:rPr>
      </w:pPr>
      <w:r w:rsidRPr="005E1103">
        <w:rPr>
          <w:rFonts w:cstheme="minorHAnsi"/>
          <w:sz w:val="28"/>
          <w:szCs w:val="28"/>
        </w:rPr>
        <w:t>Estos resultados nos permiten confiar en una mejora de la calidad de vida de los jóvenes con D.I., tal y como es percibida por ellos mismos, a partir de los programas de formación postobligatoria, que alcanza la dimensión de la integración social cuando la formación, aun siendo específica, se imparte en contextos integrados. Este es uno de los principales indicadores de éxito de un programa formativo como DEMOS. Creemos que programas como este ayudan a  “Hacer posible que las personas con discapacidad participen de manera efectiva en una sociedad libre (ONU, 2008, art.24.c)” lo que supone el corazón y el motor de nuestro trabajo</w:t>
      </w:r>
    </w:p>
    <w:p w:rsidR="00954B58" w:rsidRPr="005E1103" w:rsidRDefault="00954B58" w:rsidP="00954B58">
      <w:pPr>
        <w:jc w:val="both"/>
        <w:rPr>
          <w:rFonts w:cstheme="minorHAnsi"/>
          <w:sz w:val="28"/>
          <w:szCs w:val="28"/>
        </w:rPr>
      </w:pPr>
    </w:p>
    <w:p w:rsidR="00954B58" w:rsidRPr="005E1103" w:rsidRDefault="00954B58" w:rsidP="00954B58">
      <w:pPr>
        <w:jc w:val="both"/>
        <w:rPr>
          <w:rFonts w:cstheme="minorHAnsi"/>
          <w:sz w:val="28"/>
          <w:szCs w:val="28"/>
        </w:rPr>
      </w:pPr>
      <w:r w:rsidRPr="005E1103">
        <w:rPr>
          <w:rFonts w:cstheme="minorHAnsi"/>
          <w:sz w:val="28"/>
          <w:szCs w:val="28"/>
        </w:rPr>
        <w:t>Bibliografía</w:t>
      </w:r>
    </w:p>
    <w:p w:rsidR="00954B58" w:rsidRPr="005E1103" w:rsidRDefault="00954B58" w:rsidP="00954B58">
      <w:pPr>
        <w:jc w:val="both"/>
        <w:rPr>
          <w:rFonts w:cstheme="minorHAnsi"/>
          <w:sz w:val="28"/>
          <w:szCs w:val="28"/>
        </w:rPr>
      </w:pPr>
      <w:r w:rsidRPr="005E1103">
        <w:rPr>
          <w:rFonts w:cstheme="minorHAnsi"/>
          <w:sz w:val="28"/>
          <w:szCs w:val="28"/>
        </w:rPr>
        <w:t>Berástegui, A., López Rioboo, E. y García, N. (2015). Proyecto DEMOS. Una apuesta por la formación de las personas con discapacidad intelectual en el entorno universitario. En D. Cabezas y J. Florez. (dirs).  Educación postsecundaria en entorno universitario para alumnos con discapacidad intelectual: Experiencias y resultados (pp. 31-44). Santander: Fundación Down Cantabria y Fundación Prodis</w:t>
      </w:r>
    </w:p>
    <w:p w:rsidR="00954B58" w:rsidRPr="005E1103" w:rsidRDefault="00954B58" w:rsidP="00954B58">
      <w:pPr>
        <w:jc w:val="both"/>
        <w:rPr>
          <w:rFonts w:cstheme="minorHAnsi"/>
          <w:sz w:val="28"/>
          <w:szCs w:val="28"/>
        </w:rPr>
      </w:pPr>
    </w:p>
    <w:p w:rsidR="00954B58" w:rsidRPr="005E1103" w:rsidRDefault="00954B58" w:rsidP="00954B58">
      <w:pPr>
        <w:jc w:val="both"/>
        <w:rPr>
          <w:rFonts w:cstheme="minorHAnsi"/>
          <w:sz w:val="28"/>
          <w:szCs w:val="28"/>
        </w:rPr>
      </w:pPr>
      <w:r w:rsidRPr="005E1103">
        <w:rPr>
          <w:rFonts w:cstheme="minorHAnsi"/>
          <w:sz w:val="28"/>
          <w:szCs w:val="28"/>
        </w:rPr>
        <w:t>Cabezas, D y Florez, J. (dirs). (2015)  Educación postsecundaria en entorno universitario para alumnos con discapacidad intelectual: Experiencias y resultados. Santander: Fundación DownCantabria y Fundación Prodis</w:t>
      </w:r>
    </w:p>
    <w:p w:rsidR="00954B58" w:rsidRPr="005E1103" w:rsidRDefault="00954B58" w:rsidP="00954B58">
      <w:pPr>
        <w:jc w:val="both"/>
        <w:rPr>
          <w:rFonts w:cstheme="minorHAnsi"/>
          <w:sz w:val="28"/>
          <w:szCs w:val="28"/>
        </w:rPr>
      </w:pPr>
      <w:r w:rsidRPr="005E1103">
        <w:rPr>
          <w:rFonts w:cstheme="minorHAnsi"/>
          <w:sz w:val="28"/>
          <w:szCs w:val="28"/>
        </w:rPr>
        <w:t>Cerrillo, R., Izuzquiza, D. y Egido, I. (2013). Inclusión de jóvenes con discapacidad intelectual en la Univerisdad. Revista de Investigación en Educación, 11 (1), 41-57.</w:t>
      </w:r>
    </w:p>
    <w:p w:rsidR="00954B58" w:rsidRPr="005E1103" w:rsidRDefault="00954B58" w:rsidP="00954B58">
      <w:pPr>
        <w:jc w:val="both"/>
        <w:rPr>
          <w:rFonts w:cstheme="minorHAnsi"/>
          <w:sz w:val="28"/>
          <w:szCs w:val="28"/>
        </w:rPr>
      </w:pPr>
      <w:r w:rsidRPr="005E1103">
        <w:rPr>
          <w:rFonts w:cstheme="minorHAnsi"/>
          <w:sz w:val="28"/>
          <w:szCs w:val="28"/>
        </w:rPr>
        <w:t>Echeita, G. (2009). Los procesos de inclusión educativa desde la Declaración de Salamanca. Un balance doloroso y esperanzado. En C. Giné. (coord.): La educación inclusiva. De la exclusión a la plena participación de todo el alumnado, (pp. 25-47). Barcelona: Horsori.</w:t>
      </w:r>
    </w:p>
    <w:p w:rsidR="00954B58" w:rsidRPr="005E1103" w:rsidRDefault="00954B58" w:rsidP="00954B58">
      <w:pPr>
        <w:jc w:val="both"/>
        <w:rPr>
          <w:rFonts w:cstheme="minorHAnsi"/>
          <w:sz w:val="28"/>
          <w:szCs w:val="28"/>
          <w:lang w:val="en-US"/>
        </w:rPr>
      </w:pPr>
      <w:r w:rsidRPr="005E1103">
        <w:rPr>
          <w:rFonts w:cstheme="minorHAnsi"/>
          <w:sz w:val="28"/>
          <w:szCs w:val="28"/>
        </w:rPr>
        <w:lastRenderedPageBreak/>
        <w:t xml:space="preserve">Izuzquiza, D. (2011). El valor de la inclusión educativa de jóvenes con discapacidad intelectual en las instituciones de educación superior: el programa PROMENTOR. </w:t>
      </w:r>
      <w:r w:rsidRPr="005E1103">
        <w:rPr>
          <w:rFonts w:cstheme="minorHAnsi"/>
          <w:sz w:val="28"/>
          <w:szCs w:val="28"/>
          <w:lang w:val="en-US"/>
        </w:rPr>
        <w:t>Revista Bordón 64 (1), 109-125.</w:t>
      </w:r>
    </w:p>
    <w:p w:rsidR="00954B58" w:rsidRPr="005E1103" w:rsidRDefault="00954B58" w:rsidP="00954B58">
      <w:pPr>
        <w:jc w:val="both"/>
        <w:rPr>
          <w:rFonts w:cstheme="minorHAnsi"/>
          <w:sz w:val="28"/>
          <w:szCs w:val="28"/>
          <w:lang w:val="en-US"/>
        </w:rPr>
      </w:pPr>
      <w:r w:rsidRPr="005E1103">
        <w:rPr>
          <w:rFonts w:cstheme="minorHAnsi"/>
          <w:sz w:val="28"/>
          <w:szCs w:val="28"/>
          <w:lang w:val="en-US"/>
        </w:rPr>
        <w:t>Mason, P. Timms, K, Hayburn, T, Watters, C. (2013). How do people described as having a learning disability make sense of friendship?. Journal of Applied Reseach in Intellectual Disabilities, 26, 108-118.</w:t>
      </w:r>
    </w:p>
    <w:p w:rsidR="00954B58" w:rsidRPr="005E1103" w:rsidRDefault="00954B58" w:rsidP="00954B58">
      <w:pPr>
        <w:jc w:val="both"/>
        <w:rPr>
          <w:rFonts w:cstheme="minorHAnsi"/>
          <w:sz w:val="28"/>
          <w:szCs w:val="28"/>
        </w:rPr>
      </w:pPr>
      <w:r w:rsidRPr="005E1103">
        <w:rPr>
          <w:rFonts w:cstheme="minorHAnsi"/>
          <w:sz w:val="28"/>
          <w:szCs w:val="28"/>
          <w:lang w:val="en-US"/>
        </w:rPr>
        <w:t xml:space="preserve">McVilly K. R., Stancliffe R. J., Parmenter T. R. &amp; Burton-Smith R. M. (2006a) ‘I get by with a little help from my friends’: adults with intellectual disabilities discuss loneliness’. </w:t>
      </w:r>
      <w:r w:rsidRPr="005E1103">
        <w:rPr>
          <w:rFonts w:cstheme="minorHAnsi"/>
          <w:sz w:val="28"/>
          <w:szCs w:val="28"/>
        </w:rPr>
        <w:t>Journal of Applied Research in Intellectual Disabilities 19, 191– 203.</w:t>
      </w:r>
    </w:p>
    <w:p w:rsidR="00954B58" w:rsidRPr="005E1103" w:rsidRDefault="00954B58" w:rsidP="00954B58">
      <w:pPr>
        <w:jc w:val="both"/>
        <w:rPr>
          <w:rFonts w:cstheme="minorHAnsi"/>
          <w:sz w:val="28"/>
          <w:szCs w:val="28"/>
          <w:lang w:val="en-US"/>
        </w:rPr>
      </w:pPr>
      <w:r w:rsidRPr="005E1103">
        <w:rPr>
          <w:rFonts w:cstheme="minorHAnsi"/>
          <w:sz w:val="28"/>
          <w:szCs w:val="28"/>
        </w:rPr>
        <w:t xml:space="preserve">Organización de Naciones Unidas, (2008) Convención sobre los Derechos de las personas con discapacidad. </w:t>
      </w:r>
      <w:r w:rsidRPr="005E1103">
        <w:rPr>
          <w:rFonts w:cstheme="minorHAnsi"/>
          <w:sz w:val="28"/>
          <w:szCs w:val="28"/>
          <w:lang w:val="en-US"/>
        </w:rPr>
        <w:t>Ginebra: ONU</w:t>
      </w:r>
    </w:p>
    <w:p w:rsidR="00954B58" w:rsidRPr="005E1103" w:rsidRDefault="00954B58" w:rsidP="00954B58">
      <w:pPr>
        <w:jc w:val="both"/>
        <w:rPr>
          <w:rFonts w:cstheme="minorHAnsi"/>
          <w:sz w:val="28"/>
          <w:szCs w:val="28"/>
        </w:rPr>
      </w:pPr>
      <w:r w:rsidRPr="005E1103">
        <w:rPr>
          <w:rFonts w:cstheme="minorHAnsi"/>
          <w:sz w:val="28"/>
          <w:szCs w:val="28"/>
          <w:lang w:val="en-US"/>
        </w:rPr>
        <w:t xml:space="preserve">Ryan, J. y Struths, J. (2004). University education for All? Barriers to Full inclusión of students with Disabilities in Australian Universities. </w:t>
      </w:r>
      <w:r w:rsidRPr="005E1103">
        <w:rPr>
          <w:rFonts w:cstheme="minorHAnsi"/>
          <w:sz w:val="28"/>
          <w:szCs w:val="28"/>
        </w:rPr>
        <w:t>International Journal of Inclusive Education, 8, 73-90.</w:t>
      </w:r>
    </w:p>
    <w:p w:rsidR="00954B58" w:rsidRPr="005E1103" w:rsidRDefault="00954B58">
      <w:pPr>
        <w:rPr>
          <w:rFonts w:cstheme="minorHAnsi"/>
          <w:sz w:val="28"/>
          <w:szCs w:val="28"/>
        </w:rPr>
      </w:pPr>
      <w:r w:rsidRPr="005E1103">
        <w:rPr>
          <w:rFonts w:cstheme="minorHAnsi"/>
          <w:sz w:val="28"/>
          <w:szCs w:val="28"/>
        </w:rPr>
        <w:br w:type="page"/>
      </w:r>
    </w:p>
    <w:p w:rsidR="00954B58" w:rsidRPr="005E1103" w:rsidRDefault="00954B58" w:rsidP="00954B58">
      <w:pPr>
        <w:spacing w:after="0" w:line="360" w:lineRule="auto"/>
        <w:jc w:val="both"/>
        <w:rPr>
          <w:rFonts w:eastAsia="Times New Roman" w:cstheme="minorHAnsi"/>
          <w:sz w:val="28"/>
          <w:szCs w:val="28"/>
          <w:lang w:eastAsia="es-ES"/>
        </w:rPr>
      </w:pPr>
    </w:p>
    <w:p w:rsidR="00954B58" w:rsidRPr="005E1103" w:rsidRDefault="00954B58" w:rsidP="00954B58">
      <w:pPr>
        <w:pBdr>
          <w:top w:val="single" w:sz="4" w:space="1" w:color="auto"/>
          <w:left w:val="single" w:sz="4" w:space="4" w:color="auto"/>
          <w:bottom w:val="single" w:sz="4" w:space="1" w:color="auto"/>
          <w:right w:val="single" w:sz="4" w:space="4" w:color="auto"/>
        </w:pBdr>
        <w:spacing w:after="0" w:line="360" w:lineRule="auto"/>
        <w:jc w:val="center"/>
        <w:rPr>
          <w:rFonts w:eastAsia="Times New Roman" w:cstheme="minorHAnsi"/>
          <w:b/>
          <w:sz w:val="28"/>
          <w:szCs w:val="28"/>
          <w:lang w:eastAsia="es-ES"/>
        </w:rPr>
      </w:pPr>
      <w:r w:rsidRPr="005E1103">
        <w:rPr>
          <w:rFonts w:eastAsia="Times New Roman" w:cstheme="minorHAnsi"/>
          <w:b/>
          <w:sz w:val="28"/>
          <w:szCs w:val="28"/>
          <w:lang w:eastAsia="es-ES"/>
        </w:rPr>
        <w:t>COMUNICACIÓN 8</w:t>
      </w:r>
    </w:p>
    <w:p w:rsidR="00954B58" w:rsidRPr="005E1103" w:rsidRDefault="00954B58" w:rsidP="00954B58">
      <w:pPr>
        <w:pBdr>
          <w:top w:val="single" w:sz="4" w:space="1" w:color="auto"/>
          <w:left w:val="single" w:sz="4" w:space="4" w:color="auto"/>
          <w:bottom w:val="single" w:sz="4" w:space="1" w:color="auto"/>
          <w:right w:val="single" w:sz="4" w:space="4" w:color="auto"/>
        </w:pBdr>
        <w:spacing w:after="0" w:line="360" w:lineRule="auto"/>
        <w:jc w:val="center"/>
        <w:rPr>
          <w:rFonts w:eastAsia="Times New Roman" w:cstheme="minorHAnsi"/>
          <w:b/>
          <w:sz w:val="28"/>
          <w:szCs w:val="28"/>
          <w:lang w:eastAsia="es-ES"/>
        </w:rPr>
      </w:pPr>
      <w:r w:rsidRPr="005E1103">
        <w:rPr>
          <w:rFonts w:eastAsia="Times New Roman" w:cstheme="minorHAnsi"/>
          <w:b/>
          <w:sz w:val="28"/>
          <w:szCs w:val="28"/>
          <w:lang w:eastAsia="es-ES"/>
        </w:rPr>
        <w:t>LAS PERSONAS CON DISCAPACIDAD INTELECTUAL EN LA UNIVERSIDAD: EL PROGRAMA UAL-A TODA VELA: UN PROGRAMA DE EDUCACIÓN CONTINUA, AUTONOMÍA PERSONAL Y CAPACITACIÓN PARA LA INCLUSIÓN LABORAL</w:t>
      </w:r>
    </w:p>
    <w:p w:rsidR="00954B58" w:rsidRPr="005E1103" w:rsidRDefault="00954B58" w:rsidP="00954B58">
      <w:pPr>
        <w:spacing w:after="0" w:line="360" w:lineRule="auto"/>
        <w:jc w:val="both"/>
        <w:rPr>
          <w:rFonts w:eastAsia="Times New Roman" w:cstheme="minorHAnsi"/>
          <w:sz w:val="28"/>
          <w:szCs w:val="28"/>
          <w:lang w:eastAsia="es-ES"/>
        </w:rPr>
      </w:pP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Introducción</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Si bien es algo generalmente asumido que la atención en las universidades a los estudiantes con diversidad funcional es una realidad y es comúnmente considerada un indicador de calidad en la educación superior, lo cierto es que no todas las discapacidades tienen el mismo tratamiento en cuanto a dotación de oportunidades y presencia en los campus universitarios (Izuzquiza, 2012:109). En los últimos años, distintas universidades han ido abriendo tímidamente sus puertas a distintos programas y títulos propios dirigidos a un colectivo que, pese a la incorporación creciente y paulatina del estudiante con discapacidad a las aulas universitarias, sigue siendo sistemáticamente excluido: el colectivo de personas con discapacidad intelectual. Es ciertamente difícil encontrar referencias de estas actuaciones antes de 2005. Ello al menos en el ámbito nacional, si bien en los países anglosajones sí ha existido una cierta tradición en la puesta en marcha de estos programas (Egido, 2010), con experiencias exitosas en Estados Unidos, Canadá, Australia o Finlandia, por citar algunas de estas experiencias. Por motivos de espacio, no nos podemos detener en cada uno de éstos, aunque sí señalar que la mayor parte de estos programas persiguen el objetivo de facilitar el acceso al mundo laboral y al empleo de las personas con discapacidad intelectual</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lastRenderedPageBreak/>
        <w:t>En nuestro país, como hemos señalado, existen y van creciendo varias experiencias formativas dirigidas a la formación socio-laboral de las personas con discapacidad intelectual en el entorno universitario:</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 xml:space="preserve">Por citar algunas existentes en nuestro contexto, y sin ánimo de ser exhaustivos, podemos señalar la Cátedra Promentor creada entre la Fundación Prodis y la Universidad Autónoma de Madrid en 2005, la Cátedra Montoro Alemán para la Inclusión Sociolaboral de Personas con Discapacidad Intelectual de la Universidad Católica San Antonio de Murcia creada entre GMP y la Universidad Católica de San Antonio, a través del programa UCAMCAPACITAS, de dos años de duración, en 2013 o la Cátedra de Familia y Discapacidad: Telefónica-Fundación Repsol-Down Madrid, de la Universidad Pontificia de Comillas. Fuera de nuestras fronteras, podemos destacar el programa Construyendo Puentes de la Universidad Marista de Mérida, en Méjico, puesto en marcha en 2006 o el Programa de Formación e Integración Socio Laboral para jóvenes con discapacidad intelectual en la Universidad Central de Chile, también en el mismo año. Por citar de manera más detallada un referente, el programa Promentor, de la Universidad Autónoma de Madrid, fue pionero, y se desarrolla en la actualidad, a través de un título propio de 70 créditos ECTS, incide en la formación, trabajando competencias transversales, entre otras. Para el posterior reciclaje y formación continua de los estudiantes egresados, plantean un programa de empleo con apoyo. Tiene asimismo otra vertiente de investigación que viene a completar el cariz de inclusión a  través del empleo de las personas con discapacidad intelectual. Los resultados obtenidos por todos estos programas hacen que la asociación A Toda Vela y la Universidad de Almería, UAL, hayan decidido impulsar una experiencia universitaria para estudiantes con </w:t>
      </w:r>
      <w:r w:rsidRPr="005E1103">
        <w:rPr>
          <w:rFonts w:eastAsia="Times New Roman" w:cstheme="minorHAnsi"/>
          <w:sz w:val="28"/>
          <w:szCs w:val="28"/>
          <w:lang w:eastAsia="es-ES"/>
        </w:rPr>
        <w:lastRenderedPageBreak/>
        <w:t>discapacidad intelectual en septiembre de 2015. El objetivo de la presente comunicación es la presentación del programa UAL-A Toda Vela.</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El programa UAL – A Toda Vela</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“UAL-A Toda Vela” es un proyecto de formación continua para la inclusión universitaria y capacitación para la inclusión laboral de jóvenes con discapacidad intelectual. Busca el objetivo social y educativo de la inclusión de las personas con discapacidad intelectual en las instituciones de enseñanza superior, con el propósito de consolidar su incorporación a la vida activa e inclusión socio-laboral y que surgió por iniciativa de la asociación almeriense A Toda Vela www.atodavela.org. Después de 20 años desarrollando el ocio inclusivo, las personas de la asociación han desarrollado expectativas normalizadas: continuar estudiando en el mismo lugar que sus hermanos y vecinos, tener una vida autónoma, hacer amigos, seguir aprendiendo y prepararse para una vida que merezca la pena ser vivida. El programa permite que las personas con discapacidad intelectual disfruten de la experiencia vital de estar en la universidad, como el resto. Motivación personal e inclusión, son los pilares que sustentan este programa que, como no podía ser de otra manera, se centra en la persona y en la promoción de procesos de transformación  para una buena vida y en estar, participar y contribuir al entorno universitario.</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 xml:space="preserve">El programa “UAL A Toda Vela” surge como una respuesta, ampliamente demandada por las personas con discapacidad intelectual y sus familias: ampliar su etapa formativa normalizada e inclusiva para poder optar en mejores condiciones a una vida independiente en comunidad. </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 xml:space="preserve">¿Cuáles son las razones para la Educación de los Adultos con discapacidad intelectual y/o del desarrollo? </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lastRenderedPageBreak/>
        <w:t xml:space="preserve">En primer lugar, el intento de ofrecer una respuesta más normalizada e inclusiva, a un colectivo de personas que apenas disponen de expectativas de vida independiente.  Este programa puede dar un nuevo sentido a su vida, con expectativas reales de formación continua para una vida independiente y para una verdadera inclusión laboral. Esta situación es debida a distintos factores: </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w:t>
      </w:r>
      <w:r w:rsidRPr="005E1103">
        <w:rPr>
          <w:rFonts w:eastAsia="Times New Roman" w:cstheme="minorHAnsi"/>
          <w:sz w:val="28"/>
          <w:szCs w:val="28"/>
          <w:lang w:eastAsia="es-ES"/>
        </w:rPr>
        <w:tab/>
        <w:t xml:space="preserve">A pesar de una larga educación durante la infancia, la mayoría no obtiene una titulación oficial, ni habilidades y competencias acreditadas para una vida eficaz en comunidad  y, en su caso, una posterior inserción laboral. </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w:t>
      </w:r>
      <w:r w:rsidRPr="005E1103">
        <w:rPr>
          <w:rFonts w:eastAsia="Times New Roman" w:cstheme="minorHAnsi"/>
          <w:sz w:val="28"/>
          <w:szCs w:val="28"/>
          <w:lang w:eastAsia="es-ES"/>
        </w:rPr>
        <w:tab/>
        <w:t xml:space="preserve">Las personas con discapacidad intelectual, a menudo, muestran una mayor madurez y desarrollo cognitivo a partir de la adolescencia y por eso se vuelven más receptivos a la educación de adultos. </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w:t>
      </w:r>
      <w:r w:rsidRPr="005E1103">
        <w:rPr>
          <w:rFonts w:eastAsia="Times New Roman" w:cstheme="minorHAnsi"/>
          <w:sz w:val="28"/>
          <w:szCs w:val="28"/>
          <w:lang w:eastAsia="es-ES"/>
        </w:rPr>
        <w:tab/>
        <w:t xml:space="preserve">Los jóvenes y adultos con discapacidad intelectual tienen muy pocas oportunidades de educación en la vida; a los 20 años finalizan todas las opciones de continuar formándose; el resto de los jóvenes, sin embargo, tienen multitud de opciones en la universidad. </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w:t>
      </w:r>
      <w:r w:rsidRPr="005E1103">
        <w:rPr>
          <w:rFonts w:eastAsia="Times New Roman" w:cstheme="minorHAnsi"/>
          <w:sz w:val="28"/>
          <w:szCs w:val="28"/>
          <w:lang w:eastAsia="es-ES"/>
        </w:rPr>
        <w:tab/>
        <w:t>Muy pocos acceden al empleo y, la mayoría ve como “su vida se estanca” y sus capacidades se debilitan por lo que precisan de un recurso que sirva de puente y que los prepare y motive para que el objetivo de una verdadera inclusión laboral no sea inalcanzable.</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w:t>
      </w:r>
      <w:r w:rsidRPr="005E1103">
        <w:rPr>
          <w:rFonts w:eastAsia="Times New Roman" w:cstheme="minorHAnsi"/>
          <w:sz w:val="28"/>
          <w:szCs w:val="28"/>
          <w:lang w:eastAsia="es-ES"/>
        </w:rPr>
        <w:tab/>
        <w:t xml:space="preserve">El ejercicio de roles de ciudadanía plena, igualmente se encuentra muy limitado; rol de estudiante, compañero, práctico/becario y, por qué no, trabajador con presencia en la Universidad de Almería. </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 xml:space="preserve">En segundo lugar, porque crecer y vivir en la comunidad es un derecho: Es necesario que los adultos funcionen en sociedad con mayor independencia. Esto significa que deben aprender habilidades de </w:t>
      </w:r>
      <w:r w:rsidRPr="005E1103">
        <w:rPr>
          <w:rFonts w:eastAsia="Times New Roman" w:cstheme="minorHAnsi"/>
          <w:sz w:val="28"/>
          <w:szCs w:val="28"/>
          <w:lang w:eastAsia="es-ES"/>
        </w:rPr>
        <w:lastRenderedPageBreak/>
        <w:t>adaptación social y estrategias sociales, incluidos los requisitos básicos para vivir una vida como ciudadanos. Muchas de estas habilidades son esenciales a la hora de buscar un empleo y facilitan a la persona con discapacidad intelectual en su relación con los compañeros, la seguridad en el trabajo, el conocimiento de las relaciones jerárquicas de un puesto de trabajo. Sin embargo, estas habilidades y competencias  rara vez se trabajan en los cursos y programas de inserción laboral dirigidos al colectivo, por lo que muchas de las experiencias laborales fracasan, debido a que la persona no se encuentra suficientemente preparada, ni dispone de herramientas para una vida en comunidad plena como, por ejemplo:</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w:t>
      </w:r>
      <w:r w:rsidRPr="005E1103">
        <w:rPr>
          <w:rFonts w:eastAsia="Times New Roman" w:cstheme="minorHAnsi"/>
          <w:sz w:val="28"/>
          <w:szCs w:val="28"/>
          <w:lang w:eastAsia="es-ES"/>
        </w:rPr>
        <w:tab/>
        <w:t xml:space="preserve">Desarrollar relaciones con otras personas y comportarse de una forma socialmente aceptada. </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w:t>
      </w:r>
      <w:r w:rsidRPr="005E1103">
        <w:rPr>
          <w:rFonts w:eastAsia="Times New Roman" w:cstheme="minorHAnsi"/>
          <w:sz w:val="28"/>
          <w:szCs w:val="28"/>
          <w:lang w:eastAsia="es-ES"/>
        </w:rPr>
        <w:tab/>
        <w:t>Desplazarse, de manera autónoma, por su entorno próximo.</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w:t>
      </w:r>
      <w:r w:rsidRPr="005E1103">
        <w:rPr>
          <w:rFonts w:eastAsia="Times New Roman" w:cstheme="minorHAnsi"/>
          <w:sz w:val="28"/>
          <w:szCs w:val="28"/>
          <w:lang w:eastAsia="es-ES"/>
        </w:rPr>
        <w:tab/>
        <w:t>Autogestionar su propia ropa, higiene personal, imagen y estilo personal, haciendo compras básicas o iniciando tareas de cocina, que le permitan permanecer solo en su hogar.</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w:t>
      </w:r>
      <w:r w:rsidRPr="005E1103">
        <w:rPr>
          <w:rFonts w:eastAsia="Times New Roman" w:cstheme="minorHAnsi"/>
          <w:sz w:val="28"/>
          <w:szCs w:val="28"/>
          <w:lang w:eastAsia="es-ES"/>
        </w:rPr>
        <w:tab/>
        <w:t>Tener la capacidad para mantener su espacio ordenado y limpio.</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w:t>
      </w:r>
      <w:r w:rsidRPr="005E1103">
        <w:rPr>
          <w:rFonts w:eastAsia="Times New Roman" w:cstheme="minorHAnsi"/>
          <w:sz w:val="28"/>
          <w:szCs w:val="28"/>
          <w:lang w:eastAsia="es-ES"/>
        </w:rPr>
        <w:tab/>
        <w:t>Solicitar apoyo o verbalizar su posición por teléfono por lo menos a las personas claves de su red natural de apoyo.</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w:t>
      </w:r>
      <w:r w:rsidRPr="005E1103">
        <w:rPr>
          <w:rFonts w:eastAsia="Times New Roman" w:cstheme="minorHAnsi"/>
          <w:sz w:val="28"/>
          <w:szCs w:val="28"/>
          <w:lang w:eastAsia="es-ES"/>
        </w:rPr>
        <w:tab/>
        <w:t>Utilizar el dinero y, en algunos casos, utilizar una cuenta bancaria y/o un cajero automático.</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w:t>
      </w:r>
      <w:r w:rsidRPr="005E1103">
        <w:rPr>
          <w:rFonts w:eastAsia="Times New Roman" w:cstheme="minorHAnsi"/>
          <w:sz w:val="28"/>
          <w:szCs w:val="28"/>
          <w:lang w:eastAsia="es-ES"/>
        </w:rPr>
        <w:tab/>
        <w:t>Autogestionar su ocio</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w:t>
      </w:r>
      <w:r w:rsidRPr="005E1103">
        <w:rPr>
          <w:rFonts w:eastAsia="Times New Roman" w:cstheme="minorHAnsi"/>
          <w:sz w:val="28"/>
          <w:szCs w:val="28"/>
          <w:lang w:eastAsia="es-ES"/>
        </w:rPr>
        <w:tab/>
        <w:t>Trabajar a tiempo completo, parcial o con trabajos especiales que les permitan “cobrar” un salario.</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w:t>
      </w:r>
      <w:r w:rsidRPr="005E1103">
        <w:rPr>
          <w:rFonts w:eastAsia="Times New Roman" w:cstheme="minorHAnsi"/>
          <w:sz w:val="28"/>
          <w:szCs w:val="28"/>
          <w:lang w:eastAsia="es-ES"/>
        </w:rPr>
        <w:tab/>
        <w:t>Hacer amigos y relacionarse. Participar estando inscrito o afiliado en organizaciones. Trabajar en equipo y emprender pequeñas acciones.</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lastRenderedPageBreak/>
        <w:t>•</w:t>
      </w:r>
      <w:r w:rsidRPr="005E1103">
        <w:rPr>
          <w:rFonts w:eastAsia="Times New Roman" w:cstheme="minorHAnsi"/>
          <w:sz w:val="28"/>
          <w:szCs w:val="28"/>
          <w:lang w:eastAsia="es-ES"/>
        </w:rPr>
        <w:tab/>
        <w:t>Ser consciente de los peligros comunes y reconocerse a uno mismo como vulnerable. Disponer de la autoestima necesaria para identificar y evitar abusos.</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w:t>
      </w:r>
      <w:r w:rsidRPr="005E1103">
        <w:rPr>
          <w:rFonts w:eastAsia="Times New Roman" w:cstheme="minorHAnsi"/>
          <w:sz w:val="28"/>
          <w:szCs w:val="28"/>
          <w:lang w:eastAsia="es-ES"/>
        </w:rPr>
        <w:tab/>
        <w:t xml:space="preserve">Protegerse a sí mismo en términos de derechos y de libertad sexual, así como en términos de otros derechos personales y contra la discriminación. Esto incluye saber a quién acudir para recibir apoyo. </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Ahora más que nunca, necesitamos nuevas respuestas, más creativas, personalizadas y colaborativas que sitúen a las personas en los espacios de ciudadanía para evitar las causas de su marginación social: la falta de oportunidades y apoyos en los entornos normalizados.  La innovación del programa está en el rol que se le otorga al estudiante y a la comunidad que le rodea, para el éxito del programa.</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 xml:space="preserve">Los objetivos del programa apuntan a varias direcciones </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a)</w:t>
      </w:r>
      <w:r w:rsidRPr="005E1103">
        <w:rPr>
          <w:rFonts w:eastAsia="Times New Roman" w:cstheme="minorHAnsi"/>
          <w:sz w:val="28"/>
          <w:szCs w:val="28"/>
          <w:lang w:eastAsia="es-ES"/>
        </w:rPr>
        <w:tab/>
        <w:t>En relación con las personas de A Toda Vela:</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w:t>
      </w:r>
      <w:r w:rsidRPr="005E1103">
        <w:rPr>
          <w:rFonts w:eastAsia="Times New Roman" w:cstheme="minorHAnsi"/>
          <w:sz w:val="28"/>
          <w:szCs w:val="28"/>
          <w:lang w:eastAsia="es-ES"/>
        </w:rPr>
        <w:tab/>
        <w:t>Ofrecer un espacio de formación permanente y apoyo a la vida independiente,  y la inserción laboral.</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w:t>
      </w:r>
      <w:r w:rsidRPr="005E1103">
        <w:rPr>
          <w:rFonts w:eastAsia="Times New Roman" w:cstheme="minorHAnsi"/>
          <w:sz w:val="28"/>
          <w:szCs w:val="28"/>
          <w:lang w:eastAsia="es-ES"/>
        </w:rPr>
        <w:tab/>
        <w:t>Proporcionar  apoyos estables y personalizados para garantizar la calidad de vida (en todas sus dimensiones)  y los resultados personales esperados por cada una de ellas.</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w:t>
      </w:r>
      <w:r w:rsidRPr="005E1103">
        <w:rPr>
          <w:rFonts w:eastAsia="Times New Roman" w:cstheme="minorHAnsi"/>
          <w:sz w:val="28"/>
          <w:szCs w:val="28"/>
          <w:lang w:eastAsia="es-ES"/>
        </w:rPr>
        <w:tab/>
        <w:t>Dotar de un entorno normalizador para ampliar el periodo de formación básico de los alumnos con discapacidad intelectual que les sitúe en mejores condiciones de optar a una vida independiente e inclusiva de calidad.</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w:t>
      </w:r>
      <w:r w:rsidRPr="005E1103">
        <w:rPr>
          <w:rFonts w:eastAsia="Times New Roman" w:cstheme="minorHAnsi"/>
          <w:sz w:val="28"/>
          <w:szCs w:val="28"/>
          <w:lang w:eastAsia="es-ES"/>
        </w:rPr>
        <w:tab/>
        <w:t>Fomentar el talento, creatividad y descubrimiento de intereses vocacionales en los estudiantes.</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w:t>
      </w:r>
      <w:r w:rsidRPr="005E1103">
        <w:rPr>
          <w:rFonts w:eastAsia="Times New Roman" w:cstheme="minorHAnsi"/>
          <w:sz w:val="28"/>
          <w:szCs w:val="28"/>
          <w:lang w:eastAsia="es-ES"/>
        </w:rPr>
        <w:tab/>
        <w:t xml:space="preserve">Fomentar nuevos roles de contribución en los estudiantes: compañero, formador, práctico/becario, etc. </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lastRenderedPageBreak/>
        <w:t>b)</w:t>
      </w:r>
      <w:r w:rsidRPr="005E1103">
        <w:rPr>
          <w:rFonts w:eastAsia="Times New Roman" w:cstheme="minorHAnsi"/>
          <w:sz w:val="28"/>
          <w:szCs w:val="28"/>
          <w:lang w:eastAsia="es-ES"/>
        </w:rPr>
        <w:tab/>
        <w:t>En relación con el entorno universitario:</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w:t>
      </w:r>
      <w:r w:rsidRPr="005E1103">
        <w:rPr>
          <w:rFonts w:eastAsia="Times New Roman" w:cstheme="minorHAnsi"/>
          <w:sz w:val="28"/>
          <w:szCs w:val="28"/>
          <w:lang w:eastAsia="es-ES"/>
        </w:rPr>
        <w:tab/>
        <w:t>Sensibilizar al entorno universitario, acerca de los derechos de las personas con discapacidad intelectual, aportando cercanía y experiencias compartidas que faciliten la empatía hacia el colectivo.</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w:t>
      </w:r>
      <w:r w:rsidRPr="005E1103">
        <w:rPr>
          <w:rFonts w:eastAsia="Times New Roman" w:cstheme="minorHAnsi"/>
          <w:sz w:val="28"/>
          <w:szCs w:val="28"/>
          <w:lang w:eastAsia="es-ES"/>
        </w:rPr>
        <w:tab/>
        <w:t>Implementar la accesibilidad universal como herramienta de inclusión social de las personas con discapacidad y la sensibilización de todo su entorno. Facilitar un espacio en el que poder desarrollar experiencias de Aprendizaje –Servicio y voluntariado , en el marco universitario.</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c)</w:t>
      </w:r>
      <w:r w:rsidRPr="005E1103">
        <w:rPr>
          <w:rFonts w:eastAsia="Times New Roman" w:cstheme="minorHAnsi"/>
          <w:sz w:val="28"/>
          <w:szCs w:val="28"/>
          <w:lang w:eastAsia="es-ES"/>
        </w:rPr>
        <w:tab/>
        <w:t>En relación con la Administración y Movimiento Asociativo:</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w:t>
      </w:r>
      <w:r w:rsidRPr="005E1103">
        <w:rPr>
          <w:rFonts w:eastAsia="Times New Roman" w:cstheme="minorHAnsi"/>
          <w:sz w:val="28"/>
          <w:szCs w:val="28"/>
          <w:lang w:eastAsia="es-ES"/>
        </w:rPr>
        <w:tab/>
        <w:t>Innovar en las respuestas dadas al colectivo de personas con discapacidad intelectual, que impliquen a la ciudadanía en la solución.</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w:t>
      </w:r>
      <w:r w:rsidRPr="005E1103">
        <w:rPr>
          <w:rFonts w:eastAsia="Times New Roman" w:cstheme="minorHAnsi"/>
          <w:sz w:val="28"/>
          <w:szCs w:val="28"/>
          <w:lang w:eastAsia="es-ES"/>
        </w:rPr>
        <w:tab/>
        <w:t>Crear Modelo para poder replicar en otras universidades y ciudades.</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w:t>
      </w:r>
      <w:r w:rsidRPr="005E1103">
        <w:rPr>
          <w:rFonts w:eastAsia="Times New Roman" w:cstheme="minorHAnsi"/>
          <w:sz w:val="28"/>
          <w:szCs w:val="28"/>
          <w:lang w:eastAsia="es-ES"/>
        </w:rPr>
        <w:tab/>
        <w:t>Ofrecer metodologías más centradas en las personas, inclusivas y autogestionadas.</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Características del programa</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 xml:space="preserve">Se ha configurado de manera anual, continuo y estable. De duración anual prorrogable en horario de 9:00 a 14:00h y de septiembre a junio. En cuanto a la formación que se imparte, busca ser integral y personalizada. Los contenidos del programa se adaptarán a los inscritos de manera flexible. Se atenderán las necesidades e intereses particulares en una misma actividad, por ejemplo en el “refuerzo académico”: preparación de oposiciones- apoyo a la obtención del permiso de circulación- mejora de habilidades lectoescritoras. Por otro lado, cuenta también con formación específica: </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a)</w:t>
      </w:r>
      <w:r w:rsidRPr="005E1103">
        <w:rPr>
          <w:rFonts w:eastAsia="Times New Roman" w:cstheme="minorHAnsi"/>
          <w:sz w:val="28"/>
          <w:szCs w:val="28"/>
          <w:lang w:eastAsia="es-ES"/>
        </w:rPr>
        <w:tab/>
        <w:t xml:space="preserve">En el ámbito del ocio. Se han realizado módulos teórico-prácticos con profesionales especializados en animación sociocultural. A Toda Vela </w:t>
      </w:r>
      <w:r w:rsidRPr="005E1103">
        <w:rPr>
          <w:rFonts w:eastAsia="Times New Roman" w:cstheme="minorHAnsi"/>
          <w:sz w:val="28"/>
          <w:szCs w:val="28"/>
          <w:lang w:eastAsia="es-ES"/>
        </w:rPr>
        <w:lastRenderedPageBreak/>
        <w:t>es especialista en Ocio y Tiempo Libre por lo que ofrecerá a las personas con discapacidad intelectual la posibilidad de convertirse en productores de ocio como línea de empleabilidad a través de talleres de animación, cuenta cuentos, pasacalles, música, máscaras, maquillaje, etc para, posteriormente,  poder ofertar estos servicios a centros educativos, fiestas infantiles, eventos culturales, etc.</w:t>
      </w:r>
    </w:p>
    <w:p w:rsidR="00954B58" w:rsidRPr="005E1103" w:rsidRDefault="00954B58" w:rsidP="00954B58">
      <w:pPr>
        <w:spacing w:after="0" w:line="360" w:lineRule="auto"/>
        <w:jc w:val="both"/>
        <w:rPr>
          <w:rFonts w:eastAsia="Times New Roman" w:cstheme="minorHAnsi"/>
          <w:sz w:val="28"/>
          <w:szCs w:val="28"/>
          <w:lang w:eastAsia="es-ES"/>
        </w:rPr>
      </w:pP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b)</w:t>
      </w:r>
      <w:r w:rsidRPr="005E1103">
        <w:rPr>
          <w:rFonts w:eastAsia="Times New Roman" w:cstheme="minorHAnsi"/>
          <w:sz w:val="28"/>
          <w:szCs w:val="28"/>
          <w:lang w:eastAsia="es-ES"/>
        </w:rPr>
        <w:tab/>
        <w:t>Capacitación como Formador de Formadores. Siguiendo la línea de Plena Inclusión, se capacita a las personas con discapacidad para que sean formadores en Derechos, Fácil Lectura, accesibilidad, etc. Se trata de una línea de empleabilidad muy interesante en la que las personas con discapacidad se empoderan y se convierten en formadores que podrán impartir sesiones relacionadas con contenidos formativos relacionados con la discapacidad. Actualmente, y gracias a la colaboración con Plena Inclusión, la entidad cuenta con formadores en Derechos, Participación de las personas con discapacidad en el ámbito asociativo, Lectura fácil y Acceso a la Justicia.</w:t>
      </w:r>
    </w:p>
    <w:p w:rsidR="00954B58" w:rsidRPr="005E1103" w:rsidRDefault="00954B58" w:rsidP="00954B58">
      <w:pPr>
        <w:spacing w:after="0" w:line="360" w:lineRule="auto"/>
        <w:jc w:val="both"/>
        <w:rPr>
          <w:rFonts w:eastAsia="Times New Roman" w:cstheme="minorHAnsi"/>
          <w:sz w:val="28"/>
          <w:szCs w:val="28"/>
          <w:lang w:eastAsia="es-ES"/>
        </w:rPr>
      </w:pP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c)</w:t>
      </w:r>
      <w:r w:rsidRPr="005E1103">
        <w:rPr>
          <w:rFonts w:eastAsia="Times New Roman" w:cstheme="minorHAnsi"/>
          <w:sz w:val="28"/>
          <w:szCs w:val="28"/>
          <w:lang w:eastAsia="es-ES"/>
        </w:rPr>
        <w:tab/>
        <w:t xml:space="preserve">En otros ámbitos, en función de las oportunidades comunitarias: En el año 2015 se ha formado a algunos participantes en habilidades básicas de sala y cocina, con una duración de 60h. A través de la Escuela Superior de Hostelería y Turismo de Almería y el Ayuntamiento de Almería, se llevó a cabo un proyecto de formación, de carácter teórico-práctico, que capacitó a los alumnos como ayudantes de cocina.  Se trata de un proyecto cuyo objetivo es el de adquirir las habilidades y las técnicas necesarias para desarrollar diversas funciones básicas en el ámbito de la </w:t>
      </w:r>
      <w:r w:rsidRPr="005E1103">
        <w:rPr>
          <w:rFonts w:eastAsia="Times New Roman" w:cstheme="minorHAnsi"/>
          <w:sz w:val="28"/>
          <w:szCs w:val="28"/>
          <w:lang w:eastAsia="es-ES"/>
        </w:rPr>
        <w:lastRenderedPageBreak/>
        <w:t xml:space="preserve">hostelería, concretamente en el apartado de servicio (Auxiliar de Camarero) como de cocina (Ayudante o Auxiliar de cocina). </w:t>
      </w:r>
    </w:p>
    <w:p w:rsidR="00954B58" w:rsidRPr="005E1103" w:rsidRDefault="00954B58" w:rsidP="00954B58">
      <w:pPr>
        <w:spacing w:after="0" w:line="360" w:lineRule="auto"/>
        <w:jc w:val="both"/>
        <w:rPr>
          <w:rFonts w:eastAsia="Times New Roman" w:cstheme="minorHAnsi"/>
          <w:sz w:val="28"/>
          <w:szCs w:val="28"/>
          <w:lang w:eastAsia="es-ES"/>
        </w:rPr>
      </w:pP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Por otro lado, en el presente curso 2016/2017 y en el marco de la agricultura ecológica, a través de la explotación de un huerto urbano cedido por el Ayuntamiento de Huércal de Almería, los alumnos y alumnas aprenderán las claves de la agricultura natural y ecológica de temporada.</w:t>
      </w:r>
    </w:p>
    <w:p w:rsidR="00954B58" w:rsidRPr="005E1103" w:rsidRDefault="00954B58" w:rsidP="00954B58">
      <w:pPr>
        <w:spacing w:after="0" w:line="360" w:lineRule="auto"/>
        <w:jc w:val="both"/>
        <w:rPr>
          <w:rFonts w:eastAsia="Times New Roman" w:cstheme="minorHAnsi"/>
          <w:sz w:val="28"/>
          <w:szCs w:val="28"/>
          <w:lang w:eastAsia="es-ES"/>
        </w:rPr>
      </w:pP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Asimismo, A partir de octubre de 2016, los alumnos y alumnas del curso, informarán en primera persona a la comunidad almeriense sobre los temas de interés y el desarrollo del programa, a través de Candil Radio, emisora del Ayuntamiento de Huércal de Almería.</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Otra de sus características más relevantes es que se encuentra anclado en la comunidad. Todas las acciones se desarrollan en el entorno universitario o en recursos e instalaciones comunitarias, públicas o privadas. El transporte y el servicio de comedor son los comunitarios y se usarán si así lo decide cada usuario.</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 xml:space="preserve">Se persigue como una de sus principales metas la contextualización y transferencia de aprendizajes. El proceso de enseñanza-aprendizaje es funcional, priorizando los componentes de carácter utilitario que se configuran como los más adecuados para la futura integración socio-laboral de personas con discapacidad. Estos componentes favorecen el desarrollo de la inteligencia práctica y la inteligencia social, no exclusivamente la inteligencia académica.  Asimismo, los conocimientos adquiridos en la teoría han de ser aplicados y transferidos en la práctica en todas las actividades, a través de situaciones simuladas o role-playing. La finalidad de esta técnica es facilitar la transferencia de los conocimientos </w:t>
      </w:r>
      <w:r w:rsidRPr="005E1103">
        <w:rPr>
          <w:rFonts w:eastAsia="Times New Roman" w:cstheme="minorHAnsi"/>
          <w:sz w:val="28"/>
          <w:szCs w:val="28"/>
          <w:lang w:eastAsia="es-ES"/>
        </w:rPr>
        <w:lastRenderedPageBreak/>
        <w:t>adquiridos y su posterior generalización, favoreciendo que el alumno asuma los diferentes roles que en un futuro profesional deberá desempeñar en un contexto real. Asimismo, permite el entrenamiento en una serie de habilidades de comunicación, asertividad y autocontrol.</w:t>
      </w:r>
    </w:p>
    <w:p w:rsidR="00954B58" w:rsidRPr="005E1103" w:rsidRDefault="00954B58" w:rsidP="00954B58">
      <w:pPr>
        <w:spacing w:after="0" w:line="360" w:lineRule="auto"/>
        <w:jc w:val="both"/>
        <w:rPr>
          <w:rFonts w:eastAsia="Times New Roman" w:cstheme="minorHAnsi"/>
          <w:sz w:val="28"/>
          <w:szCs w:val="28"/>
          <w:lang w:eastAsia="es-ES"/>
        </w:rPr>
      </w:pP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 xml:space="preserve">En cuanto a sus requisitos de acceso, el programa va dirigido a jóvenes con discapacidad intelectual a partir de 18 años, con autonomía en las actividades de la vida cotidiana (desplazamiento, cuidado personal). Independientemente del nivel académico y habilidades de lectoescritura.  Actualmente, participan en el proyecto 9 personas con discapacidad intelectual (5 mujeres y 4 hombres) con edades comprendidas entre los 19 y 35 años. Dos personas están a la espera de que la Administración Pública gestione el cambio de PIA o ayudas individuales, que les permitan acceder al programa. El programa se imparte en el campus de la Universidad de Almería, UAL. Ctra. Sacramento, s/n, 04120 La Cañada de San Urbano, Almería </w:t>
      </w:r>
    </w:p>
    <w:p w:rsidR="00954B58" w:rsidRPr="005E1103" w:rsidRDefault="00954B58" w:rsidP="00954B58">
      <w:pPr>
        <w:spacing w:after="0" w:line="360" w:lineRule="auto"/>
        <w:jc w:val="both"/>
        <w:rPr>
          <w:rFonts w:eastAsia="Times New Roman" w:cstheme="minorHAnsi"/>
          <w:sz w:val="28"/>
          <w:szCs w:val="28"/>
          <w:lang w:eastAsia="es-ES"/>
        </w:rPr>
      </w:pP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Impacto y alcance del proyecto</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 xml:space="preserve">El impacto en las personas con discapacidad intelectual está siendo muy importante. Hasta ahora, la Universidad era un terrero desconocido y casi inalcanzable para las personas con discapacidad intelectual; hoy van junto a sus hermanos y vecinos del pueblo o barrio.  La evolución natural de la mayoría de jóvenes que acababan el instituto es continuar con su formación a través de la Universidad o de ciclos formativos. Actualmente, los ciclos formativos para personas con discapacidad son muy escasos y no incorporan la formación y entrenamiento en habilidades para la autonomía, que tanto necesita el colectivo, ni un seguimiento </w:t>
      </w:r>
      <w:r w:rsidRPr="005E1103">
        <w:rPr>
          <w:rFonts w:eastAsia="Times New Roman" w:cstheme="minorHAnsi"/>
          <w:sz w:val="28"/>
          <w:szCs w:val="28"/>
          <w:lang w:eastAsia="es-ES"/>
        </w:rPr>
        <w:lastRenderedPageBreak/>
        <w:t>personalizado para facilitar el aprendizaje. La Universidad, por su parte, requiere de una titulación de entrada y la superación de las pruebas de selectividad, totalmente inalcanzables para la mayoría del colectivo. Es por ello que este proyecto es una alternativa real y totalmente inclusiva para todas las personas que van a participar, ya que podrán vivir en un verdadero ambiente universitario, adquiriendo conocimientos y aptitudes muy útiles para su inclusión laboral, con una atención y orientación personalizada y orientada hacia los sueños y metas personales.</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Entre los resultados alcanzados podemos destacar la plena inclusión de las personas con discapacidad intelectual inscritas en la UAL de A Toda Vela en la vida universitaria de la UAL.</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w:t>
      </w:r>
      <w:r w:rsidRPr="005E1103">
        <w:rPr>
          <w:rFonts w:eastAsia="Times New Roman" w:cstheme="minorHAnsi"/>
          <w:sz w:val="28"/>
          <w:szCs w:val="28"/>
          <w:lang w:eastAsia="es-ES"/>
        </w:rPr>
        <w:tab/>
        <w:t>Actualmente el grupo se ha incorporado en tres materias “Expresión corporal y movimiento”, “Cuerpo conciencia y movimiento” y “Habilidades motrices y juegos motores”, en tanto que individualmente uno de los alumnos se ha sumado a la asignatura “Didáctica de las Ciencias Sociales”.</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w:t>
      </w:r>
      <w:r w:rsidRPr="005E1103">
        <w:rPr>
          <w:rFonts w:eastAsia="Times New Roman" w:cstheme="minorHAnsi"/>
          <w:sz w:val="28"/>
          <w:szCs w:val="28"/>
          <w:lang w:eastAsia="es-ES"/>
        </w:rPr>
        <w:tab/>
        <w:t>Participan como grupo en otros procesos universitarios como Acogida de nuevos alumnos con el vicerrectorado de Estudiantes o la Semana de la Discapacidad. También se ha establecido una colaboración con Erasmus para compartir actividades de ocio con los estudiantes extranjeros y el aprendizaje de idiomas.</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w:t>
      </w:r>
      <w:r w:rsidRPr="005E1103">
        <w:rPr>
          <w:rFonts w:eastAsia="Times New Roman" w:cstheme="minorHAnsi"/>
          <w:sz w:val="28"/>
          <w:szCs w:val="28"/>
          <w:lang w:eastAsia="es-ES"/>
        </w:rPr>
        <w:tab/>
        <w:t xml:space="preserve">Se han desarrollado varias líneas de empleabilidad de las personas con discapacidad, relacionadas con las formaciones específicas recibidas, siendo tres personas contratadas por horas por un Catering para eventos públicos. Otros tres participantes han realizado prácticas laborales, durante dos meses, en instalaciones universitarias: cafetería central, coedor universitario y organización del Congreso de Deporte y Discapacidad. </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lastRenderedPageBreak/>
        <w:t xml:space="preserve">Tras la experiencia piloto llevada a cabo en el pasado curso, constatamos en primer lugar la satisfacción de los participantes en el programa de estas características. Mirando hacia el futuro, pretendemos fortalecer la vertiente investigadora que nos apoye en la búsqueda de indicadores de buenas prácticas y nos oriente en la toma de decisiones. </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 xml:space="preserve">Los motivos por los que las personas con discapacidad intelectual tienen una entrada tan estrecha en la universidad obedecen a varios factores: en primer lugar, es un contexto excluyente, especialmente cuando preguntamos a los propios estudiantes (Moriña et al, 2013). Por otro lado, es bien conocido que existe un desarrollo normativo considerable desde hace varios lustros hacia la inclusión del estudiante con discapacidad en la universidad, que ha venido a sufrir un impulso muy importante con el Estatuto del Estudiante, de 2011. Pero no es menos cierto que estas normativas, reglamentos y protocolos favorecen a otros tipos de discapacidad y el modo de actuar es realizar “ajustes razonables” (o adaptaciones) a programas ya existentes, a los que difícilmente se amoldarán las personas con discapacidad intelectual. El camino, parece, la creación de programas propios que ciertamente contribuyen a la satisfacción de los usuarios y a la eliminación de barreras, especialmente de tipo actitudinal.  Especialmente importante es el papel del profesorado.  Para los docentes, existen diferencias muy importantes entre los distintos tipos de discapacidad. Así, Delgado y Blanco (2016) nos reportan que los docentes en la universidad trabajan con una dualidad entre discapacidad física y sensorial, por un lado, e intelectual, por otro. Incluso en etapas anteriores, tal y como nos señalan López, Echeita y Martín (2009), al estudiar las creencias implícitas del profesorado de secundaria se observan nítidamente más resistencias a la inclusión cuando hablamos de </w:t>
      </w:r>
      <w:r w:rsidRPr="005E1103">
        <w:rPr>
          <w:rFonts w:eastAsia="Times New Roman" w:cstheme="minorHAnsi"/>
          <w:sz w:val="28"/>
          <w:szCs w:val="28"/>
          <w:lang w:eastAsia="es-ES"/>
        </w:rPr>
        <w:lastRenderedPageBreak/>
        <w:t>estudiantes con discapacidad intelectual. Programas como los descritos han supuesto un cambio de actitudes del profesorado que, pensamos, beneficia al colectivo de personas con discapacidad en general.</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Asimismo, pretendemos fortalecer posibles direcciones y líneas de investigación del programa UAL-A toda Vela como satisfacción de los usuarios, la evaluación del impacto en todos sus participantes y el posible cambio de actitudes en la comunidad universitaria, toda vez que otras investigaciones nos indican que el impacto en la comunidad es positivo (Cerrillo, Izuzquiza y Egido, 2013). Esto nos lleva a concluir que la implementación de estos programas contribuye a mejorar como institución. Vallaeys (2006) afirma que la universidad origina cuatro tipos de impacto en su entorno: organizacional, educativo, social y cognitivo-epistemológico. Este último es de especial relevancia: al generar conocimientos, indicamos mediante la ciencia lo que es cierto y lo que no. Para que esta responsabilidad no se quede en papel mojado, nos obliga a ser una institución respetuosa con el medio ambiente, comprometida con sus trabajadores y usuarios, donde prime la igualdad de oportunidades, comprometida con las causas sociales y la lucha contra la discriminación y que sea capaz de generar conocimiento en todos estos ámbitos.</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Referencias bibliográficas</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Cerrillo Martin, Rosario, Izuzquiza Gasset, Dolores y Egido Gálvez, Inmaculada, "Inclusión de jóvenes con discapacidad intelectual en la Universidad", Revista de Investigación en Educación,  nº 11 (1), (2013), págs. 41-57.</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Delgado Sanoja, Hellman Dennis y Blanco-Gómez, Gisela. “Inclusión en la educación universitaria. Las palabras detrás del proceso”. Revista Electrónica Educare, 20, 2, (2016) págs. 1-18.</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lastRenderedPageBreak/>
        <w:t>Egido Gálvez, Inmaculada, (2010) "La trayectoria de los organismos internacionales para la inclusión laboral de las personas con discapacidad intelectual". En Sara de Miguel y Rosario Cerrillo (eds). Formación para la inclusión laboral de personas con discapacidad intelectual. Madrid: Pirámide. págs 59-81.</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Izuzquiza Gasset, Dolores,  "El valor de la inclusión edcativa de jóvenes con discapacidad intelectual en las instituciones de educación superior: el programa promentor", Bordon, 64 (1), (2012), págs. 109-125.</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López, Mauricio, Echeita, Gerardo y Martín, Elena, “Concepciones sobre el proceso de inclusión educativa de alumnos con discapacidad intelectual en la educación secundaria obligatoria”. Cultura y Educación, 21, 4, (2009) págs 485-496.</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 xml:space="preserve">Moriña Díez, Anabel, López Gavira, Rosario, Melero Aguilar, Noelia, Cortés Vega, Mª Dolores y Molina Romo, Víctor Manuel. El profesorado en la universidad ante el alumnado con discapacidad: ¿Tendiendo puentes o levantando muros?  Revista de Docencia Universitaria Vol.11 (3) Octubre-Diciembre (2013), págs. 423-442 </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Navarro Cano, N.,  Muñoz Navarro, P.,  Sánchez Torres, A.  y Suárez Ojeda, M. (2014). La Universidad accesible, la universidad de todos: políticas de adaptación y mejoras docentes para la inclusión de las personas con discapacidad. III Seminario Hispano Brasileiro de Investigación en Información, Documentación y Sociedad.</w:t>
      </w:r>
    </w:p>
    <w:p w:rsidR="00954B58" w:rsidRPr="005E1103" w:rsidRDefault="00954B58" w:rsidP="00954B58">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Vallaeys, François. (2006). Breve marco teórico de la responsabilidad social universitaria. Lima, Pontifici</w:t>
      </w:r>
      <w:r w:rsidR="004266C5" w:rsidRPr="005E1103">
        <w:rPr>
          <w:rFonts w:eastAsia="Times New Roman" w:cstheme="minorHAnsi"/>
          <w:sz w:val="28"/>
          <w:szCs w:val="28"/>
          <w:lang w:eastAsia="es-ES"/>
        </w:rPr>
        <w:t>a Universidad Católica del Perú.</w:t>
      </w:r>
    </w:p>
    <w:p w:rsidR="004266C5" w:rsidRPr="005E1103" w:rsidRDefault="004266C5">
      <w:pPr>
        <w:rPr>
          <w:rFonts w:eastAsia="Times New Roman" w:cstheme="minorHAnsi"/>
          <w:color w:val="000000"/>
          <w:sz w:val="28"/>
          <w:szCs w:val="28"/>
          <w:lang w:eastAsia="es-ES"/>
        </w:rPr>
      </w:pPr>
      <w:r w:rsidRPr="005E1103">
        <w:rPr>
          <w:rFonts w:eastAsia="Times New Roman" w:cstheme="minorHAnsi"/>
          <w:color w:val="000000"/>
          <w:sz w:val="28"/>
          <w:szCs w:val="28"/>
          <w:lang w:eastAsia="es-ES"/>
        </w:rPr>
        <w:br w:type="page"/>
      </w:r>
    </w:p>
    <w:p w:rsidR="004266C5" w:rsidRPr="005E1103" w:rsidRDefault="004266C5" w:rsidP="004266C5">
      <w:pPr>
        <w:jc w:val="center"/>
        <w:rPr>
          <w:rFonts w:cstheme="minorHAnsi"/>
          <w:b/>
          <w:sz w:val="28"/>
          <w:szCs w:val="28"/>
        </w:rPr>
      </w:pPr>
      <w:r w:rsidRPr="005E1103">
        <w:rPr>
          <w:rFonts w:cstheme="minorHAnsi"/>
          <w:b/>
          <w:sz w:val="28"/>
          <w:szCs w:val="28"/>
        </w:rPr>
        <w:lastRenderedPageBreak/>
        <w:t>COMUNICACIÓN 9</w:t>
      </w:r>
    </w:p>
    <w:p w:rsidR="004266C5" w:rsidRPr="005E1103" w:rsidRDefault="004266C5" w:rsidP="004266C5">
      <w:pPr>
        <w:spacing w:after="0" w:line="360" w:lineRule="auto"/>
        <w:jc w:val="both"/>
        <w:rPr>
          <w:rFonts w:eastAsia="Times New Roman" w:cstheme="minorHAnsi"/>
          <w:sz w:val="28"/>
          <w:szCs w:val="28"/>
          <w:lang w:eastAsia="es-ES"/>
        </w:rPr>
      </w:pPr>
    </w:p>
    <w:p w:rsidR="004266C5" w:rsidRPr="005E1103" w:rsidRDefault="004266C5" w:rsidP="004266C5">
      <w:pPr>
        <w:pBdr>
          <w:top w:val="single" w:sz="4" w:space="1" w:color="auto"/>
          <w:left w:val="single" w:sz="4" w:space="4" w:color="auto"/>
          <w:bottom w:val="single" w:sz="4" w:space="1" w:color="auto"/>
          <w:right w:val="single" w:sz="4" w:space="4" w:color="auto"/>
        </w:pBdr>
        <w:spacing w:after="0" w:line="360" w:lineRule="auto"/>
        <w:jc w:val="center"/>
        <w:rPr>
          <w:rFonts w:eastAsia="Times New Roman" w:cstheme="minorHAnsi"/>
          <w:sz w:val="28"/>
          <w:szCs w:val="28"/>
          <w:lang w:eastAsia="es-ES"/>
        </w:rPr>
      </w:pPr>
      <w:r w:rsidRPr="005E1103">
        <w:rPr>
          <w:rFonts w:eastAsia="Times New Roman" w:cstheme="minorHAnsi"/>
          <w:sz w:val="28"/>
          <w:szCs w:val="28"/>
          <w:lang w:eastAsia="es-ES"/>
        </w:rPr>
        <w:t>La inclusión de las personas con discapacidad intelectual en el mercado laboral ordinario por medio del programa de empleo con apoyo en Argentina</w:t>
      </w:r>
    </w:p>
    <w:p w:rsidR="004266C5" w:rsidRPr="005E1103" w:rsidRDefault="004266C5" w:rsidP="004266C5">
      <w:pPr>
        <w:spacing w:after="0" w:line="360" w:lineRule="auto"/>
        <w:jc w:val="both"/>
        <w:rPr>
          <w:rFonts w:eastAsia="Times New Roman" w:cstheme="minorHAnsi"/>
          <w:sz w:val="28"/>
          <w:szCs w:val="28"/>
          <w:lang w:eastAsia="es-ES"/>
        </w:rPr>
      </w:pPr>
    </w:p>
    <w:p w:rsidR="004266C5" w:rsidRPr="005E1103" w:rsidRDefault="004266C5" w:rsidP="004266C5">
      <w:pPr>
        <w:spacing w:after="0" w:line="360" w:lineRule="auto"/>
        <w:jc w:val="both"/>
        <w:rPr>
          <w:rFonts w:eastAsia="Times New Roman" w:cstheme="minorHAnsi"/>
          <w:sz w:val="28"/>
          <w:szCs w:val="28"/>
          <w:lang w:eastAsia="es-ES"/>
        </w:rPr>
      </w:pPr>
    </w:p>
    <w:p w:rsidR="004266C5" w:rsidRPr="005E1103" w:rsidRDefault="004266C5" w:rsidP="004266C5">
      <w:pPr>
        <w:rPr>
          <w:rFonts w:cstheme="minorHAnsi"/>
          <w:b/>
          <w:bCs/>
          <w:i/>
          <w:iCs/>
          <w:sz w:val="28"/>
          <w:szCs w:val="28"/>
        </w:rPr>
      </w:pPr>
      <w:r w:rsidRPr="005E1103">
        <w:rPr>
          <w:rFonts w:cstheme="minorHAnsi"/>
          <w:b/>
          <w:bCs/>
          <w:i/>
          <w:iCs/>
          <w:sz w:val="28"/>
          <w:szCs w:val="28"/>
        </w:rPr>
        <w:t>La inclusión de las personas con discapacidad intelectual en el mercado laboral ordinario por medio del programa de empleo con apoyo en Buenos Aires, Argentina</w:t>
      </w:r>
    </w:p>
    <w:p w:rsidR="004266C5" w:rsidRPr="005E1103" w:rsidRDefault="004266C5" w:rsidP="004266C5">
      <w:pPr>
        <w:rPr>
          <w:rFonts w:cstheme="minorHAnsi"/>
          <w:b/>
          <w:bCs/>
          <w:i/>
          <w:iCs/>
          <w:sz w:val="28"/>
          <w:szCs w:val="28"/>
        </w:rPr>
      </w:pPr>
    </w:p>
    <w:p w:rsidR="004266C5" w:rsidRPr="005E1103" w:rsidRDefault="004266C5" w:rsidP="004266C5">
      <w:pPr>
        <w:rPr>
          <w:rFonts w:cstheme="minorHAnsi"/>
          <w:bCs/>
          <w:iCs/>
          <w:sz w:val="28"/>
          <w:szCs w:val="28"/>
        </w:rPr>
      </w:pPr>
      <w:r w:rsidRPr="005E1103">
        <w:rPr>
          <w:rFonts w:cstheme="minorHAnsi"/>
          <w:bCs/>
          <w:iCs/>
          <w:sz w:val="28"/>
          <w:szCs w:val="28"/>
        </w:rPr>
        <w:t>Autora: Shocrón Marisa Laura</w:t>
      </w:r>
    </w:p>
    <w:p w:rsidR="004266C5" w:rsidRPr="005E1103" w:rsidRDefault="004266C5" w:rsidP="004266C5">
      <w:pPr>
        <w:rPr>
          <w:rFonts w:cstheme="minorHAnsi"/>
          <w:bCs/>
          <w:iCs/>
          <w:sz w:val="28"/>
          <w:szCs w:val="28"/>
        </w:rPr>
      </w:pPr>
      <w:r w:rsidRPr="005E1103">
        <w:rPr>
          <w:rFonts w:cstheme="minorHAnsi"/>
          <w:bCs/>
          <w:iCs/>
          <w:sz w:val="28"/>
          <w:szCs w:val="28"/>
        </w:rPr>
        <w:t>Cargo: Investigadora INSOD</w:t>
      </w:r>
    </w:p>
    <w:p w:rsidR="004266C5" w:rsidRPr="005E1103" w:rsidRDefault="004266C5" w:rsidP="004266C5">
      <w:pPr>
        <w:rPr>
          <w:rFonts w:cstheme="minorHAnsi"/>
          <w:bCs/>
          <w:iCs/>
          <w:sz w:val="28"/>
          <w:szCs w:val="28"/>
        </w:rPr>
      </w:pPr>
      <w:r w:rsidRPr="005E1103">
        <w:rPr>
          <w:rFonts w:cstheme="minorHAnsi"/>
          <w:bCs/>
          <w:iCs/>
          <w:sz w:val="28"/>
          <w:szCs w:val="28"/>
        </w:rPr>
        <w:t>Universidad Argentina de la Empresa (UADE)</w:t>
      </w:r>
    </w:p>
    <w:p w:rsidR="004266C5" w:rsidRPr="005E1103" w:rsidRDefault="004266C5" w:rsidP="004266C5">
      <w:pPr>
        <w:rPr>
          <w:rFonts w:cstheme="minorHAnsi"/>
          <w:sz w:val="28"/>
          <w:szCs w:val="28"/>
        </w:rPr>
      </w:pPr>
      <w:r w:rsidRPr="005E1103">
        <w:rPr>
          <w:rFonts w:cstheme="minorHAnsi"/>
          <w:bCs/>
          <w:iCs/>
          <w:sz w:val="28"/>
          <w:szCs w:val="28"/>
        </w:rPr>
        <w:t>Buenos Aires. Argentina</w:t>
      </w:r>
    </w:p>
    <w:p w:rsidR="004266C5" w:rsidRPr="005E1103" w:rsidRDefault="004266C5" w:rsidP="004266C5">
      <w:pPr>
        <w:rPr>
          <w:rStyle w:val="Ttulodellibro"/>
          <w:rFonts w:cstheme="minorHAnsi"/>
          <w:sz w:val="28"/>
          <w:szCs w:val="28"/>
        </w:rPr>
      </w:pPr>
    </w:p>
    <w:p w:rsidR="004266C5" w:rsidRPr="005E1103" w:rsidRDefault="004266C5" w:rsidP="004266C5">
      <w:pPr>
        <w:pStyle w:val="Subttulo"/>
        <w:jc w:val="left"/>
        <w:rPr>
          <w:rFonts w:asciiTheme="minorHAnsi" w:hAnsiTheme="minorHAnsi" w:cstheme="minorHAnsi"/>
          <w:b/>
          <w:sz w:val="28"/>
          <w:szCs w:val="28"/>
        </w:rPr>
      </w:pPr>
    </w:p>
    <w:p w:rsidR="004266C5" w:rsidRPr="005E1103" w:rsidRDefault="004266C5" w:rsidP="004266C5">
      <w:pPr>
        <w:pStyle w:val="Subttulo"/>
        <w:jc w:val="left"/>
        <w:rPr>
          <w:rFonts w:asciiTheme="minorHAnsi" w:hAnsiTheme="minorHAnsi" w:cstheme="minorHAnsi"/>
          <w:b/>
          <w:sz w:val="28"/>
          <w:szCs w:val="28"/>
          <w:u w:val="single"/>
        </w:rPr>
      </w:pPr>
      <w:bookmarkStart w:id="54" w:name="_Toc428105769"/>
      <w:r w:rsidRPr="005E1103">
        <w:rPr>
          <w:rFonts w:asciiTheme="minorHAnsi" w:hAnsiTheme="minorHAnsi" w:cstheme="minorHAnsi"/>
          <w:b/>
          <w:sz w:val="28"/>
          <w:szCs w:val="28"/>
        </w:rPr>
        <w:t>I-Introducción</w:t>
      </w:r>
      <w:bookmarkEnd w:id="54"/>
      <w:r w:rsidRPr="005E1103">
        <w:rPr>
          <w:rFonts w:asciiTheme="minorHAnsi" w:hAnsiTheme="minorHAnsi" w:cstheme="minorHAnsi"/>
          <w:b/>
          <w:sz w:val="28"/>
          <w:szCs w:val="28"/>
          <w:u w:val="single"/>
        </w:rPr>
        <w:t xml:space="preserve"> </w:t>
      </w:r>
    </w:p>
    <w:p w:rsidR="004266C5" w:rsidRPr="005E1103" w:rsidRDefault="004266C5" w:rsidP="004266C5">
      <w:pPr>
        <w:rPr>
          <w:rFonts w:cstheme="minorHAnsi"/>
          <w:sz w:val="28"/>
          <w:szCs w:val="28"/>
        </w:rPr>
      </w:pPr>
      <w:r w:rsidRPr="005E1103">
        <w:rPr>
          <w:rFonts w:cstheme="minorHAnsi"/>
          <w:sz w:val="28"/>
          <w:szCs w:val="28"/>
        </w:rPr>
        <w:t xml:space="preserve">La empresa ordinaria es considerada el ámbito de inclusión de las personas con discapacidad intelectual. </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 xml:space="preserve">Es requisito excluyente la capacitación de todos los actores intervinientes: la persona con discapacidad intelectual, su familia, el preparador laboral, los integrantes de la empresa y el Estado. </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La universidad debe asumir su responsabilidad  y participar estratégicamente para la formación de dichos agentes.</w:t>
      </w:r>
    </w:p>
    <w:p w:rsidR="004266C5" w:rsidRPr="005E1103" w:rsidRDefault="004266C5" w:rsidP="004266C5">
      <w:pPr>
        <w:rPr>
          <w:rFonts w:cstheme="minorHAnsi"/>
          <w:b/>
          <w:sz w:val="28"/>
          <w:szCs w:val="28"/>
          <w:u w:val="single"/>
        </w:rPr>
      </w:pPr>
    </w:p>
    <w:p w:rsidR="004266C5" w:rsidRPr="005E1103" w:rsidRDefault="004266C5" w:rsidP="004266C5">
      <w:pPr>
        <w:rPr>
          <w:rFonts w:cstheme="minorHAnsi"/>
          <w:sz w:val="28"/>
          <w:szCs w:val="28"/>
        </w:rPr>
      </w:pPr>
      <w:r w:rsidRPr="005E1103">
        <w:rPr>
          <w:rFonts w:cstheme="minorHAnsi"/>
          <w:sz w:val="28"/>
          <w:szCs w:val="28"/>
        </w:rPr>
        <w:lastRenderedPageBreak/>
        <w:t>El presente plan de trabajo de investigación desarrolla la definición y ubicación del problema, el estado de la cuestión, el enfoque conceptual, los objetivos, hipótesis, metodología aplicable  para analizar  la inclusión laboral de  personas con discapacidad intelectual (PDI) que participan del programa de Empleo con Apoyo   en  empresas ordinarias en CABA y Provincia de Buenos Aires; Argentina.</w:t>
      </w:r>
    </w:p>
    <w:p w:rsidR="004266C5" w:rsidRPr="005E1103" w:rsidRDefault="004266C5" w:rsidP="004266C5">
      <w:pPr>
        <w:rPr>
          <w:rFonts w:cstheme="minorHAnsi"/>
          <w:b/>
          <w:sz w:val="28"/>
          <w:szCs w:val="28"/>
          <w:u w:val="single"/>
        </w:rPr>
      </w:pPr>
    </w:p>
    <w:p w:rsidR="004266C5" w:rsidRPr="005E1103" w:rsidRDefault="004266C5" w:rsidP="004266C5">
      <w:pPr>
        <w:pStyle w:val="Subttulo"/>
        <w:jc w:val="left"/>
        <w:rPr>
          <w:rFonts w:asciiTheme="minorHAnsi" w:hAnsiTheme="minorHAnsi" w:cstheme="minorHAnsi"/>
          <w:b/>
          <w:sz w:val="28"/>
          <w:szCs w:val="28"/>
        </w:rPr>
      </w:pPr>
      <w:r w:rsidRPr="005E1103">
        <w:rPr>
          <w:rFonts w:asciiTheme="minorHAnsi" w:hAnsiTheme="minorHAnsi" w:cstheme="minorHAnsi"/>
          <w:sz w:val="28"/>
          <w:szCs w:val="28"/>
        </w:rPr>
        <w:t xml:space="preserve">                </w:t>
      </w:r>
      <w:bookmarkStart w:id="55" w:name="_Toc428105770"/>
      <w:r w:rsidRPr="005E1103">
        <w:rPr>
          <w:rFonts w:asciiTheme="minorHAnsi" w:hAnsiTheme="minorHAnsi" w:cstheme="minorHAnsi"/>
          <w:b/>
          <w:sz w:val="28"/>
          <w:szCs w:val="28"/>
        </w:rPr>
        <w:t>Definición del Problema</w:t>
      </w:r>
      <w:bookmarkEnd w:id="55"/>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Se considera  la empresa ordinaria como ámbito de inclusión de las personas con discapacidad intelectual, sus actores, la intervención del  estado y de la sociedad con relación a los beneficios  otorgados, comprendiendo oportunidades sociales, laborales, de movilidad, de seguridad  social y legal, entre otros.</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El Empleo con Apoyo es un programa de inclusión laboral en el mercado de trabajo orientado a personas con diferentes discapacidades o con determinadas dificultades.</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El Empleo con apoyo se aplica a personas con discapacidad intelectual, trastornos de salud mental, discapacidad visual, auditiva y física.</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 xml:space="preserve"> En cualquiera de estos casos cumple una función fundamental a lo largo de la vida laboral de la persona con discapacidad, siendo el preparador laboral, el responsable de facilitar la adaptación social y laboral en empresas del mercado ordinario de trabajo en iguales condiciones que el resto de las personas que desempeñan puestos similares, asegurando el éxito a largo plazo y logrando una interacción adecuada y oportuna con el resto de los trabajadores.</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 xml:space="preserve">Consiste en una estrategia de inclusión en la empresa ordinaria. Se establece a partir de un acuerdo entre las empresas y el individuo, </w:t>
      </w:r>
      <w:r w:rsidRPr="005E1103">
        <w:rPr>
          <w:rFonts w:cstheme="minorHAnsi"/>
          <w:sz w:val="28"/>
          <w:szCs w:val="28"/>
        </w:rPr>
        <w:lastRenderedPageBreak/>
        <w:t>asegurando  condiciones laborales  similares a la de cualquier otro trabajador en  un puesto equivalente y dentro del mismo lugar de trabajo.</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El concepto de empleo con apoyo debe ser proactivo  ya que la función del preparador laboral será  detectar las necesidades y generar el apoyo inmediato.</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Al afirmar que se encuentra disponible a lo largo de toda la vida laboral implica que, el monitoreo es permanente y de generarse situaciones que lo ameriten se retoma la disponibilidad del apoyo.</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El estudio se localizará en Ciudad Autónoma de Buenos Aires y Provincia de Buenos Aires,  Argentina.</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El problema que se plantea es:</w:t>
      </w:r>
    </w:p>
    <w:p w:rsidR="004266C5" w:rsidRPr="005E1103" w:rsidRDefault="004266C5" w:rsidP="004266C5">
      <w:pPr>
        <w:rPr>
          <w:rFonts w:cstheme="minorHAnsi"/>
          <w:sz w:val="28"/>
          <w:szCs w:val="28"/>
        </w:rPr>
      </w:pPr>
    </w:p>
    <w:p w:rsidR="004266C5" w:rsidRPr="005E1103" w:rsidRDefault="004266C5" w:rsidP="004266C5">
      <w:pPr>
        <w:rPr>
          <w:rFonts w:cstheme="minorHAnsi"/>
          <w:i/>
          <w:sz w:val="28"/>
          <w:szCs w:val="28"/>
        </w:rPr>
      </w:pPr>
      <w:r w:rsidRPr="005E1103">
        <w:rPr>
          <w:rFonts w:cstheme="minorHAnsi"/>
          <w:i/>
          <w:sz w:val="28"/>
          <w:szCs w:val="28"/>
        </w:rPr>
        <w:t>¿Cómo se desarrolla y evoluciona el proceso de inclusión, en el mercado laboral ordinario, de las personas con discapacidad intelectual  que participan en el programa de Empleo con Apoyo en CABA y Provincia de Buenos Aires, Argentina.</w:t>
      </w:r>
    </w:p>
    <w:p w:rsidR="004266C5" w:rsidRPr="005E1103" w:rsidRDefault="004266C5" w:rsidP="004266C5">
      <w:pPr>
        <w:rPr>
          <w:rFonts w:cstheme="minorHAnsi"/>
          <w:sz w:val="28"/>
          <w:szCs w:val="28"/>
          <w:u w:val="single"/>
        </w:rPr>
      </w:pPr>
      <w:r w:rsidRPr="005E1103">
        <w:rPr>
          <w:rFonts w:cstheme="minorHAnsi"/>
          <w:sz w:val="28"/>
          <w:szCs w:val="28"/>
          <w:u w:val="single"/>
        </w:rPr>
        <w:t xml:space="preserve">           </w:t>
      </w:r>
    </w:p>
    <w:p w:rsidR="004266C5" w:rsidRPr="005E1103" w:rsidRDefault="004266C5" w:rsidP="004266C5">
      <w:pPr>
        <w:rPr>
          <w:rFonts w:cstheme="minorHAnsi"/>
          <w:sz w:val="28"/>
          <w:szCs w:val="28"/>
        </w:rPr>
      </w:pPr>
    </w:p>
    <w:p w:rsidR="004266C5" w:rsidRPr="005E1103" w:rsidRDefault="004266C5" w:rsidP="004266C5">
      <w:pPr>
        <w:rPr>
          <w:rFonts w:eastAsia="MS Mincho" w:cstheme="minorHAnsi"/>
          <w:b/>
          <w:sz w:val="28"/>
          <w:szCs w:val="28"/>
        </w:rPr>
      </w:pPr>
      <w:r w:rsidRPr="005E1103">
        <w:rPr>
          <w:rFonts w:cstheme="minorHAnsi"/>
          <w:i/>
          <w:sz w:val="28"/>
          <w:szCs w:val="28"/>
        </w:rPr>
        <w:t xml:space="preserve">           </w:t>
      </w:r>
      <w:bookmarkStart w:id="56" w:name="_Toc428105771"/>
      <w:r w:rsidRPr="005E1103">
        <w:rPr>
          <w:rStyle w:val="SubttuloCar"/>
          <w:rFonts w:asciiTheme="minorHAnsi" w:hAnsiTheme="minorHAnsi" w:cstheme="minorHAnsi"/>
          <w:b/>
          <w:sz w:val="28"/>
          <w:szCs w:val="28"/>
        </w:rPr>
        <w:t>Justificación y relevancia del proyecto</w:t>
      </w:r>
      <w:bookmarkEnd w:id="56"/>
      <w:r w:rsidRPr="005E1103">
        <w:rPr>
          <w:rFonts w:cstheme="minorHAnsi"/>
          <w:i/>
          <w:sz w:val="28"/>
          <w:szCs w:val="28"/>
        </w:rPr>
        <w:t>.</w:t>
      </w:r>
    </w:p>
    <w:p w:rsidR="004266C5" w:rsidRPr="005E1103" w:rsidRDefault="004266C5" w:rsidP="004266C5">
      <w:pPr>
        <w:spacing w:before="100" w:beforeAutospacing="1" w:after="100" w:afterAutospacing="1"/>
        <w:rPr>
          <w:rFonts w:cstheme="minorHAnsi"/>
          <w:sz w:val="28"/>
          <w:szCs w:val="28"/>
        </w:rPr>
      </w:pPr>
      <w:r w:rsidRPr="005E1103">
        <w:rPr>
          <w:rFonts w:cstheme="minorHAnsi"/>
          <w:sz w:val="28"/>
          <w:szCs w:val="28"/>
        </w:rPr>
        <w:t xml:space="preserve">A partir de la necesidad de contribuir a construir una sociedad  inclusiva, nace el interés de analizar a los actores sociales que trabajan  a través programas de empleo en la inclusión de personas con discapacidades intelectuales. </w:t>
      </w:r>
    </w:p>
    <w:p w:rsidR="004266C5" w:rsidRPr="005E1103" w:rsidRDefault="004266C5" w:rsidP="004266C5">
      <w:pPr>
        <w:spacing w:before="100" w:beforeAutospacing="1" w:after="100" w:afterAutospacing="1"/>
        <w:rPr>
          <w:rFonts w:cstheme="minorHAnsi"/>
          <w:sz w:val="28"/>
          <w:szCs w:val="28"/>
        </w:rPr>
      </w:pPr>
      <w:r w:rsidRPr="005E1103">
        <w:rPr>
          <w:rFonts w:cstheme="minorHAnsi"/>
          <w:sz w:val="28"/>
          <w:szCs w:val="28"/>
        </w:rPr>
        <w:t xml:space="preserve">La búsqueda fundamental es su inclusión en el mercado laboral ordinario y sostenerlo en el tiempo. </w:t>
      </w:r>
    </w:p>
    <w:p w:rsidR="004266C5" w:rsidRPr="005E1103" w:rsidRDefault="004266C5" w:rsidP="004266C5">
      <w:pPr>
        <w:rPr>
          <w:rFonts w:cstheme="minorHAnsi"/>
          <w:sz w:val="28"/>
          <w:szCs w:val="28"/>
        </w:rPr>
      </w:pPr>
      <w:r w:rsidRPr="005E1103">
        <w:rPr>
          <w:rFonts w:cstheme="minorHAnsi"/>
          <w:sz w:val="28"/>
          <w:szCs w:val="28"/>
        </w:rPr>
        <w:lastRenderedPageBreak/>
        <w:t>Dada la diversidad y poca política social desarrollada sobre el tema se tiene la intención que los organismos e instituciones competentes puedan dirigir la política del Estado en su desarrollo y la correspondiente instrumentación para lograr un avance en el tema basándose en la igualdad de oportunidades para todos los seres humanos.</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Se analiza la intervención de las organizaciones privadas en el abordaje y en la concreción  de acciones referidas a dicha temática, dada la ausencia de hechos y de derechos de políticas gubernamentales</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 xml:space="preserve">En Argentina no se dispone de una sistematización de datos que aporten información  con relación al tema. </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Comprendiendo el concepto de inclusión social e igualdad de derechos, es importante a través del conocimiento,  investigar el mejoramiento en las posibilidades de integración social de personas con discapacidad intelectual, colaborando con ello  a su construcción como seres humanos, útiles y productivos, en la  interacción con otros actores sociales como las empresas, a través de los programas de inclusión.</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Ello conlleva a despertar la necesidad desde el Estado Nacional, Provincial y municipal a  generar políticas públicas que apoyen y respalden dicha realidad.</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Es relevante su estudio con referencia  a las siguientes dimensiones:</w:t>
      </w:r>
    </w:p>
    <w:p w:rsidR="004266C5" w:rsidRPr="005E1103" w:rsidRDefault="004266C5" w:rsidP="004266C5">
      <w:pPr>
        <w:rPr>
          <w:rFonts w:cstheme="minorHAnsi"/>
          <w:sz w:val="28"/>
          <w:szCs w:val="28"/>
        </w:rPr>
      </w:pPr>
    </w:p>
    <w:p w:rsidR="004266C5" w:rsidRPr="005E1103" w:rsidRDefault="004266C5" w:rsidP="004266C5">
      <w:pPr>
        <w:numPr>
          <w:ilvl w:val="0"/>
          <w:numId w:val="79"/>
        </w:numPr>
        <w:spacing w:after="0" w:line="240" w:lineRule="auto"/>
        <w:ind w:firstLine="0"/>
        <w:rPr>
          <w:rFonts w:cstheme="minorHAnsi"/>
          <w:sz w:val="28"/>
          <w:szCs w:val="28"/>
        </w:rPr>
      </w:pPr>
      <w:r w:rsidRPr="005E1103">
        <w:rPr>
          <w:rFonts w:cstheme="minorHAnsi"/>
          <w:sz w:val="28"/>
          <w:szCs w:val="28"/>
        </w:rPr>
        <w:t xml:space="preserve">A nivel persona y familia: </w:t>
      </w:r>
    </w:p>
    <w:p w:rsidR="004266C5" w:rsidRPr="005E1103" w:rsidRDefault="004266C5" w:rsidP="004266C5">
      <w:pPr>
        <w:ind w:left="720"/>
        <w:rPr>
          <w:rFonts w:cstheme="minorHAnsi"/>
          <w:sz w:val="28"/>
          <w:szCs w:val="28"/>
        </w:rPr>
      </w:pPr>
    </w:p>
    <w:p w:rsidR="004266C5" w:rsidRPr="005E1103" w:rsidRDefault="004266C5" w:rsidP="004266C5">
      <w:pPr>
        <w:ind w:left="720"/>
        <w:rPr>
          <w:rFonts w:cstheme="minorHAnsi"/>
          <w:sz w:val="28"/>
          <w:szCs w:val="28"/>
        </w:rPr>
      </w:pPr>
      <w:r w:rsidRPr="005E1103">
        <w:rPr>
          <w:rFonts w:cstheme="minorHAnsi"/>
          <w:sz w:val="28"/>
          <w:szCs w:val="28"/>
        </w:rPr>
        <w:t xml:space="preserve">           Favorece el pleno desarrollo del individuo en su integridad, ya que el trabajo implica no sólo su progreso sino también, la trascendencia de la persona. Proyectando el  concepto de integración laboral a la posibilidad de inclusión de la persona con </w:t>
      </w:r>
      <w:r w:rsidRPr="005E1103">
        <w:rPr>
          <w:rFonts w:cstheme="minorHAnsi"/>
          <w:sz w:val="28"/>
          <w:szCs w:val="28"/>
        </w:rPr>
        <w:lastRenderedPageBreak/>
        <w:t>discapacidad  a  la escolaridad no diferenciada en sus diferentes niveles.</w:t>
      </w:r>
    </w:p>
    <w:p w:rsidR="004266C5" w:rsidRPr="005E1103" w:rsidRDefault="004266C5" w:rsidP="004266C5">
      <w:pPr>
        <w:ind w:left="720"/>
        <w:rPr>
          <w:rFonts w:cstheme="minorHAnsi"/>
          <w:sz w:val="28"/>
          <w:szCs w:val="28"/>
        </w:rPr>
      </w:pPr>
      <w:r w:rsidRPr="005E1103">
        <w:rPr>
          <w:rFonts w:cstheme="minorHAnsi"/>
          <w:sz w:val="28"/>
          <w:szCs w:val="28"/>
        </w:rPr>
        <w:t xml:space="preserve">                   </w:t>
      </w:r>
    </w:p>
    <w:p w:rsidR="004266C5" w:rsidRPr="005E1103" w:rsidRDefault="004266C5" w:rsidP="004266C5">
      <w:pPr>
        <w:ind w:left="720"/>
        <w:rPr>
          <w:rFonts w:cstheme="minorHAnsi"/>
          <w:sz w:val="28"/>
          <w:szCs w:val="28"/>
        </w:rPr>
      </w:pPr>
      <w:r w:rsidRPr="005E1103">
        <w:rPr>
          <w:rFonts w:cstheme="minorHAnsi"/>
          <w:sz w:val="28"/>
          <w:szCs w:val="28"/>
        </w:rPr>
        <w:t xml:space="preserve">           En cuanto a la familia implicaría su condición de individuo activo, independiente y autónomo generador de su propio ingreso. </w:t>
      </w:r>
    </w:p>
    <w:p w:rsidR="004266C5" w:rsidRPr="005E1103" w:rsidRDefault="004266C5" w:rsidP="004266C5">
      <w:pPr>
        <w:rPr>
          <w:rFonts w:cstheme="minorHAnsi"/>
          <w:sz w:val="28"/>
          <w:szCs w:val="28"/>
        </w:rPr>
      </w:pPr>
    </w:p>
    <w:p w:rsidR="004266C5" w:rsidRPr="005E1103" w:rsidRDefault="004266C5" w:rsidP="004266C5">
      <w:pPr>
        <w:ind w:left="720"/>
        <w:rPr>
          <w:rFonts w:cstheme="minorHAnsi"/>
          <w:sz w:val="28"/>
          <w:szCs w:val="28"/>
        </w:rPr>
      </w:pPr>
    </w:p>
    <w:p w:rsidR="004266C5" w:rsidRPr="005E1103" w:rsidRDefault="004266C5" w:rsidP="004266C5">
      <w:pPr>
        <w:numPr>
          <w:ilvl w:val="0"/>
          <w:numId w:val="79"/>
        </w:numPr>
        <w:spacing w:after="0" w:line="240" w:lineRule="auto"/>
        <w:ind w:firstLine="0"/>
        <w:rPr>
          <w:rFonts w:cstheme="minorHAnsi"/>
          <w:sz w:val="28"/>
          <w:szCs w:val="28"/>
        </w:rPr>
      </w:pPr>
      <w:r w:rsidRPr="005E1103">
        <w:rPr>
          <w:rFonts w:cstheme="minorHAnsi"/>
          <w:sz w:val="28"/>
          <w:szCs w:val="28"/>
        </w:rPr>
        <w:t>A nivel empresarial:</w:t>
      </w:r>
    </w:p>
    <w:p w:rsidR="004266C5" w:rsidRPr="005E1103" w:rsidRDefault="004266C5" w:rsidP="004266C5">
      <w:pPr>
        <w:ind w:left="720"/>
        <w:rPr>
          <w:rFonts w:cstheme="minorHAnsi"/>
          <w:sz w:val="28"/>
          <w:szCs w:val="28"/>
        </w:rPr>
      </w:pPr>
    </w:p>
    <w:p w:rsidR="004266C5" w:rsidRPr="005E1103" w:rsidRDefault="004266C5" w:rsidP="004266C5">
      <w:pPr>
        <w:ind w:left="720"/>
        <w:rPr>
          <w:rFonts w:cstheme="minorHAnsi"/>
          <w:sz w:val="28"/>
          <w:szCs w:val="28"/>
        </w:rPr>
      </w:pPr>
      <w:r w:rsidRPr="005E1103">
        <w:rPr>
          <w:rFonts w:cstheme="minorHAnsi"/>
          <w:sz w:val="28"/>
          <w:szCs w:val="28"/>
        </w:rPr>
        <w:t xml:space="preserve">           La integración y aceptación sistemática de dicho colectivo de personas en  las diferentes organizaciones,  implica que el concepto de capacitación  no sea aplicable sólo a la formación de la persona con discapacidad para la ejecución de su actividad laboral, sino también al entrenamiento y orientación de los sujetos que ocupan diferentes puestos dentro de la empresa. </w:t>
      </w:r>
    </w:p>
    <w:p w:rsidR="004266C5" w:rsidRPr="005E1103" w:rsidRDefault="004266C5" w:rsidP="004266C5">
      <w:pPr>
        <w:ind w:left="720"/>
        <w:rPr>
          <w:rFonts w:cstheme="minorHAnsi"/>
          <w:sz w:val="28"/>
          <w:szCs w:val="28"/>
        </w:rPr>
      </w:pPr>
    </w:p>
    <w:p w:rsidR="004266C5" w:rsidRPr="005E1103" w:rsidRDefault="004266C5" w:rsidP="004266C5">
      <w:pPr>
        <w:ind w:left="720"/>
        <w:rPr>
          <w:rFonts w:cstheme="minorHAnsi"/>
          <w:sz w:val="28"/>
          <w:szCs w:val="28"/>
        </w:rPr>
      </w:pPr>
      <w:r w:rsidRPr="005E1103">
        <w:rPr>
          <w:rFonts w:cstheme="minorHAnsi"/>
          <w:sz w:val="28"/>
          <w:szCs w:val="28"/>
        </w:rPr>
        <w:t>Permitiendo  formar una generación de dirigentes de empresas con mayor conciencia de integración de todo individuo, especialmente a actores vulnerables como los discapacitados intelectuales, que requieren de una mayor asistencia.</w:t>
      </w:r>
    </w:p>
    <w:p w:rsidR="004266C5" w:rsidRPr="005E1103" w:rsidRDefault="004266C5" w:rsidP="004266C5">
      <w:pPr>
        <w:ind w:left="720"/>
        <w:rPr>
          <w:rFonts w:cstheme="minorHAnsi"/>
          <w:sz w:val="28"/>
          <w:szCs w:val="28"/>
        </w:rPr>
      </w:pPr>
    </w:p>
    <w:p w:rsidR="004266C5" w:rsidRPr="005E1103" w:rsidRDefault="004266C5" w:rsidP="004266C5">
      <w:pPr>
        <w:ind w:left="720"/>
        <w:rPr>
          <w:rFonts w:cstheme="minorHAnsi"/>
          <w:sz w:val="28"/>
          <w:szCs w:val="28"/>
        </w:rPr>
      </w:pPr>
    </w:p>
    <w:p w:rsidR="004266C5" w:rsidRPr="005E1103" w:rsidRDefault="004266C5" w:rsidP="004266C5">
      <w:pPr>
        <w:numPr>
          <w:ilvl w:val="0"/>
          <w:numId w:val="79"/>
        </w:numPr>
        <w:spacing w:after="0" w:line="240" w:lineRule="auto"/>
        <w:ind w:firstLine="0"/>
        <w:rPr>
          <w:rFonts w:cstheme="minorHAnsi"/>
          <w:sz w:val="28"/>
          <w:szCs w:val="28"/>
        </w:rPr>
      </w:pPr>
      <w:r w:rsidRPr="005E1103">
        <w:rPr>
          <w:rFonts w:cstheme="minorHAnsi"/>
          <w:sz w:val="28"/>
          <w:szCs w:val="28"/>
        </w:rPr>
        <w:t xml:space="preserve">A nivel social: </w:t>
      </w:r>
    </w:p>
    <w:p w:rsidR="004266C5" w:rsidRPr="005E1103" w:rsidRDefault="004266C5" w:rsidP="004266C5">
      <w:pPr>
        <w:ind w:left="720"/>
        <w:rPr>
          <w:rFonts w:cstheme="minorHAnsi"/>
          <w:sz w:val="28"/>
          <w:szCs w:val="28"/>
        </w:rPr>
      </w:pPr>
      <w:r w:rsidRPr="005E1103">
        <w:rPr>
          <w:rFonts w:cstheme="minorHAnsi"/>
          <w:sz w:val="28"/>
          <w:szCs w:val="28"/>
        </w:rPr>
        <w:t xml:space="preserve">         </w:t>
      </w:r>
    </w:p>
    <w:p w:rsidR="004266C5" w:rsidRPr="005E1103" w:rsidRDefault="004266C5" w:rsidP="004266C5">
      <w:pPr>
        <w:ind w:left="720"/>
        <w:rPr>
          <w:rFonts w:cstheme="minorHAnsi"/>
          <w:sz w:val="28"/>
          <w:szCs w:val="28"/>
        </w:rPr>
      </w:pPr>
      <w:r w:rsidRPr="005E1103">
        <w:rPr>
          <w:rFonts w:cstheme="minorHAnsi"/>
          <w:sz w:val="28"/>
          <w:szCs w:val="28"/>
        </w:rPr>
        <w:t xml:space="preserve">             A través del conocimiento y difusión de dicho modelo  se propicia la apertura, disminuyendo las barreras existentes como consecuencia del desconocimiento y el temor al vínculo con la persona con discapacidad.</w:t>
      </w:r>
    </w:p>
    <w:p w:rsidR="004266C5" w:rsidRPr="005E1103" w:rsidRDefault="004266C5" w:rsidP="004266C5">
      <w:pPr>
        <w:ind w:left="720"/>
        <w:rPr>
          <w:rFonts w:cstheme="minorHAnsi"/>
          <w:sz w:val="28"/>
          <w:szCs w:val="28"/>
        </w:rPr>
      </w:pPr>
      <w:r w:rsidRPr="005E1103">
        <w:rPr>
          <w:rFonts w:cstheme="minorHAnsi"/>
          <w:sz w:val="28"/>
          <w:szCs w:val="28"/>
        </w:rPr>
        <w:t xml:space="preserve"> </w:t>
      </w:r>
    </w:p>
    <w:p w:rsidR="004266C5" w:rsidRPr="005E1103" w:rsidRDefault="004266C5" w:rsidP="004266C5">
      <w:pPr>
        <w:ind w:left="720"/>
        <w:rPr>
          <w:rFonts w:cstheme="minorHAnsi"/>
          <w:sz w:val="28"/>
          <w:szCs w:val="28"/>
        </w:rPr>
      </w:pPr>
      <w:r w:rsidRPr="005E1103">
        <w:rPr>
          <w:rFonts w:cstheme="minorHAnsi"/>
          <w:sz w:val="28"/>
          <w:szCs w:val="28"/>
        </w:rPr>
        <w:t>Implicaría un crecimiento con relación a la convivencia no sólo dentro del ámbito empresarial, sino también en las diferentes áreas y grupos de personas integrantes de la sociedad.</w:t>
      </w:r>
    </w:p>
    <w:p w:rsidR="004266C5" w:rsidRPr="005E1103" w:rsidRDefault="004266C5" w:rsidP="004266C5">
      <w:pPr>
        <w:ind w:left="720"/>
        <w:rPr>
          <w:rFonts w:cstheme="minorHAnsi"/>
          <w:sz w:val="28"/>
          <w:szCs w:val="28"/>
        </w:rPr>
      </w:pPr>
    </w:p>
    <w:p w:rsidR="004266C5" w:rsidRPr="005E1103" w:rsidRDefault="004266C5" w:rsidP="004266C5">
      <w:pPr>
        <w:ind w:left="720"/>
        <w:rPr>
          <w:rFonts w:cstheme="minorHAnsi"/>
          <w:sz w:val="28"/>
          <w:szCs w:val="28"/>
        </w:rPr>
      </w:pPr>
      <w:r w:rsidRPr="005E1103">
        <w:rPr>
          <w:rFonts w:cstheme="minorHAnsi"/>
          <w:sz w:val="28"/>
          <w:szCs w:val="28"/>
        </w:rPr>
        <w:t>El desconocimiento de la temática implica:</w:t>
      </w:r>
    </w:p>
    <w:p w:rsidR="004266C5" w:rsidRPr="005E1103" w:rsidRDefault="004266C5" w:rsidP="004266C5">
      <w:pPr>
        <w:ind w:left="720"/>
        <w:rPr>
          <w:rFonts w:cstheme="minorHAnsi"/>
          <w:sz w:val="28"/>
          <w:szCs w:val="28"/>
        </w:rPr>
      </w:pPr>
    </w:p>
    <w:p w:rsidR="004266C5" w:rsidRPr="005E1103" w:rsidRDefault="004266C5" w:rsidP="004266C5">
      <w:pPr>
        <w:pStyle w:val="Prrafodelista"/>
        <w:numPr>
          <w:ilvl w:val="0"/>
          <w:numId w:val="80"/>
        </w:numPr>
        <w:spacing w:before="0" w:after="200" w:line="276" w:lineRule="auto"/>
        <w:rPr>
          <w:rFonts w:asciiTheme="minorHAnsi" w:hAnsiTheme="minorHAnsi" w:cstheme="minorHAnsi"/>
          <w:sz w:val="28"/>
          <w:szCs w:val="28"/>
        </w:rPr>
      </w:pPr>
      <w:r w:rsidRPr="005E1103">
        <w:rPr>
          <w:rFonts w:asciiTheme="minorHAnsi" w:hAnsiTheme="minorHAnsi" w:cstheme="minorHAnsi"/>
          <w:sz w:val="28"/>
          <w:szCs w:val="28"/>
        </w:rPr>
        <w:t>Escasa accesibilidad al mercado de trabajo ordinario para personas con discapacidad.</w:t>
      </w:r>
    </w:p>
    <w:p w:rsidR="004266C5" w:rsidRPr="005E1103" w:rsidRDefault="004266C5" w:rsidP="004266C5">
      <w:pPr>
        <w:pStyle w:val="Prrafodelista"/>
        <w:numPr>
          <w:ilvl w:val="0"/>
          <w:numId w:val="80"/>
        </w:numPr>
        <w:spacing w:before="0" w:after="200" w:line="276" w:lineRule="auto"/>
        <w:rPr>
          <w:rFonts w:asciiTheme="minorHAnsi" w:hAnsiTheme="minorHAnsi" w:cstheme="minorHAnsi"/>
          <w:sz w:val="28"/>
          <w:szCs w:val="28"/>
        </w:rPr>
      </w:pPr>
      <w:r w:rsidRPr="005E1103">
        <w:rPr>
          <w:rFonts w:asciiTheme="minorHAnsi" w:hAnsiTheme="minorHAnsi" w:cstheme="minorHAnsi"/>
          <w:sz w:val="28"/>
          <w:szCs w:val="28"/>
        </w:rPr>
        <w:t>Falta de fondos  para estimular programas de Empleo con Apoyo</w:t>
      </w:r>
    </w:p>
    <w:p w:rsidR="004266C5" w:rsidRPr="005E1103" w:rsidRDefault="004266C5" w:rsidP="004266C5">
      <w:pPr>
        <w:pStyle w:val="Prrafodelista"/>
        <w:numPr>
          <w:ilvl w:val="0"/>
          <w:numId w:val="80"/>
        </w:numPr>
        <w:spacing w:before="0" w:after="200" w:line="276" w:lineRule="auto"/>
        <w:rPr>
          <w:rFonts w:asciiTheme="minorHAnsi" w:hAnsiTheme="minorHAnsi" w:cstheme="minorHAnsi"/>
          <w:sz w:val="28"/>
          <w:szCs w:val="28"/>
        </w:rPr>
      </w:pPr>
      <w:r w:rsidRPr="005E1103">
        <w:rPr>
          <w:rFonts w:asciiTheme="minorHAnsi" w:hAnsiTheme="minorHAnsi" w:cstheme="minorHAnsi"/>
          <w:sz w:val="28"/>
          <w:szCs w:val="28"/>
        </w:rPr>
        <w:t xml:space="preserve">la ausencia de un marco de políticas de Empleo con Apoyo a nivel nacional, provincial y municipal  </w:t>
      </w:r>
    </w:p>
    <w:p w:rsidR="004266C5" w:rsidRPr="005E1103" w:rsidRDefault="004266C5" w:rsidP="004266C5">
      <w:pPr>
        <w:pStyle w:val="Prrafodelista"/>
        <w:numPr>
          <w:ilvl w:val="0"/>
          <w:numId w:val="80"/>
        </w:numPr>
        <w:spacing w:before="0" w:after="200" w:line="276" w:lineRule="auto"/>
        <w:rPr>
          <w:rFonts w:asciiTheme="minorHAnsi" w:hAnsiTheme="minorHAnsi" w:cstheme="minorHAnsi"/>
          <w:sz w:val="28"/>
          <w:szCs w:val="28"/>
        </w:rPr>
      </w:pPr>
      <w:r w:rsidRPr="005E1103">
        <w:rPr>
          <w:rFonts w:asciiTheme="minorHAnsi" w:hAnsiTheme="minorHAnsi" w:cstheme="minorHAnsi"/>
          <w:sz w:val="28"/>
          <w:szCs w:val="28"/>
        </w:rPr>
        <w:t>Falta de prioridades a necesidades sociales y económicas.</w:t>
      </w:r>
    </w:p>
    <w:p w:rsidR="004266C5" w:rsidRPr="005E1103" w:rsidRDefault="004266C5" w:rsidP="004266C5">
      <w:pPr>
        <w:autoSpaceDE w:val="0"/>
        <w:autoSpaceDN w:val="0"/>
        <w:adjustRightInd w:val="0"/>
        <w:rPr>
          <w:rFonts w:cstheme="minorHAnsi"/>
          <w:color w:val="000000"/>
          <w:sz w:val="28"/>
          <w:szCs w:val="28"/>
        </w:rPr>
      </w:pPr>
    </w:p>
    <w:p w:rsidR="004266C5" w:rsidRPr="005E1103" w:rsidRDefault="004266C5" w:rsidP="004266C5">
      <w:pPr>
        <w:rPr>
          <w:rFonts w:cstheme="minorHAnsi"/>
          <w:sz w:val="28"/>
          <w:szCs w:val="28"/>
        </w:rPr>
      </w:pPr>
      <w:r w:rsidRPr="005E1103">
        <w:rPr>
          <w:rFonts w:cstheme="minorHAnsi"/>
          <w:sz w:val="28"/>
          <w:szCs w:val="28"/>
        </w:rPr>
        <w:t>Es importante tener en cuenta los intereses y preferencias de las personas con discapacidad intelectual como elementos fundamentales para  la motivación que tendrá el trabajador para el desempeño de su actividad laboral en el puesto asignado.</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Los principios de igualdad, la no discriminación, la valoración de las diferentes habilidades y el derecho al trabajo conllevan a evaluar que el empleo con apoyo plantea una alternativa  para las personas que presentan discapacidades para llevar una vida digna para todos los seres humanos.</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La responsabilidad es de todos, los organismos públicos deben tomar conciencia de generar planes de integración de las personas con diversas discapacidades, generando políticas públicas y compromisos que en la actualidad se encuentran a cargo de iniciativas privadas.</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 xml:space="preserve">Comprendiendo el concepto de inclusión social e igualdad de derechos, es importante a través del conocimiento,  investigar el mejoramiento en las posibilidades de integración social de personas con discapacidad intelectual, colaborando con ello  a su construcción como seres humanos, </w:t>
      </w:r>
      <w:r w:rsidRPr="005E1103">
        <w:rPr>
          <w:rFonts w:cstheme="minorHAnsi"/>
          <w:sz w:val="28"/>
          <w:szCs w:val="28"/>
        </w:rPr>
        <w:lastRenderedPageBreak/>
        <w:t>útiles y productivos, en la  interacción con otros actores sociales como las empresas, a través de los programas de inclusión</w:t>
      </w:r>
    </w:p>
    <w:p w:rsidR="004266C5" w:rsidRPr="005E1103" w:rsidRDefault="004266C5" w:rsidP="004266C5">
      <w:pPr>
        <w:ind w:left="-180"/>
        <w:rPr>
          <w:rFonts w:cstheme="minorHAnsi"/>
          <w:sz w:val="28"/>
          <w:szCs w:val="28"/>
        </w:rPr>
      </w:pPr>
    </w:p>
    <w:p w:rsidR="004266C5" w:rsidRPr="005E1103" w:rsidRDefault="004266C5" w:rsidP="004266C5">
      <w:pPr>
        <w:pStyle w:val="Subttulo"/>
        <w:jc w:val="left"/>
        <w:rPr>
          <w:rFonts w:asciiTheme="minorHAnsi" w:hAnsiTheme="minorHAnsi" w:cstheme="minorHAnsi"/>
          <w:b/>
          <w:sz w:val="28"/>
          <w:szCs w:val="28"/>
        </w:rPr>
      </w:pPr>
      <w:r w:rsidRPr="005E1103">
        <w:rPr>
          <w:rFonts w:asciiTheme="minorHAnsi" w:hAnsiTheme="minorHAnsi" w:cstheme="minorHAnsi"/>
          <w:b/>
          <w:sz w:val="28"/>
          <w:szCs w:val="28"/>
        </w:rPr>
        <w:t xml:space="preserve">                      </w:t>
      </w:r>
      <w:bookmarkStart w:id="57" w:name="_Toc428105773"/>
      <w:r w:rsidRPr="005E1103">
        <w:rPr>
          <w:rFonts w:asciiTheme="minorHAnsi" w:hAnsiTheme="minorHAnsi" w:cstheme="minorHAnsi"/>
          <w:b/>
          <w:sz w:val="28"/>
          <w:szCs w:val="28"/>
        </w:rPr>
        <w:t>Clasificación del proyecto</w:t>
      </w:r>
      <w:bookmarkEnd w:id="57"/>
    </w:p>
    <w:p w:rsidR="004266C5" w:rsidRPr="005E1103" w:rsidRDefault="004266C5" w:rsidP="004266C5">
      <w:pPr>
        <w:rPr>
          <w:rFonts w:cstheme="minorHAnsi"/>
          <w:sz w:val="28"/>
          <w:szCs w:val="28"/>
        </w:rPr>
      </w:pPr>
      <w:r w:rsidRPr="005E1103">
        <w:rPr>
          <w:rFonts w:cstheme="minorHAnsi"/>
          <w:sz w:val="28"/>
          <w:szCs w:val="28"/>
        </w:rPr>
        <w:t>Se desarrollará dentro del marco de las ciencias sociales, investigando temas relacionados con las siguientes disciplinas:</w:t>
      </w:r>
    </w:p>
    <w:p w:rsidR="004266C5" w:rsidRPr="005E1103" w:rsidRDefault="004266C5" w:rsidP="004266C5">
      <w:pPr>
        <w:ind w:left="720"/>
        <w:rPr>
          <w:rFonts w:cstheme="minorHAnsi"/>
          <w:sz w:val="28"/>
          <w:szCs w:val="28"/>
        </w:rPr>
      </w:pPr>
    </w:p>
    <w:p w:rsidR="004266C5" w:rsidRPr="005E1103" w:rsidRDefault="004266C5" w:rsidP="004266C5">
      <w:pPr>
        <w:numPr>
          <w:ilvl w:val="0"/>
          <w:numId w:val="76"/>
        </w:numPr>
        <w:spacing w:after="0" w:line="240" w:lineRule="auto"/>
        <w:ind w:firstLine="0"/>
        <w:rPr>
          <w:rFonts w:cstheme="minorHAnsi"/>
          <w:sz w:val="28"/>
          <w:szCs w:val="28"/>
        </w:rPr>
      </w:pPr>
      <w:r w:rsidRPr="005E1103">
        <w:rPr>
          <w:rFonts w:cstheme="minorHAnsi"/>
          <w:sz w:val="28"/>
          <w:szCs w:val="28"/>
        </w:rPr>
        <w:t>Psicología.</w:t>
      </w:r>
    </w:p>
    <w:p w:rsidR="004266C5" w:rsidRPr="005E1103" w:rsidRDefault="004266C5" w:rsidP="004266C5">
      <w:pPr>
        <w:numPr>
          <w:ilvl w:val="0"/>
          <w:numId w:val="76"/>
        </w:numPr>
        <w:spacing w:after="0" w:line="240" w:lineRule="auto"/>
        <w:ind w:firstLine="0"/>
        <w:rPr>
          <w:rFonts w:cstheme="minorHAnsi"/>
          <w:sz w:val="28"/>
          <w:szCs w:val="28"/>
        </w:rPr>
      </w:pPr>
      <w:r w:rsidRPr="005E1103">
        <w:rPr>
          <w:rFonts w:cstheme="minorHAnsi"/>
          <w:sz w:val="28"/>
          <w:szCs w:val="28"/>
        </w:rPr>
        <w:t>Administración.</w:t>
      </w:r>
    </w:p>
    <w:p w:rsidR="004266C5" w:rsidRPr="005E1103" w:rsidRDefault="004266C5" w:rsidP="004266C5">
      <w:pPr>
        <w:numPr>
          <w:ilvl w:val="0"/>
          <w:numId w:val="76"/>
        </w:numPr>
        <w:spacing w:after="0" w:line="240" w:lineRule="auto"/>
        <w:ind w:firstLine="0"/>
        <w:rPr>
          <w:rFonts w:cstheme="minorHAnsi"/>
          <w:sz w:val="28"/>
          <w:szCs w:val="28"/>
        </w:rPr>
      </w:pPr>
      <w:r w:rsidRPr="005E1103">
        <w:rPr>
          <w:rFonts w:cstheme="minorHAnsi"/>
          <w:sz w:val="28"/>
          <w:szCs w:val="28"/>
        </w:rPr>
        <w:t>Sociología.</w:t>
      </w:r>
    </w:p>
    <w:p w:rsidR="004266C5" w:rsidRPr="005E1103" w:rsidRDefault="004266C5" w:rsidP="004266C5">
      <w:pPr>
        <w:numPr>
          <w:ilvl w:val="0"/>
          <w:numId w:val="76"/>
        </w:numPr>
        <w:spacing w:after="0" w:line="240" w:lineRule="auto"/>
        <w:ind w:firstLine="0"/>
        <w:rPr>
          <w:rFonts w:cstheme="minorHAnsi"/>
          <w:sz w:val="28"/>
          <w:szCs w:val="28"/>
        </w:rPr>
      </w:pPr>
      <w:r w:rsidRPr="005E1103">
        <w:rPr>
          <w:rFonts w:cstheme="minorHAnsi"/>
          <w:sz w:val="28"/>
          <w:szCs w:val="28"/>
        </w:rPr>
        <w:t>Leyes del derecho civil y laboral.</w:t>
      </w:r>
    </w:p>
    <w:p w:rsidR="004266C5" w:rsidRPr="005E1103" w:rsidRDefault="004266C5" w:rsidP="004266C5">
      <w:pPr>
        <w:rPr>
          <w:rFonts w:cstheme="minorHAnsi"/>
          <w:sz w:val="28"/>
          <w:szCs w:val="28"/>
        </w:rPr>
      </w:pPr>
    </w:p>
    <w:p w:rsidR="004266C5" w:rsidRPr="005E1103" w:rsidRDefault="004266C5" w:rsidP="004266C5">
      <w:pPr>
        <w:pStyle w:val="Subttulo"/>
        <w:jc w:val="left"/>
        <w:rPr>
          <w:rFonts w:asciiTheme="minorHAnsi" w:hAnsiTheme="minorHAnsi" w:cstheme="minorHAnsi"/>
          <w:b/>
          <w:sz w:val="28"/>
          <w:szCs w:val="28"/>
        </w:rPr>
      </w:pPr>
      <w:bookmarkStart w:id="58" w:name="_Toc428105774"/>
    </w:p>
    <w:p w:rsidR="004266C5" w:rsidRPr="005E1103" w:rsidRDefault="004266C5" w:rsidP="004266C5">
      <w:pPr>
        <w:pStyle w:val="Subttulo"/>
        <w:jc w:val="left"/>
        <w:rPr>
          <w:rFonts w:asciiTheme="minorHAnsi" w:hAnsiTheme="minorHAnsi" w:cstheme="minorHAnsi"/>
          <w:b/>
          <w:color w:val="FF00FF"/>
          <w:sz w:val="28"/>
          <w:szCs w:val="28"/>
        </w:rPr>
      </w:pPr>
      <w:r w:rsidRPr="005E1103">
        <w:rPr>
          <w:rFonts w:asciiTheme="minorHAnsi" w:hAnsiTheme="minorHAnsi" w:cstheme="minorHAnsi"/>
          <w:b/>
          <w:sz w:val="28"/>
          <w:szCs w:val="28"/>
        </w:rPr>
        <w:t>II- Objetivos generales y específicos</w:t>
      </w:r>
      <w:bookmarkEnd w:id="58"/>
      <w:r w:rsidRPr="005E1103">
        <w:rPr>
          <w:rFonts w:asciiTheme="minorHAnsi" w:hAnsiTheme="minorHAnsi" w:cstheme="minorHAnsi"/>
          <w:b/>
          <w:sz w:val="28"/>
          <w:szCs w:val="28"/>
        </w:rPr>
        <w:t xml:space="preserve"> </w:t>
      </w:r>
    </w:p>
    <w:p w:rsidR="004266C5" w:rsidRPr="005E1103" w:rsidRDefault="004266C5" w:rsidP="004266C5">
      <w:pPr>
        <w:pStyle w:val="Subttulo"/>
        <w:jc w:val="left"/>
        <w:rPr>
          <w:rFonts w:asciiTheme="minorHAnsi" w:hAnsiTheme="minorHAnsi" w:cstheme="minorHAnsi"/>
          <w:sz w:val="28"/>
          <w:szCs w:val="28"/>
        </w:rPr>
      </w:pPr>
    </w:p>
    <w:p w:rsidR="004266C5" w:rsidRPr="005E1103" w:rsidRDefault="004266C5" w:rsidP="004266C5">
      <w:pPr>
        <w:pStyle w:val="Subttulo"/>
        <w:jc w:val="left"/>
        <w:rPr>
          <w:rFonts w:asciiTheme="minorHAnsi" w:hAnsiTheme="minorHAnsi" w:cstheme="minorHAnsi"/>
          <w:sz w:val="28"/>
          <w:szCs w:val="28"/>
        </w:rPr>
      </w:pPr>
      <w:bookmarkStart w:id="59" w:name="_Toc428105775"/>
      <w:r w:rsidRPr="005E1103">
        <w:rPr>
          <w:rFonts w:asciiTheme="minorHAnsi" w:hAnsiTheme="minorHAnsi" w:cstheme="minorHAnsi"/>
          <w:sz w:val="28"/>
          <w:szCs w:val="28"/>
        </w:rPr>
        <w:t>Objetivo General</w:t>
      </w:r>
      <w:bookmarkEnd w:id="59"/>
    </w:p>
    <w:p w:rsidR="004266C5" w:rsidRPr="005E1103" w:rsidRDefault="004266C5" w:rsidP="004266C5">
      <w:pPr>
        <w:rPr>
          <w:rFonts w:cstheme="minorHAnsi"/>
          <w:sz w:val="28"/>
          <w:szCs w:val="28"/>
        </w:rPr>
      </w:pPr>
    </w:p>
    <w:p w:rsidR="004266C5" w:rsidRPr="005E1103" w:rsidRDefault="004266C5" w:rsidP="004266C5">
      <w:pPr>
        <w:rPr>
          <w:rFonts w:cstheme="minorHAnsi"/>
          <w:i/>
          <w:sz w:val="28"/>
          <w:szCs w:val="28"/>
        </w:rPr>
      </w:pPr>
      <w:r w:rsidRPr="005E1103">
        <w:rPr>
          <w:rFonts w:cstheme="minorHAnsi"/>
          <w:i/>
          <w:sz w:val="28"/>
          <w:szCs w:val="28"/>
        </w:rPr>
        <w:t>Analizar, describir y cuantificar la evolución  de la inclusión laboral de personas  con discapacidad intelectual, en las empresas participantes del programa “</w:t>
      </w:r>
      <w:r w:rsidRPr="005E1103">
        <w:rPr>
          <w:rFonts w:cstheme="minorHAnsi"/>
          <w:i/>
          <w:iCs/>
          <w:sz w:val="28"/>
          <w:szCs w:val="28"/>
        </w:rPr>
        <w:t xml:space="preserve">Empleo con Apoyo” </w:t>
      </w:r>
      <w:r w:rsidRPr="005E1103">
        <w:rPr>
          <w:rFonts w:cstheme="minorHAnsi"/>
          <w:i/>
          <w:sz w:val="28"/>
          <w:szCs w:val="28"/>
        </w:rPr>
        <w:t>de DISCAR,  en el mercado laboral ordinario por el período 1993-2015 en CABA y Provincia de Buenos Aires. Argentina</w:t>
      </w:r>
    </w:p>
    <w:p w:rsidR="004266C5" w:rsidRPr="005E1103" w:rsidRDefault="004266C5" w:rsidP="004266C5">
      <w:pPr>
        <w:pStyle w:val="Subttulo"/>
        <w:jc w:val="left"/>
        <w:rPr>
          <w:rFonts w:asciiTheme="minorHAnsi" w:hAnsiTheme="minorHAnsi" w:cstheme="minorHAnsi"/>
          <w:sz w:val="28"/>
          <w:szCs w:val="28"/>
        </w:rPr>
      </w:pPr>
    </w:p>
    <w:p w:rsidR="004266C5" w:rsidRPr="005E1103" w:rsidRDefault="004266C5" w:rsidP="004266C5">
      <w:pPr>
        <w:pStyle w:val="Subttulo"/>
        <w:jc w:val="left"/>
        <w:rPr>
          <w:rFonts w:asciiTheme="minorHAnsi" w:hAnsiTheme="minorHAnsi" w:cstheme="minorHAnsi"/>
          <w:sz w:val="28"/>
          <w:szCs w:val="28"/>
        </w:rPr>
      </w:pPr>
      <w:bookmarkStart w:id="60" w:name="_Toc428105776"/>
      <w:r w:rsidRPr="005E1103">
        <w:rPr>
          <w:rFonts w:asciiTheme="minorHAnsi" w:hAnsiTheme="minorHAnsi" w:cstheme="minorHAnsi"/>
          <w:sz w:val="28"/>
          <w:szCs w:val="28"/>
        </w:rPr>
        <w:t>Objetivos Específicos.</w:t>
      </w:r>
      <w:bookmarkEnd w:id="60"/>
    </w:p>
    <w:p w:rsidR="004266C5" w:rsidRPr="005E1103" w:rsidRDefault="004266C5" w:rsidP="004266C5">
      <w:pPr>
        <w:rPr>
          <w:rFonts w:cstheme="minorHAnsi"/>
          <w:sz w:val="28"/>
          <w:szCs w:val="28"/>
        </w:rPr>
      </w:pPr>
      <w:r w:rsidRPr="005E1103">
        <w:rPr>
          <w:rFonts w:cstheme="minorHAnsi"/>
          <w:sz w:val="28"/>
          <w:szCs w:val="28"/>
        </w:rPr>
        <w:t>En Argentina la investigación del programa de empleo con apoyo  es escasa, no existiendo hasta el momento estadísticas al respecto. De la lectura del tema podríamos mencionar la existencia de  estudios, artículos, informes, ponencias en simposios elaborados por las entidades que trabajan en el tema.</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lastRenderedPageBreak/>
        <w:t>Por lo mencionado anteriormente considero  de utilidad la presentación de la presente propuesta de investigación, mencionando a continuación los objetivos específicos.</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1. Relevar datos de cientos noventa personas con discapacidad intelectual participantes del programa empleo con apoyo y su inclusión en el mercado laboral ordinario durante el período 1993-2015 en CABA y Provincia de Buenos Aires.</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2- Clasificar y sistematizar los datos  relevados sobre personas con discapacidad intelectual que se desempeñan en empresas ordinarias con  empleo con apoyo durante el período 1993-2015 en CABA y Provincia de Buenos Aires.</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3. Analizar los resultados de la investigación de acuerdo  a los siguientes elementos a evaluar</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 xml:space="preserve">     3.1  Análisis cuantitativo y evolución de las personas con discapacidad intelectual incluidas en el mercado ordinario por medio del empleo con apoyo en CABA y Provincia de Buenos Aires, Argentina a partir de las variables: Datos del trabajador, datos de la empresa, puesto de trabajo que ocupa, seguimiento en la empresa.</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 xml:space="preserve">     3.2 Análisis de variables</w:t>
      </w:r>
    </w:p>
    <w:p w:rsidR="004266C5" w:rsidRPr="005E1103" w:rsidRDefault="004266C5" w:rsidP="004266C5">
      <w:pPr>
        <w:rPr>
          <w:rFonts w:cstheme="minorHAnsi"/>
          <w:sz w:val="28"/>
          <w:szCs w:val="28"/>
        </w:rPr>
      </w:pPr>
      <w:r w:rsidRPr="005E1103">
        <w:rPr>
          <w:rFonts w:cstheme="minorHAnsi"/>
          <w:sz w:val="28"/>
          <w:szCs w:val="28"/>
        </w:rPr>
        <w:t xml:space="preserve">              3.2.1 Variable de Apoyo al personal de la empresa por profesionales externos.</w:t>
      </w:r>
    </w:p>
    <w:p w:rsidR="004266C5" w:rsidRPr="005E1103" w:rsidRDefault="004266C5" w:rsidP="004266C5">
      <w:pPr>
        <w:rPr>
          <w:rFonts w:cstheme="minorHAnsi"/>
          <w:sz w:val="28"/>
          <w:szCs w:val="28"/>
        </w:rPr>
      </w:pPr>
      <w:r w:rsidRPr="005E1103">
        <w:rPr>
          <w:rFonts w:cstheme="minorHAnsi"/>
          <w:sz w:val="28"/>
          <w:szCs w:val="28"/>
        </w:rPr>
        <w:t xml:space="preserve">              3.2.2. Variable de Apoyo a los trabajadores con discapacidad por los compañeros  de trabajo.</w:t>
      </w:r>
    </w:p>
    <w:p w:rsidR="004266C5" w:rsidRPr="005E1103" w:rsidRDefault="004266C5" w:rsidP="004266C5">
      <w:pPr>
        <w:rPr>
          <w:rFonts w:cstheme="minorHAnsi"/>
          <w:sz w:val="28"/>
          <w:szCs w:val="28"/>
        </w:rPr>
      </w:pPr>
      <w:r w:rsidRPr="005E1103">
        <w:rPr>
          <w:rFonts w:cstheme="minorHAnsi"/>
          <w:sz w:val="28"/>
          <w:szCs w:val="28"/>
        </w:rPr>
        <w:t xml:space="preserve">              3.2.3. Variable sobre la Integración.</w:t>
      </w:r>
    </w:p>
    <w:p w:rsidR="004266C5" w:rsidRPr="005E1103" w:rsidRDefault="004266C5" w:rsidP="004266C5">
      <w:pPr>
        <w:rPr>
          <w:rFonts w:cstheme="minorHAnsi"/>
          <w:sz w:val="28"/>
          <w:szCs w:val="28"/>
        </w:rPr>
      </w:pPr>
      <w:r w:rsidRPr="005E1103">
        <w:rPr>
          <w:rFonts w:cstheme="minorHAnsi"/>
          <w:sz w:val="28"/>
          <w:szCs w:val="28"/>
        </w:rPr>
        <w:t xml:space="preserve">              3.2.4. Variable sobre calidad de vida.</w:t>
      </w:r>
    </w:p>
    <w:p w:rsidR="004266C5" w:rsidRPr="005E1103" w:rsidRDefault="004266C5" w:rsidP="004266C5">
      <w:pPr>
        <w:pStyle w:val="Subttulo"/>
        <w:jc w:val="left"/>
        <w:rPr>
          <w:rFonts w:asciiTheme="minorHAnsi" w:hAnsiTheme="minorHAnsi" w:cstheme="minorHAnsi"/>
          <w:b/>
          <w:sz w:val="28"/>
          <w:szCs w:val="28"/>
        </w:rPr>
      </w:pPr>
      <w:bookmarkStart w:id="61" w:name="_Toc428105777"/>
    </w:p>
    <w:p w:rsidR="004266C5" w:rsidRPr="005E1103" w:rsidRDefault="004266C5" w:rsidP="004266C5">
      <w:pPr>
        <w:pStyle w:val="Subttulo"/>
        <w:jc w:val="left"/>
        <w:rPr>
          <w:rFonts w:asciiTheme="minorHAnsi" w:hAnsiTheme="minorHAnsi" w:cstheme="minorHAnsi"/>
          <w:b/>
          <w:sz w:val="28"/>
          <w:szCs w:val="28"/>
        </w:rPr>
      </w:pPr>
      <w:r w:rsidRPr="005E1103">
        <w:rPr>
          <w:rFonts w:asciiTheme="minorHAnsi" w:hAnsiTheme="minorHAnsi" w:cstheme="minorHAnsi"/>
          <w:b/>
          <w:sz w:val="28"/>
          <w:szCs w:val="28"/>
        </w:rPr>
        <w:lastRenderedPageBreak/>
        <w:t>III- Marco Legal-conceptual</w:t>
      </w:r>
      <w:bookmarkEnd w:id="61"/>
      <w:r w:rsidRPr="005E1103">
        <w:rPr>
          <w:rFonts w:asciiTheme="minorHAnsi" w:hAnsiTheme="minorHAnsi" w:cstheme="minorHAnsi"/>
          <w:b/>
          <w:sz w:val="28"/>
          <w:szCs w:val="28"/>
        </w:rPr>
        <w:t xml:space="preserve"> </w:t>
      </w:r>
    </w:p>
    <w:p w:rsidR="004266C5" w:rsidRPr="005E1103" w:rsidRDefault="004266C5" w:rsidP="004266C5">
      <w:pPr>
        <w:autoSpaceDE w:val="0"/>
        <w:autoSpaceDN w:val="0"/>
        <w:adjustRightInd w:val="0"/>
        <w:rPr>
          <w:rFonts w:cstheme="minorHAnsi"/>
          <w:b/>
          <w:sz w:val="28"/>
          <w:szCs w:val="28"/>
          <w:u w:val="single"/>
        </w:rPr>
      </w:pPr>
    </w:p>
    <w:p w:rsidR="004266C5" w:rsidRPr="005E1103" w:rsidRDefault="004266C5" w:rsidP="004266C5">
      <w:pPr>
        <w:autoSpaceDE w:val="0"/>
        <w:autoSpaceDN w:val="0"/>
        <w:adjustRightInd w:val="0"/>
        <w:jc w:val="both"/>
        <w:rPr>
          <w:rFonts w:cstheme="minorHAnsi"/>
          <w:sz w:val="28"/>
          <w:szCs w:val="28"/>
          <w:lang w:eastAsia="ja-JP"/>
        </w:rPr>
      </w:pPr>
      <w:r w:rsidRPr="005E1103">
        <w:rPr>
          <w:rFonts w:cstheme="minorHAnsi"/>
          <w:bCs/>
          <w:sz w:val="28"/>
          <w:szCs w:val="28"/>
          <w:lang w:eastAsia="ja-JP"/>
        </w:rPr>
        <w:t>La Organización Internacional del Trabajo (OIT)</w:t>
      </w:r>
      <w:r w:rsidRPr="005E1103">
        <w:rPr>
          <w:rFonts w:cstheme="minorHAnsi"/>
          <w:sz w:val="28"/>
          <w:szCs w:val="28"/>
          <w:lang w:eastAsia="ja-JP"/>
        </w:rPr>
        <w:t xml:space="preserve"> señala que en el mundo, las personas con discapacidades participan y contribuyen al ámbito del trabajo en todos los niveles. Sin embargo, muchas de ellas que desean trabajar no tienen la oportunidad de hacerlo, pues se ven coartados por numerosos obstáculos. </w:t>
      </w:r>
    </w:p>
    <w:p w:rsidR="004266C5" w:rsidRPr="005E1103" w:rsidRDefault="004266C5" w:rsidP="004266C5">
      <w:pPr>
        <w:autoSpaceDE w:val="0"/>
        <w:autoSpaceDN w:val="0"/>
        <w:adjustRightInd w:val="0"/>
        <w:jc w:val="both"/>
        <w:rPr>
          <w:rFonts w:cstheme="minorHAnsi"/>
          <w:sz w:val="28"/>
          <w:szCs w:val="28"/>
          <w:lang w:eastAsia="ja-JP"/>
        </w:rPr>
      </w:pP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Definiciones conceptuales</w:t>
      </w:r>
    </w:p>
    <w:p w:rsidR="004266C5" w:rsidRPr="005E1103" w:rsidRDefault="004266C5" w:rsidP="004266C5">
      <w:pPr>
        <w:rPr>
          <w:rFonts w:cstheme="minorHAnsi"/>
          <w:b/>
          <w:sz w:val="28"/>
          <w:szCs w:val="28"/>
        </w:rPr>
      </w:pPr>
    </w:p>
    <w:p w:rsidR="004266C5" w:rsidRPr="005E1103" w:rsidRDefault="004266C5" w:rsidP="004266C5">
      <w:pPr>
        <w:rPr>
          <w:rFonts w:cstheme="minorHAnsi"/>
          <w:i/>
          <w:sz w:val="28"/>
          <w:szCs w:val="28"/>
        </w:rPr>
      </w:pPr>
      <w:r w:rsidRPr="005E1103">
        <w:rPr>
          <w:rFonts w:cstheme="minorHAnsi"/>
          <w:b/>
          <w:sz w:val="28"/>
          <w:szCs w:val="28"/>
        </w:rPr>
        <w:t xml:space="preserve">             </w:t>
      </w:r>
      <w:r w:rsidRPr="005E1103">
        <w:rPr>
          <w:rFonts w:cstheme="minorHAnsi"/>
          <w:sz w:val="28"/>
          <w:szCs w:val="28"/>
        </w:rPr>
        <w:t xml:space="preserve"> </w:t>
      </w:r>
      <w:r w:rsidRPr="005E1103">
        <w:rPr>
          <w:rFonts w:cstheme="minorHAnsi"/>
          <w:i/>
          <w:sz w:val="28"/>
          <w:szCs w:val="28"/>
        </w:rPr>
        <w:t>Discapacidad</w:t>
      </w:r>
    </w:p>
    <w:p w:rsidR="004266C5" w:rsidRPr="005E1103" w:rsidRDefault="004266C5" w:rsidP="004266C5">
      <w:pPr>
        <w:rPr>
          <w:rFonts w:cstheme="minorHAnsi"/>
          <w:b/>
          <w:sz w:val="28"/>
          <w:szCs w:val="28"/>
        </w:rPr>
      </w:pPr>
    </w:p>
    <w:p w:rsidR="004266C5" w:rsidRPr="005E1103" w:rsidRDefault="004266C5" w:rsidP="004266C5">
      <w:pPr>
        <w:rPr>
          <w:rFonts w:cstheme="minorHAnsi"/>
          <w:sz w:val="28"/>
          <w:szCs w:val="28"/>
        </w:rPr>
      </w:pPr>
      <w:r w:rsidRPr="005E1103">
        <w:rPr>
          <w:rFonts w:cstheme="minorHAnsi"/>
          <w:sz w:val="28"/>
          <w:szCs w:val="28"/>
        </w:rPr>
        <w:t>Desde los inicios de la humanidad las personas con discapacidad eran discriminadas, segregadas y maltratadas bajo conceptos y creencias de toda índole, más aún aquellas personas que sufrían de una discapacidad mental.</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La Edad Media se plantea como la etapa de una conducta cruel ante la persona con discapacidad mental, eran aislados, apartados, rechazados, encerrados y en algunos casos hasta temidos por el resto del grupo social, en algunas ocasiones eran severamente perseguidos y castigados.</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En las últimas décadas se generó un cambio importante en el paradigma del concepto de discapacidad e integración social, ya que en la actualidad se habla de las capacidades de las personas y no de sus “discapacidades”, surgiendo el  cambio a partir de  la interacción con el medio social, en búsqueda de su autonomía, integración social e igualdad de derechos y obligaciones.</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lastRenderedPageBreak/>
        <w:t>La Convención Internacional sobre los Derechos de las Personas con Discapacidad (CIDPD) expresa:</w:t>
      </w:r>
    </w:p>
    <w:p w:rsidR="004266C5" w:rsidRPr="005E1103" w:rsidRDefault="004266C5" w:rsidP="004266C5">
      <w:pPr>
        <w:autoSpaceDE w:val="0"/>
        <w:autoSpaceDN w:val="0"/>
        <w:adjustRightInd w:val="0"/>
        <w:jc w:val="both"/>
        <w:rPr>
          <w:rFonts w:cstheme="minorHAnsi"/>
          <w:color w:val="333333"/>
          <w:sz w:val="28"/>
          <w:szCs w:val="28"/>
          <w:shd w:val="clear" w:color="auto" w:fill="FFFFFF"/>
        </w:rPr>
      </w:pPr>
    </w:p>
    <w:p w:rsidR="004266C5" w:rsidRPr="005E1103" w:rsidRDefault="004266C5" w:rsidP="004266C5">
      <w:pPr>
        <w:autoSpaceDE w:val="0"/>
        <w:autoSpaceDN w:val="0"/>
        <w:adjustRightInd w:val="0"/>
        <w:jc w:val="both"/>
        <w:rPr>
          <w:rFonts w:cstheme="minorHAnsi"/>
          <w:sz w:val="28"/>
          <w:szCs w:val="28"/>
          <w:lang w:eastAsia="ja-JP"/>
        </w:rPr>
      </w:pPr>
      <w:r w:rsidRPr="005E1103">
        <w:rPr>
          <w:rFonts w:cstheme="minorHAnsi"/>
          <w:color w:val="333333"/>
          <w:sz w:val="28"/>
          <w:szCs w:val="28"/>
          <w:shd w:val="clear" w:color="auto" w:fill="FFFFFF"/>
        </w:rPr>
        <w:t xml:space="preserve">              “</w:t>
      </w:r>
      <w:r w:rsidRPr="005E1103">
        <w:rPr>
          <w:rFonts w:cstheme="minorHAnsi"/>
          <w:sz w:val="28"/>
          <w:szCs w:val="28"/>
          <w:lang w:eastAsia="ja-JP"/>
        </w:rPr>
        <w:t>Las personas con discapacidad incluyen a aquellas que tengan deficiencias físicas, mentales, intelectuales o sensoriales a largo plazo que, al interactuar con diversas barreras, puedan impedir su participación plena y efectiva en la sociedad, en igualdad de condiciones con las demás”. (ONU, 2006)</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 xml:space="preserve">                 </w:t>
      </w:r>
    </w:p>
    <w:p w:rsidR="004266C5" w:rsidRPr="005E1103" w:rsidRDefault="004266C5" w:rsidP="004266C5">
      <w:pPr>
        <w:rPr>
          <w:rFonts w:cstheme="minorHAnsi"/>
          <w:i/>
          <w:sz w:val="28"/>
          <w:szCs w:val="28"/>
        </w:rPr>
      </w:pPr>
      <w:r w:rsidRPr="005E1103">
        <w:rPr>
          <w:rFonts w:cstheme="minorHAnsi"/>
          <w:sz w:val="28"/>
          <w:szCs w:val="28"/>
        </w:rPr>
        <w:t xml:space="preserve">           </w:t>
      </w:r>
      <w:r w:rsidRPr="005E1103">
        <w:rPr>
          <w:rFonts w:cstheme="minorHAnsi"/>
          <w:i/>
          <w:sz w:val="28"/>
          <w:szCs w:val="28"/>
        </w:rPr>
        <w:t>Inclusión</w:t>
      </w:r>
    </w:p>
    <w:p w:rsidR="004266C5" w:rsidRPr="005E1103" w:rsidRDefault="004266C5" w:rsidP="004266C5">
      <w:pPr>
        <w:autoSpaceDE w:val="0"/>
        <w:autoSpaceDN w:val="0"/>
        <w:adjustRightInd w:val="0"/>
        <w:rPr>
          <w:rFonts w:cstheme="minorHAnsi"/>
          <w:color w:val="000000"/>
          <w:sz w:val="28"/>
          <w:szCs w:val="28"/>
          <w:u w:val="single"/>
          <w:lang w:eastAsia="es-AR"/>
        </w:rPr>
      </w:pPr>
    </w:p>
    <w:p w:rsidR="004266C5" w:rsidRPr="005E1103" w:rsidRDefault="004266C5" w:rsidP="004266C5">
      <w:pPr>
        <w:autoSpaceDE w:val="0"/>
        <w:autoSpaceDN w:val="0"/>
        <w:adjustRightInd w:val="0"/>
        <w:rPr>
          <w:rFonts w:cstheme="minorHAnsi"/>
          <w:color w:val="000000"/>
          <w:sz w:val="28"/>
          <w:szCs w:val="28"/>
          <w:lang w:eastAsia="es-AR"/>
        </w:rPr>
      </w:pPr>
      <w:r w:rsidRPr="005E1103">
        <w:rPr>
          <w:rFonts w:cstheme="minorHAnsi"/>
          <w:color w:val="000000"/>
          <w:sz w:val="28"/>
          <w:szCs w:val="28"/>
          <w:lang w:eastAsia="es-AR"/>
        </w:rPr>
        <w:t>Todas las personas con o sin discapacidad intelectual tienen el derecho de ser admitidos socialmente en el ámbito laboral, a valerse por sí mismo, a satisfacer necesidades psíquicas, y físicas a través de su labor cotidiana.</w:t>
      </w:r>
    </w:p>
    <w:p w:rsidR="004266C5" w:rsidRPr="005E1103" w:rsidRDefault="004266C5" w:rsidP="004266C5">
      <w:pPr>
        <w:autoSpaceDE w:val="0"/>
        <w:autoSpaceDN w:val="0"/>
        <w:adjustRightInd w:val="0"/>
        <w:rPr>
          <w:rFonts w:cstheme="minorHAnsi"/>
          <w:color w:val="000000"/>
          <w:sz w:val="28"/>
          <w:szCs w:val="28"/>
          <w:lang w:eastAsia="es-AR"/>
        </w:rPr>
      </w:pPr>
      <w:r w:rsidRPr="005E1103">
        <w:rPr>
          <w:rFonts w:cstheme="minorHAnsi"/>
          <w:color w:val="000000"/>
          <w:sz w:val="28"/>
          <w:szCs w:val="28"/>
          <w:lang w:eastAsia="es-AR"/>
        </w:rPr>
        <w:t xml:space="preserve"> </w:t>
      </w:r>
    </w:p>
    <w:p w:rsidR="004266C5" w:rsidRPr="005E1103" w:rsidRDefault="004266C5" w:rsidP="004266C5">
      <w:pPr>
        <w:autoSpaceDE w:val="0"/>
        <w:autoSpaceDN w:val="0"/>
        <w:adjustRightInd w:val="0"/>
        <w:rPr>
          <w:rFonts w:cstheme="minorHAnsi"/>
          <w:color w:val="000000"/>
          <w:sz w:val="28"/>
          <w:szCs w:val="28"/>
          <w:lang w:eastAsia="es-AR"/>
        </w:rPr>
      </w:pPr>
      <w:r w:rsidRPr="005E1103">
        <w:rPr>
          <w:rFonts w:cstheme="minorHAnsi"/>
          <w:color w:val="000000"/>
          <w:sz w:val="28"/>
          <w:szCs w:val="28"/>
          <w:lang w:eastAsia="es-AR"/>
        </w:rPr>
        <w:t xml:space="preserve"> Es obligación de la sociedad el poder brindarle a las personas con discapacidad los apoyos, recursos, insumos y servicios requeridos para lograrlo, y en esta obligación radica la esencia de la inclusión. </w:t>
      </w:r>
    </w:p>
    <w:p w:rsidR="004266C5" w:rsidRPr="005E1103" w:rsidRDefault="004266C5" w:rsidP="004266C5">
      <w:pPr>
        <w:autoSpaceDE w:val="0"/>
        <w:autoSpaceDN w:val="0"/>
        <w:adjustRightInd w:val="0"/>
        <w:rPr>
          <w:rFonts w:cstheme="minorHAnsi"/>
          <w:color w:val="000000"/>
          <w:sz w:val="28"/>
          <w:szCs w:val="28"/>
          <w:lang w:eastAsia="es-AR"/>
        </w:rPr>
      </w:pPr>
    </w:p>
    <w:p w:rsidR="004266C5" w:rsidRPr="005E1103" w:rsidRDefault="004266C5" w:rsidP="004266C5">
      <w:pPr>
        <w:autoSpaceDE w:val="0"/>
        <w:autoSpaceDN w:val="0"/>
        <w:adjustRightInd w:val="0"/>
        <w:rPr>
          <w:rFonts w:cstheme="minorHAnsi"/>
          <w:color w:val="000000"/>
          <w:sz w:val="28"/>
          <w:szCs w:val="28"/>
          <w:lang w:eastAsia="es-AR"/>
        </w:rPr>
      </w:pPr>
      <w:r w:rsidRPr="005E1103">
        <w:rPr>
          <w:rFonts w:cstheme="minorHAnsi"/>
          <w:color w:val="000000"/>
          <w:sz w:val="28"/>
          <w:szCs w:val="28"/>
          <w:lang w:eastAsia="es-AR"/>
        </w:rPr>
        <w:t>Se sostiene esta premisa como un objetivo inmediato para disminuir la discriminación de las personas con discapacidad intelectual.</w:t>
      </w:r>
    </w:p>
    <w:p w:rsidR="004266C5" w:rsidRPr="005E1103" w:rsidRDefault="004266C5" w:rsidP="004266C5">
      <w:pPr>
        <w:autoSpaceDE w:val="0"/>
        <w:autoSpaceDN w:val="0"/>
        <w:adjustRightInd w:val="0"/>
        <w:rPr>
          <w:rFonts w:cstheme="minorHAnsi"/>
          <w:color w:val="000000"/>
          <w:sz w:val="28"/>
          <w:szCs w:val="28"/>
          <w:lang w:eastAsia="es-AR"/>
        </w:rPr>
      </w:pPr>
    </w:p>
    <w:p w:rsidR="004266C5" w:rsidRPr="005E1103" w:rsidRDefault="004266C5" w:rsidP="004266C5">
      <w:pPr>
        <w:autoSpaceDE w:val="0"/>
        <w:autoSpaceDN w:val="0"/>
        <w:adjustRightInd w:val="0"/>
        <w:rPr>
          <w:rFonts w:cstheme="minorHAnsi"/>
          <w:color w:val="000000"/>
          <w:sz w:val="28"/>
          <w:szCs w:val="28"/>
          <w:lang w:eastAsia="es-AR"/>
        </w:rPr>
      </w:pPr>
      <w:r w:rsidRPr="005E1103">
        <w:rPr>
          <w:rFonts w:cstheme="minorHAnsi"/>
          <w:color w:val="000000"/>
          <w:sz w:val="28"/>
          <w:szCs w:val="28"/>
          <w:lang w:eastAsia="es-AR"/>
        </w:rPr>
        <w:t>Es fundamental que el Estado cumpla su función en este sentido por medio del ejercicio de políticas, medidas y programas que faciliten y promueven la escolaridad de las personas con discapacidad en sus diferentes niveles y brindar los apoyos en caso de ser necesario como un escalón previo y necesario  a la posibilidad de insertarse posteriormente en el mercado laboral.</w:t>
      </w:r>
    </w:p>
    <w:p w:rsidR="004266C5" w:rsidRPr="005E1103" w:rsidRDefault="004266C5" w:rsidP="004266C5">
      <w:pPr>
        <w:autoSpaceDE w:val="0"/>
        <w:autoSpaceDN w:val="0"/>
        <w:adjustRightInd w:val="0"/>
        <w:rPr>
          <w:rFonts w:cstheme="minorHAnsi"/>
          <w:color w:val="000000"/>
          <w:sz w:val="28"/>
          <w:szCs w:val="28"/>
          <w:lang w:eastAsia="es-AR"/>
        </w:rPr>
      </w:pPr>
    </w:p>
    <w:p w:rsidR="004266C5" w:rsidRPr="005E1103" w:rsidRDefault="004266C5" w:rsidP="004266C5">
      <w:pPr>
        <w:autoSpaceDE w:val="0"/>
        <w:autoSpaceDN w:val="0"/>
        <w:adjustRightInd w:val="0"/>
        <w:rPr>
          <w:rFonts w:cstheme="minorHAnsi"/>
          <w:color w:val="000000"/>
          <w:sz w:val="28"/>
          <w:szCs w:val="28"/>
          <w:lang w:eastAsia="es-AR"/>
        </w:rPr>
      </w:pPr>
      <w:r w:rsidRPr="005E1103">
        <w:rPr>
          <w:rFonts w:cstheme="minorHAnsi"/>
          <w:color w:val="000000"/>
          <w:sz w:val="28"/>
          <w:szCs w:val="28"/>
          <w:lang w:eastAsia="es-AR"/>
        </w:rPr>
        <w:lastRenderedPageBreak/>
        <w:t>El artículo 19 de la Resolución 61/106 aprobada por la Asamblea General de las Naciones Unidas propuesta por la Convención sobre los derechos de las personas con discapacidad, establece el derecho a:</w:t>
      </w:r>
    </w:p>
    <w:p w:rsidR="004266C5" w:rsidRPr="005E1103" w:rsidRDefault="004266C5" w:rsidP="004266C5">
      <w:pPr>
        <w:autoSpaceDE w:val="0"/>
        <w:autoSpaceDN w:val="0"/>
        <w:adjustRightInd w:val="0"/>
        <w:rPr>
          <w:rFonts w:cstheme="minorHAnsi"/>
          <w:color w:val="000000"/>
          <w:sz w:val="28"/>
          <w:szCs w:val="28"/>
          <w:lang w:eastAsia="es-AR"/>
        </w:rPr>
      </w:pPr>
    </w:p>
    <w:p w:rsidR="004266C5" w:rsidRPr="005E1103" w:rsidRDefault="004266C5" w:rsidP="004266C5">
      <w:pPr>
        <w:numPr>
          <w:ilvl w:val="0"/>
          <w:numId w:val="78"/>
        </w:numPr>
        <w:autoSpaceDE w:val="0"/>
        <w:autoSpaceDN w:val="0"/>
        <w:adjustRightInd w:val="0"/>
        <w:spacing w:after="0" w:line="240" w:lineRule="auto"/>
        <w:ind w:firstLine="0"/>
        <w:rPr>
          <w:rFonts w:cstheme="minorHAnsi"/>
          <w:color w:val="000000"/>
          <w:sz w:val="28"/>
          <w:szCs w:val="28"/>
          <w:lang w:eastAsia="es-AR"/>
        </w:rPr>
      </w:pPr>
      <w:r w:rsidRPr="005E1103">
        <w:rPr>
          <w:rFonts w:cstheme="minorHAnsi"/>
          <w:color w:val="000000"/>
          <w:sz w:val="28"/>
          <w:szCs w:val="28"/>
          <w:lang w:eastAsia="es-AR"/>
        </w:rPr>
        <w:t>Vivir en forma independiente y a ser incluido en la comunidad en igualdad de condiciones adoptando las medidas que sean necesarias a fin de facilitar el cumplimiento de dichos derechos.</w:t>
      </w:r>
    </w:p>
    <w:p w:rsidR="004266C5" w:rsidRPr="005E1103" w:rsidRDefault="004266C5" w:rsidP="004266C5">
      <w:pPr>
        <w:autoSpaceDE w:val="0"/>
        <w:autoSpaceDN w:val="0"/>
        <w:adjustRightInd w:val="0"/>
        <w:ind w:left="765"/>
        <w:rPr>
          <w:rFonts w:cstheme="minorHAnsi"/>
          <w:color w:val="000000"/>
          <w:sz w:val="28"/>
          <w:szCs w:val="28"/>
          <w:lang w:eastAsia="es-AR"/>
        </w:rPr>
      </w:pPr>
    </w:p>
    <w:p w:rsidR="004266C5" w:rsidRPr="005E1103" w:rsidRDefault="004266C5" w:rsidP="004266C5">
      <w:pPr>
        <w:numPr>
          <w:ilvl w:val="0"/>
          <w:numId w:val="78"/>
        </w:numPr>
        <w:autoSpaceDE w:val="0"/>
        <w:autoSpaceDN w:val="0"/>
        <w:adjustRightInd w:val="0"/>
        <w:spacing w:after="0" w:line="240" w:lineRule="auto"/>
        <w:ind w:firstLine="0"/>
        <w:rPr>
          <w:rFonts w:cstheme="minorHAnsi"/>
          <w:color w:val="000000"/>
          <w:sz w:val="28"/>
          <w:szCs w:val="28"/>
          <w:lang w:eastAsia="es-AR"/>
        </w:rPr>
      </w:pPr>
      <w:r w:rsidRPr="005E1103">
        <w:rPr>
          <w:rFonts w:cstheme="minorHAnsi"/>
          <w:color w:val="000000"/>
          <w:sz w:val="28"/>
          <w:szCs w:val="28"/>
          <w:lang w:eastAsia="es-AR"/>
        </w:rPr>
        <w:t>No permitirles el ejercicio de actividades, no ser excluidos o no ser discriminado en sus diferentes acepciones.</w:t>
      </w:r>
    </w:p>
    <w:p w:rsidR="004266C5" w:rsidRPr="005E1103" w:rsidRDefault="004266C5" w:rsidP="004266C5">
      <w:pPr>
        <w:autoSpaceDE w:val="0"/>
        <w:autoSpaceDN w:val="0"/>
        <w:adjustRightInd w:val="0"/>
        <w:rPr>
          <w:rFonts w:cstheme="minorHAnsi"/>
          <w:color w:val="000000"/>
          <w:sz w:val="28"/>
          <w:szCs w:val="28"/>
          <w:lang w:eastAsia="es-AR"/>
        </w:rPr>
      </w:pPr>
    </w:p>
    <w:p w:rsidR="004266C5" w:rsidRPr="005E1103" w:rsidRDefault="004266C5" w:rsidP="004266C5">
      <w:pPr>
        <w:autoSpaceDE w:val="0"/>
        <w:autoSpaceDN w:val="0"/>
        <w:adjustRightInd w:val="0"/>
        <w:rPr>
          <w:rFonts w:cstheme="minorHAnsi"/>
          <w:color w:val="000000"/>
          <w:sz w:val="28"/>
          <w:szCs w:val="28"/>
          <w:lang w:eastAsia="es-AR"/>
        </w:rPr>
      </w:pPr>
    </w:p>
    <w:p w:rsidR="004266C5" w:rsidRPr="005E1103" w:rsidRDefault="004266C5" w:rsidP="004266C5">
      <w:pPr>
        <w:numPr>
          <w:ilvl w:val="0"/>
          <w:numId w:val="78"/>
        </w:numPr>
        <w:autoSpaceDE w:val="0"/>
        <w:autoSpaceDN w:val="0"/>
        <w:adjustRightInd w:val="0"/>
        <w:spacing w:after="0" w:line="240" w:lineRule="auto"/>
        <w:ind w:firstLine="0"/>
        <w:rPr>
          <w:rFonts w:cstheme="minorHAnsi"/>
          <w:color w:val="000000"/>
          <w:sz w:val="28"/>
          <w:szCs w:val="28"/>
          <w:lang w:eastAsia="es-AR"/>
        </w:rPr>
      </w:pPr>
      <w:r w:rsidRPr="005E1103">
        <w:rPr>
          <w:rFonts w:cstheme="minorHAnsi"/>
          <w:color w:val="000000"/>
          <w:sz w:val="28"/>
          <w:szCs w:val="28"/>
          <w:lang w:eastAsia="es-AR"/>
        </w:rPr>
        <w:t>Gozar de la igualdad que fluye de los derechos humanos y de las libertades inherentes a los mismos.</w:t>
      </w:r>
    </w:p>
    <w:p w:rsidR="004266C5" w:rsidRPr="005E1103" w:rsidRDefault="004266C5" w:rsidP="004266C5">
      <w:pPr>
        <w:autoSpaceDE w:val="0"/>
        <w:autoSpaceDN w:val="0"/>
        <w:adjustRightInd w:val="0"/>
        <w:ind w:left="765"/>
        <w:rPr>
          <w:rFonts w:cstheme="minorHAnsi"/>
          <w:color w:val="000000"/>
          <w:sz w:val="28"/>
          <w:szCs w:val="28"/>
          <w:lang w:eastAsia="es-AR"/>
        </w:rPr>
      </w:pPr>
    </w:p>
    <w:p w:rsidR="004266C5" w:rsidRPr="005E1103" w:rsidRDefault="004266C5" w:rsidP="004266C5">
      <w:pPr>
        <w:rPr>
          <w:rFonts w:cstheme="minorHAnsi"/>
          <w:sz w:val="28"/>
          <w:szCs w:val="28"/>
        </w:rPr>
      </w:pPr>
      <w:r w:rsidRPr="005E1103">
        <w:rPr>
          <w:rFonts w:cstheme="minorHAnsi"/>
          <w:sz w:val="28"/>
          <w:szCs w:val="28"/>
        </w:rPr>
        <w:t xml:space="preserve">Cualquier persona aspira a encontrar un trabajo, sentirse útil y poder solventarse económicamente. </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La inclusión en el mundo laboral es una meta buscada por cualquier ser humano tenga o no discapacidad intelectual.</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El contexto y medio social, la participación de familiares, amigos, profesionales, personas que ejercen la función de apoyos podrían  suavizar, disminuir y minimizar dicha discapacidad asumiendo su rol de ayuda para con la otra persona.</w:t>
      </w:r>
    </w:p>
    <w:p w:rsidR="004266C5" w:rsidRPr="005E1103" w:rsidRDefault="004266C5" w:rsidP="004266C5">
      <w:pPr>
        <w:rPr>
          <w:rFonts w:cstheme="minorHAnsi"/>
          <w:b/>
          <w:sz w:val="28"/>
          <w:szCs w:val="28"/>
        </w:rPr>
      </w:pPr>
    </w:p>
    <w:p w:rsidR="004266C5" w:rsidRPr="005E1103" w:rsidRDefault="004266C5" w:rsidP="004266C5">
      <w:pPr>
        <w:autoSpaceDE w:val="0"/>
        <w:autoSpaceDN w:val="0"/>
        <w:adjustRightInd w:val="0"/>
        <w:rPr>
          <w:rFonts w:cstheme="minorHAnsi"/>
          <w:b/>
          <w:color w:val="000000"/>
          <w:sz w:val="28"/>
          <w:szCs w:val="28"/>
          <w:lang w:eastAsia="es-AR"/>
        </w:rPr>
      </w:pPr>
    </w:p>
    <w:p w:rsidR="004266C5" w:rsidRPr="005E1103" w:rsidRDefault="004266C5" w:rsidP="004266C5">
      <w:pPr>
        <w:rPr>
          <w:rFonts w:cstheme="minorHAnsi"/>
          <w:i/>
          <w:sz w:val="28"/>
          <w:szCs w:val="28"/>
        </w:rPr>
      </w:pPr>
      <w:r w:rsidRPr="005E1103">
        <w:rPr>
          <w:rFonts w:cstheme="minorHAnsi"/>
          <w:i/>
          <w:sz w:val="28"/>
          <w:szCs w:val="28"/>
        </w:rPr>
        <w:t xml:space="preserve">              Estado de situación en Argentina:</w:t>
      </w:r>
    </w:p>
    <w:p w:rsidR="004266C5" w:rsidRPr="005E1103" w:rsidRDefault="004266C5" w:rsidP="004266C5">
      <w:pPr>
        <w:rPr>
          <w:rFonts w:cstheme="minorHAnsi"/>
          <w:b/>
          <w:sz w:val="28"/>
          <w:szCs w:val="28"/>
        </w:rPr>
      </w:pPr>
    </w:p>
    <w:p w:rsidR="004266C5" w:rsidRPr="005E1103" w:rsidRDefault="004266C5" w:rsidP="004266C5">
      <w:pPr>
        <w:rPr>
          <w:rFonts w:cstheme="minorHAnsi"/>
          <w:i/>
          <w:sz w:val="28"/>
          <w:szCs w:val="28"/>
        </w:rPr>
      </w:pPr>
      <w:r w:rsidRPr="005E1103">
        <w:rPr>
          <w:rFonts w:cstheme="minorHAnsi"/>
          <w:sz w:val="28"/>
          <w:szCs w:val="28"/>
        </w:rPr>
        <w:t>El empleo con apoyo es un programa de inserción laboral en el mercado ordinario de trabajo orientado a personas con diferentes discapacidades.</w:t>
      </w:r>
    </w:p>
    <w:p w:rsidR="004266C5" w:rsidRPr="005E1103" w:rsidRDefault="004266C5" w:rsidP="004266C5">
      <w:pPr>
        <w:rPr>
          <w:rFonts w:cstheme="minorHAnsi"/>
          <w:i/>
          <w:sz w:val="28"/>
          <w:szCs w:val="28"/>
        </w:rPr>
      </w:pPr>
    </w:p>
    <w:p w:rsidR="004266C5" w:rsidRPr="005E1103" w:rsidRDefault="004266C5" w:rsidP="004266C5">
      <w:pPr>
        <w:rPr>
          <w:rFonts w:cstheme="minorHAnsi"/>
          <w:sz w:val="28"/>
          <w:szCs w:val="28"/>
        </w:rPr>
      </w:pPr>
      <w:r w:rsidRPr="005E1103">
        <w:rPr>
          <w:rFonts w:cstheme="minorHAnsi"/>
          <w:sz w:val="28"/>
          <w:szCs w:val="28"/>
        </w:rPr>
        <w:t>En Argentina se implementó a partir de 90, y localmente se desarrolla a través de Fundación DISCAR, que desarrolla este programa bajo este diseño de seguimiento durante toda la vida laboral del trabajador.</w:t>
      </w:r>
    </w:p>
    <w:p w:rsidR="004266C5" w:rsidRPr="005E1103" w:rsidRDefault="004266C5" w:rsidP="004266C5">
      <w:pPr>
        <w:pStyle w:val="Ttulo1"/>
        <w:jc w:val="both"/>
        <w:rPr>
          <w:rFonts w:asciiTheme="minorHAnsi" w:hAnsiTheme="minorHAnsi" w:cstheme="minorHAnsi"/>
          <w:b w:val="0"/>
        </w:rPr>
      </w:pPr>
      <w:r w:rsidRPr="005E1103">
        <w:rPr>
          <w:rFonts w:asciiTheme="minorHAnsi" w:hAnsiTheme="minorHAnsi" w:cstheme="minorHAnsi"/>
          <w:b w:val="0"/>
          <w:bCs w:val="0"/>
        </w:rPr>
        <w:t>L</w:t>
      </w:r>
      <w:r w:rsidRPr="005E1103">
        <w:rPr>
          <w:rFonts w:asciiTheme="minorHAnsi" w:hAnsiTheme="minorHAnsi" w:cstheme="minorHAnsi"/>
          <w:b w:val="0"/>
        </w:rPr>
        <w:t>a Constitución Nacional  hace mención  en el inciso 23 del artículo 75 a la obligación de legislar y promover medidas de acción positiva que garanticen la igualdad de opotunidades a todos los ciudadanos de la sociedad  y establece:</w:t>
      </w:r>
    </w:p>
    <w:p w:rsidR="004266C5" w:rsidRPr="005E1103" w:rsidRDefault="004266C5" w:rsidP="004266C5">
      <w:pPr>
        <w:pStyle w:val="Ttulo1"/>
        <w:jc w:val="both"/>
        <w:rPr>
          <w:rFonts w:asciiTheme="minorHAnsi" w:hAnsiTheme="minorHAnsi" w:cstheme="minorHAnsi"/>
          <w:b w:val="0"/>
          <w:i/>
          <w:color w:val="333333"/>
          <w:shd w:val="clear" w:color="auto" w:fill="FFFFFF"/>
        </w:rPr>
      </w:pPr>
      <w:r w:rsidRPr="005E1103">
        <w:rPr>
          <w:rFonts w:asciiTheme="minorHAnsi" w:hAnsiTheme="minorHAnsi" w:cstheme="minorHAnsi"/>
          <w:b w:val="0"/>
          <w:i/>
          <w:color w:val="000000"/>
          <w:shd w:val="clear" w:color="auto" w:fill="FFFFFF"/>
        </w:rPr>
        <w:t xml:space="preserve">                  “Legislar y promover medidas de acción positivas que garanticen la igualdad real de oportunidades y de trato, y el pleno goce y ejercicio de los derechos reconocidos por esta Constitución y por los tratados internacionales vigentes sobre derechos de los niños, las mujeres, los ancianos y las personas con discapacidad. Dictar un régimen de seguridad social especial e integral en protección del niño en</w:t>
      </w:r>
      <w:r w:rsidRPr="005E1103">
        <w:rPr>
          <w:rFonts w:asciiTheme="minorHAnsi" w:hAnsiTheme="minorHAnsi" w:cstheme="minorHAnsi"/>
          <w:b w:val="0"/>
          <w:i/>
          <w:color w:val="333333"/>
          <w:shd w:val="clear" w:color="auto" w:fill="FFFFFF"/>
        </w:rPr>
        <w:t xml:space="preserve"> </w:t>
      </w:r>
      <w:r w:rsidRPr="005E1103">
        <w:rPr>
          <w:rFonts w:asciiTheme="minorHAnsi" w:hAnsiTheme="minorHAnsi" w:cstheme="minorHAnsi"/>
          <w:b w:val="0"/>
          <w:i/>
          <w:color w:val="000000"/>
          <w:shd w:val="clear" w:color="auto" w:fill="FFFFFF"/>
        </w:rPr>
        <w:t>situación de desamparo, desde el embarazo hasta la finalización del periodo de enseñanza elemental, y la madre durante el embarazo y el tiempo de lactancia.”</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En 1966 se funda CILSA, Organización No Gubernamental de bien público en Santa Fe, siendo el propósito principal promover la integración de personas provenientes de los sectores más vulnerables. Es la entidad asesora de Adecco organización que se compromete a lograr la integración e igualdad en el ámbito laboral en los grupos vulnerables como discapacidades.</w:t>
      </w:r>
    </w:p>
    <w:p w:rsidR="004266C5" w:rsidRPr="005E1103" w:rsidRDefault="004266C5" w:rsidP="004266C5">
      <w:pPr>
        <w:pStyle w:val="Ttulo1"/>
        <w:jc w:val="both"/>
        <w:rPr>
          <w:rFonts w:asciiTheme="minorHAnsi" w:hAnsiTheme="minorHAnsi" w:cstheme="minorHAnsi"/>
          <w:b w:val="0"/>
        </w:rPr>
      </w:pPr>
      <w:r w:rsidRPr="005E1103">
        <w:rPr>
          <w:rFonts w:asciiTheme="minorHAnsi" w:hAnsiTheme="minorHAnsi" w:cstheme="minorHAnsi"/>
          <w:b w:val="0"/>
        </w:rPr>
        <w:t xml:space="preserve">En el año 1981 surge el “Sistema de Protección Integral de los Discapacitados”, sancionado por medio de la </w:t>
      </w:r>
      <w:r w:rsidRPr="005E1103">
        <w:rPr>
          <w:rFonts w:asciiTheme="minorHAnsi" w:hAnsiTheme="minorHAnsi" w:cstheme="minorHAnsi"/>
          <w:b w:val="0"/>
          <w:i/>
        </w:rPr>
        <w:t>Ley 22431</w:t>
      </w:r>
      <w:r w:rsidRPr="005E1103">
        <w:rPr>
          <w:rFonts w:asciiTheme="minorHAnsi" w:hAnsiTheme="minorHAnsi" w:cstheme="minorHAnsi"/>
          <w:b w:val="0"/>
        </w:rPr>
        <w:t xml:space="preserve"> cuyo objetivo fundamental es la protección de las personas con discapacidad por medio de generar el cumplimiento de los derechos básicos de educación, salud y la posibilidad de integración laboral buscando los apoyos necesarios para lograr la inclusión.</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lastRenderedPageBreak/>
        <w:t xml:space="preserve">Argentina ratifica en abril de 1987 el Convenio de la OIT, pero como consecuencia de ello el Estado es poco lo que se desarrolló al respecto. </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La  Ley 22431 “Sistema de Protección Integral de Discapacitados”,  en Capítulo II. Trabajo y educación  en su artículo 8 enuncia:</w:t>
      </w:r>
    </w:p>
    <w:p w:rsidR="004266C5" w:rsidRPr="005E1103" w:rsidRDefault="004266C5" w:rsidP="004266C5">
      <w:pPr>
        <w:rPr>
          <w:rFonts w:cstheme="minorHAnsi"/>
          <w:sz w:val="28"/>
          <w:szCs w:val="28"/>
        </w:rPr>
      </w:pPr>
    </w:p>
    <w:p w:rsidR="004266C5" w:rsidRPr="005E1103" w:rsidRDefault="004266C5" w:rsidP="004266C5">
      <w:pPr>
        <w:pStyle w:val="Default"/>
        <w:rPr>
          <w:rFonts w:asciiTheme="minorHAnsi" w:hAnsiTheme="minorHAnsi" w:cstheme="minorHAnsi"/>
          <w:sz w:val="28"/>
          <w:szCs w:val="28"/>
        </w:rPr>
      </w:pPr>
      <w:r w:rsidRPr="005E1103">
        <w:rPr>
          <w:rFonts w:asciiTheme="minorHAnsi" w:hAnsiTheme="minorHAnsi" w:cstheme="minorHAnsi"/>
          <w:color w:val="auto"/>
          <w:sz w:val="28"/>
          <w:szCs w:val="28"/>
        </w:rPr>
        <w:t xml:space="preserve"> “El Estado Nacional, sus Organismos descentralizados o autárquicos</w:t>
      </w:r>
      <w:r w:rsidRPr="005E1103">
        <w:rPr>
          <w:rFonts w:asciiTheme="minorHAnsi" w:hAnsiTheme="minorHAnsi" w:cstheme="minorHAnsi"/>
          <w:sz w:val="28"/>
          <w:szCs w:val="28"/>
        </w:rPr>
        <w:t xml:space="preserve">, los entes públicos no estatales, las empresas del Estado y la Municipalidad de la Ciudad de Buenos Aires, están obligados a ocupar personas discapacitadas que reúnan condiciones de idoneidad para el cargo, en una proporción no inferior al cuatro por ciento (4%) de la totalidad de su personal”. </w:t>
      </w:r>
    </w:p>
    <w:p w:rsidR="004266C5" w:rsidRPr="005E1103" w:rsidRDefault="004266C5" w:rsidP="004266C5">
      <w:pPr>
        <w:pStyle w:val="Default"/>
        <w:rPr>
          <w:rFonts w:asciiTheme="minorHAnsi" w:hAnsiTheme="minorHAnsi" w:cstheme="minorHAnsi"/>
          <w:sz w:val="28"/>
          <w:szCs w:val="28"/>
        </w:rPr>
      </w:pPr>
    </w:p>
    <w:p w:rsidR="004266C5" w:rsidRPr="005E1103" w:rsidRDefault="004266C5" w:rsidP="004266C5">
      <w:pPr>
        <w:pStyle w:val="Default"/>
        <w:rPr>
          <w:rFonts w:asciiTheme="minorHAnsi" w:hAnsiTheme="minorHAnsi" w:cstheme="minorHAnsi"/>
          <w:sz w:val="28"/>
          <w:szCs w:val="28"/>
        </w:rPr>
      </w:pPr>
      <w:r w:rsidRPr="005E1103">
        <w:rPr>
          <w:rFonts w:asciiTheme="minorHAnsi" w:hAnsiTheme="minorHAnsi" w:cstheme="minorHAnsi"/>
          <w:sz w:val="28"/>
          <w:szCs w:val="28"/>
        </w:rPr>
        <w:t>Incorporando en su artículo 5</w:t>
      </w:r>
    </w:p>
    <w:p w:rsidR="004266C5" w:rsidRPr="005E1103" w:rsidRDefault="004266C5" w:rsidP="004266C5">
      <w:pPr>
        <w:pStyle w:val="Default"/>
        <w:rPr>
          <w:rFonts w:asciiTheme="minorHAnsi" w:hAnsiTheme="minorHAnsi" w:cstheme="minorHAnsi"/>
          <w:sz w:val="28"/>
          <w:szCs w:val="28"/>
        </w:rPr>
      </w:pPr>
    </w:p>
    <w:p w:rsidR="004266C5" w:rsidRPr="005E1103" w:rsidRDefault="004266C5" w:rsidP="004266C5">
      <w:pPr>
        <w:pStyle w:val="Default"/>
        <w:rPr>
          <w:rFonts w:asciiTheme="minorHAnsi" w:hAnsiTheme="minorHAnsi" w:cstheme="minorHAnsi"/>
          <w:sz w:val="28"/>
          <w:szCs w:val="28"/>
        </w:rPr>
      </w:pPr>
      <w:r w:rsidRPr="005E1103">
        <w:rPr>
          <w:rFonts w:asciiTheme="minorHAnsi" w:hAnsiTheme="minorHAnsi" w:cstheme="minorHAnsi"/>
          <w:sz w:val="28"/>
          <w:szCs w:val="28"/>
        </w:rPr>
        <w:t xml:space="preserve"> “Se consultará a las organizaciones representativas de empleadores y de trabajadores sobre la aplicación de dicha política y, en particular, sobre las medidas que deben adoptarse para promover la cooperación y la coordinación entre los organismos públicos y privados que participan en actividades de readaptación profesional. Se consultará asimismo a las organizaciones representativas constituidas por personas inválidas o que se ocupan de dichas personas.” </w:t>
      </w:r>
    </w:p>
    <w:p w:rsidR="004266C5" w:rsidRPr="005E1103" w:rsidRDefault="004266C5" w:rsidP="004266C5">
      <w:pPr>
        <w:pStyle w:val="Default"/>
        <w:rPr>
          <w:rFonts w:asciiTheme="minorHAnsi" w:hAnsiTheme="minorHAnsi" w:cstheme="minorHAnsi"/>
          <w:sz w:val="28"/>
          <w:szCs w:val="28"/>
        </w:rPr>
      </w:pPr>
    </w:p>
    <w:p w:rsidR="004266C5" w:rsidRPr="005E1103" w:rsidRDefault="004266C5" w:rsidP="004266C5">
      <w:pPr>
        <w:pStyle w:val="Default"/>
        <w:rPr>
          <w:rFonts w:asciiTheme="minorHAnsi" w:hAnsiTheme="minorHAnsi" w:cstheme="minorHAnsi"/>
          <w:sz w:val="28"/>
          <w:szCs w:val="28"/>
        </w:rPr>
      </w:pPr>
      <w:r w:rsidRPr="005E1103">
        <w:rPr>
          <w:rFonts w:asciiTheme="minorHAnsi" w:hAnsiTheme="minorHAnsi" w:cstheme="minorHAnsi"/>
          <w:sz w:val="28"/>
          <w:szCs w:val="28"/>
        </w:rPr>
        <w:t>La Secretaría de Estado de Salud Pública debe certificar la existencia, naturaleza y grado de discapacidad y es así que en 11/2001 implementa el “Certificado ünico de Discapacidad (CUD), documento público y gratuito con validez nacional.</w:t>
      </w:r>
    </w:p>
    <w:p w:rsidR="004266C5" w:rsidRPr="005E1103" w:rsidRDefault="004266C5" w:rsidP="004266C5">
      <w:pPr>
        <w:pStyle w:val="Default"/>
        <w:rPr>
          <w:rFonts w:asciiTheme="minorHAnsi" w:hAnsiTheme="minorHAnsi" w:cstheme="minorHAnsi"/>
          <w:sz w:val="28"/>
          <w:szCs w:val="28"/>
        </w:rPr>
      </w:pPr>
    </w:p>
    <w:p w:rsidR="004266C5" w:rsidRPr="005E1103" w:rsidRDefault="004266C5" w:rsidP="004266C5">
      <w:pPr>
        <w:pStyle w:val="Default"/>
        <w:rPr>
          <w:rFonts w:asciiTheme="minorHAnsi" w:hAnsiTheme="minorHAnsi" w:cstheme="minorHAnsi"/>
          <w:sz w:val="28"/>
          <w:szCs w:val="28"/>
        </w:rPr>
      </w:pPr>
      <w:r w:rsidRPr="005E1103">
        <w:rPr>
          <w:rFonts w:asciiTheme="minorHAnsi" w:hAnsiTheme="minorHAnsi" w:cstheme="minorHAnsi"/>
          <w:sz w:val="28"/>
          <w:szCs w:val="28"/>
        </w:rPr>
        <w:t>Este documento permite llevar un registro de la existencia de personas con discapacidad ante la ausencia de un registro y le permite acceder a beneficios médicos, laborales y  asistenciales.</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La Comisión Nacional Asesora para la Integración de personas con Discapacidad (CONADIS) es un órgano nacional que controla  algunas acciones de distintos Ministerios, Organismos públicos y Organizaciones No Gubernamentales facilitando  Políticas Nacionales de Prevención e igualdad de oportunidades.</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Por otra parte El Consejo Federal de Discapacidad se encuentra integrado por funcionarios  versados en la materia  en todo el país y representantes de organizaciones no gubernamentales para personas con discapacidad.</w:t>
      </w:r>
    </w:p>
    <w:p w:rsidR="004266C5" w:rsidRPr="005E1103" w:rsidRDefault="004266C5" w:rsidP="004266C5">
      <w:pPr>
        <w:rPr>
          <w:rFonts w:cstheme="minorHAnsi"/>
          <w:sz w:val="28"/>
          <w:szCs w:val="28"/>
        </w:rPr>
      </w:pPr>
    </w:p>
    <w:p w:rsidR="004266C5" w:rsidRPr="005E1103" w:rsidRDefault="004266C5" w:rsidP="004266C5">
      <w:pPr>
        <w:jc w:val="both"/>
        <w:rPr>
          <w:rFonts w:cstheme="minorHAnsi"/>
          <w:sz w:val="28"/>
          <w:szCs w:val="28"/>
        </w:rPr>
      </w:pPr>
      <w:r w:rsidRPr="005E1103">
        <w:rPr>
          <w:rFonts w:cstheme="minorHAnsi"/>
          <w:sz w:val="28"/>
          <w:szCs w:val="28"/>
        </w:rPr>
        <w:t xml:space="preserve">Por medio de la </w:t>
      </w:r>
      <w:r w:rsidRPr="005E1103">
        <w:rPr>
          <w:rFonts w:cstheme="minorHAnsi"/>
          <w:i/>
          <w:sz w:val="28"/>
          <w:szCs w:val="28"/>
        </w:rPr>
        <w:t>Ley 23462</w:t>
      </w:r>
      <w:r w:rsidRPr="005E1103">
        <w:rPr>
          <w:rFonts w:cstheme="minorHAnsi"/>
          <w:sz w:val="28"/>
          <w:szCs w:val="28"/>
        </w:rPr>
        <w:t xml:space="preserve"> se aprueba el Convenio 159 de la Organización Internacional del Trabajo (Convenio de Readaptación Profesional y Empleo de Personas inválidas) que busca que las autoridades competentes adopten medidas para la formación profesional y el desarrollo de las personas inválidas.</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A partir de la sanción de la Ley 24452 se destina un fondo para programas y proyectos para personas con discapacidad dichos subsidios aplican a proyectos presentados por las organizaciones gubernamentales y no gubernamentales elaborados por las Unidades Ejecutoras de los Ministerios de Salud, Trabajo, Desarrollo Social y Educación. Se asignan a partir de la aprobación de un Comité Coordinador de Programas y Proyectos designados de acuerdo al Decreto 153/96- 553/97.</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Debido a ciertos cuestionamientos  la Ley 25413 en su artículo 10 lo elimina determinando que serían subvencionados por fondos del Tesoro Nacional.</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Complementan el cuerpo de trabajo relativo al tema los organismos no gubernamentales quienes a través de sus representantes participan de diferente manera ya sea en el comité Coordinador de Proyectos y Programas Ley 24452 como el Consejo Federal de Discapacidad.</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En el 2001 se dicta la Resolución Nº 438 del ministerio de Trabajo y la Resolución Nº 126 de la Subsecretaría de Relaciones del Trabajo estableciendo que se incluya la temática de discapacidad en el momento de la firma del convenio y de no realizarlo deben dejar nota de dicha omisión.</w:t>
      </w:r>
    </w:p>
    <w:p w:rsidR="004266C5" w:rsidRPr="005E1103" w:rsidRDefault="004266C5" w:rsidP="004266C5">
      <w:pPr>
        <w:rPr>
          <w:rFonts w:cstheme="minorHAnsi"/>
          <w:sz w:val="28"/>
          <w:szCs w:val="28"/>
        </w:rPr>
      </w:pPr>
    </w:p>
    <w:p w:rsidR="004266C5" w:rsidRPr="005E1103" w:rsidRDefault="004266C5" w:rsidP="004266C5">
      <w:pPr>
        <w:pStyle w:val="Default"/>
        <w:jc w:val="both"/>
        <w:rPr>
          <w:rFonts w:asciiTheme="minorHAnsi" w:hAnsiTheme="minorHAnsi" w:cstheme="minorHAnsi"/>
          <w:sz w:val="28"/>
          <w:szCs w:val="28"/>
        </w:rPr>
      </w:pPr>
      <w:r w:rsidRPr="005E1103">
        <w:rPr>
          <w:rFonts w:asciiTheme="minorHAnsi" w:hAnsiTheme="minorHAnsi" w:cstheme="minorHAnsi"/>
          <w:sz w:val="28"/>
          <w:szCs w:val="28"/>
        </w:rPr>
        <w:t>En el año 2012, el Comité sobre los Derechos de las Personas  con Discapacidad, realizó el Documento:  Examen de los informes presentados por los Estados  partes en virtud del artículo 35 de la Convención Observaciones finales del Comité sobre los Derechos  de las Personas con Discapacidad, en el cual expresa en relación al tema  :</w:t>
      </w:r>
    </w:p>
    <w:p w:rsidR="004266C5" w:rsidRPr="005E1103" w:rsidRDefault="004266C5" w:rsidP="004266C5">
      <w:pPr>
        <w:pStyle w:val="Default"/>
        <w:jc w:val="both"/>
        <w:rPr>
          <w:rFonts w:asciiTheme="minorHAnsi" w:hAnsiTheme="minorHAnsi" w:cstheme="minorHAnsi"/>
          <w:sz w:val="28"/>
          <w:szCs w:val="28"/>
        </w:rPr>
      </w:pPr>
    </w:p>
    <w:p w:rsidR="004266C5" w:rsidRPr="005E1103" w:rsidRDefault="004266C5" w:rsidP="004266C5">
      <w:pPr>
        <w:pStyle w:val="Default"/>
        <w:jc w:val="both"/>
        <w:rPr>
          <w:rFonts w:asciiTheme="minorHAnsi" w:hAnsiTheme="minorHAnsi" w:cstheme="minorHAnsi"/>
          <w:sz w:val="28"/>
          <w:szCs w:val="28"/>
        </w:rPr>
      </w:pPr>
      <w:r w:rsidRPr="005E1103">
        <w:rPr>
          <w:rFonts w:asciiTheme="minorHAnsi" w:hAnsiTheme="minorHAnsi" w:cstheme="minorHAnsi"/>
          <w:sz w:val="28"/>
          <w:szCs w:val="28"/>
        </w:rPr>
        <w:t xml:space="preserve">Trabajo y empleo </w:t>
      </w:r>
    </w:p>
    <w:p w:rsidR="004266C5" w:rsidRPr="005E1103" w:rsidRDefault="004266C5" w:rsidP="004266C5">
      <w:pPr>
        <w:pStyle w:val="SingleTxtG"/>
        <w:spacing w:line="240" w:lineRule="auto"/>
        <w:ind w:left="0"/>
        <w:rPr>
          <w:rFonts w:asciiTheme="minorHAnsi" w:hAnsiTheme="minorHAnsi" w:cstheme="minorHAnsi"/>
          <w:i/>
          <w:sz w:val="28"/>
          <w:szCs w:val="28"/>
        </w:rPr>
      </w:pPr>
    </w:p>
    <w:p w:rsidR="004266C5" w:rsidRPr="005E1103" w:rsidRDefault="004266C5" w:rsidP="004266C5">
      <w:pPr>
        <w:pStyle w:val="SingleTxtG"/>
        <w:spacing w:line="240" w:lineRule="auto"/>
        <w:ind w:left="0"/>
        <w:rPr>
          <w:rFonts w:asciiTheme="minorHAnsi" w:hAnsiTheme="minorHAnsi" w:cstheme="minorHAnsi"/>
          <w:i/>
          <w:sz w:val="28"/>
          <w:szCs w:val="28"/>
        </w:rPr>
      </w:pPr>
      <w:r w:rsidRPr="005E1103">
        <w:rPr>
          <w:rFonts w:asciiTheme="minorHAnsi" w:hAnsiTheme="minorHAnsi" w:cstheme="minorHAnsi"/>
          <w:i/>
          <w:sz w:val="28"/>
          <w:szCs w:val="28"/>
        </w:rPr>
        <w:t xml:space="preserve">                   43 .El Comité toma nota de la normativa laboral que establece la obligación de un cupo laboral del 4% para personas con discapacidad en el sector público (Ley No. 25.689), así como de los diferentes programas de inserción laboral para personas con discapacidad desarrollados en el ámbito de la administración pública. Sin embargo, el Comité observa con preocupación la falta de datos desagregados (entre ellos, sexo, edad, tipo de discapacidad, ámbito geográfico, etc.) que permitan hacer un análisis del cumplimiento a nivel nacional y provincial de este cupo laboral. El Comité también expresa su preocupación ante las barreras culturales y prejuicios que obstaculizan el acceso de las personas con discapacidad al mercado laboral, en particular en el sector privado, a pesar de la existencia de incentivos fiscales para los empleadores y expresa asimismo su inquietud ante la discriminación laboral respecto de las mujeres con discapacidad. “</w:t>
      </w:r>
    </w:p>
    <w:p w:rsidR="004266C5" w:rsidRPr="005E1103" w:rsidRDefault="004266C5" w:rsidP="004266C5">
      <w:pPr>
        <w:jc w:val="both"/>
        <w:rPr>
          <w:rFonts w:cstheme="minorHAnsi"/>
          <w:sz w:val="28"/>
          <w:szCs w:val="28"/>
          <w:highlight w:val="yellow"/>
        </w:rPr>
      </w:pPr>
    </w:p>
    <w:p w:rsidR="004266C5" w:rsidRPr="005E1103" w:rsidRDefault="004266C5" w:rsidP="004266C5">
      <w:pPr>
        <w:jc w:val="both"/>
        <w:rPr>
          <w:rFonts w:cstheme="minorHAnsi"/>
          <w:sz w:val="28"/>
          <w:szCs w:val="28"/>
        </w:rPr>
      </w:pPr>
      <w:r w:rsidRPr="005E1103">
        <w:rPr>
          <w:rFonts w:cstheme="minorHAnsi"/>
          <w:sz w:val="28"/>
          <w:szCs w:val="28"/>
        </w:rPr>
        <w:t xml:space="preserve">En enero del 2013 la </w:t>
      </w:r>
      <w:r w:rsidRPr="005E1103">
        <w:rPr>
          <w:rFonts w:cstheme="minorHAnsi"/>
          <w:i/>
          <w:sz w:val="28"/>
          <w:szCs w:val="28"/>
        </w:rPr>
        <w:t>Ley 26816</w:t>
      </w:r>
      <w:r w:rsidRPr="005E1103">
        <w:rPr>
          <w:rFonts w:cstheme="minorHAnsi"/>
          <w:sz w:val="28"/>
          <w:szCs w:val="28"/>
        </w:rPr>
        <w:t xml:space="preserve"> crea el Régimen Federal de Empleo Protegido para Personas con Discapacidad, estableciendo en su artículo 1 la finalidad de promover el desarrollo laboral y el acceso al empleo de las personas con discapacidad, buscando su regulación en el ámbito público y privado.</w:t>
      </w:r>
    </w:p>
    <w:p w:rsidR="004266C5" w:rsidRPr="005E1103" w:rsidRDefault="004266C5" w:rsidP="004266C5">
      <w:pPr>
        <w:jc w:val="both"/>
        <w:rPr>
          <w:rFonts w:cstheme="minorHAnsi"/>
          <w:sz w:val="28"/>
          <w:szCs w:val="28"/>
        </w:rPr>
      </w:pPr>
    </w:p>
    <w:p w:rsidR="004266C5" w:rsidRPr="005E1103" w:rsidRDefault="004266C5" w:rsidP="004266C5">
      <w:pPr>
        <w:jc w:val="both"/>
        <w:rPr>
          <w:rFonts w:cstheme="minorHAnsi"/>
          <w:sz w:val="28"/>
          <w:szCs w:val="28"/>
        </w:rPr>
      </w:pPr>
      <w:r w:rsidRPr="005E1103">
        <w:rPr>
          <w:rFonts w:cstheme="minorHAnsi"/>
          <w:sz w:val="28"/>
          <w:szCs w:val="28"/>
        </w:rPr>
        <w:t>La Ley 26.816 describe las modalidades de empleo para la implementación del Régimen Federal de Empleo Protegido para Personas con Discapacidad.</w:t>
      </w:r>
    </w:p>
    <w:p w:rsidR="004266C5" w:rsidRPr="005E1103" w:rsidRDefault="004266C5" w:rsidP="004266C5">
      <w:pPr>
        <w:jc w:val="both"/>
        <w:rPr>
          <w:rFonts w:cstheme="minorHAnsi"/>
          <w:sz w:val="28"/>
          <w:szCs w:val="28"/>
        </w:rPr>
      </w:pPr>
    </w:p>
    <w:p w:rsidR="004266C5" w:rsidRPr="005E1103" w:rsidRDefault="004266C5" w:rsidP="004266C5">
      <w:pPr>
        <w:jc w:val="both"/>
        <w:rPr>
          <w:rFonts w:cstheme="minorHAnsi"/>
          <w:sz w:val="28"/>
          <w:szCs w:val="28"/>
        </w:rPr>
      </w:pPr>
    </w:p>
    <w:p w:rsidR="004266C5" w:rsidRPr="005E1103" w:rsidRDefault="004266C5" w:rsidP="004266C5">
      <w:pPr>
        <w:jc w:val="both"/>
        <w:rPr>
          <w:rFonts w:cstheme="minorHAnsi"/>
          <w:sz w:val="28"/>
          <w:szCs w:val="28"/>
        </w:rPr>
      </w:pPr>
      <w:r w:rsidRPr="005E1103">
        <w:rPr>
          <w:rFonts w:cstheme="minorHAnsi"/>
          <w:sz w:val="28"/>
          <w:szCs w:val="28"/>
        </w:rPr>
        <w:t>La intención es que la persona con discapacidad desarrolle competencias para insertarse de acuerdo a las demandas de los mercados laborales y la búsqueda del entrenamiento para el empleo.</w:t>
      </w:r>
    </w:p>
    <w:p w:rsidR="004266C5" w:rsidRPr="005E1103" w:rsidRDefault="004266C5" w:rsidP="004266C5">
      <w:pPr>
        <w:pStyle w:val="SingleTxtG"/>
        <w:spacing w:line="240" w:lineRule="auto"/>
        <w:ind w:left="0"/>
        <w:rPr>
          <w:rFonts w:asciiTheme="minorHAnsi" w:hAnsiTheme="minorHAnsi" w:cstheme="minorHAnsi"/>
          <w:i/>
          <w:sz w:val="28"/>
          <w:szCs w:val="28"/>
        </w:rPr>
      </w:pPr>
    </w:p>
    <w:p w:rsidR="004266C5" w:rsidRPr="005E1103" w:rsidRDefault="004266C5" w:rsidP="004266C5">
      <w:pPr>
        <w:rPr>
          <w:rFonts w:cstheme="minorHAnsi"/>
          <w:b/>
          <w:sz w:val="28"/>
          <w:szCs w:val="28"/>
        </w:rPr>
      </w:pPr>
      <w:r w:rsidRPr="005E1103">
        <w:rPr>
          <w:rFonts w:cstheme="minorHAnsi"/>
          <w:sz w:val="28"/>
          <w:szCs w:val="28"/>
        </w:rPr>
        <w:t>El programa de Empleo con apoyo,  implica un contrato, que entre otros compromisos y en la medida de lo posible, brinde al trabajador con discapacidad intelectual condiciones laborales y de remuneración similares a las de cualquier otro empleado que se desenvuelve en una operatoria equivalente y dentro del mismo puesto de trabajo</w:t>
      </w:r>
      <w:r w:rsidRPr="005E1103">
        <w:rPr>
          <w:rFonts w:cstheme="minorHAnsi"/>
          <w:color w:val="000000"/>
          <w:sz w:val="28"/>
          <w:szCs w:val="28"/>
          <w:lang w:eastAsia="es-AR"/>
        </w:rPr>
        <w:t xml:space="preserve"> en combinación con  los apoyos técnicos y humanos que sean necesarios para favorecer su inclusión.</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Para que exista este programa es necesaria la intervención de varios agentes:</w:t>
      </w:r>
    </w:p>
    <w:p w:rsidR="004266C5" w:rsidRPr="005E1103" w:rsidRDefault="004266C5" w:rsidP="004266C5">
      <w:pPr>
        <w:rPr>
          <w:rFonts w:cstheme="minorHAnsi"/>
          <w:sz w:val="28"/>
          <w:szCs w:val="28"/>
        </w:rPr>
      </w:pPr>
    </w:p>
    <w:p w:rsidR="004266C5" w:rsidRPr="005E1103" w:rsidRDefault="004266C5" w:rsidP="004266C5">
      <w:pPr>
        <w:numPr>
          <w:ilvl w:val="0"/>
          <w:numId w:val="77"/>
        </w:numPr>
        <w:spacing w:after="0" w:line="240" w:lineRule="auto"/>
        <w:ind w:firstLine="0"/>
        <w:rPr>
          <w:rFonts w:cstheme="minorHAnsi"/>
          <w:sz w:val="28"/>
          <w:szCs w:val="28"/>
        </w:rPr>
      </w:pPr>
      <w:r w:rsidRPr="005E1103">
        <w:rPr>
          <w:rFonts w:cstheme="minorHAnsi"/>
          <w:sz w:val="28"/>
          <w:szCs w:val="28"/>
        </w:rPr>
        <w:t>La persona con discapacidad intelectual que luego de haber transitado un curso de formación para el empleo, se compromete al desafío de trabajar en una empresa del mercado.</w:t>
      </w:r>
    </w:p>
    <w:p w:rsidR="004266C5" w:rsidRPr="005E1103" w:rsidRDefault="004266C5" w:rsidP="004266C5">
      <w:pPr>
        <w:ind w:left="720"/>
        <w:rPr>
          <w:rFonts w:cstheme="minorHAnsi"/>
          <w:sz w:val="28"/>
          <w:szCs w:val="28"/>
        </w:rPr>
      </w:pPr>
    </w:p>
    <w:p w:rsidR="004266C5" w:rsidRPr="005E1103" w:rsidRDefault="004266C5" w:rsidP="004266C5">
      <w:pPr>
        <w:numPr>
          <w:ilvl w:val="0"/>
          <w:numId w:val="77"/>
        </w:numPr>
        <w:spacing w:after="0" w:line="240" w:lineRule="auto"/>
        <w:ind w:firstLine="0"/>
        <w:rPr>
          <w:rFonts w:cstheme="minorHAnsi"/>
          <w:sz w:val="28"/>
          <w:szCs w:val="28"/>
        </w:rPr>
      </w:pPr>
      <w:r w:rsidRPr="005E1103">
        <w:rPr>
          <w:rFonts w:cstheme="minorHAnsi"/>
          <w:sz w:val="28"/>
          <w:szCs w:val="28"/>
        </w:rPr>
        <w:t xml:space="preserve">Una organización que interviene como nexo desde la formación,  la inserción y el sostenimiento del empleo entre el trabajador con discapacidad intelectual y la empresa receptora. </w:t>
      </w:r>
    </w:p>
    <w:p w:rsidR="004266C5" w:rsidRPr="005E1103" w:rsidRDefault="004266C5" w:rsidP="004266C5">
      <w:pPr>
        <w:rPr>
          <w:rFonts w:cstheme="minorHAnsi"/>
          <w:sz w:val="28"/>
          <w:szCs w:val="28"/>
        </w:rPr>
      </w:pPr>
    </w:p>
    <w:p w:rsidR="004266C5" w:rsidRPr="005E1103" w:rsidRDefault="004266C5" w:rsidP="004266C5">
      <w:pPr>
        <w:numPr>
          <w:ilvl w:val="0"/>
          <w:numId w:val="77"/>
        </w:numPr>
        <w:spacing w:after="0" w:line="240" w:lineRule="auto"/>
        <w:ind w:firstLine="0"/>
        <w:rPr>
          <w:rFonts w:cstheme="minorHAnsi"/>
          <w:sz w:val="28"/>
          <w:szCs w:val="28"/>
        </w:rPr>
      </w:pPr>
      <w:r w:rsidRPr="005E1103">
        <w:rPr>
          <w:rFonts w:cstheme="minorHAnsi"/>
          <w:sz w:val="28"/>
          <w:szCs w:val="28"/>
        </w:rPr>
        <w:t>El compromiso de la empresa está basado en sostener y garantizar en el largo plazo una interacción estable entre las partes.</w:t>
      </w:r>
    </w:p>
    <w:p w:rsidR="004266C5" w:rsidRPr="005E1103" w:rsidRDefault="004266C5" w:rsidP="004266C5">
      <w:pPr>
        <w:rPr>
          <w:rFonts w:cstheme="minorHAnsi"/>
          <w:sz w:val="28"/>
          <w:szCs w:val="28"/>
        </w:rPr>
      </w:pPr>
    </w:p>
    <w:p w:rsidR="004266C5" w:rsidRPr="005E1103" w:rsidRDefault="004266C5" w:rsidP="004266C5">
      <w:pPr>
        <w:autoSpaceDE w:val="0"/>
        <w:autoSpaceDN w:val="0"/>
        <w:adjustRightInd w:val="0"/>
        <w:rPr>
          <w:rFonts w:cstheme="minorHAnsi"/>
          <w:color w:val="000000"/>
          <w:sz w:val="28"/>
          <w:szCs w:val="28"/>
          <w:lang w:eastAsia="es-AR"/>
        </w:rPr>
      </w:pPr>
    </w:p>
    <w:p w:rsidR="004266C5" w:rsidRPr="005E1103" w:rsidRDefault="004266C5" w:rsidP="004266C5">
      <w:pPr>
        <w:autoSpaceDE w:val="0"/>
        <w:autoSpaceDN w:val="0"/>
        <w:adjustRightInd w:val="0"/>
        <w:rPr>
          <w:rFonts w:cstheme="minorHAnsi"/>
          <w:color w:val="000000"/>
          <w:sz w:val="28"/>
          <w:szCs w:val="28"/>
          <w:lang w:eastAsia="es-AR"/>
        </w:rPr>
      </w:pPr>
      <w:r w:rsidRPr="005E1103">
        <w:rPr>
          <w:rFonts w:cstheme="minorHAnsi"/>
          <w:color w:val="000000"/>
          <w:sz w:val="28"/>
          <w:szCs w:val="28"/>
          <w:lang w:eastAsia="es-AR"/>
        </w:rPr>
        <w:t>En línea con lo indicado en el párrafo anterior es fundamental orientar y preparar a las empresas para facilitar el proceso de inserción evitando las barreras o dificultades para su implementación.</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lastRenderedPageBreak/>
        <w:t>A más de veinte años de la primera implementación en la Argentina del Empleo con Apoyo su investigación se encuentra en pleno desarrollo.</w:t>
      </w:r>
    </w:p>
    <w:p w:rsidR="004266C5" w:rsidRPr="005E1103" w:rsidRDefault="004266C5" w:rsidP="004266C5">
      <w:pPr>
        <w:rPr>
          <w:rFonts w:cstheme="minorHAnsi"/>
          <w:sz w:val="28"/>
          <w:szCs w:val="28"/>
        </w:rPr>
      </w:pPr>
      <w:r w:rsidRPr="005E1103">
        <w:rPr>
          <w:rFonts w:cstheme="minorHAnsi"/>
          <w:sz w:val="28"/>
          <w:szCs w:val="28"/>
        </w:rPr>
        <w:t xml:space="preserve"> </w:t>
      </w:r>
    </w:p>
    <w:p w:rsidR="004266C5" w:rsidRPr="005E1103" w:rsidRDefault="004266C5" w:rsidP="004266C5">
      <w:pPr>
        <w:rPr>
          <w:rFonts w:cstheme="minorHAnsi"/>
          <w:sz w:val="28"/>
          <w:szCs w:val="28"/>
        </w:rPr>
      </w:pPr>
      <w:r w:rsidRPr="005E1103">
        <w:rPr>
          <w:rFonts w:cstheme="minorHAnsi"/>
          <w:sz w:val="28"/>
          <w:szCs w:val="28"/>
        </w:rPr>
        <w:t xml:space="preserve">La Fundación DISCAR ha iniciado un proceso de investigación en uno de los aspectos más delicados y relevantes dentro del análisis del Empleo con Apoyo y se enfoca en la desvinculación laboral en el marco del ECA. </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 xml:space="preserve">Es complejo el análisis de dicha temática no sólo por la ausencia de recursos, poca participación  institucional sumados a la dificultad de poder aplicar una modalidad con la referencias científicas ya que en Argentina se detecta una falta de sistematización de información </w:t>
      </w:r>
    </w:p>
    <w:p w:rsidR="004266C5" w:rsidRPr="005E1103" w:rsidRDefault="004266C5" w:rsidP="004266C5">
      <w:pPr>
        <w:autoSpaceDE w:val="0"/>
        <w:autoSpaceDN w:val="0"/>
        <w:adjustRightInd w:val="0"/>
        <w:rPr>
          <w:rFonts w:cstheme="minorHAnsi"/>
          <w:b/>
          <w:color w:val="000000"/>
          <w:sz w:val="28"/>
          <w:szCs w:val="28"/>
          <w:lang w:eastAsia="es-AR"/>
        </w:rPr>
      </w:pPr>
    </w:p>
    <w:p w:rsidR="004266C5" w:rsidRPr="005E1103" w:rsidRDefault="004266C5" w:rsidP="004266C5">
      <w:pPr>
        <w:pStyle w:val="Subttulo"/>
        <w:jc w:val="left"/>
        <w:rPr>
          <w:rFonts w:asciiTheme="minorHAnsi" w:hAnsiTheme="minorHAnsi" w:cstheme="minorHAnsi"/>
          <w:b/>
          <w:sz w:val="28"/>
          <w:szCs w:val="28"/>
        </w:rPr>
      </w:pP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p>
    <w:p w:rsidR="004266C5" w:rsidRPr="005E1103" w:rsidRDefault="004266C5" w:rsidP="004266C5">
      <w:pPr>
        <w:pStyle w:val="Subttulo"/>
        <w:jc w:val="left"/>
        <w:rPr>
          <w:rFonts w:asciiTheme="minorHAnsi" w:hAnsiTheme="minorHAnsi" w:cstheme="minorHAnsi"/>
          <w:b/>
          <w:color w:val="FF00FF"/>
          <w:sz w:val="28"/>
          <w:szCs w:val="28"/>
        </w:rPr>
      </w:pPr>
      <w:bookmarkStart w:id="62" w:name="_Toc428105778"/>
      <w:r w:rsidRPr="005E1103">
        <w:rPr>
          <w:rFonts w:asciiTheme="minorHAnsi" w:hAnsiTheme="minorHAnsi" w:cstheme="minorHAnsi"/>
          <w:b/>
          <w:sz w:val="28"/>
          <w:szCs w:val="28"/>
        </w:rPr>
        <w:t>IV-Hipótesis</w:t>
      </w:r>
      <w:bookmarkEnd w:id="62"/>
      <w:r w:rsidRPr="005E1103">
        <w:rPr>
          <w:rFonts w:asciiTheme="minorHAnsi" w:hAnsiTheme="minorHAnsi" w:cstheme="minorHAnsi"/>
          <w:b/>
          <w:sz w:val="28"/>
          <w:szCs w:val="28"/>
        </w:rPr>
        <w:t xml:space="preserve"> </w:t>
      </w:r>
    </w:p>
    <w:p w:rsidR="004266C5" w:rsidRPr="005E1103" w:rsidRDefault="004266C5" w:rsidP="004266C5">
      <w:pPr>
        <w:rPr>
          <w:rFonts w:cstheme="minorHAnsi"/>
          <w:b/>
          <w:i/>
          <w:sz w:val="28"/>
          <w:szCs w:val="28"/>
          <w:u w:val="single"/>
        </w:rPr>
      </w:pPr>
    </w:p>
    <w:p w:rsidR="004266C5" w:rsidRPr="005E1103" w:rsidRDefault="004266C5" w:rsidP="004266C5">
      <w:pPr>
        <w:pStyle w:val="Subttulo"/>
        <w:jc w:val="left"/>
        <w:rPr>
          <w:rFonts w:asciiTheme="minorHAnsi" w:hAnsiTheme="minorHAnsi" w:cstheme="minorHAnsi"/>
          <w:sz w:val="28"/>
          <w:szCs w:val="28"/>
        </w:rPr>
      </w:pPr>
      <w:bookmarkStart w:id="63" w:name="_Toc428105779"/>
      <w:r w:rsidRPr="005E1103">
        <w:rPr>
          <w:rFonts w:asciiTheme="minorHAnsi" w:hAnsiTheme="minorHAnsi" w:cstheme="minorHAnsi"/>
          <w:sz w:val="28"/>
          <w:szCs w:val="28"/>
        </w:rPr>
        <w:t>Hipótesis General</w:t>
      </w:r>
      <w:bookmarkEnd w:id="63"/>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 xml:space="preserve">El programa de Empleo con apoyo presenta una evolución en la inclusión de las personas con discapacidad intelectual en el mercado laboral ordinario en CABA y en Provincia de Buenos Aires, Argentina,  </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 xml:space="preserve"> La hipótesis general se desagrega en </w:t>
      </w:r>
    </w:p>
    <w:p w:rsidR="004266C5" w:rsidRPr="005E1103" w:rsidRDefault="004266C5" w:rsidP="004266C5">
      <w:pPr>
        <w:rPr>
          <w:rFonts w:cstheme="minorHAnsi"/>
          <w:sz w:val="28"/>
          <w:szCs w:val="28"/>
        </w:rPr>
      </w:pPr>
    </w:p>
    <w:p w:rsidR="004266C5" w:rsidRPr="005E1103" w:rsidRDefault="004266C5" w:rsidP="004266C5">
      <w:pPr>
        <w:pStyle w:val="Subttulo"/>
        <w:jc w:val="left"/>
        <w:rPr>
          <w:rFonts w:asciiTheme="minorHAnsi" w:hAnsiTheme="minorHAnsi" w:cstheme="minorHAnsi"/>
          <w:b/>
          <w:sz w:val="28"/>
          <w:szCs w:val="28"/>
        </w:rPr>
      </w:pPr>
      <w:bookmarkStart w:id="64" w:name="_Toc428105780"/>
      <w:r w:rsidRPr="005E1103">
        <w:rPr>
          <w:rFonts w:asciiTheme="minorHAnsi" w:hAnsiTheme="minorHAnsi" w:cstheme="minorHAnsi"/>
          <w:b/>
          <w:sz w:val="28"/>
          <w:szCs w:val="28"/>
        </w:rPr>
        <w:t>Hipótesis Específicas</w:t>
      </w:r>
      <w:bookmarkEnd w:id="64"/>
    </w:p>
    <w:p w:rsidR="004266C5" w:rsidRPr="005E1103" w:rsidRDefault="004266C5" w:rsidP="004266C5">
      <w:pPr>
        <w:pStyle w:val="Subttulo"/>
        <w:rPr>
          <w:rFonts w:asciiTheme="minorHAnsi" w:hAnsiTheme="minorHAnsi" w:cstheme="minorHAnsi"/>
          <w:sz w:val="28"/>
          <w:szCs w:val="28"/>
        </w:rPr>
      </w:pPr>
    </w:p>
    <w:p w:rsidR="004266C5" w:rsidRPr="005E1103" w:rsidRDefault="004266C5" w:rsidP="004266C5">
      <w:pPr>
        <w:rPr>
          <w:rFonts w:cstheme="minorHAnsi"/>
          <w:i/>
          <w:sz w:val="28"/>
          <w:szCs w:val="28"/>
        </w:rPr>
      </w:pPr>
      <w:r w:rsidRPr="005E1103">
        <w:rPr>
          <w:rFonts w:cstheme="minorHAnsi"/>
          <w:b/>
          <w:i/>
          <w:sz w:val="28"/>
          <w:szCs w:val="28"/>
        </w:rPr>
        <w:t>Hipótesis 1</w:t>
      </w:r>
      <w:r w:rsidRPr="005E1103">
        <w:rPr>
          <w:rFonts w:cstheme="minorHAnsi"/>
          <w:i/>
          <w:sz w:val="28"/>
          <w:szCs w:val="28"/>
        </w:rPr>
        <w:t>- El programa empleo con apoyo y el proceso de  inclusión en sus diferentes etapas,  de la persona con discapacidad intelectual en el mercado laboral ordinario.</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b/>
          <w:sz w:val="28"/>
          <w:szCs w:val="28"/>
        </w:rPr>
        <w:t>Hipótesis 2-</w:t>
      </w:r>
      <w:r w:rsidRPr="005E1103">
        <w:rPr>
          <w:rFonts w:cstheme="minorHAnsi"/>
          <w:sz w:val="28"/>
          <w:szCs w:val="28"/>
        </w:rPr>
        <w:t>El programa empleo con apoyo experimenta un crecimiento en la inclusión de las personas con discapacidad intelectual en el mercado laboral ordinario.</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b/>
          <w:sz w:val="28"/>
          <w:szCs w:val="28"/>
        </w:rPr>
        <w:t>Hipótesis 3-</w:t>
      </w:r>
      <w:r w:rsidRPr="005E1103">
        <w:rPr>
          <w:rFonts w:cstheme="minorHAnsi"/>
          <w:sz w:val="28"/>
          <w:szCs w:val="28"/>
        </w:rPr>
        <w:t xml:space="preserve">El programa empleo con apoyo experimenta un crecimiento en la inclusión de las personas con discapacidad intelectual en el mercado laboral ordinario dada la intervención del recurso denominado “apoyo”  </w:t>
      </w:r>
    </w:p>
    <w:p w:rsidR="004266C5" w:rsidRPr="005E1103" w:rsidRDefault="004266C5" w:rsidP="004266C5">
      <w:pPr>
        <w:rPr>
          <w:rFonts w:cstheme="minorHAnsi"/>
          <w:color w:val="FF0000"/>
          <w:sz w:val="28"/>
          <w:szCs w:val="28"/>
        </w:rPr>
      </w:pPr>
    </w:p>
    <w:p w:rsidR="004266C5" w:rsidRPr="005E1103" w:rsidRDefault="004266C5" w:rsidP="004266C5">
      <w:pPr>
        <w:autoSpaceDE w:val="0"/>
        <w:autoSpaceDN w:val="0"/>
        <w:adjustRightInd w:val="0"/>
        <w:jc w:val="both"/>
        <w:rPr>
          <w:rFonts w:eastAsia="MS Mincho" w:cstheme="minorHAnsi"/>
          <w:sz w:val="28"/>
          <w:szCs w:val="28"/>
          <w:lang w:eastAsia="ja-JP"/>
        </w:rPr>
      </w:pPr>
      <w:r w:rsidRPr="005E1103">
        <w:rPr>
          <w:rFonts w:eastAsia="MS Mincho" w:cstheme="minorHAnsi"/>
          <w:sz w:val="28"/>
          <w:szCs w:val="28"/>
          <w:lang w:eastAsia="ja-JP"/>
        </w:rPr>
        <w:t xml:space="preserve">La Asociación Americana del Desarrollo y discapacidad Intelectual (AAIDD) plantea el </w:t>
      </w:r>
      <w:r w:rsidRPr="005E1103">
        <w:rPr>
          <w:rFonts w:eastAsia="MS Mincho" w:cstheme="minorHAnsi"/>
          <w:i/>
          <w:sz w:val="28"/>
          <w:szCs w:val="28"/>
          <w:lang w:eastAsia="ja-JP"/>
        </w:rPr>
        <w:t>Modelo de prestación de apoyos</w:t>
      </w:r>
      <w:r w:rsidRPr="005E1103">
        <w:rPr>
          <w:rFonts w:eastAsia="MS Mincho" w:cstheme="minorHAnsi"/>
          <w:sz w:val="28"/>
          <w:szCs w:val="28"/>
          <w:lang w:eastAsia="ja-JP"/>
        </w:rPr>
        <w:t xml:space="preserve"> planteado para personas con discapacidad intelectual</w:t>
      </w:r>
    </w:p>
    <w:p w:rsidR="004266C5" w:rsidRPr="005E1103" w:rsidRDefault="004266C5" w:rsidP="004266C5">
      <w:pPr>
        <w:autoSpaceDE w:val="0"/>
        <w:autoSpaceDN w:val="0"/>
        <w:adjustRightInd w:val="0"/>
        <w:jc w:val="both"/>
        <w:rPr>
          <w:rFonts w:eastAsia="MS Mincho" w:cstheme="minorHAnsi"/>
          <w:sz w:val="28"/>
          <w:szCs w:val="28"/>
          <w:lang w:eastAsia="ja-JP"/>
        </w:rPr>
      </w:pPr>
    </w:p>
    <w:p w:rsidR="004266C5" w:rsidRPr="005E1103" w:rsidRDefault="004266C5" w:rsidP="004266C5">
      <w:pPr>
        <w:autoSpaceDE w:val="0"/>
        <w:autoSpaceDN w:val="0"/>
        <w:adjustRightInd w:val="0"/>
        <w:jc w:val="both"/>
        <w:rPr>
          <w:rFonts w:eastAsia="MS Mincho" w:cstheme="minorHAnsi"/>
          <w:sz w:val="28"/>
          <w:szCs w:val="28"/>
          <w:lang w:eastAsia="ja-JP"/>
        </w:rPr>
      </w:pPr>
      <w:r w:rsidRPr="005E1103">
        <w:rPr>
          <w:rFonts w:eastAsia="MS Mincho" w:cstheme="minorHAnsi"/>
          <w:sz w:val="28"/>
          <w:szCs w:val="28"/>
          <w:lang w:eastAsia="ja-JP"/>
        </w:rPr>
        <w:t>Este modelo diseña básicamente dos componentes:</w:t>
      </w:r>
    </w:p>
    <w:p w:rsidR="004266C5" w:rsidRPr="005E1103" w:rsidRDefault="004266C5" w:rsidP="004266C5">
      <w:pPr>
        <w:autoSpaceDE w:val="0"/>
        <w:autoSpaceDN w:val="0"/>
        <w:adjustRightInd w:val="0"/>
        <w:jc w:val="both"/>
        <w:rPr>
          <w:rFonts w:eastAsia="MS Mincho" w:cstheme="minorHAnsi"/>
          <w:sz w:val="28"/>
          <w:szCs w:val="28"/>
          <w:lang w:eastAsia="ja-JP"/>
        </w:rPr>
      </w:pPr>
    </w:p>
    <w:p w:rsidR="004266C5" w:rsidRPr="005E1103" w:rsidRDefault="004266C5" w:rsidP="004266C5">
      <w:pPr>
        <w:pStyle w:val="Prrafodelista"/>
        <w:numPr>
          <w:ilvl w:val="0"/>
          <w:numId w:val="81"/>
        </w:numPr>
        <w:autoSpaceDE w:val="0"/>
        <w:autoSpaceDN w:val="0"/>
        <w:adjustRightInd w:val="0"/>
        <w:spacing w:before="0"/>
        <w:jc w:val="both"/>
        <w:rPr>
          <w:rFonts w:asciiTheme="minorHAnsi" w:eastAsia="MS Mincho" w:hAnsiTheme="minorHAnsi" w:cstheme="minorHAnsi"/>
          <w:sz w:val="28"/>
          <w:szCs w:val="28"/>
          <w:lang w:eastAsia="ja-JP"/>
        </w:rPr>
      </w:pPr>
      <w:r w:rsidRPr="005E1103">
        <w:rPr>
          <w:rFonts w:asciiTheme="minorHAnsi" w:eastAsia="MS Mincho" w:hAnsiTheme="minorHAnsi" w:cstheme="minorHAnsi"/>
          <w:sz w:val="28"/>
          <w:szCs w:val="28"/>
          <w:lang w:eastAsia="ja-JP"/>
        </w:rPr>
        <w:t>Cinco dimensiones del funcionamiento de la persona en la que se definen las competencias básicas requeridas para cada dimensión: habilidad intelectual, comportamiento adaptativo, salud, participación y contexto.</w:t>
      </w:r>
    </w:p>
    <w:p w:rsidR="004266C5" w:rsidRPr="005E1103" w:rsidRDefault="004266C5" w:rsidP="004266C5">
      <w:pPr>
        <w:pStyle w:val="Prrafodelista"/>
        <w:autoSpaceDE w:val="0"/>
        <w:autoSpaceDN w:val="0"/>
        <w:adjustRightInd w:val="0"/>
        <w:jc w:val="both"/>
        <w:rPr>
          <w:rFonts w:asciiTheme="minorHAnsi" w:eastAsia="MS Mincho" w:hAnsiTheme="minorHAnsi" w:cstheme="minorHAnsi"/>
          <w:sz w:val="28"/>
          <w:szCs w:val="28"/>
          <w:lang w:eastAsia="ja-JP"/>
        </w:rPr>
      </w:pPr>
    </w:p>
    <w:p w:rsidR="004266C5" w:rsidRPr="005E1103" w:rsidRDefault="004266C5" w:rsidP="004266C5">
      <w:pPr>
        <w:autoSpaceDE w:val="0"/>
        <w:autoSpaceDN w:val="0"/>
        <w:adjustRightInd w:val="0"/>
        <w:jc w:val="both"/>
        <w:rPr>
          <w:rFonts w:eastAsia="MS Mincho" w:cstheme="minorHAnsi"/>
          <w:sz w:val="28"/>
          <w:szCs w:val="28"/>
          <w:lang w:eastAsia="ja-JP"/>
        </w:rPr>
      </w:pPr>
      <w:r w:rsidRPr="005E1103">
        <w:rPr>
          <w:rFonts w:eastAsia="MS Mincho" w:cstheme="minorHAnsi"/>
          <w:sz w:val="28"/>
          <w:szCs w:val="28"/>
          <w:lang w:eastAsia="ja-JP"/>
        </w:rPr>
        <w:t xml:space="preserve">       2. La acción e intervención de los apoyos en cada una de dichas dimensiones para lograr el correcto y óptimo funcionamiento.</w:t>
      </w:r>
    </w:p>
    <w:p w:rsidR="004266C5" w:rsidRPr="005E1103" w:rsidRDefault="004266C5" w:rsidP="004266C5">
      <w:pPr>
        <w:autoSpaceDE w:val="0"/>
        <w:autoSpaceDN w:val="0"/>
        <w:adjustRightInd w:val="0"/>
        <w:jc w:val="both"/>
        <w:rPr>
          <w:rFonts w:eastAsia="MS Mincho" w:cstheme="minorHAnsi"/>
          <w:sz w:val="28"/>
          <w:szCs w:val="28"/>
          <w:lang w:eastAsia="ja-JP"/>
        </w:rPr>
      </w:pPr>
    </w:p>
    <w:p w:rsidR="004266C5" w:rsidRPr="005E1103" w:rsidRDefault="004266C5" w:rsidP="004266C5">
      <w:pPr>
        <w:autoSpaceDE w:val="0"/>
        <w:autoSpaceDN w:val="0"/>
        <w:adjustRightInd w:val="0"/>
        <w:jc w:val="both"/>
        <w:rPr>
          <w:rFonts w:eastAsia="MS Mincho" w:cstheme="minorHAnsi"/>
          <w:sz w:val="28"/>
          <w:szCs w:val="28"/>
          <w:lang w:eastAsia="ja-JP"/>
        </w:rPr>
      </w:pPr>
      <w:r w:rsidRPr="005E1103">
        <w:rPr>
          <w:rFonts w:eastAsia="MS Mincho" w:cstheme="minorHAnsi"/>
          <w:sz w:val="28"/>
          <w:szCs w:val="28"/>
          <w:lang w:eastAsia="ja-JP"/>
        </w:rPr>
        <w:t>La idea de dicho modelo es que para cada una de estas dimensiones se definen comportamientos, acciones y percepciones que permiten orientar y alinear el tipo de apoyos que se le deberían asignar a dicha persona.</w:t>
      </w:r>
    </w:p>
    <w:p w:rsidR="004266C5" w:rsidRPr="005E1103" w:rsidRDefault="004266C5" w:rsidP="004266C5">
      <w:pPr>
        <w:autoSpaceDE w:val="0"/>
        <w:autoSpaceDN w:val="0"/>
        <w:adjustRightInd w:val="0"/>
        <w:jc w:val="both"/>
        <w:rPr>
          <w:rFonts w:eastAsia="MS Mincho" w:cstheme="minorHAnsi"/>
          <w:sz w:val="28"/>
          <w:szCs w:val="28"/>
          <w:lang w:eastAsia="ja-JP"/>
        </w:rPr>
      </w:pPr>
    </w:p>
    <w:p w:rsidR="004266C5" w:rsidRPr="005E1103" w:rsidRDefault="004266C5" w:rsidP="004266C5">
      <w:pPr>
        <w:autoSpaceDE w:val="0"/>
        <w:autoSpaceDN w:val="0"/>
        <w:adjustRightInd w:val="0"/>
        <w:jc w:val="both"/>
        <w:rPr>
          <w:rFonts w:eastAsia="MS Mincho" w:cstheme="minorHAnsi"/>
          <w:sz w:val="28"/>
          <w:szCs w:val="28"/>
          <w:lang w:eastAsia="ja-JP"/>
        </w:rPr>
      </w:pPr>
      <w:r w:rsidRPr="005E1103">
        <w:rPr>
          <w:rFonts w:eastAsia="MS Mincho" w:cstheme="minorHAnsi"/>
          <w:sz w:val="28"/>
          <w:szCs w:val="28"/>
          <w:lang w:eastAsia="ja-JP"/>
        </w:rPr>
        <w:t>Es importante definir un plan individualizado de apoyo de las personas de acuerdo a  sus  intereses y preferencias, en línea con el contexto en el cual deberá materializar su función laboral y social.</w:t>
      </w:r>
    </w:p>
    <w:p w:rsidR="004266C5" w:rsidRPr="005E1103" w:rsidRDefault="004266C5" w:rsidP="004266C5">
      <w:pPr>
        <w:rPr>
          <w:rFonts w:cstheme="minorHAnsi"/>
          <w:sz w:val="28"/>
          <w:szCs w:val="28"/>
        </w:rPr>
      </w:pPr>
    </w:p>
    <w:p w:rsidR="004266C5" w:rsidRPr="005E1103" w:rsidRDefault="004266C5" w:rsidP="004266C5">
      <w:pPr>
        <w:ind w:left="405"/>
        <w:rPr>
          <w:rFonts w:cstheme="minorHAnsi"/>
          <w:sz w:val="28"/>
          <w:szCs w:val="28"/>
        </w:rPr>
      </w:pPr>
    </w:p>
    <w:p w:rsidR="004266C5" w:rsidRPr="005E1103" w:rsidRDefault="004266C5" w:rsidP="004266C5">
      <w:pPr>
        <w:ind w:left="405"/>
        <w:rPr>
          <w:rFonts w:cstheme="minorHAnsi"/>
          <w:sz w:val="28"/>
          <w:szCs w:val="28"/>
        </w:rPr>
      </w:pPr>
    </w:p>
    <w:p w:rsidR="004266C5" w:rsidRPr="005E1103" w:rsidRDefault="004266C5" w:rsidP="004266C5">
      <w:pPr>
        <w:ind w:left="405"/>
        <w:rPr>
          <w:rFonts w:cstheme="minorHAnsi"/>
          <w:sz w:val="28"/>
          <w:szCs w:val="28"/>
        </w:rPr>
      </w:pPr>
    </w:p>
    <w:p w:rsidR="004266C5" w:rsidRPr="005E1103" w:rsidRDefault="004266C5" w:rsidP="004266C5">
      <w:pPr>
        <w:ind w:left="405"/>
        <w:rPr>
          <w:rFonts w:cstheme="minorHAnsi"/>
          <w:sz w:val="28"/>
          <w:szCs w:val="28"/>
        </w:rPr>
      </w:pPr>
    </w:p>
    <w:p w:rsidR="004266C5" w:rsidRPr="005E1103" w:rsidRDefault="004266C5" w:rsidP="004266C5">
      <w:pPr>
        <w:rPr>
          <w:rFonts w:cstheme="minorHAnsi"/>
          <w:b/>
          <w:sz w:val="28"/>
          <w:szCs w:val="28"/>
        </w:rPr>
      </w:pPr>
      <w:r w:rsidRPr="005E1103">
        <w:rPr>
          <w:rFonts w:cstheme="minorHAnsi"/>
          <w:b/>
          <w:sz w:val="28"/>
          <w:szCs w:val="28"/>
        </w:rPr>
        <w:t>Definición de la muestra:</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La selección del grupo de personas con discapacidad intelectual con el programa de Empleo con Apoyo, se realizará por medio de un muestreo no probabilístico, compuesto por 190 trabajadores con discapacidad intelectual en el rango etario comprendido entre los 20 y 45 años., que desarrollan su actividad en diversas empresas localizadas en Ciudad Autónoma de Buenos Aires y Provincia de Buenos Aires, Argentina.</w:t>
      </w:r>
    </w:p>
    <w:p w:rsidR="004266C5" w:rsidRPr="005E1103" w:rsidRDefault="004266C5" w:rsidP="004266C5">
      <w:pPr>
        <w:rPr>
          <w:rFonts w:cstheme="minorHAnsi"/>
          <w:sz w:val="28"/>
          <w:szCs w:val="28"/>
        </w:rPr>
      </w:pPr>
    </w:p>
    <w:p w:rsidR="004266C5" w:rsidRPr="005E1103" w:rsidRDefault="004266C5" w:rsidP="004266C5">
      <w:pPr>
        <w:autoSpaceDE w:val="0"/>
        <w:autoSpaceDN w:val="0"/>
        <w:adjustRightInd w:val="0"/>
        <w:rPr>
          <w:rFonts w:cstheme="minorHAnsi"/>
          <w:sz w:val="28"/>
          <w:szCs w:val="28"/>
        </w:rPr>
      </w:pPr>
    </w:p>
    <w:p w:rsidR="004266C5" w:rsidRPr="005E1103" w:rsidRDefault="004266C5" w:rsidP="004266C5">
      <w:pPr>
        <w:pStyle w:val="Subttulo"/>
        <w:jc w:val="left"/>
        <w:rPr>
          <w:rFonts w:asciiTheme="minorHAnsi" w:hAnsiTheme="minorHAnsi" w:cstheme="minorHAnsi"/>
          <w:b/>
          <w:sz w:val="28"/>
          <w:szCs w:val="28"/>
        </w:rPr>
      </w:pPr>
      <w:bookmarkStart w:id="65" w:name="_Toc428105781"/>
      <w:r w:rsidRPr="005E1103">
        <w:rPr>
          <w:rFonts w:asciiTheme="minorHAnsi" w:hAnsiTheme="minorHAnsi" w:cstheme="minorHAnsi"/>
          <w:b/>
          <w:sz w:val="28"/>
          <w:szCs w:val="28"/>
        </w:rPr>
        <w:t>V- Metodología</w:t>
      </w:r>
      <w:bookmarkEnd w:id="65"/>
      <w:r w:rsidRPr="005E1103">
        <w:rPr>
          <w:rFonts w:asciiTheme="minorHAnsi" w:hAnsiTheme="minorHAnsi" w:cstheme="minorHAnsi"/>
          <w:b/>
          <w:sz w:val="28"/>
          <w:szCs w:val="28"/>
        </w:rPr>
        <w:t xml:space="preserve"> </w:t>
      </w:r>
    </w:p>
    <w:p w:rsidR="004266C5" w:rsidRPr="005E1103" w:rsidRDefault="004266C5" w:rsidP="004266C5">
      <w:pPr>
        <w:rPr>
          <w:rFonts w:cstheme="minorHAnsi"/>
          <w:sz w:val="28"/>
          <w:szCs w:val="28"/>
        </w:rPr>
      </w:pPr>
      <w:r w:rsidRPr="005E1103">
        <w:rPr>
          <w:rFonts w:cstheme="minorHAnsi"/>
          <w:sz w:val="28"/>
          <w:szCs w:val="28"/>
        </w:rPr>
        <w:t>En función del problema,  objetivos e hipótesis planteados, se recurrirá a la siguiente metodología:</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 xml:space="preserve">Se trabaja  en el relevamiento de la información de las personas con discapacidad intelectual que se encuentran trabajando en empresas. </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Los datos se relevan de:</w:t>
      </w:r>
    </w:p>
    <w:p w:rsidR="004266C5" w:rsidRPr="005E1103" w:rsidRDefault="004266C5" w:rsidP="004266C5">
      <w:pPr>
        <w:rPr>
          <w:rFonts w:cstheme="minorHAnsi"/>
          <w:sz w:val="28"/>
          <w:szCs w:val="28"/>
        </w:rPr>
      </w:pPr>
    </w:p>
    <w:p w:rsidR="004266C5" w:rsidRPr="005E1103" w:rsidRDefault="004266C5" w:rsidP="004266C5">
      <w:pPr>
        <w:numPr>
          <w:ilvl w:val="0"/>
          <w:numId w:val="79"/>
        </w:numPr>
        <w:spacing w:after="0" w:line="240" w:lineRule="auto"/>
        <w:rPr>
          <w:rFonts w:cstheme="minorHAnsi"/>
          <w:sz w:val="28"/>
          <w:szCs w:val="28"/>
        </w:rPr>
      </w:pPr>
      <w:r w:rsidRPr="005E1103">
        <w:rPr>
          <w:rFonts w:cstheme="minorHAnsi"/>
          <w:sz w:val="28"/>
          <w:szCs w:val="28"/>
        </w:rPr>
        <w:t>Los legajos de las personas definidas en la muestra objeto de dicha investigación.</w:t>
      </w:r>
    </w:p>
    <w:p w:rsidR="004266C5" w:rsidRPr="005E1103" w:rsidRDefault="004266C5" w:rsidP="004266C5">
      <w:pPr>
        <w:numPr>
          <w:ilvl w:val="0"/>
          <w:numId w:val="79"/>
        </w:numPr>
        <w:spacing w:after="0" w:line="240" w:lineRule="auto"/>
        <w:rPr>
          <w:rFonts w:cstheme="minorHAnsi"/>
          <w:sz w:val="28"/>
          <w:szCs w:val="28"/>
        </w:rPr>
      </w:pPr>
      <w:r w:rsidRPr="005E1103">
        <w:rPr>
          <w:rFonts w:cstheme="minorHAnsi"/>
          <w:sz w:val="28"/>
          <w:szCs w:val="28"/>
        </w:rPr>
        <w:t>Fichas de antecedentes y seguimientos del trabajador.</w:t>
      </w:r>
    </w:p>
    <w:p w:rsidR="004266C5" w:rsidRPr="005E1103" w:rsidRDefault="004266C5" w:rsidP="004266C5">
      <w:pPr>
        <w:numPr>
          <w:ilvl w:val="0"/>
          <w:numId w:val="79"/>
        </w:numPr>
        <w:spacing w:after="0" w:line="240" w:lineRule="auto"/>
        <w:rPr>
          <w:rFonts w:cstheme="minorHAnsi"/>
          <w:sz w:val="28"/>
          <w:szCs w:val="28"/>
        </w:rPr>
      </w:pPr>
      <w:r w:rsidRPr="005E1103">
        <w:rPr>
          <w:rFonts w:cstheme="minorHAnsi"/>
          <w:sz w:val="28"/>
          <w:szCs w:val="28"/>
        </w:rPr>
        <w:t>Documentación confeccionada por  los orientadores laborales.</w:t>
      </w:r>
    </w:p>
    <w:p w:rsidR="004266C5" w:rsidRPr="005E1103" w:rsidRDefault="004266C5" w:rsidP="004266C5">
      <w:pPr>
        <w:numPr>
          <w:ilvl w:val="0"/>
          <w:numId w:val="79"/>
        </w:numPr>
        <w:spacing w:after="0" w:line="240" w:lineRule="auto"/>
        <w:rPr>
          <w:rFonts w:cstheme="minorHAnsi"/>
          <w:sz w:val="28"/>
          <w:szCs w:val="28"/>
        </w:rPr>
      </w:pPr>
      <w:r w:rsidRPr="005E1103">
        <w:rPr>
          <w:rFonts w:cstheme="minorHAnsi"/>
          <w:sz w:val="28"/>
          <w:szCs w:val="28"/>
        </w:rPr>
        <w:t>Entrevistas realizadas al trabajador.</w:t>
      </w:r>
    </w:p>
    <w:p w:rsidR="004266C5" w:rsidRPr="005E1103" w:rsidRDefault="004266C5" w:rsidP="004266C5">
      <w:pPr>
        <w:numPr>
          <w:ilvl w:val="0"/>
          <w:numId w:val="79"/>
        </w:numPr>
        <w:spacing w:after="0" w:line="240" w:lineRule="auto"/>
        <w:rPr>
          <w:rFonts w:cstheme="minorHAnsi"/>
          <w:sz w:val="28"/>
          <w:szCs w:val="28"/>
        </w:rPr>
      </w:pPr>
      <w:r w:rsidRPr="005E1103">
        <w:rPr>
          <w:rFonts w:cstheme="minorHAnsi"/>
          <w:sz w:val="28"/>
          <w:szCs w:val="28"/>
        </w:rPr>
        <w:t>Entrevistas realizadas a las autoridades de las empresas.</w:t>
      </w:r>
    </w:p>
    <w:p w:rsidR="004266C5" w:rsidRPr="005E1103" w:rsidRDefault="004266C5" w:rsidP="004266C5">
      <w:pPr>
        <w:numPr>
          <w:ilvl w:val="0"/>
          <w:numId w:val="79"/>
        </w:numPr>
        <w:spacing w:after="0" w:line="240" w:lineRule="auto"/>
        <w:rPr>
          <w:rFonts w:cstheme="minorHAnsi"/>
          <w:sz w:val="28"/>
          <w:szCs w:val="28"/>
        </w:rPr>
      </w:pPr>
      <w:r w:rsidRPr="005E1103">
        <w:rPr>
          <w:rFonts w:cstheme="minorHAnsi"/>
          <w:sz w:val="28"/>
          <w:szCs w:val="28"/>
        </w:rPr>
        <w:t>Entrevistas realizadas a los compañeros de trabajo.</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i/>
          <w:sz w:val="28"/>
          <w:szCs w:val="28"/>
        </w:rPr>
        <w:lastRenderedPageBreak/>
        <w:t>Primera etapa</w:t>
      </w:r>
      <w:r w:rsidRPr="005E1103">
        <w:rPr>
          <w:rFonts w:cstheme="minorHAnsi"/>
          <w:sz w:val="28"/>
          <w:szCs w:val="28"/>
        </w:rPr>
        <w:t>: Entrevistas a los orientadores laborales, quienes aportan un detalle completo y pormenorizado acerca del  trabajador y su inclusión.</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i/>
          <w:sz w:val="28"/>
          <w:szCs w:val="28"/>
        </w:rPr>
        <w:t>Segunda etapa:</w:t>
      </w:r>
      <w:r w:rsidRPr="005E1103">
        <w:rPr>
          <w:rFonts w:cstheme="minorHAnsi"/>
          <w:sz w:val="28"/>
          <w:szCs w:val="28"/>
        </w:rPr>
        <w:t xml:space="preserve"> Entrevistas a los trabajadores y familiares. </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i/>
          <w:sz w:val="28"/>
          <w:szCs w:val="28"/>
        </w:rPr>
        <w:t>Tercera Etapa</w:t>
      </w:r>
      <w:r w:rsidRPr="005E1103">
        <w:rPr>
          <w:rFonts w:cstheme="minorHAnsi"/>
          <w:sz w:val="28"/>
          <w:szCs w:val="28"/>
        </w:rPr>
        <w:t>: Autoridades de la empresa y compañeros de trabajo.</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Los Indicadores a analizar para el desarrollo de dicha hipótesis serán:</w:t>
      </w:r>
    </w:p>
    <w:p w:rsidR="004266C5" w:rsidRPr="005E1103" w:rsidRDefault="004266C5" w:rsidP="004266C5">
      <w:pPr>
        <w:rPr>
          <w:rFonts w:cstheme="minorHAnsi"/>
          <w:sz w:val="28"/>
          <w:szCs w:val="28"/>
        </w:rPr>
      </w:pPr>
    </w:p>
    <w:p w:rsidR="004266C5" w:rsidRPr="005E1103" w:rsidRDefault="004266C5" w:rsidP="004266C5">
      <w:pPr>
        <w:numPr>
          <w:ilvl w:val="0"/>
          <w:numId w:val="82"/>
        </w:numPr>
        <w:spacing w:after="0" w:line="240" w:lineRule="auto"/>
        <w:rPr>
          <w:rFonts w:cstheme="minorHAnsi"/>
          <w:sz w:val="28"/>
          <w:szCs w:val="28"/>
        </w:rPr>
      </w:pPr>
      <w:r w:rsidRPr="005E1103">
        <w:rPr>
          <w:rFonts w:cstheme="minorHAnsi"/>
          <w:sz w:val="28"/>
          <w:szCs w:val="28"/>
        </w:rPr>
        <w:t xml:space="preserve">Lograr una aproximación al conocimiento de los agentes implicados en dicho proceso: </w:t>
      </w:r>
    </w:p>
    <w:p w:rsidR="004266C5" w:rsidRPr="005E1103" w:rsidRDefault="004266C5" w:rsidP="004266C5">
      <w:pPr>
        <w:rPr>
          <w:rFonts w:cstheme="minorHAnsi"/>
          <w:sz w:val="28"/>
          <w:szCs w:val="28"/>
        </w:rPr>
      </w:pPr>
      <w:r w:rsidRPr="005E1103">
        <w:rPr>
          <w:rFonts w:cstheme="minorHAnsi"/>
          <w:sz w:val="28"/>
          <w:szCs w:val="28"/>
        </w:rPr>
        <w:t xml:space="preserve">                   a.1. El trabajador, en cuanto a sus datos personales,  formación, habilidades, auto percepción.</w:t>
      </w:r>
    </w:p>
    <w:p w:rsidR="004266C5" w:rsidRPr="005E1103" w:rsidRDefault="004266C5" w:rsidP="004266C5">
      <w:pPr>
        <w:rPr>
          <w:rFonts w:cstheme="minorHAnsi"/>
          <w:sz w:val="28"/>
          <w:szCs w:val="28"/>
        </w:rPr>
      </w:pPr>
      <w:r w:rsidRPr="005E1103">
        <w:rPr>
          <w:rFonts w:cstheme="minorHAnsi"/>
          <w:sz w:val="28"/>
          <w:szCs w:val="28"/>
        </w:rPr>
        <w:t xml:space="preserve">                  a.2. La familia: colaboración, apoyo y compromiso durante el proceso de inclusión.</w:t>
      </w:r>
    </w:p>
    <w:p w:rsidR="004266C5" w:rsidRPr="005E1103" w:rsidRDefault="004266C5" w:rsidP="004266C5">
      <w:pPr>
        <w:rPr>
          <w:rFonts w:cstheme="minorHAnsi"/>
          <w:sz w:val="28"/>
          <w:szCs w:val="28"/>
        </w:rPr>
      </w:pPr>
      <w:r w:rsidRPr="005E1103">
        <w:rPr>
          <w:rFonts w:cstheme="minorHAnsi"/>
          <w:sz w:val="28"/>
          <w:szCs w:val="28"/>
        </w:rPr>
        <w:t xml:space="preserve">                 a.2. Orientadores laborales.</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 xml:space="preserve">     b. En el puesto de trabajo:</w:t>
      </w:r>
    </w:p>
    <w:p w:rsidR="004266C5" w:rsidRPr="005E1103" w:rsidRDefault="004266C5" w:rsidP="004266C5">
      <w:pPr>
        <w:rPr>
          <w:rFonts w:cstheme="minorHAnsi"/>
          <w:sz w:val="28"/>
          <w:szCs w:val="28"/>
        </w:rPr>
      </w:pPr>
      <w:r w:rsidRPr="005E1103">
        <w:rPr>
          <w:rFonts w:cstheme="minorHAnsi"/>
          <w:sz w:val="28"/>
          <w:szCs w:val="28"/>
        </w:rPr>
        <w:t xml:space="preserve">          b.1. Recepción por parte de sus compañeros.</w:t>
      </w:r>
    </w:p>
    <w:p w:rsidR="004266C5" w:rsidRPr="005E1103" w:rsidRDefault="004266C5" w:rsidP="004266C5">
      <w:pPr>
        <w:rPr>
          <w:rFonts w:cstheme="minorHAnsi"/>
          <w:sz w:val="28"/>
          <w:szCs w:val="28"/>
        </w:rPr>
      </w:pPr>
      <w:r w:rsidRPr="005E1103">
        <w:rPr>
          <w:rFonts w:cstheme="minorHAnsi"/>
          <w:sz w:val="28"/>
          <w:szCs w:val="28"/>
        </w:rPr>
        <w:t xml:space="preserve">          b.2. Relaciones interpersonales en el sector dentro de la organización.</w:t>
      </w:r>
    </w:p>
    <w:p w:rsidR="004266C5" w:rsidRPr="005E1103" w:rsidRDefault="004266C5" w:rsidP="004266C5">
      <w:pPr>
        <w:rPr>
          <w:rFonts w:cstheme="minorHAnsi"/>
          <w:sz w:val="28"/>
          <w:szCs w:val="28"/>
        </w:rPr>
      </w:pPr>
      <w:r w:rsidRPr="005E1103">
        <w:rPr>
          <w:rFonts w:cstheme="minorHAnsi"/>
          <w:sz w:val="28"/>
          <w:szCs w:val="28"/>
        </w:rPr>
        <w:t xml:space="preserve">          b.3 Cumplimiento de las tareas asignadas.</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 xml:space="preserve">      </w:t>
      </w:r>
    </w:p>
    <w:p w:rsidR="004266C5" w:rsidRPr="005E1103" w:rsidRDefault="004266C5" w:rsidP="004266C5">
      <w:pPr>
        <w:rPr>
          <w:rFonts w:cstheme="minorHAnsi"/>
          <w:sz w:val="28"/>
          <w:szCs w:val="28"/>
        </w:rPr>
      </w:pPr>
      <w:r w:rsidRPr="005E1103">
        <w:rPr>
          <w:rFonts w:cstheme="minorHAnsi"/>
          <w:sz w:val="28"/>
          <w:szCs w:val="28"/>
        </w:rPr>
        <w:t xml:space="preserve">      c. Reacción en la empresa:</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 xml:space="preserve">          c.1 Grado de satisfacción de las personas que intervienen en el proceso de inclusión.</w:t>
      </w:r>
    </w:p>
    <w:p w:rsidR="004266C5" w:rsidRPr="005E1103" w:rsidRDefault="004266C5" w:rsidP="004266C5">
      <w:pPr>
        <w:rPr>
          <w:rFonts w:cstheme="minorHAnsi"/>
          <w:sz w:val="28"/>
          <w:szCs w:val="28"/>
        </w:rPr>
      </w:pPr>
      <w:r w:rsidRPr="005E1103">
        <w:rPr>
          <w:rFonts w:cstheme="minorHAnsi"/>
          <w:sz w:val="28"/>
          <w:szCs w:val="28"/>
        </w:rPr>
        <w:lastRenderedPageBreak/>
        <w:t xml:space="preserve">          c.2. Valoración de la persona en su desarrollo profesional.</w:t>
      </w:r>
    </w:p>
    <w:p w:rsidR="004266C5" w:rsidRPr="005E1103" w:rsidRDefault="004266C5" w:rsidP="004266C5">
      <w:pPr>
        <w:rPr>
          <w:rFonts w:cstheme="minorHAnsi"/>
          <w:sz w:val="28"/>
          <w:szCs w:val="28"/>
        </w:rPr>
      </w:pPr>
      <w:r w:rsidRPr="005E1103">
        <w:rPr>
          <w:rFonts w:cstheme="minorHAnsi"/>
          <w:sz w:val="28"/>
          <w:szCs w:val="28"/>
        </w:rPr>
        <w:t xml:space="preserve">          c.3.Participación de las áreas gerenciales.</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La muestra se estableció en  190 personas, todos ellos encuadrados en los criterios establecidos y  localizadas en CABA y en Provincia de Buenos Aires, Argentina.</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Seguidamente se mantuvieron reuniones con los agentes intervinientes en las diferentes fases  del proceso de inclusión.</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Se concretarán  entrevistas con los profesionales, proporcionándoles con anticipación  algunos de los instrumentos propuestos.</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 xml:space="preserve">Se analizará conjuntamente los contenidos, realizando las aclaraciones consideradas oportunas para responder las dudas  relacionadas con el procedimiento de recogida de información, Considerando de suma importancia  informarles con anticipación el respeto que se mantendrá sobre la privacidad </w:t>
      </w:r>
    </w:p>
    <w:p w:rsidR="004266C5" w:rsidRPr="005E1103" w:rsidRDefault="004266C5" w:rsidP="004266C5">
      <w:pPr>
        <w:rPr>
          <w:rFonts w:cstheme="minorHAnsi"/>
          <w:sz w:val="28"/>
          <w:szCs w:val="28"/>
        </w:rPr>
      </w:pPr>
    </w:p>
    <w:p w:rsidR="004266C5" w:rsidRPr="005E1103" w:rsidRDefault="004266C5" w:rsidP="004266C5">
      <w:pPr>
        <w:pStyle w:val="Prrafodelista"/>
        <w:numPr>
          <w:ilvl w:val="0"/>
          <w:numId w:val="83"/>
        </w:numPr>
        <w:spacing w:before="0" w:after="200" w:line="276" w:lineRule="auto"/>
        <w:rPr>
          <w:rFonts w:asciiTheme="minorHAnsi" w:hAnsiTheme="minorHAnsi" w:cstheme="minorHAnsi"/>
          <w:i/>
          <w:sz w:val="28"/>
          <w:szCs w:val="28"/>
          <w:u w:val="single"/>
        </w:rPr>
      </w:pPr>
      <w:r w:rsidRPr="005E1103">
        <w:rPr>
          <w:rFonts w:asciiTheme="minorHAnsi" w:hAnsiTheme="minorHAnsi" w:cstheme="minorHAnsi"/>
          <w:i/>
          <w:sz w:val="28"/>
          <w:szCs w:val="28"/>
          <w:u w:val="single"/>
        </w:rPr>
        <w:t>Instrumentos de recolección de datos:</w:t>
      </w:r>
    </w:p>
    <w:p w:rsidR="004266C5" w:rsidRPr="005E1103" w:rsidRDefault="004266C5" w:rsidP="004266C5">
      <w:pPr>
        <w:rPr>
          <w:rFonts w:cstheme="minorHAnsi"/>
          <w:sz w:val="28"/>
          <w:szCs w:val="28"/>
        </w:rPr>
      </w:pPr>
      <w:r w:rsidRPr="005E1103">
        <w:rPr>
          <w:rFonts w:cstheme="minorHAnsi"/>
          <w:sz w:val="28"/>
          <w:szCs w:val="28"/>
        </w:rPr>
        <w:t>1-Entrevistas: a los distintos agentes, utilizando el método de saturación teórica.</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2-Cuestionarios elaborados en función de la estandarización de la Unión Europea de Empleo con Apoyo.</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3- Relevamiento de cuestionarios que incluyen:</w:t>
      </w:r>
    </w:p>
    <w:p w:rsidR="004266C5" w:rsidRPr="005E1103" w:rsidRDefault="004266C5" w:rsidP="004266C5">
      <w:pPr>
        <w:rPr>
          <w:rFonts w:cstheme="minorHAnsi"/>
          <w:sz w:val="28"/>
          <w:szCs w:val="28"/>
        </w:rPr>
      </w:pPr>
    </w:p>
    <w:p w:rsidR="004266C5" w:rsidRPr="005E1103" w:rsidRDefault="004266C5" w:rsidP="004266C5">
      <w:pPr>
        <w:numPr>
          <w:ilvl w:val="0"/>
          <w:numId w:val="74"/>
        </w:numPr>
        <w:spacing w:after="0" w:line="240" w:lineRule="auto"/>
        <w:ind w:firstLine="0"/>
        <w:rPr>
          <w:rFonts w:cstheme="minorHAnsi"/>
          <w:sz w:val="28"/>
          <w:szCs w:val="28"/>
        </w:rPr>
      </w:pPr>
      <w:r w:rsidRPr="005E1103">
        <w:rPr>
          <w:rFonts w:cstheme="minorHAnsi"/>
          <w:sz w:val="28"/>
          <w:szCs w:val="28"/>
        </w:rPr>
        <w:t>Datos de la persona que responde al mismo con relación a su labor en este programa dentro del marco de la empresa.</w:t>
      </w:r>
    </w:p>
    <w:p w:rsidR="004266C5" w:rsidRPr="005E1103" w:rsidRDefault="004266C5" w:rsidP="004266C5">
      <w:pPr>
        <w:ind w:left="885"/>
        <w:rPr>
          <w:rFonts w:cstheme="minorHAnsi"/>
          <w:sz w:val="28"/>
          <w:szCs w:val="28"/>
        </w:rPr>
      </w:pPr>
    </w:p>
    <w:p w:rsidR="004266C5" w:rsidRPr="005E1103" w:rsidRDefault="004266C5" w:rsidP="004266C5">
      <w:pPr>
        <w:numPr>
          <w:ilvl w:val="0"/>
          <w:numId w:val="74"/>
        </w:numPr>
        <w:spacing w:after="0" w:line="240" w:lineRule="auto"/>
        <w:ind w:firstLine="0"/>
        <w:rPr>
          <w:rFonts w:cstheme="minorHAnsi"/>
          <w:sz w:val="28"/>
          <w:szCs w:val="28"/>
        </w:rPr>
      </w:pPr>
      <w:r w:rsidRPr="005E1103">
        <w:rPr>
          <w:rFonts w:cstheme="minorHAnsi"/>
          <w:sz w:val="28"/>
          <w:szCs w:val="28"/>
        </w:rPr>
        <w:t>Datos relativos a año de inicio, continuidad en el programa y formas de financiación del mismo.</w:t>
      </w:r>
    </w:p>
    <w:p w:rsidR="004266C5" w:rsidRPr="005E1103" w:rsidRDefault="004266C5" w:rsidP="004266C5">
      <w:pPr>
        <w:rPr>
          <w:rFonts w:cstheme="minorHAnsi"/>
          <w:sz w:val="28"/>
          <w:szCs w:val="28"/>
        </w:rPr>
      </w:pPr>
    </w:p>
    <w:p w:rsidR="004266C5" w:rsidRPr="005E1103" w:rsidRDefault="004266C5" w:rsidP="004266C5">
      <w:pPr>
        <w:numPr>
          <w:ilvl w:val="0"/>
          <w:numId w:val="74"/>
        </w:numPr>
        <w:spacing w:after="0" w:line="240" w:lineRule="auto"/>
        <w:ind w:firstLine="0"/>
        <w:rPr>
          <w:rFonts w:cstheme="minorHAnsi"/>
          <w:sz w:val="28"/>
          <w:szCs w:val="28"/>
        </w:rPr>
      </w:pPr>
      <w:r w:rsidRPr="005E1103">
        <w:rPr>
          <w:rFonts w:cstheme="minorHAnsi"/>
          <w:sz w:val="28"/>
          <w:szCs w:val="28"/>
        </w:rPr>
        <w:t>Datos relativos a los trabajadores con discapacidad intelectual en cuanto a edad, sexo, tipo de discapacidad, residencia, frecuencia anual en cuanto a la necesidad de apoyo, salarios, estabilidad en años en el empleo.</w:t>
      </w:r>
    </w:p>
    <w:p w:rsidR="004266C5" w:rsidRPr="005E1103" w:rsidRDefault="004266C5" w:rsidP="004266C5">
      <w:pPr>
        <w:rPr>
          <w:rFonts w:cstheme="minorHAnsi"/>
          <w:sz w:val="28"/>
          <w:szCs w:val="28"/>
        </w:rPr>
      </w:pPr>
    </w:p>
    <w:p w:rsidR="004266C5" w:rsidRPr="005E1103" w:rsidRDefault="004266C5" w:rsidP="004266C5">
      <w:pPr>
        <w:numPr>
          <w:ilvl w:val="0"/>
          <w:numId w:val="74"/>
        </w:numPr>
        <w:spacing w:after="0" w:line="240" w:lineRule="auto"/>
        <w:ind w:firstLine="0"/>
        <w:rPr>
          <w:rFonts w:cstheme="minorHAnsi"/>
          <w:sz w:val="28"/>
          <w:szCs w:val="28"/>
        </w:rPr>
      </w:pPr>
      <w:r w:rsidRPr="005E1103">
        <w:rPr>
          <w:rFonts w:cstheme="minorHAnsi"/>
          <w:sz w:val="28"/>
          <w:szCs w:val="28"/>
        </w:rPr>
        <w:t>Datos relativos a los profesionales intervinientes: definición profesiones, capacitación en el empleo con apoyo, tiempo insumido en su labor, salarios, años de antigüedad en el proyecto.</w:t>
      </w:r>
    </w:p>
    <w:p w:rsidR="004266C5" w:rsidRPr="005E1103" w:rsidRDefault="004266C5" w:rsidP="004266C5">
      <w:pPr>
        <w:rPr>
          <w:rFonts w:cstheme="minorHAnsi"/>
          <w:sz w:val="28"/>
          <w:szCs w:val="28"/>
        </w:rPr>
      </w:pPr>
    </w:p>
    <w:p w:rsidR="004266C5" w:rsidRPr="005E1103" w:rsidRDefault="004266C5" w:rsidP="004266C5">
      <w:pPr>
        <w:numPr>
          <w:ilvl w:val="0"/>
          <w:numId w:val="74"/>
        </w:numPr>
        <w:spacing w:after="0" w:line="240" w:lineRule="auto"/>
        <w:ind w:firstLine="0"/>
        <w:rPr>
          <w:rFonts w:cstheme="minorHAnsi"/>
          <w:sz w:val="28"/>
          <w:szCs w:val="28"/>
        </w:rPr>
      </w:pPr>
      <w:r w:rsidRPr="005E1103">
        <w:rPr>
          <w:rFonts w:cstheme="minorHAnsi"/>
          <w:sz w:val="28"/>
          <w:szCs w:val="28"/>
        </w:rPr>
        <w:t xml:space="preserve">Datos relativos a recursos económicos: diferentes fuentes de recursos de financiación: compromiso a partir de las empresas privadas y  las iniciativas de la administración pública para financiar dichos proyectos.  </w:t>
      </w:r>
    </w:p>
    <w:p w:rsidR="004266C5" w:rsidRPr="005E1103" w:rsidRDefault="004266C5" w:rsidP="004266C5">
      <w:pPr>
        <w:rPr>
          <w:rFonts w:cstheme="minorHAnsi"/>
          <w:sz w:val="28"/>
          <w:szCs w:val="28"/>
        </w:rPr>
      </w:pPr>
      <w:r w:rsidRPr="005E1103">
        <w:rPr>
          <w:rFonts w:cstheme="minorHAnsi"/>
          <w:sz w:val="28"/>
          <w:szCs w:val="28"/>
        </w:rPr>
        <w:t xml:space="preserve"> </w:t>
      </w:r>
    </w:p>
    <w:p w:rsidR="004266C5" w:rsidRPr="005E1103" w:rsidRDefault="004266C5" w:rsidP="004266C5">
      <w:pPr>
        <w:rPr>
          <w:rFonts w:cstheme="minorHAnsi"/>
          <w:sz w:val="28"/>
          <w:szCs w:val="28"/>
        </w:rPr>
      </w:pPr>
      <w:r w:rsidRPr="005E1103">
        <w:rPr>
          <w:rFonts w:cstheme="minorHAnsi"/>
          <w:sz w:val="28"/>
          <w:szCs w:val="28"/>
        </w:rPr>
        <w:t>4- Observaciones participantes</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5-Observaciones no participantes.</w:t>
      </w:r>
    </w:p>
    <w:p w:rsidR="004266C5" w:rsidRPr="005E1103" w:rsidRDefault="004266C5" w:rsidP="004266C5">
      <w:pPr>
        <w:rPr>
          <w:rFonts w:cstheme="minorHAnsi"/>
          <w:sz w:val="28"/>
          <w:szCs w:val="28"/>
        </w:rPr>
      </w:pPr>
      <w:r w:rsidRPr="005E1103">
        <w:rPr>
          <w:rFonts w:cstheme="minorHAnsi"/>
          <w:sz w:val="28"/>
          <w:szCs w:val="28"/>
        </w:rPr>
        <w:t xml:space="preserve">Realizadas en organizaciones que se dedican a la capacitación de todos los profesionales intervinientes en las diferentes etapas de implementación del empleo con apoyo </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6-Relevamiento de los manuales y de guías para las buenas prácticas de interacción con personas con discapacidad implementadas por las empresas que hacen uso del empleo con apoyo.</w:t>
      </w:r>
    </w:p>
    <w:p w:rsidR="004266C5" w:rsidRPr="005E1103" w:rsidRDefault="004266C5" w:rsidP="004266C5">
      <w:pPr>
        <w:rPr>
          <w:rFonts w:cstheme="minorHAnsi"/>
          <w:sz w:val="28"/>
          <w:szCs w:val="28"/>
        </w:rPr>
      </w:pPr>
    </w:p>
    <w:p w:rsidR="004266C5" w:rsidRPr="005E1103" w:rsidRDefault="004266C5" w:rsidP="004266C5">
      <w:pPr>
        <w:rPr>
          <w:rFonts w:cstheme="minorHAnsi"/>
          <w:b/>
          <w:color w:val="FF00FF"/>
          <w:sz w:val="28"/>
          <w:szCs w:val="28"/>
        </w:rPr>
      </w:pPr>
    </w:p>
    <w:p w:rsidR="004266C5" w:rsidRPr="005E1103" w:rsidRDefault="004266C5" w:rsidP="004266C5">
      <w:pPr>
        <w:rPr>
          <w:rFonts w:cstheme="minorHAnsi"/>
          <w:b/>
          <w:sz w:val="28"/>
          <w:szCs w:val="28"/>
        </w:rPr>
      </w:pPr>
      <w:r w:rsidRPr="005E1103">
        <w:rPr>
          <w:rFonts w:cstheme="minorHAnsi"/>
          <w:b/>
          <w:sz w:val="28"/>
          <w:szCs w:val="28"/>
        </w:rPr>
        <w:lastRenderedPageBreak/>
        <w:t>VI-Conclusión</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En Argentina en la actualidad debe establecerse una revisión integral de las leyes vigentes así como los beneficios laborales, previsionales, fiscales, de salud y asistenciales de dicho colectivo.</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Es por ello que es una realidad que, cada uno de nosotros podemos generar dicho cambio a través de propuestas para el dictado de leyes que los ampare, motivar a los gobernantes, empresarios, educadores y dirigentes a los efectos de generar cambios en el contexto para que lo facilite y comprometiéndonos cada uno desde sus posibilidades a brindar la oportunidad simplemente del derecho al trabajo para lograr la autonomía suficiente para su desarrollo.</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Es importante acompañar el relevamiento legal con la sistematización de un relevamiento serio, organizado, consistente que permita dar a conocer estadísticas reales a los efectos de planificar y tomar decisiones acordes a la situación social vigente</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La educación en todos los niveles y la capacitación de los educadores es una necesidad de resolución a concretar en breve.</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 xml:space="preserve"> La sociedad avanza sin detenerse , sin tiempo para poder pensar en aquellas personas que no pueden seguir la velocidad y el ritmo que impone la mayoría.  </w:t>
      </w:r>
    </w:p>
    <w:p w:rsidR="004266C5" w:rsidRPr="005E1103" w:rsidRDefault="004266C5" w:rsidP="004266C5">
      <w:pPr>
        <w:rPr>
          <w:rFonts w:cstheme="minorHAnsi"/>
          <w:sz w:val="28"/>
          <w:szCs w:val="28"/>
        </w:rPr>
      </w:pPr>
    </w:p>
    <w:p w:rsidR="004266C5" w:rsidRPr="005E1103" w:rsidRDefault="004266C5" w:rsidP="004266C5">
      <w:pPr>
        <w:rPr>
          <w:rFonts w:cstheme="minorHAnsi"/>
          <w:sz w:val="28"/>
          <w:szCs w:val="28"/>
        </w:rPr>
      </w:pPr>
      <w:r w:rsidRPr="005E1103">
        <w:rPr>
          <w:rFonts w:cstheme="minorHAnsi"/>
          <w:sz w:val="28"/>
          <w:szCs w:val="28"/>
        </w:rPr>
        <w:t xml:space="preserve">Por ello, debemos procurar modificar esta situación, incorporando al mundo laboral a las personas con discapacidad para que puedan desarrollarse dentro de un ámbito de igualdad y de bienestar, para ellos y para las familias que los contiene y que lucha día a día por un mundo mejor.   </w:t>
      </w:r>
    </w:p>
    <w:p w:rsidR="004266C5" w:rsidRPr="005E1103" w:rsidRDefault="004266C5" w:rsidP="004266C5">
      <w:pPr>
        <w:rPr>
          <w:rFonts w:cstheme="minorHAnsi"/>
          <w:sz w:val="28"/>
          <w:szCs w:val="28"/>
        </w:rPr>
      </w:pPr>
    </w:p>
    <w:p w:rsidR="004266C5" w:rsidRPr="005E1103" w:rsidRDefault="004266C5" w:rsidP="004266C5">
      <w:pPr>
        <w:rPr>
          <w:rFonts w:cstheme="minorHAnsi"/>
          <w:b/>
          <w:color w:val="FF00FF"/>
          <w:sz w:val="28"/>
          <w:szCs w:val="28"/>
        </w:rPr>
      </w:pPr>
    </w:p>
    <w:p w:rsidR="004266C5" w:rsidRPr="005E1103" w:rsidRDefault="004266C5" w:rsidP="004266C5">
      <w:pPr>
        <w:rPr>
          <w:rFonts w:cstheme="minorHAnsi"/>
          <w:b/>
          <w:color w:val="FF00FF"/>
          <w:sz w:val="28"/>
          <w:szCs w:val="28"/>
        </w:rPr>
      </w:pPr>
    </w:p>
    <w:p w:rsidR="004266C5" w:rsidRPr="005E1103" w:rsidRDefault="004266C5" w:rsidP="004266C5">
      <w:pPr>
        <w:rPr>
          <w:rFonts w:cstheme="minorHAnsi"/>
          <w:b/>
          <w:color w:val="FF00FF"/>
          <w:sz w:val="28"/>
          <w:szCs w:val="28"/>
        </w:rPr>
      </w:pPr>
    </w:p>
    <w:p w:rsidR="004266C5" w:rsidRPr="005E1103" w:rsidRDefault="004266C5" w:rsidP="004266C5">
      <w:pPr>
        <w:rPr>
          <w:rFonts w:cstheme="minorHAnsi"/>
          <w:sz w:val="28"/>
          <w:szCs w:val="28"/>
        </w:rPr>
      </w:pPr>
    </w:p>
    <w:p w:rsidR="004266C5" w:rsidRPr="005E1103" w:rsidRDefault="004266C5" w:rsidP="004266C5">
      <w:pPr>
        <w:pStyle w:val="Subttulo"/>
        <w:jc w:val="left"/>
        <w:rPr>
          <w:rFonts w:asciiTheme="minorHAnsi" w:hAnsiTheme="minorHAnsi" w:cstheme="minorHAnsi"/>
          <w:b/>
          <w:color w:val="FF00FF"/>
          <w:sz w:val="28"/>
          <w:szCs w:val="28"/>
        </w:rPr>
      </w:pPr>
      <w:bookmarkStart w:id="66" w:name="_Toc428105783"/>
      <w:r w:rsidRPr="005E1103">
        <w:rPr>
          <w:rFonts w:asciiTheme="minorHAnsi" w:hAnsiTheme="minorHAnsi" w:cstheme="minorHAnsi"/>
          <w:b/>
          <w:sz w:val="28"/>
          <w:szCs w:val="28"/>
        </w:rPr>
        <w:t>VII.Bibliografía consultada en el proyecto</w:t>
      </w:r>
      <w:bookmarkEnd w:id="66"/>
    </w:p>
    <w:p w:rsidR="004266C5" w:rsidRPr="005E1103" w:rsidRDefault="004266C5" w:rsidP="004266C5">
      <w:pPr>
        <w:rPr>
          <w:rFonts w:cstheme="minorHAnsi"/>
          <w:b/>
          <w:sz w:val="28"/>
          <w:szCs w:val="28"/>
          <w:u w:val="single"/>
        </w:rPr>
      </w:pPr>
    </w:p>
    <w:p w:rsidR="004266C5" w:rsidRPr="005E1103" w:rsidRDefault="004266C5" w:rsidP="004266C5">
      <w:pPr>
        <w:rPr>
          <w:rFonts w:cstheme="minorHAnsi"/>
          <w:sz w:val="28"/>
          <w:szCs w:val="28"/>
        </w:rPr>
      </w:pPr>
      <w:r w:rsidRPr="005E1103">
        <w:rPr>
          <w:rFonts w:cstheme="minorHAnsi"/>
          <w:sz w:val="28"/>
          <w:szCs w:val="28"/>
        </w:rPr>
        <w:t xml:space="preserve"> La bibliografía y la legislación consultada responden a </w:t>
      </w:r>
    </w:p>
    <w:p w:rsidR="004266C5" w:rsidRPr="005E1103" w:rsidRDefault="004266C5" w:rsidP="004266C5">
      <w:pPr>
        <w:rPr>
          <w:rFonts w:cstheme="minorHAnsi"/>
          <w:sz w:val="28"/>
          <w:szCs w:val="28"/>
        </w:rPr>
      </w:pPr>
    </w:p>
    <w:p w:rsidR="004266C5" w:rsidRPr="005E1103" w:rsidRDefault="004266C5" w:rsidP="004266C5">
      <w:pPr>
        <w:numPr>
          <w:ilvl w:val="0"/>
          <w:numId w:val="75"/>
        </w:numPr>
        <w:spacing w:after="0" w:line="240" w:lineRule="auto"/>
        <w:ind w:firstLine="0"/>
        <w:rPr>
          <w:rFonts w:cstheme="minorHAnsi"/>
          <w:sz w:val="28"/>
          <w:szCs w:val="28"/>
        </w:rPr>
      </w:pPr>
      <w:r w:rsidRPr="005E1103">
        <w:rPr>
          <w:rFonts w:cstheme="minorHAnsi"/>
          <w:sz w:val="28"/>
          <w:szCs w:val="28"/>
        </w:rPr>
        <w:t>Documentos, tratados y acuerdos que surgen de la OMS.</w:t>
      </w:r>
    </w:p>
    <w:p w:rsidR="004266C5" w:rsidRPr="005E1103" w:rsidRDefault="004266C5" w:rsidP="004266C5">
      <w:pPr>
        <w:ind w:left="720"/>
        <w:rPr>
          <w:rFonts w:cstheme="minorHAnsi"/>
          <w:sz w:val="28"/>
          <w:szCs w:val="28"/>
        </w:rPr>
      </w:pPr>
    </w:p>
    <w:p w:rsidR="004266C5" w:rsidRPr="005E1103" w:rsidRDefault="004266C5" w:rsidP="004266C5">
      <w:pPr>
        <w:numPr>
          <w:ilvl w:val="0"/>
          <w:numId w:val="75"/>
        </w:numPr>
        <w:spacing w:after="0" w:line="240" w:lineRule="auto"/>
        <w:ind w:firstLine="0"/>
        <w:rPr>
          <w:rFonts w:cstheme="minorHAnsi"/>
          <w:sz w:val="28"/>
          <w:szCs w:val="28"/>
        </w:rPr>
      </w:pPr>
      <w:r w:rsidRPr="005E1103">
        <w:rPr>
          <w:rFonts w:cstheme="minorHAnsi"/>
          <w:sz w:val="28"/>
          <w:szCs w:val="28"/>
        </w:rPr>
        <w:t>Ley 22431. Sistema de protección integral de las personas discapacitadas.</w:t>
      </w:r>
    </w:p>
    <w:p w:rsidR="004266C5" w:rsidRPr="005E1103" w:rsidRDefault="004266C5" w:rsidP="004266C5">
      <w:pPr>
        <w:ind w:left="720"/>
        <w:rPr>
          <w:rFonts w:cstheme="minorHAnsi"/>
          <w:sz w:val="28"/>
          <w:szCs w:val="28"/>
        </w:rPr>
      </w:pPr>
    </w:p>
    <w:p w:rsidR="004266C5" w:rsidRPr="005E1103" w:rsidRDefault="004266C5" w:rsidP="004266C5">
      <w:pPr>
        <w:numPr>
          <w:ilvl w:val="0"/>
          <w:numId w:val="75"/>
        </w:numPr>
        <w:spacing w:after="0" w:line="240" w:lineRule="auto"/>
        <w:ind w:firstLine="0"/>
        <w:rPr>
          <w:rFonts w:cstheme="minorHAnsi"/>
          <w:sz w:val="28"/>
          <w:szCs w:val="28"/>
        </w:rPr>
      </w:pPr>
      <w:r w:rsidRPr="005E1103">
        <w:rPr>
          <w:rFonts w:cstheme="minorHAnsi"/>
          <w:sz w:val="28"/>
          <w:szCs w:val="28"/>
        </w:rPr>
        <w:t>Documentos de UNICEF, Convenciones y relaciones internacionales de la ONU.</w:t>
      </w:r>
    </w:p>
    <w:p w:rsidR="004266C5" w:rsidRPr="005E1103" w:rsidRDefault="004266C5" w:rsidP="004266C5">
      <w:pPr>
        <w:rPr>
          <w:rFonts w:cstheme="minorHAnsi"/>
          <w:sz w:val="28"/>
          <w:szCs w:val="28"/>
        </w:rPr>
      </w:pPr>
    </w:p>
    <w:p w:rsidR="004266C5" w:rsidRPr="005E1103" w:rsidRDefault="004266C5" w:rsidP="004266C5">
      <w:pPr>
        <w:numPr>
          <w:ilvl w:val="0"/>
          <w:numId w:val="75"/>
        </w:numPr>
        <w:spacing w:after="0" w:line="240" w:lineRule="auto"/>
        <w:ind w:firstLine="0"/>
        <w:rPr>
          <w:rFonts w:cstheme="minorHAnsi"/>
          <w:sz w:val="28"/>
          <w:szCs w:val="28"/>
        </w:rPr>
      </w:pPr>
      <w:r w:rsidRPr="005E1103">
        <w:rPr>
          <w:rFonts w:cstheme="minorHAnsi"/>
          <w:sz w:val="28"/>
          <w:szCs w:val="28"/>
        </w:rPr>
        <w:t>Estándares Europeos de Calidad  para los servicios de empleo con apoyo. Instrumento de Evaluación. Universidad de Salamanca.2005</w:t>
      </w:r>
    </w:p>
    <w:p w:rsidR="004266C5" w:rsidRPr="005E1103" w:rsidRDefault="004266C5" w:rsidP="004266C5">
      <w:pPr>
        <w:rPr>
          <w:rFonts w:cstheme="minorHAnsi"/>
          <w:sz w:val="28"/>
          <w:szCs w:val="28"/>
        </w:rPr>
      </w:pPr>
    </w:p>
    <w:p w:rsidR="004266C5" w:rsidRPr="005E1103" w:rsidRDefault="004266C5" w:rsidP="004266C5">
      <w:pPr>
        <w:numPr>
          <w:ilvl w:val="0"/>
          <w:numId w:val="75"/>
        </w:numPr>
        <w:spacing w:after="0" w:line="240" w:lineRule="auto"/>
        <w:ind w:firstLine="0"/>
        <w:rPr>
          <w:rFonts w:cstheme="minorHAnsi"/>
          <w:sz w:val="28"/>
          <w:szCs w:val="28"/>
        </w:rPr>
      </w:pPr>
      <w:r w:rsidRPr="005E1103">
        <w:rPr>
          <w:rFonts w:cstheme="minorHAnsi"/>
          <w:sz w:val="28"/>
          <w:szCs w:val="28"/>
        </w:rPr>
        <w:t>El empleo con apoyo en Cataluña. Protocolo marco. Departamento de Trabajo Unión Europea.</w:t>
      </w:r>
    </w:p>
    <w:p w:rsidR="004266C5" w:rsidRPr="005E1103" w:rsidRDefault="004266C5" w:rsidP="004266C5">
      <w:pPr>
        <w:rPr>
          <w:rFonts w:cstheme="minorHAnsi"/>
          <w:sz w:val="28"/>
          <w:szCs w:val="28"/>
        </w:rPr>
      </w:pPr>
    </w:p>
    <w:p w:rsidR="004266C5" w:rsidRPr="005E1103" w:rsidRDefault="004266C5" w:rsidP="004266C5">
      <w:pPr>
        <w:numPr>
          <w:ilvl w:val="0"/>
          <w:numId w:val="75"/>
        </w:numPr>
        <w:spacing w:after="0" w:line="240" w:lineRule="auto"/>
        <w:ind w:firstLine="0"/>
        <w:rPr>
          <w:rFonts w:cstheme="minorHAnsi"/>
          <w:sz w:val="28"/>
          <w:szCs w:val="28"/>
        </w:rPr>
      </w:pPr>
      <w:r w:rsidRPr="005E1103">
        <w:rPr>
          <w:rFonts w:cstheme="minorHAnsi"/>
          <w:sz w:val="28"/>
          <w:szCs w:val="28"/>
        </w:rPr>
        <w:t>Información sobre discapacidad y trabajo decente. OIT;  Organización Internacional del Trabajo: Noviembre 2009</w:t>
      </w:r>
    </w:p>
    <w:p w:rsidR="004266C5" w:rsidRPr="005E1103" w:rsidRDefault="004266C5" w:rsidP="004266C5">
      <w:pPr>
        <w:pStyle w:val="Prrafodelista"/>
        <w:rPr>
          <w:rFonts w:asciiTheme="minorHAnsi" w:hAnsiTheme="minorHAnsi" w:cstheme="minorHAnsi"/>
          <w:sz w:val="28"/>
          <w:szCs w:val="28"/>
        </w:rPr>
      </w:pPr>
    </w:p>
    <w:p w:rsidR="004266C5" w:rsidRPr="005E1103" w:rsidRDefault="004266C5" w:rsidP="004266C5">
      <w:pPr>
        <w:numPr>
          <w:ilvl w:val="0"/>
          <w:numId w:val="75"/>
        </w:numPr>
        <w:spacing w:after="0" w:line="240" w:lineRule="auto"/>
        <w:ind w:firstLine="0"/>
        <w:rPr>
          <w:rFonts w:cstheme="minorHAnsi"/>
          <w:sz w:val="28"/>
          <w:szCs w:val="28"/>
        </w:rPr>
      </w:pPr>
      <w:r w:rsidRPr="005E1103">
        <w:rPr>
          <w:rFonts w:cstheme="minorHAnsi"/>
          <w:sz w:val="28"/>
          <w:szCs w:val="28"/>
        </w:rPr>
        <w:t>Caja de Herramientas de la Euse (European Union of Supported Employment) para la práctica del Empleo con apoyo.2010</w:t>
      </w:r>
    </w:p>
    <w:p w:rsidR="004266C5" w:rsidRPr="005E1103" w:rsidRDefault="004266C5" w:rsidP="004266C5">
      <w:pPr>
        <w:pStyle w:val="Prrafodelista"/>
        <w:rPr>
          <w:rFonts w:asciiTheme="minorHAnsi" w:hAnsiTheme="minorHAnsi" w:cstheme="minorHAnsi"/>
          <w:sz w:val="28"/>
          <w:szCs w:val="28"/>
        </w:rPr>
      </w:pPr>
    </w:p>
    <w:p w:rsidR="004266C5" w:rsidRPr="005E1103" w:rsidRDefault="004266C5" w:rsidP="004266C5">
      <w:pPr>
        <w:numPr>
          <w:ilvl w:val="0"/>
          <w:numId w:val="75"/>
        </w:numPr>
        <w:spacing w:after="0" w:line="240" w:lineRule="auto"/>
        <w:ind w:firstLine="0"/>
        <w:rPr>
          <w:rFonts w:cstheme="minorHAnsi"/>
          <w:sz w:val="28"/>
          <w:szCs w:val="28"/>
        </w:rPr>
      </w:pPr>
      <w:r w:rsidRPr="005E1103">
        <w:rPr>
          <w:rFonts w:cstheme="minorHAnsi"/>
          <w:sz w:val="28"/>
          <w:szCs w:val="28"/>
        </w:rPr>
        <w:t>Gestión de las discapacidades en el lugar de trabajo. Repertorio de recomendaciones prácticas de la OIT. Oficina Internacional del Trabajo. Ginebra. Primera Edición 2002.</w:t>
      </w:r>
    </w:p>
    <w:p w:rsidR="004266C5" w:rsidRPr="005E1103" w:rsidRDefault="004266C5" w:rsidP="004266C5">
      <w:pPr>
        <w:pStyle w:val="Prrafodelista"/>
        <w:rPr>
          <w:rFonts w:asciiTheme="minorHAnsi" w:hAnsiTheme="minorHAnsi" w:cstheme="minorHAnsi"/>
          <w:sz w:val="28"/>
          <w:szCs w:val="28"/>
        </w:rPr>
      </w:pPr>
    </w:p>
    <w:p w:rsidR="004266C5" w:rsidRPr="005E1103" w:rsidRDefault="004266C5" w:rsidP="004266C5">
      <w:pPr>
        <w:numPr>
          <w:ilvl w:val="0"/>
          <w:numId w:val="75"/>
        </w:numPr>
        <w:spacing w:after="0" w:line="240" w:lineRule="auto"/>
        <w:ind w:firstLine="0"/>
        <w:rPr>
          <w:rFonts w:cstheme="minorHAnsi"/>
          <w:sz w:val="28"/>
          <w:szCs w:val="28"/>
        </w:rPr>
      </w:pPr>
      <w:r w:rsidRPr="005E1103">
        <w:rPr>
          <w:rFonts w:cstheme="minorHAnsi"/>
          <w:sz w:val="28"/>
          <w:szCs w:val="28"/>
        </w:rPr>
        <w:t>Informe ECA 2011. Evolución del Empleo con Apoyo en España. Ajuste a los Estándares de Calidad de la EUSE.2011</w:t>
      </w:r>
    </w:p>
    <w:p w:rsidR="004266C5" w:rsidRPr="005E1103" w:rsidRDefault="004266C5" w:rsidP="004266C5">
      <w:pPr>
        <w:pStyle w:val="Prrafodelista"/>
        <w:rPr>
          <w:rFonts w:asciiTheme="minorHAnsi" w:hAnsiTheme="minorHAnsi" w:cstheme="minorHAnsi"/>
          <w:sz w:val="28"/>
          <w:szCs w:val="28"/>
        </w:rPr>
      </w:pPr>
    </w:p>
    <w:p w:rsidR="004266C5" w:rsidRPr="005E1103" w:rsidRDefault="004266C5" w:rsidP="004266C5">
      <w:pPr>
        <w:numPr>
          <w:ilvl w:val="0"/>
          <w:numId w:val="75"/>
        </w:numPr>
        <w:spacing w:after="0" w:line="240" w:lineRule="auto"/>
        <w:ind w:firstLine="0"/>
        <w:rPr>
          <w:rFonts w:cstheme="minorHAnsi"/>
          <w:sz w:val="28"/>
          <w:szCs w:val="28"/>
        </w:rPr>
      </w:pPr>
      <w:r w:rsidRPr="005E1103">
        <w:rPr>
          <w:rFonts w:cstheme="minorHAnsi"/>
          <w:sz w:val="28"/>
          <w:szCs w:val="28"/>
        </w:rPr>
        <w:t>Res A61/106 Convención sobre los derechos de las personas con discapacidad. Asamblea General de las Naciones Unidas. 24/01/2007.</w:t>
      </w:r>
    </w:p>
    <w:p w:rsidR="004266C5" w:rsidRPr="005E1103" w:rsidRDefault="004266C5" w:rsidP="004266C5">
      <w:pPr>
        <w:pStyle w:val="Prrafodelista"/>
        <w:rPr>
          <w:rFonts w:asciiTheme="minorHAnsi" w:hAnsiTheme="minorHAnsi" w:cstheme="minorHAnsi"/>
          <w:sz w:val="28"/>
          <w:szCs w:val="28"/>
        </w:rPr>
      </w:pPr>
    </w:p>
    <w:p w:rsidR="004266C5" w:rsidRPr="005E1103" w:rsidRDefault="004266C5" w:rsidP="004266C5">
      <w:pPr>
        <w:numPr>
          <w:ilvl w:val="0"/>
          <w:numId w:val="75"/>
        </w:numPr>
        <w:spacing w:after="0" w:line="240" w:lineRule="auto"/>
        <w:ind w:firstLine="0"/>
        <w:rPr>
          <w:rFonts w:cstheme="minorHAnsi"/>
          <w:sz w:val="28"/>
          <w:szCs w:val="28"/>
        </w:rPr>
      </w:pPr>
      <w:r w:rsidRPr="005E1103">
        <w:rPr>
          <w:rFonts w:cstheme="minorHAnsi"/>
          <w:sz w:val="28"/>
          <w:szCs w:val="28"/>
        </w:rPr>
        <w:t>Memoria y conclusiones; Primer Encuentro de Preparadores Laborales.20/12/2011 Universidad Carlos II. Madrid. España</w:t>
      </w:r>
    </w:p>
    <w:p w:rsidR="004266C5" w:rsidRPr="005E1103" w:rsidRDefault="004266C5" w:rsidP="004266C5">
      <w:pPr>
        <w:pStyle w:val="Prrafodelista"/>
        <w:rPr>
          <w:rFonts w:asciiTheme="minorHAnsi" w:hAnsiTheme="minorHAnsi" w:cstheme="minorHAnsi"/>
          <w:sz w:val="28"/>
          <w:szCs w:val="28"/>
        </w:rPr>
      </w:pPr>
    </w:p>
    <w:p w:rsidR="004266C5" w:rsidRPr="005E1103" w:rsidRDefault="004266C5" w:rsidP="004266C5">
      <w:pPr>
        <w:numPr>
          <w:ilvl w:val="0"/>
          <w:numId w:val="75"/>
        </w:numPr>
        <w:spacing w:after="0" w:line="240" w:lineRule="auto"/>
        <w:ind w:firstLine="0"/>
        <w:rPr>
          <w:rFonts w:cstheme="minorHAnsi"/>
          <w:sz w:val="28"/>
          <w:szCs w:val="28"/>
        </w:rPr>
      </w:pPr>
      <w:r w:rsidRPr="005E1103">
        <w:rPr>
          <w:rFonts w:cstheme="minorHAnsi"/>
          <w:sz w:val="28"/>
          <w:szCs w:val="28"/>
        </w:rPr>
        <w:t>Informe Contrataciones Empleo con Apoyo 2012. Asociación Española de empleo con Apoyo. Mayo 2013</w:t>
      </w:r>
    </w:p>
    <w:p w:rsidR="004266C5" w:rsidRPr="005E1103" w:rsidRDefault="004266C5" w:rsidP="004266C5">
      <w:pPr>
        <w:pStyle w:val="Prrafodelista"/>
        <w:rPr>
          <w:rFonts w:asciiTheme="minorHAnsi" w:hAnsiTheme="minorHAnsi" w:cstheme="minorHAnsi"/>
          <w:sz w:val="28"/>
          <w:szCs w:val="28"/>
        </w:rPr>
      </w:pPr>
    </w:p>
    <w:p w:rsidR="004266C5" w:rsidRPr="005E1103" w:rsidRDefault="004266C5" w:rsidP="004266C5">
      <w:pPr>
        <w:numPr>
          <w:ilvl w:val="0"/>
          <w:numId w:val="75"/>
        </w:numPr>
        <w:spacing w:after="0" w:line="240" w:lineRule="auto"/>
        <w:ind w:firstLine="0"/>
        <w:rPr>
          <w:rFonts w:cstheme="minorHAnsi"/>
          <w:sz w:val="28"/>
          <w:szCs w:val="28"/>
        </w:rPr>
      </w:pPr>
      <w:r w:rsidRPr="005E1103">
        <w:rPr>
          <w:rFonts w:cstheme="minorHAnsi"/>
          <w:sz w:val="28"/>
          <w:szCs w:val="28"/>
        </w:rPr>
        <w:t>Informe Contrataciones Empleo con Apoyo 2013. Asociación Española de empleo con Apoyo. Mayo 2014</w:t>
      </w:r>
    </w:p>
    <w:p w:rsidR="004266C5" w:rsidRPr="005E1103" w:rsidRDefault="004266C5" w:rsidP="004266C5">
      <w:pPr>
        <w:pStyle w:val="Prrafodelista"/>
        <w:rPr>
          <w:rFonts w:asciiTheme="minorHAnsi" w:hAnsiTheme="minorHAnsi" w:cstheme="minorHAnsi"/>
          <w:sz w:val="28"/>
          <w:szCs w:val="28"/>
        </w:rPr>
      </w:pPr>
    </w:p>
    <w:p w:rsidR="004266C5" w:rsidRPr="005E1103" w:rsidRDefault="004266C5" w:rsidP="004266C5">
      <w:pPr>
        <w:numPr>
          <w:ilvl w:val="0"/>
          <w:numId w:val="75"/>
        </w:numPr>
        <w:spacing w:after="0" w:line="240" w:lineRule="auto"/>
        <w:ind w:firstLine="0"/>
        <w:rPr>
          <w:rFonts w:cstheme="minorHAnsi"/>
          <w:sz w:val="28"/>
          <w:szCs w:val="28"/>
        </w:rPr>
      </w:pPr>
      <w:r w:rsidRPr="005E1103">
        <w:rPr>
          <w:rFonts w:cstheme="minorHAnsi"/>
          <w:sz w:val="28"/>
          <w:szCs w:val="28"/>
        </w:rPr>
        <w:t xml:space="preserve">Todo es Teoría. Objetivos y Métodos de Investigación. Ruth Sautú, Ediciones Lumiere SA. 1 edic. Buenos Aires, 2003. </w:t>
      </w:r>
      <w:r w:rsidRPr="005E1103">
        <w:rPr>
          <w:rFonts w:cstheme="minorHAnsi"/>
          <w:sz w:val="28"/>
          <w:szCs w:val="28"/>
          <w:lang w:eastAsia="es-AR"/>
        </w:rPr>
        <w:t>ISBN 950-9603-57-0.</w:t>
      </w:r>
    </w:p>
    <w:p w:rsidR="004266C5" w:rsidRPr="005E1103" w:rsidRDefault="004266C5" w:rsidP="004266C5">
      <w:pPr>
        <w:pStyle w:val="Prrafodelista"/>
        <w:rPr>
          <w:rFonts w:asciiTheme="minorHAnsi" w:hAnsiTheme="minorHAnsi" w:cstheme="minorHAnsi"/>
          <w:sz w:val="28"/>
          <w:szCs w:val="28"/>
        </w:rPr>
      </w:pPr>
    </w:p>
    <w:p w:rsidR="004266C5" w:rsidRPr="005E1103" w:rsidRDefault="004266C5" w:rsidP="004266C5">
      <w:pPr>
        <w:numPr>
          <w:ilvl w:val="0"/>
          <w:numId w:val="75"/>
        </w:numPr>
        <w:spacing w:after="0" w:line="240" w:lineRule="auto"/>
        <w:ind w:firstLine="0"/>
        <w:rPr>
          <w:rFonts w:cstheme="minorHAnsi"/>
          <w:sz w:val="28"/>
          <w:szCs w:val="28"/>
        </w:rPr>
      </w:pPr>
      <w:r w:rsidRPr="005E1103">
        <w:rPr>
          <w:rFonts w:cstheme="minorHAnsi"/>
          <w:sz w:val="28"/>
          <w:szCs w:val="28"/>
        </w:rPr>
        <w:t>Convención de los Derechos de las personas con discapacidad (2007)</w:t>
      </w:r>
    </w:p>
    <w:p w:rsidR="004266C5" w:rsidRPr="005E1103" w:rsidRDefault="004266C5" w:rsidP="004266C5">
      <w:pPr>
        <w:pStyle w:val="Prrafodelista"/>
        <w:rPr>
          <w:rFonts w:asciiTheme="minorHAnsi" w:hAnsiTheme="minorHAnsi" w:cstheme="minorHAnsi"/>
          <w:sz w:val="28"/>
          <w:szCs w:val="28"/>
        </w:rPr>
      </w:pPr>
    </w:p>
    <w:p w:rsidR="004266C5" w:rsidRPr="005E1103" w:rsidRDefault="004266C5" w:rsidP="004266C5">
      <w:pPr>
        <w:numPr>
          <w:ilvl w:val="0"/>
          <w:numId w:val="75"/>
        </w:numPr>
        <w:spacing w:after="0" w:line="240" w:lineRule="auto"/>
        <w:ind w:firstLine="0"/>
        <w:rPr>
          <w:rFonts w:cstheme="minorHAnsi"/>
          <w:sz w:val="28"/>
          <w:szCs w:val="28"/>
        </w:rPr>
      </w:pPr>
      <w:r w:rsidRPr="005E1103">
        <w:rPr>
          <w:rFonts w:cstheme="minorHAnsi"/>
          <w:sz w:val="28"/>
          <w:szCs w:val="28"/>
        </w:rPr>
        <w:t>Informe presentado en la 11º Conferencia de la Unión Europea de Empleo con Apoyo (EUSE) Dublín, Irlanda. Junio 2013</w:t>
      </w:r>
    </w:p>
    <w:p w:rsidR="004266C5" w:rsidRPr="005E1103" w:rsidRDefault="004266C5" w:rsidP="004266C5">
      <w:pPr>
        <w:pStyle w:val="Prrafodelista"/>
        <w:rPr>
          <w:rFonts w:asciiTheme="minorHAnsi" w:hAnsiTheme="minorHAnsi" w:cstheme="minorHAnsi"/>
          <w:sz w:val="28"/>
          <w:szCs w:val="28"/>
        </w:rPr>
      </w:pPr>
    </w:p>
    <w:p w:rsidR="004266C5" w:rsidRPr="005E1103" w:rsidRDefault="004266C5" w:rsidP="004266C5">
      <w:pPr>
        <w:numPr>
          <w:ilvl w:val="0"/>
          <w:numId w:val="75"/>
        </w:numPr>
        <w:spacing w:after="0" w:line="240" w:lineRule="auto"/>
        <w:ind w:firstLine="0"/>
        <w:rPr>
          <w:rFonts w:cstheme="minorHAnsi"/>
          <w:sz w:val="28"/>
          <w:szCs w:val="28"/>
        </w:rPr>
      </w:pPr>
      <w:r w:rsidRPr="005E1103">
        <w:rPr>
          <w:rFonts w:cstheme="minorHAnsi"/>
          <w:sz w:val="28"/>
          <w:szCs w:val="28"/>
        </w:rPr>
        <w:t xml:space="preserve"> Ley 22431 / 1981  “Sistema de protección Integral de los Discapacitados”</w:t>
      </w:r>
    </w:p>
    <w:p w:rsidR="004266C5" w:rsidRPr="005E1103" w:rsidRDefault="004266C5" w:rsidP="004266C5">
      <w:pPr>
        <w:pStyle w:val="Prrafodelista"/>
        <w:rPr>
          <w:rFonts w:asciiTheme="minorHAnsi" w:hAnsiTheme="minorHAnsi" w:cstheme="minorHAnsi"/>
          <w:sz w:val="28"/>
          <w:szCs w:val="28"/>
        </w:rPr>
      </w:pPr>
    </w:p>
    <w:p w:rsidR="004266C5" w:rsidRPr="005E1103" w:rsidRDefault="004266C5" w:rsidP="004266C5">
      <w:pPr>
        <w:numPr>
          <w:ilvl w:val="0"/>
          <w:numId w:val="75"/>
        </w:numPr>
        <w:spacing w:after="0" w:line="240" w:lineRule="auto"/>
        <w:ind w:firstLine="0"/>
        <w:rPr>
          <w:rFonts w:cstheme="minorHAnsi"/>
          <w:sz w:val="28"/>
          <w:szCs w:val="28"/>
        </w:rPr>
      </w:pPr>
      <w:r w:rsidRPr="005E1103">
        <w:rPr>
          <w:rFonts w:cstheme="minorHAnsi"/>
          <w:sz w:val="28"/>
          <w:szCs w:val="28"/>
        </w:rPr>
        <w:t>Ley 23.462 de Readaptación Profesional y empleo de personas inválidas</w:t>
      </w:r>
    </w:p>
    <w:p w:rsidR="004266C5" w:rsidRPr="005E1103" w:rsidRDefault="004266C5" w:rsidP="004266C5">
      <w:pPr>
        <w:pStyle w:val="Prrafodelista"/>
        <w:rPr>
          <w:rFonts w:asciiTheme="minorHAnsi" w:hAnsiTheme="minorHAnsi" w:cstheme="minorHAnsi"/>
          <w:sz w:val="28"/>
          <w:szCs w:val="28"/>
        </w:rPr>
      </w:pPr>
    </w:p>
    <w:p w:rsidR="004266C5" w:rsidRPr="005E1103" w:rsidRDefault="004266C5" w:rsidP="004266C5">
      <w:pPr>
        <w:numPr>
          <w:ilvl w:val="0"/>
          <w:numId w:val="75"/>
        </w:numPr>
        <w:spacing w:after="0" w:line="240" w:lineRule="auto"/>
        <w:ind w:firstLine="0"/>
        <w:rPr>
          <w:rFonts w:cstheme="minorHAnsi"/>
          <w:sz w:val="28"/>
          <w:szCs w:val="28"/>
        </w:rPr>
      </w:pPr>
      <w:r w:rsidRPr="005E1103">
        <w:rPr>
          <w:rFonts w:cstheme="minorHAnsi"/>
          <w:sz w:val="28"/>
          <w:szCs w:val="28"/>
        </w:rPr>
        <w:t xml:space="preserve"> Convenio 159 de la Organización Internacional del Trabajo, “Convenio de Readaptación Profesional y Empleo de Personas Inválidas.</w:t>
      </w:r>
    </w:p>
    <w:p w:rsidR="004266C5" w:rsidRPr="005E1103" w:rsidRDefault="004266C5" w:rsidP="004266C5">
      <w:pPr>
        <w:rPr>
          <w:rFonts w:cstheme="minorHAnsi"/>
          <w:sz w:val="28"/>
          <w:szCs w:val="28"/>
        </w:rPr>
      </w:pPr>
    </w:p>
    <w:p w:rsidR="004266C5" w:rsidRPr="005E1103" w:rsidRDefault="004266C5" w:rsidP="004266C5">
      <w:pPr>
        <w:numPr>
          <w:ilvl w:val="0"/>
          <w:numId w:val="75"/>
        </w:numPr>
        <w:spacing w:after="0" w:line="240" w:lineRule="auto"/>
        <w:ind w:firstLine="0"/>
        <w:rPr>
          <w:rFonts w:cstheme="minorHAnsi"/>
          <w:sz w:val="28"/>
          <w:szCs w:val="28"/>
        </w:rPr>
      </w:pPr>
      <w:r w:rsidRPr="005E1103">
        <w:rPr>
          <w:rFonts w:cstheme="minorHAnsi"/>
          <w:sz w:val="28"/>
          <w:szCs w:val="28"/>
        </w:rPr>
        <w:t>Céspedes, G. M La nueva cultura de la discapacidad y los modelos de rehabilitación. Revista Aquichan ISSN 1657-5997. Año 5 Vol. 5. Nº 1 Colombia, 2005.</w:t>
      </w:r>
    </w:p>
    <w:p w:rsidR="004266C5" w:rsidRPr="005E1103" w:rsidRDefault="004266C5" w:rsidP="004266C5">
      <w:pPr>
        <w:pStyle w:val="Prrafodelista"/>
        <w:rPr>
          <w:rFonts w:asciiTheme="minorHAnsi" w:hAnsiTheme="minorHAnsi" w:cstheme="minorHAnsi"/>
          <w:sz w:val="28"/>
          <w:szCs w:val="28"/>
        </w:rPr>
      </w:pPr>
    </w:p>
    <w:p w:rsidR="004266C5" w:rsidRPr="005E1103" w:rsidRDefault="004266C5" w:rsidP="004266C5">
      <w:pPr>
        <w:numPr>
          <w:ilvl w:val="0"/>
          <w:numId w:val="75"/>
        </w:numPr>
        <w:spacing w:after="0" w:line="240" w:lineRule="auto"/>
        <w:ind w:firstLine="0"/>
        <w:rPr>
          <w:rFonts w:cstheme="minorHAnsi"/>
          <w:sz w:val="28"/>
          <w:szCs w:val="28"/>
        </w:rPr>
      </w:pPr>
      <w:r w:rsidRPr="005E1103">
        <w:rPr>
          <w:rFonts w:cstheme="minorHAnsi"/>
          <w:sz w:val="28"/>
          <w:szCs w:val="28"/>
        </w:rPr>
        <w:t xml:space="preserve">Schalock, Robert L. Hacia una nueva concepción de la discapacidad Ponencia presentada en las III Jornadas Científicas de Investigación sobre Personas con Discapacidad. Universidad de Salamanca, España. 1999 </w:t>
      </w:r>
    </w:p>
    <w:p w:rsidR="004266C5" w:rsidRPr="005E1103" w:rsidRDefault="004266C5" w:rsidP="004266C5">
      <w:pPr>
        <w:pStyle w:val="Prrafodelista"/>
        <w:rPr>
          <w:rFonts w:asciiTheme="minorHAnsi" w:hAnsiTheme="minorHAnsi" w:cstheme="minorHAnsi"/>
          <w:sz w:val="28"/>
          <w:szCs w:val="28"/>
        </w:rPr>
      </w:pPr>
    </w:p>
    <w:p w:rsidR="004266C5" w:rsidRPr="005E1103" w:rsidRDefault="00BF6455" w:rsidP="004266C5">
      <w:pPr>
        <w:numPr>
          <w:ilvl w:val="0"/>
          <w:numId w:val="75"/>
        </w:numPr>
        <w:spacing w:after="0" w:line="240" w:lineRule="auto"/>
        <w:ind w:firstLine="0"/>
        <w:rPr>
          <w:rFonts w:cstheme="minorHAnsi"/>
          <w:sz w:val="28"/>
          <w:szCs w:val="28"/>
          <w:shd w:val="clear" w:color="auto" w:fill="FFFFFF"/>
        </w:rPr>
      </w:pPr>
      <w:hyperlink r:id="rId121" w:history="1">
        <w:r w:rsidR="004266C5" w:rsidRPr="005E1103">
          <w:rPr>
            <w:rStyle w:val="Hipervnculo"/>
            <w:rFonts w:cstheme="minorHAnsi"/>
            <w:sz w:val="28"/>
            <w:szCs w:val="28"/>
          </w:rPr>
          <w:t>Schalock</w:t>
        </w:r>
      </w:hyperlink>
      <w:r w:rsidR="004266C5" w:rsidRPr="005E1103">
        <w:rPr>
          <w:rStyle w:val="a-declarative"/>
          <w:rFonts w:cstheme="minorHAnsi"/>
          <w:sz w:val="28"/>
          <w:szCs w:val="28"/>
        </w:rPr>
        <w:t xml:space="preserve">, R ; Verdugo, M.A. </w:t>
      </w:r>
      <w:r w:rsidR="004266C5" w:rsidRPr="005E1103">
        <w:rPr>
          <w:rStyle w:val="a-size-large"/>
          <w:rFonts w:cstheme="minorHAnsi"/>
          <w:sz w:val="28"/>
          <w:szCs w:val="28"/>
        </w:rPr>
        <w:t>Calidad de Vida Manual Para Profesionales De La Educación, Salud Y Servicios sociales</w:t>
      </w:r>
      <w:r w:rsidR="004266C5" w:rsidRPr="005E1103">
        <w:rPr>
          <w:rStyle w:val="a-size-large"/>
          <w:rFonts w:cstheme="minorHAnsi"/>
          <w:b/>
          <w:sz w:val="28"/>
          <w:szCs w:val="28"/>
        </w:rPr>
        <w:t xml:space="preserve"> </w:t>
      </w:r>
      <w:r w:rsidR="004266C5" w:rsidRPr="005E1103">
        <w:rPr>
          <w:rFonts w:cstheme="minorHAnsi"/>
          <w:sz w:val="28"/>
          <w:szCs w:val="28"/>
          <w:shd w:val="clear" w:color="auto" w:fill="FFFFFF"/>
        </w:rPr>
        <w:t>Alianza Editorial. España.2007</w:t>
      </w:r>
    </w:p>
    <w:p w:rsidR="004266C5" w:rsidRPr="005E1103" w:rsidRDefault="004266C5">
      <w:pPr>
        <w:rPr>
          <w:rFonts w:cstheme="minorHAnsi"/>
          <w:sz w:val="28"/>
          <w:szCs w:val="28"/>
          <w:shd w:val="clear" w:color="auto" w:fill="FFFFFF"/>
        </w:rPr>
      </w:pPr>
      <w:r w:rsidRPr="005E1103">
        <w:rPr>
          <w:rFonts w:cstheme="minorHAnsi"/>
          <w:sz w:val="28"/>
          <w:szCs w:val="28"/>
          <w:shd w:val="clear" w:color="auto" w:fill="FFFFFF"/>
        </w:rPr>
        <w:br w:type="page"/>
      </w:r>
    </w:p>
    <w:p w:rsidR="004266C5" w:rsidRPr="005E1103" w:rsidRDefault="004266C5" w:rsidP="004266C5">
      <w:pPr>
        <w:jc w:val="center"/>
        <w:rPr>
          <w:rFonts w:cstheme="minorHAnsi"/>
          <w:b/>
          <w:sz w:val="28"/>
          <w:szCs w:val="28"/>
        </w:rPr>
      </w:pPr>
      <w:r w:rsidRPr="005E1103">
        <w:rPr>
          <w:rFonts w:cstheme="minorHAnsi"/>
          <w:b/>
          <w:sz w:val="28"/>
          <w:szCs w:val="28"/>
        </w:rPr>
        <w:lastRenderedPageBreak/>
        <w:t>COMUNICACIÓN 10</w:t>
      </w:r>
    </w:p>
    <w:p w:rsidR="004266C5" w:rsidRPr="005E1103" w:rsidRDefault="004266C5" w:rsidP="004266C5">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cstheme="minorHAnsi"/>
          <w:sz w:val="28"/>
          <w:szCs w:val="28"/>
        </w:rPr>
      </w:pPr>
      <w:r w:rsidRPr="005E1103">
        <w:rPr>
          <w:rFonts w:cstheme="minorHAnsi"/>
          <w:noProof/>
          <w:sz w:val="28"/>
          <w:szCs w:val="28"/>
          <w:lang w:eastAsia="es-ES"/>
        </w:rPr>
        <w:t>Experiencia en una persona adulta con discapacidad auditiva y usuaria de prótesis, en un proyecto de aprendizaje de inglés para aumento de su empleabilidad</w:t>
      </w:r>
    </w:p>
    <w:p w:rsidR="004266C5" w:rsidRPr="005E1103" w:rsidRDefault="004266C5" w:rsidP="004266C5">
      <w:pPr>
        <w:spacing w:line="360" w:lineRule="auto"/>
        <w:jc w:val="both"/>
        <w:rPr>
          <w:rFonts w:cstheme="minorHAnsi"/>
          <w:noProof/>
          <w:sz w:val="28"/>
          <w:szCs w:val="28"/>
          <w:lang w:eastAsia="es-ES"/>
        </w:rPr>
      </w:pPr>
      <w:r w:rsidRPr="005E1103">
        <w:rPr>
          <w:rFonts w:cstheme="minorHAnsi"/>
          <w:bCs/>
          <w:noProof/>
          <w:sz w:val="28"/>
          <w:szCs w:val="28"/>
          <w:lang w:eastAsia="es-ES"/>
        </w:rPr>
        <w:t>Almudena Bermejo  (1), Dale Sindell (2),  Fernando Alfageme (3)</w:t>
      </w:r>
    </w:p>
    <w:p w:rsidR="004266C5" w:rsidRPr="005E1103" w:rsidRDefault="004266C5" w:rsidP="004266C5">
      <w:pPr>
        <w:numPr>
          <w:ilvl w:val="0"/>
          <w:numId w:val="86"/>
        </w:numPr>
        <w:spacing w:after="200" w:line="360" w:lineRule="auto"/>
        <w:jc w:val="both"/>
        <w:rPr>
          <w:rFonts w:cstheme="minorHAnsi"/>
          <w:noProof/>
          <w:sz w:val="28"/>
          <w:szCs w:val="28"/>
          <w:lang w:eastAsia="es-ES"/>
        </w:rPr>
      </w:pPr>
      <w:r w:rsidRPr="005E1103">
        <w:rPr>
          <w:rFonts w:cstheme="minorHAnsi"/>
          <w:bCs/>
          <w:noProof/>
          <w:sz w:val="28"/>
          <w:szCs w:val="28"/>
          <w:lang w:eastAsia="es-ES"/>
        </w:rPr>
        <w:t>Facultad de CC Económicas. Universidad Autónoma de Madrid</w:t>
      </w:r>
    </w:p>
    <w:p w:rsidR="004266C5" w:rsidRPr="005E1103" w:rsidRDefault="004266C5" w:rsidP="004266C5">
      <w:pPr>
        <w:numPr>
          <w:ilvl w:val="0"/>
          <w:numId w:val="86"/>
        </w:numPr>
        <w:spacing w:after="200" w:line="360" w:lineRule="auto"/>
        <w:jc w:val="both"/>
        <w:rPr>
          <w:rFonts w:cstheme="minorHAnsi"/>
          <w:noProof/>
          <w:sz w:val="28"/>
          <w:szCs w:val="28"/>
          <w:lang w:eastAsia="es-ES"/>
        </w:rPr>
      </w:pPr>
      <w:r w:rsidRPr="005E1103">
        <w:rPr>
          <w:rFonts w:cstheme="minorHAnsi"/>
          <w:bCs/>
          <w:noProof/>
          <w:sz w:val="28"/>
          <w:szCs w:val="28"/>
          <w:lang w:eastAsia="es-ES"/>
        </w:rPr>
        <w:t xml:space="preserve">Asociación T-oigo </w:t>
      </w:r>
    </w:p>
    <w:p w:rsidR="004266C5" w:rsidRPr="005E1103" w:rsidRDefault="004266C5" w:rsidP="004266C5">
      <w:pPr>
        <w:numPr>
          <w:ilvl w:val="0"/>
          <w:numId w:val="86"/>
        </w:numPr>
        <w:spacing w:after="200" w:line="360" w:lineRule="auto"/>
        <w:jc w:val="both"/>
        <w:rPr>
          <w:rFonts w:cstheme="minorHAnsi"/>
          <w:noProof/>
          <w:sz w:val="28"/>
          <w:szCs w:val="28"/>
          <w:lang w:eastAsia="es-ES"/>
        </w:rPr>
      </w:pPr>
      <w:r w:rsidRPr="005E1103">
        <w:rPr>
          <w:rFonts w:cstheme="minorHAnsi"/>
          <w:bCs/>
          <w:noProof/>
          <w:sz w:val="28"/>
          <w:szCs w:val="28"/>
          <w:lang w:eastAsia="es-ES"/>
        </w:rPr>
        <w:t xml:space="preserve"> Facultad de Medicina HU Puerta de Hierro Majadahonda Universidad Autónoma de Madrid</w:t>
      </w:r>
    </w:p>
    <w:p w:rsidR="004266C5" w:rsidRPr="005E1103" w:rsidRDefault="004266C5" w:rsidP="004266C5">
      <w:pPr>
        <w:spacing w:line="360" w:lineRule="auto"/>
        <w:jc w:val="both"/>
        <w:rPr>
          <w:rFonts w:cstheme="minorHAnsi"/>
          <w:noProof/>
          <w:sz w:val="28"/>
          <w:szCs w:val="28"/>
          <w:lang w:eastAsia="es-ES"/>
        </w:rPr>
      </w:pPr>
      <w:r w:rsidRPr="005E1103">
        <w:rPr>
          <w:rFonts w:cstheme="minorHAnsi"/>
          <w:noProof/>
          <w:sz w:val="28"/>
          <w:szCs w:val="28"/>
          <w:lang w:eastAsia="es-ES"/>
        </w:rPr>
        <w:t xml:space="preserve">El siguiente trabajo recoge el avance en el nivel de comunicación oral en lengua inglesa, de una persona que sufre una discapacidad auditiva -apoyada con  audífonos- a través de un programa de voluntariado desarrollado por la asociación T-oigo. </w:t>
      </w:r>
    </w:p>
    <w:p w:rsidR="004266C5" w:rsidRPr="005E1103" w:rsidRDefault="004266C5" w:rsidP="004266C5">
      <w:pPr>
        <w:spacing w:line="360" w:lineRule="auto"/>
        <w:jc w:val="both"/>
        <w:rPr>
          <w:rFonts w:cstheme="minorHAnsi"/>
          <w:noProof/>
          <w:sz w:val="28"/>
          <w:szCs w:val="28"/>
          <w:lang w:eastAsia="es-ES"/>
        </w:rPr>
      </w:pPr>
      <w:r w:rsidRPr="005E1103">
        <w:rPr>
          <w:rFonts w:cstheme="minorHAnsi"/>
          <w:noProof/>
          <w:sz w:val="28"/>
          <w:szCs w:val="28"/>
          <w:lang w:eastAsia="es-ES"/>
        </w:rPr>
        <w:t>Para ubicarnos en la necesidad de aumentar la formación en las personas con pérdida auditiva, nos centramos en los datos oficiales sobre empleo y paro publicados en la última Encuesta de Población Activa (EPA),  donde se aprecia que España cuenta con una elevada tasa de paro, independientemente del nivel de formación, sexo o edad, superando el 18 % (Ver cuadro 1)</w:t>
      </w:r>
    </w:p>
    <w:p w:rsidR="004266C5" w:rsidRPr="005E1103" w:rsidRDefault="004266C5" w:rsidP="004266C5">
      <w:pPr>
        <w:spacing w:line="360" w:lineRule="auto"/>
        <w:jc w:val="both"/>
        <w:rPr>
          <w:rFonts w:cstheme="minorHAnsi"/>
          <w:noProof/>
          <w:sz w:val="28"/>
          <w:szCs w:val="28"/>
          <w:lang w:eastAsia="es-ES"/>
        </w:rPr>
      </w:pPr>
      <w:r w:rsidRPr="005E1103">
        <w:rPr>
          <w:rFonts w:cstheme="minorHAnsi"/>
          <w:noProof/>
          <w:sz w:val="28"/>
          <w:szCs w:val="28"/>
          <w:lang w:eastAsia="es-ES"/>
        </w:rPr>
        <w:t>Cuadro 1.</w:t>
      </w:r>
    </w:p>
    <w:tbl>
      <w:tblPr>
        <w:tblStyle w:val="Tablaconcuadrcula"/>
        <w:tblW w:w="0" w:type="auto"/>
        <w:tblLook w:val="04A0" w:firstRow="1" w:lastRow="0" w:firstColumn="1" w:lastColumn="0" w:noHBand="0" w:noVBand="1"/>
      </w:tblPr>
      <w:tblGrid>
        <w:gridCol w:w="1051"/>
        <w:gridCol w:w="939"/>
        <w:gridCol w:w="216"/>
        <w:gridCol w:w="949"/>
        <w:gridCol w:w="1113"/>
        <w:gridCol w:w="1113"/>
        <w:gridCol w:w="1113"/>
        <w:gridCol w:w="1113"/>
        <w:gridCol w:w="1113"/>
      </w:tblGrid>
      <w:tr w:rsidR="004266C5" w:rsidRPr="005E1103" w:rsidTr="0046263B">
        <w:trPr>
          <w:trHeight w:val="300"/>
        </w:trPr>
        <w:tc>
          <w:tcPr>
            <w:tcW w:w="8720" w:type="dxa"/>
            <w:gridSpan w:val="9"/>
            <w:noWrap/>
            <w:hideMark/>
          </w:tcPr>
          <w:p w:rsidR="004266C5" w:rsidRPr="005E1103" w:rsidRDefault="004266C5" w:rsidP="0046263B">
            <w:pPr>
              <w:spacing w:line="360" w:lineRule="auto"/>
              <w:jc w:val="both"/>
              <w:rPr>
                <w:rFonts w:cstheme="minorHAnsi"/>
                <w:b/>
                <w:bCs/>
                <w:sz w:val="28"/>
                <w:szCs w:val="28"/>
              </w:rPr>
            </w:pPr>
            <w:r w:rsidRPr="005E1103">
              <w:rPr>
                <w:rFonts w:cstheme="minorHAnsi"/>
                <w:b/>
                <w:bCs/>
                <w:sz w:val="28"/>
                <w:szCs w:val="28"/>
              </w:rPr>
              <w:t>Resultados nacionales</w:t>
            </w:r>
          </w:p>
        </w:tc>
      </w:tr>
      <w:tr w:rsidR="004266C5" w:rsidRPr="005E1103" w:rsidTr="0046263B">
        <w:trPr>
          <w:trHeight w:val="255"/>
        </w:trPr>
        <w:tc>
          <w:tcPr>
            <w:tcW w:w="8720" w:type="dxa"/>
            <w:gridSpan w:val="9"/>
            <w:noWrap/>
            <w:hideMark/>
          </w:tcPr>
          <w:p w:rsidR="004266C5" w:rsidRPr="005E1103" w:rsidRDefault="004266C5" w:rsidP="0046263B">
            <w:pPr>
              <w:spacing w:line="360" w:lineRule="auto"/>
              <w:jc w:val="both"/>
              <w:rPr>
                <w:rFonts w:cstheme="minorHAnsi"/>
                <w:b/>
                <w:bCs/>
                <w:sz w:val="28"/>
                <w:szCs w:val="28"/>
              </w:rPr>
            </w:pPr>
            <w:r w:rsidRPr="005E1103">
              <w:rPr>
                <w:rFonts w:cstheme="minorHAnsi"/>
                <w:b/>
                <w:bCs/>
                <w:sz w:val="28"/>
                <w:szCs w:val="28"/>
              </w:rPr>
              <w:t>Parados</w:t>
            </w:r>
          </w:p>
        </w:tc>
      </w:tr>
      <w:tr w:rsidR="004266C5" w:rsidRPr="005E1103" w:rsidTr="0046263B">
        <w:trPr>
          <w:trHeight w:val="255"/>
        </w:trPr>
        <w:tc>
          <w:tcPr>
            <w:tcW w:w="8720" w:type="dxa"/>
            <w:gridSpan w:val="9"/>
            <w:noWrap/>
            <w:hideMark/>
          </w:tcPr>
          <w:p w:rsidR="004266C5" w:rsidRPr="005E1103" w:rsidRDefault="004266C5" w:rsidP="0046263B">
            <w:pPr>
              <w:spacing w:line="360" w:lineRule="auto"/>
              <w:jc w:val="both"/>
              <w:rPr>
                <w:rFonts w:cstheme="minorHAnsi"/>
                <w:sz w:val="28"/>
                <w:szCs w:val="28"/>
              </w:rPr>
            </w:pPr>
            <w:r w:rsidRPr="005E1103">
              <w:rPr>
                <w:rFonts w:cstheme="minorHAnsi"/>
                <w:sz w:val="28"/>
                <w:szCs w:val="28"/>
              </w:rPr>
              <w:t> </w:t>
            </w:r>
          </w:p>
        </w:tc>
      </w:tr>
      <w:tr w:rsidR="004266C5" w:rsidRPr="005E1103" w:rsidTr="0046263B">
        <w:trPr>
          <w:trHeight w:val="300"/>
        </w:trPr>
        <w:tc>
          <w:tcPr>
            <w:tcW w:w="8720" w:type="dxa"/>
            <w:gridSpan w:val="9"/>
            <w:noWrap/>
            <w:hideMark/>
          </w:tcPr>
          <w:p w:rsidR="004266C5" w:rsidRPr="005E1103" w:rsidRDefault="004266C5" w:rsidP="0046263B">
            <w:pPr>
              <w:spacing w:line="360" w:lineRule="auto"/>
              <w:jc w:val="both"/>
              <w:rPr>
                <w:rFonts w:cstheme="minorHAnsi"/>
                <w:b/>
                <w:bCs/>
                <w:sz w:val="28"/>
                <w:szCs w:val="28"/>
              </w:rPr>
            </w:pPr>
            <w:r w:rsidRPr="005E1103">
              <w:rPr>
                <w:rFonts w:cstheme="minorHAnsi"/>
                <w:b/>
                <w:bCs/>
                <w:sz w:val="28"/>
                <w:szCs w:val="28"/>
              </w:rPr>
              <w:t>Tasas de paro por nivel de formación alcanzado, sexo y grupo de edad</w:t>
            </w:r>
          </w:p>
        </w:tc>
      </w:tr>
      <w:tr w:rsidR="004266C5" w:rsidRPr="005E1103" w:rsidTr="0046263B">
        <w:trPr>
          <w:trHeight w:val="255"/>
        </w:trPr>
        <w:tc>
          <w:tcPr>
            <w:tcW w:w="8720" w:type="dxa"/>
            <w:gridSpan w:val="9"/>
            <w:noWrap/>
            <w:hideMark/>
          </w:tcPr>
          <w:p w:rsidR="004266C5" w:rsidRPr="005E1103" w:rsidRDefault="004266C5" w:rsidP="0046263B">
            <w:pPr>
              <w:spacing w:line="360" w:lineRule="auto"/>
              <w:jc w:val="both"/>
              <w:rPr>
                <w:rFonts w:cstheme="minorHAnsi"/>
                <w:b/>
                <w:bCs/>
                <w:sz w:val="28"/>
                <w:szCs w:val="28"/>
              </w:rPr>
            </w:pPr>
            <w:r w:rsidRPr="005E1103">
              <w:rPr>
                <w:rFonts w:cstheme="minorHAnsi"/>
                <w:b/>
                <w:bCs/>
                <w:sz w:val="28"/>
                <w:szCs w:val="28"/>
              </w:rPr>
              <w:t>Unidades:   Tasas, Millonésimas Tasas</w:t>
            </w:r>
          </w:p>
        </w:tc>
      </w:tr>
      <w:tr w:rsidR="004266C5" w:rsidRPr="005E1103" w:rsidTr="0046263B">
        <w:trPr>
          <w:trHeight w:val="255"/>
        </w:trPr>
        <w:tc>
          <w:tcPr>
            <w:tcW w:w="8720" w:type="dxa"/>
            <w:gridSpan w:val="9"/>
            <w:noWrap/>
            <w:hideMark/>
          </w:tcPr>
          <w:p w:rsidR="004266C5" w:rsidRPr="005E1103" w:rsidRDefault="004266C5" w:rsidP="0046263B">
            <w:pPr>
              <w:spacing w:line="360" w:lineRule="auto"/>
              <w:jc w:val="both"/>
              <w:rPr>
                <w:rFonts w:cstheme="minorHAnsi"/>
                <w:sz w:val="28"/>
                <w:szCs w:val="28"/>
              </w:rPr>
            </w:pPr>
            <w:r w:rsidRPr="005E1103">
              <w:rPr>
                <w:rFonts w:cstheme="minorHAnsi"/>
                <w:sz w:val="28"/>
                <w:szCs w:val="28"/>
              </w:rPr>
              <w:lastRenderedPageBreak/>
              <w:t> </w:t>
            </w:r>
          </w:p>
        </w:tc>
      </w:tr>
      <w:tr w:rsidR="004266C5" w:rsidRPr="005E1103" w:rsidTr="0046263B">
        <w:trPr>
          <w:trHeight w:val="325"/>
        </w:trPr>
        <w:tc>
          <w:tcPr>
            <w:tcW w:w="1065" w:type="dxa"/>
            <w:noWrap/>
            <w:hideMark/>
          </w:tcPr>
          <w:p w:rsidR="004266C5" w:rsidRPr="005E1103" w:rsidRDefault="004266C5" w:rsidP="0046263B">
            <w:pPr>
              <w:spacing w:line="360" w:lineRule="auto"/>
              <w:jc w:val="both"/>
              <w:rPr>
                <w:rFonts w:cstheme="minorHAnsi"/>
                <w:sz w:val="28"/>
                <w:szCs w:val="28"/>
              </w:rPr>
            </w:pPr>
            <w:r w:rsidRPr="005E1103">
              <w:rPr>
                <w:rFonts w:cstheme="minorHAnsi"/>
                <w:sz w:val="28"/>
                <w:szCs w:val="28"/>
              </w:rPr>
              <w:t xml:space="preserve"> </w:t>
            </w:r>
          </w:p>
        </w:tc>
        <w:tc>
          <w:tcPr>
            <w:tcW w:w="7655" w:type="dxa"/>
            <w:gridSpan w:val="8"/>
            <w:hideMark/>
          </w:tcPr>
          <w:p w:rsidR="004266C5" w:rsidRPr="005E1103" w:rsidRDefault="004266C5" w:rsidP="0046263B">
            <w:pPr>
              <w:spacing w:line="360" w:lineRule="auto"/>
              <w:jc w:val="both"/>
              <w:rPr>
                <w:rFonts w:cstheme="minorHAnsi"/>
                <w:b/>
                <w:bCs/>
                <w:sz w:val="28"/>
                <w:szCs w:val="28"/>
              </w:rPr>
            </w:pPr>
            <w:r w:rsidRPr="005E1103">
              <w:rPr>
                <w:rFonts w:cstheme="minorHAnsi"/>
                <w:b/>
                <w:bCs/>
                <w:sz w:val="28"/>
                <w:szCs w:val="28"/>
              </w:rPr>
              <w:t>Total</w:t>
            </w:r>
          </w:p>
        </w:tc>
      </w:tr>
      <w:tr w:rsidR="004266C5" w:rsidRPr="005E1103" w:rsidTr="0046263B">
        <w:trPr>
          <w:trHeight w:val="255"/>
        </w:trPr>
        <w:tc>
          <w:tcPr>
            <w:tcW w:w="1065" w:type="dxa"/>
            <w:noWrap/>
            <w:hideMark/>
          </w:tcPr>
          <w:p w:rsidR="004266C5" w:rsidRPr="005E1103" w:rsidRDefault="004266C5" w:rsidP="0046263B">
            <w:pPr>
              <w:spacing w:line="360" w:lineRule="auto"/>
              <w:jc w:val="both"/>
              <w:rPr>
                <w:rFonts w:cstheme="minorHAnsi"/>
                <w:sz w:val="28"/>
                <w:szCs w:val="28"/>
              </w:rPr>
            </w:pPr>
            <w:r w:rsidRPr="005E1103">
              <w:rPr>
                <w:rFonts w:cstheme="minorHAnsi"/>
                <w:sz w:val="28"/>
                <w:szCs w:val="28"/>
              </w:rPr>
              <w:t xml:space="preserve"> </w:t>
            </w:r>
          </w:p>
        </w:tc>
        <w:tc>
          <w:tcPr>
            <w:tcW w:w="1028" w:type="dxa"/>
            <w:gridSpan w:val="2"/>
            <w:hideMark/>
          </w:tcPr>
          <w:p w:rsidR="004266C5" w:rsidRPr="005E1103" w:rsidRDefault="004266C5" w:rsidP="0046263B">
            <w:pPr>
              <w:spacing w:line="360" w:lineRule="auto"/>
              <w:jc w:val="both"/>
              <w:rPr>
                <w:rFonts w:cstheme="minorHAnsi"/>
                <w:b/>
                <w:bCs/>
                <w:sz w:val="28"/>
                <w:szCs w:val="28"/>
              </w:rPr>
            </w:pPr>
            <w:r w:rsidRPr="005E1103">
              <w:rPr>
                <w:rFonts w:cstheme="minorHAnsi"/>
                <w:b/>
                <w:bCs/>
                <w:sz w:val="28"/>
                <w:szCs w:val="28"/>
              </w:rPr>
              <w:t>2016T3</w:t>
            </w:r>
          </w:p>
        </w:tc>
        <w:tc>
          <w:tcPr>
            <w:tcW w:w="982" w:type="dxa"/>
            <w:hideMark/>
          </w:tcPr>
          <w:p w:rsidR="004266C5" w:rsidRPr="005E1103" w:rsidRDefault="004266C5" w:rsidP="0046263B">
            <w:pPr>
              <w:spacing w:line="360" w:lineRule="auto"/>
              <w:jc w:val="both"/>
              <w:rPr>
                <w:rFonts w:cstheme="minorHAnsi"/>
                <w:b/>
                <w:bCs/>
                <w:sz w:val="28"/>
                <w:szCs w:val="28"/>
              </w:rPr>
            </w:pPr>
            <w:r w:rsidRPr="005E1103">
              <w:rPr>
                <w:rFonts w:cstheme="minorHAnsi"/>
                <w:b/>
                <w:bCs/>
                <w:sz w:val="28"/>
                <w:szCs w:val="28"/>
              </w:rPr>
              <w:t>2016T2</w:t>
            </w:r>
          </w:p>
        </w:tc>
        <w:tc>
          <w:tcPr>
            <w:tcW w:w="1129" w:type="dxa"/>
            <w:hideMark/>
          </w:tcPr>
          <w:p w:rsidR="004266C5" w:rsidRPr="005E1103" w:rsidRDefault="004266C5" w:rsidP="0046263B">
            <w:pPr>
              <w:spacing w:line="360" w:lineRule="auto"/>
              <w:jc w:val="both"/>
              <w:rPr>
                <w:rFonts w:cstheme="minorHAnsi"/>
                <w:b/>
                <w:bCs/>
                <w:sz w:val="28"/>
                <w:szCs w:val="28"/>
              </w:rPr>
            </w:pPr>
            <w:r w:rsidRPr="005E1103">
              <w:rPr>
                <w:rFonts w:cstheme="minorHAnsi"/>
                <w:b/>
                <w:bCs/>
                <w:sz w:val="28"/>
                <w:szCs w:val="28"/>
              </w:rPr>
              <w:t>2016T1</w:t>
            </w:r>
          </w:p>
        </w:tc>
        <w:tc>
          <w:tcPr>
            <w:tcW w:w="1129" w:type="dxa"/>
            <w:hideMark/>
          </w:tcPr>
          <w:p w:rsidR="004266C5" w:rsidRPr="005E1103" w:rsidRDefault="004266C5" w:rsidP="0046263B">
            <w:pPr>
              <w:spacing w:line="360" w:lineRule="auto"/>
              <w:jc w:val="both"/>
              <w:rPr>
                <w:rFonts w:cstheme="minorHAnsi"/>
                <w:b/>
                <w:bCs/>
                <w:sz w:val="28"/>
                <w:szCs w:val="28"/>
              </w:rPr>
            </w:pPr>
            <w:r w:rsidRPr="005E1103">
              <w:rPr>
                <w:rFonts w:cstheme="minorHAnsi"/>
                <w:b/>
                <w:bCs/>
                <w:sz w:val="28"/>
                <w:szCs w:val="28"/>
              </w:rPr>
              <w:t>2015T4</w:t>
            </w:r>
          </w:p>
        </w:tc>
        <w:tc>
          <w:tcPr>
            <w:tcW w:w="1129" w:type="dxa"/>
            <w:hideMark/>
          </w:tcPr>
          <w:p w:rsidR="004266C5" w:rsidRPr="005E1103" w:rsidRDefault="004266C5" w:rsidP="0046263B">
            <w:pPr>
              <w:spacing w:line="360" w:lineRule="auto"/>
              <w:jc w:val="both"/>
              <w:rPr>
                <w:rFonts w:cstheme="minorHAnsi"/>
                <w:b/>
                <w:bCs/>
                <w:sz w:val="28"/>
                <w:szCs w:val="28"/>
              </w:rPr>
            </w:pPr>
            <w:r w:rsidRPr="005E1103">
              <w:rPr>
                <w:rFonts w:cstheme="minorHAnsi"/>
                <w:b/>
                <w:bCs/>
                <w:sz w:val="28"/>
                <w:szCs w:val="28"/>
              </w:rPr>
              <w:t>2015T3</w:t>
            </w:r>
          </w:p>
        </w:tc>
        <w:tc>
          <w:tcPr>
            <w:tcW w:w="1129" w:type="dxa"/>
            <w:hideMark/>
          </w:tcPr>
          <w:p w:rsidR="004266C5" w:rsidRPr="005E1103" w:rsidRDefault="004266C5" w:rsidP="0046263B">
            <w:pPr>
              <w:spacing w:line="360" w:lineRule="auto"/>
              <w:jc w:val="both"/>
              <w:rPr>
                <w:rFonts w:cstheme="minorHAnsi"/>
                <w:b/>
                <w:bCs/>
                <w:sz w:val="28"/>
                <w:szCs w:val="28"/>
              </w:rPr>
            </w:pPr>
            <w:r w:rsidRPr="005E1103">
              <w:rPr>
                <w:rFonts w:cstheme="minorHAnsi"/>
                <w:b/>
                <w:bCs/>
                <w:sz w:val="28"/>
                <w:szCs w:val="28"/>
              </w:rPr>
              <w:t>2015T2</w:t>
            </w:r>
          </w:p>
        </w:tc>
        <w:tc>
          <w:tcPr>
            <w:tcW w:w="1129" w:type="dxa"/>
            <w:hideMark/>
          </w:tcPr>
          <w:p w:rsidR="004266C5" w:rsidRPr="005E1103" w:rsidRDefault="004266C5" w:rsidP="0046263B">
            <w:pPr>
              <w:spacing w:line="360" w:lineRule="auto"/>
              <w:jc w:val="both"/>
              <w:rPr>
                <w:rFonts w:cstheme="minorHAnsi"/>
                <w:b/>
                <w:bCs/>
                <w:sz w:val="28"/>
                <w:szCs w:val="28"/>
              </w:rPr>
            </w:pPr>
            <w:r w:rsidRPr="005E1103">
              <w:rPr>
                <w:rFonts w:cstheme="minorHAnsi"/>
                <w:b/>
                <w:bCs/>
                <w:sz w:val="28"/>
                <w:szCs w:val="28"/>
              </w:rPr>
              <w:t>2015T1</w:t>
            </w:r>
          </w:p>
        </w:tc>
      </w:tr>
      <w:tr w:rsidR="004266C5" w:rsidRPr="005E1103" w:rsidTr="0046263B">
        <w:trPr>
          <w:trHeight w:val="255"/>
        </w:trPr>
        <w:tc>
          <w:tcPr>
            <w:tcW w:w="8720" w:type="dxa"/>
            <w:gridSpan w:val="9"/>
            <w:hideMark/>
          </w:tcPr>
          <w:p w:rsidR="004266C5" w:rsidRPr="005E1103" w:rsidRDefault="004266C5" w:rsidP="0046263B">
            <w:pPr>
              <w:spacing w:line="360" w:lineRule="auto"/>
              <w:jc w:val="both"/>
              <w:rPr>
                <w:rFonts w:cstheme="minorHAnsi"/>
                <w:b/>
                <w:bCs/>
                <w:sz w:val="28"/>
                <w:szCs w:val="28"/>
              </w:rPr>
            </w:pPr>
            <w:r w:rsidRPr="005E1103">
              <w:rPr>
                <w:rFonts w:cstheme="minorHAnsi"/>
                <w:b/>
                <w:bCs/>
                <w:sz w:val="28"/>
                <w:szCs w:val="28"/>
              </w:rPr>
              <w:t>Ambos sexos</w:t>
            </w:r>
          </w:p>
        </w:tc>
      </w:tr>
      <w:tr w:rsidR="004266C5" w:rsidRPr="005E1103" w:rsidTr="0046263B">
        <w:trPr>
          <w:trHeight w:val="510"/>
        </w:trPr>
        <w:tc>
          <w:tcPr>
            <w:tcW w:w="1065" w:type="dxa"/>
            <w:hideMark/>
          </w:tcPr>
          <w:p w:rsidR="004266C5" w:rsidRPr="005E1103" w:rsidRDefault="004266C5" w:rsidP="0046263B">
            <w:pPr>
              <w:spacing w:line="360" w:lineRule="auto"/>
              <w:jc w:val="both"/>
              <w:rPr>
                <w:rFonts w:cstheme="minorHAnsi"/>
                <w:b/>
                <w:bCs/>
                <w:sz w:val="28"/>
                <w:szCs w:val="28"/>
              </w:rPr>
            </w:pPr>
            <w:r w:rsidRPr="005E1103">
              <w:rPr>
                <w:rFonts w:cstheme="minorHAnsi"/>
                <w:b/>
                <w:bCs/>
                <w:sz w:val="28"/>
                <w:szCs w:val="28"/>
              </w:rPr>
              <w:t xml:space="preserve">    Total</w:t>
            </w:r>
          </w:p>
        </w:tc>
        <w:tc>
          <w:tcPr>
            <w:tcW w:w="882" w:type="dxa"/>
            <w:noWrap/>
            <w:hideMark/>
          </w:tcPr>
          <w:p w:rsidR="004266C5" w:rsidRPr="005E1103" w:rsidRDefault="004266C5" w:rsidP="0046263B">
            <w:pPr>
              <w:spacing w:line="360" w:lineRule="auto"/>
              <w:jc w:val="both"/>
              <w:rPr>
                <w:rFonts w:cstheme="minorHAnsi"/>
                <w:sz w:val="28"/>
                <w:szCs w:val="28"/>
              </w:rPr>
            </w:pPr>
            <w:r w:rsidRPr="005E1103">
              <w:rPr>
                <w:rFonts w:cstheme="minorHAnsi"/>
                <w:sz w:val="28"/>
                <w:szCs w:val="28"/>
              </w:rPr>
              <w:t>18,91</w:t>
            </w:r>
          </w:p>
        </w:tc>
        <w:tc>
          <w:tcPr>
            <w:tcW w:w="1128" w:type="dxa"/>
            <w:gridSpan w:val="2"/>
            <w:noWrap/>
            <w:hideMark/>
          </w:tcPr>
          <w:p w:rsidR="004266C5" w:rsidRPr="005E1103" w:rsidRDefault="004266C5" w:rsidP="0046263B">
            <w:pPr>
              <w:spacing w:line="360" w:lineRule="auto"/>
              <w:jc w:val="both"/>
              <w:rPr>
                <w:rFonts w:cstheme="minorHAnsi"/>
                <w:sz w:val="28"/>
                <w:szCs w:val="28"/>
              </w:rPr>
            </w:pPr>
            <w:r w:rsidRPr="005E1103">
              <w:rPr>
                <w:rFonts w:cstheme="minorHAnsi"/>
                <w:sz w:val="28"/>
                <w:szCs w:val="28"/>
              </w:rPr>
              <w:t>20,00</w:t>
            </w:r>
          </w:p>
        </w:tc>
        <w:tc>
          <w:tcPr>
            <w:tcW w:w="1129" w:type="dxa"/>
            <w:noWrap/>
            <w:hideMark/>
          </w:tcPr>
          <w:p w:rsidR="004266C5" w:rsidRPr="005E1103" w:rsidRDefault="004266C5" w:rsidP="0046263B">
            <w:pPr>
              <w:spacing w:line="360" w:lineRule="auto"/>
              <w:jc w:val="both"/>
              <w:rPr>
                <w:rFonts w:cstheme="minorHAnsi"/>
                <w:sz w:val="28"/>
                <w:szCs w:val="28"/>
              </w:rPr>
            </w:pPr>
            <w:r w:rsidRPr="005E1103">
              <w:rPr>
                <w:rFonts w:cstheme="minorHAnsi"/>
                <w:sz w:val="28"/>
                <w:szCs w:val="28"/>
              </w:rPr>
              <w:t>21,00</w:t>
            </w:r>
          </w:p>
        </w:tc>
        <w:tc>
          <w:tcPr>
            <w:tcW w:w="1129" w:type="dxa"/>
            <w:noWrap/>
            <w:hideMark/>
          </w:tcPr>
          <w:p w:rsidR="004266C5" w:rsidRPr="005E1103" w:rsidRDefault="004266C5" w:rsidP="0046263B">
            <w:pPr>
              <w:spacing w:line="360" w:lineRule="auto"/>
              <w:jc w:val="both"/>
              <w:rPr>
                <w:rFonts w:cstheme="minorHAnsi"/>
                <w:sz w:val="28"/>
                <w:szCs w:val="28"/>
              </w:rPr>
            </w:pPr>
            <w:r w:rsidRPr="005E1103">
              <w:rPr>
                <w:rFonts w:cstheme="minorHAnsi"/>
                <w:sz w:val="28"/>
                <w:szCs w:val="28"/>
              </w:rPr>
              <w:t>20,90</w:t>
            </w:r>
          </w:p>
        </w:tc>
        <w:tc>
          <w:tcPr>
            <w:tcW w:w="1129" w:type="dxa"/>
            <w:noWrap/>
            <w:hideMark/>
          </w:tcPr>
          <w:p w:rsidR="004266C5" w:rsidRPr="005E1103" w:rsidRDefault="004266C5" w:rsidP="0046263B">
            <w:pPr>
              <w:spacing w:line="360" w:lineRule="auto"/>
              <w:jc w:val="both"/>
              <w:rPr>
                <w:rFonts w:cstheme="minorHAnsi"/>
                <w:sz w:val="28"/>
                <w:szCs w:val="28"/>
              </w:rPr>
            </w:pPr>
            <w:r w:rsidRPr="005E1103">
              <w:rPr>
                <w:rFonts w:cstheme="minorHAnsi"/>
                <w:sz w:val="28"/>
                <w:szCs w:val="28"/>
              </w:rPr>
              <w:t>21,18</w:t>
            </w:r>
          </w:p>
        </w:tc>
        <w:tc>
          <w:tcPr>
            <w:tcW w:w="1129" w:type="dxa"/>
            <w:noWrap/>
            <w:hideMark/>
          </w:tcPr>
          <w:p w:rsidR="004266C5" w:rsidRPr="005E1103" w:rsidRDefault="004266C5" w:rsidP="0046263B">
            <w:pPr>
              <w:spacing w:line="360" w:lineRule="auto"/>
              <w:jc w:val="both"/>
              <w:rPr>
                <w:rFonts w:cstheme="minorHAnsi"/>
                <w:sz w:val="28"/>
                <w:szCs w:val="28"/>
              </w:rPr>
            </w:pPr>
            <w:r w:rsidRPr="005E1103">
              <w:rPr>
                <w:rFonts w:cstheme="minorHAnsi"/>
                <w:sz w:val="28"/>
                <w:szCs w:val="28"/>
              </w:rPr>
              <w:t>22,37</w:t>
            </w:r>
          </w:p>
        </w:tc>
        <w:tc>
          <w:tcPr>
            <w:tcW w:w="1129" w:type="dxa"/>
            <w:noWrap/>
            <w:hideMark/>
          </w:tcPr>
          <w:p w:rsidR="004266C5" w:rsidRPr="005E1103" w:rsidRDefault="004266C5" w:rsidP="0046263B">
            <w:pPr>
              <w:spacing w:line="360" w:lineRule="auto"/>
              <w:jc w:val="both"/>
              <w:rPr>
                <w:rFonts w:cstheme="minorHAnsi"/>
                <w:sz w:val="28"/>
                <w:szCs w:val="28"/>
              </w:rPr>
            </w:pPr>
            <w:r w:rsidRPr="005E1103">
              <w:rPr>
                <w:rFonts w:cstheme="minorHAnsi"/>
                <w:sz w:val="28"/>
                <w:szCs w:val="28"/>
              </w:rPr>
              <w:t>23,78</w:t>
            </w:r>
          </w:p>
        </w:tc>
      </w:tr>
    </w:tbl>
    <w:p w:rsidR="004266C5" w:rsidRPr="005E1103" w:rsidRDefault="004266C5" w:rsidP="004266C5">
      <w:pPr>
        <w:spacing w:line="360" w:lineRule="auto"/>
        <w:jc w:val="both"/>
        <w:rPr>
          <w:rFonts w:cstheme="minorHAnsi"/>
          <w:sz w:val="28"/>
          <w:szCs w:val="28"/>
        </w:rPr>
      </w:pPr>
    </w:p>
    <w:p w:rsidR="004266C5" w:rsidRPr="005E1103" w:rsidRDefault="004266C5" w:rsidP="004266C5">
      <w:pPr>
        <w:spacing w:line="360" w:lineRule="auto"/>
        <w:jc w:val="both"/>
        <w:rPr>
          <w:rFonts w:cstheme="minorHAnsi"/>
          <w:sz w:val="28"/>
          <w:szCs w:val="28"/>
        </w:rPr>
      </w:pPr>
      <w:r w:rsidRPr="005E1103">
        <w:rPr>
          <w:rFonts w:cstheme="minorHAnsi"/>
          <w:sz w:val="28"/>
          <w:szCs w:val="28"/>
        </w:rPr>
        <w:t xml:space="preserve">Fuente: </w:t>
      </w:r>
      <w:hyperlink r:id="rId122" w:history="1">
        <w:r w:rsidRPr="005E1103">
          <w:rPr>
            <w:rStyle w:val="Hipervnculo"/>
            <w:rFonts w:cstheme="minorHAnsi"/>
            <w:sz w:val="28"/>
            <w:szCs w:val="28"/>
          </w:rPr>
          <w:t>www.Ine.es</w:t>
        </w:r>
      </w:hyperlink>
    </w:p>
    <w:p w:rsidR="004266C5" w:rsidRPr="005E1103" w:rsidRDefault="004266C5" w:rsidP="004266C5">
      <w:pPr>
        <w:spacing w:line="360" w:lineRule="auto"/>
        <w:jc w:val="both"/>
        <w:rPr>
          <w:rFonts w:cstheme="minorHAnsi"/>
          <w:sz w:val="28"/>
          <w:szCs w:val="28"/>
        </w:rPr>
      </w:pPr>
    </w:p>
    <w:p w:rsidR="004266C5" w:rsidRPr="005E1103" w:rsidRDefault="004266C5" w:rsidP="004266C5">
      <w:pPr>
        <w:spacing w:line="360" w:lineRule="auto"/>
        <w:jc w:val="both"/>
        <w:rPr>
          <w:rFonts w:cstheme="minorHAnsi"/>
          <w:sz w:val="28"/>
          <w:szCs w:val="28"/>
        </w:rPr>
      </w:pPr>
      <w:r w:rsidRPr="005E1103">
        <w:rPr>
          <w:rFonts w:cstheme="minorHAnsi"/>
          <w:sz w:val="28"/>
          <w:szCs w:val="28"/>
        </w:rPr>
        <w:t>Si focalizamos la tasa de paro en función del nivel de formación, podemos observar como a mayor nivel de estudios, la tasa de Paro en España es inferior a la tasa de paro de colectivos sin formación, siendo el más perjudicado el denominado “analfabeto” aquellos que no están estudiando y no han finalizado los estudios primarios. (ver cuadro de tasas de paro por nivel de formación alcanzado, sexo y grupo de edad).</w:t>
      </w:r>
    </w:p>
    <w:p w:rsidR="004266C5" w:rsidRPr="005E1103" w:rsidRDefault="004266C5" w:rsidP="004266C5">
      <w:pPr>
        <w:spacing w:line="360" w:lineRule="auto"/>
        <w:jc w:val="both"/>
        <w:rPr>
          <w:rFonts w:cstheme="minorHAnsi"/>
          <w:sz w:val="28"/>
          <w:szCs w:val="28"/>
        </w:rPr>
      </w:pPr>
    </w:p>
    <w:p w:rsidR="004266C5" w:rsidRPr="005E1103" w:rsidRDefault="004266C5" w:rsidP="004266C5">
      <w:pPr>
        <w:spacing w:line="360" w:lineRule="auto"/>
        <w:jc w:val="both"/>
        <w:rPr>
          <w:rFonts w:cstheme="minorHAnsi"/>
          <w:sz w:val="28"/>
          <w:szCs w:val="28"/>
        </w:rPr>
      </w:pPr>
      <w:r w:rsidRPr="005E1103">
        <w:rPr>
          <w:rFonts w:cstheme="minorHAnsi"/>
          <w:noProof/>
          <w:sz w:val="28"/>
          <w:szCs w:val="28"/>
          <w:lang w:eastAsia="es-ES"/>
        </w:rPr>
        <w:lastRenderedPageBreak/>
        <w:drawing>
          <wp:inline distT="0" distB="0" distL="0" distR="0" wp14:anchorId="2124778D" wp14:editId="0F0B322B">
            <wp:extent cx="6384967" cy="3899140"/>
            <wp:effectExtent l="0" t="0" r="0" b="635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6388073" cy="3901037"/>
                    </a:xfrm>
                    <a:prstGeom prst="rect">
                      <a:avLst/>
                    </a:prstGeom>
                  </pic:spPr>
                </pic:pic>
              </a:graphicData>
            </a:graphic>
          </wp:inline>
        </w:drawing>
      </w:r>
    </w:p>
    <w:p w:rsidR="004266C5" w:rsidRPr="005E1103" w:rsidRDefault="004266C5" w:rsidP="004266C5">
      <w:pPr>
        <w:spacing w:line="360" w:lineRule="auto"/>
        <w:jc w:val="both"/>
        <w:rPr>
          <w:rFonts w:cstheme="minorHAnsi"/>
          <w:sz w:val="28"/>
          <w:szCs w:val="28"/>
        </w:rPr>
      </w:pPr>
      <w:r w:rsidRPr="005E1103">
        <w:rPr>
          <w:rFonts w:cstheme="minorHAnsi"/>
          <w:sz w:val="28"/>
          <w:szCs w:val="28"/>
        </w:rPr>
        <w:t>www.ine.es</w:t>
      </w:r>
    </w:p>
    <w:p w:rsidR="004266C5" w:rsidRPr="005E1103" w:rsidRDefault="004266C5" w:rsidP="004266C5">
      <w:pPr>
        <w:spacing w:line="360" w:lineRule="auto"/>
        <w:jc w:val="both"/>
        <w:rPr>
          <w:rFonts w:cstheme="minorHAnsi"/>
          <w:sz w:val="28"/>
          <w:szCs w:val="28"/>
        </w:rPr>
      </w:pPr>
      <w:r w:rsidRPr="005E1103">
        <w:rPr>
          <w:rFonts w:cstheme="minorHAnsi"/>
          <w:sz w:val="28"/>
          <w:szCs w:val="28"/>
        </w:rPr>
        <w:t xml:space="preserve">Si nos enfocamos en la diferencia entre nivel de empleo entre personas que padecen o no una discapacidad, observamos que el nivel de actividad en los últimos 4 años es más del doble para las personas sin discapacidad que para las personas con discapacidad, siendo en el año 2014 de un 77% frente a un 38% respectivamente, con un nivel de empleo de 58,2% frente al 25, 7% en personas con discapacidad. En la misma línea se puede observar un nivel de paro de las personas con discapacidad de un 32,2% frente al 24,4 % de las personas sin discapacidad (Ver tabla “El empleo de las Personas con discapacidad. Serie 2010-2014), con estos resultados se aprecia que </w:t>
      </w:r>
      <w:r w:rsidRPr="005E1103">
        <w:rPr>
          <w:rFonts w:cstheme="minorHAnsi"/>
          <w:b/>
          <w:sz w:val="28"/>
          <w:szCs w:val="28"/>
        </w:rPr>
        <w:t>las oportunidades laborales para las personas sin discapacidad siguen siendo superiores que para las personas con discapacidad</w:t>
      </w:r>
      <w:r w:rsidRPr="005E1103">
        <w:rPr>
          <w:rFonts w:cstheme="minorHAnsi"/>
          <w:sz w:val="28"/>
          <w:szCs w:val="28"/>
        </w:rPr>
        <w:t>.</w:t>
      </w:r>
    </w:p>
    <w:p w:rsidR="004266C5" w:rsidRPr="005E1103" w:rsidRDefault="004266C5" w:rsidP="004266C5">
      <w:pPr>
        <w:spacing w:line="360" w:lineRule="auto"/>
        <w:jc w:val="both"/>
        <w:rPr>
          <w:rFonts w:cstheme="minorHAnsi"/>
          <w:sz w:val="28"/>
          <w:szCs w:val="28"/>
        </w:rPr>
      </w:pPr>
    </w:p>
    <w:tbl>
      <w:tblPr>
        <w:tblW w:w="8200" w:type="dxa"/>
        <w:tblInd w:w="55" w:type="dxa"/>
        <w:tblLayout w:type="fixed"/>
        <w:tblCellMar>
          <w:left w:w="70" w:type="dxa"/>
          <w:right w:w="70" w:type="dxa"/>
        </w:tblCellMar>
        <w:tblLook w:val="04A0" w:firstRow="1" w:lastRow="0" w:firstColumn="1" w:lastColumn="0" w:noHBand="0" w:noVBand="1"/>
      </w:tblPr>
      <w:tblGrid>
        <w:gridCol w:w="1060"/>
        <w:gridCol w:w="2060"/>
        <w:gridCol w:w="2060"/>
        <w:gridCol w:w="80"/>
        <w:gridCol w:w="2780"/>
        <w:gridCol w:w="160"/>
      </w:tblGrid>
      <w:tr w:rsidR="004266C5" w:rsidRPr="005E1103" w:rsidTr="0046263B">
        <w:trPr>
          <w:trHeight w:val="300"/>
        </w:trPr>
        <w:tc>
          <w:tcPr>
            <w:tcW w:w="8200" w:type="dxa"/>
            <w:gridSpan w:val="6"/>
            <w:tcBorders>
              <w:top w:val="single" w:sz="4" w:space="0" w:color="FFFFFF"/>
              <w:left w:val="single" w:sz="4" w:space="0" w:color="FFFFFF"/>
              <w:bottom w:val="single" w:sz="4" w:space="0" w:color="FFFFFF"/>
              <w:right w:val="single" w:sz="4" w:space="0" w:color="FFFFFF"/>
            </w:tcBorders>
            <w:shd w:val="clear" w:color="000000" w:fill="B6C5DF"/>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lastRenderedPageBreak/>
              <w:t>El Empleo de las Personas con Discapacidad. Serie 2010-2014</w:t>
            </w:r>
          </w:p>
        </w:tc>
      </w:tr>
      <w:tr w:rsidR="004266C5" w:rsidRPr="005E1103" w:rsidTr="0046263B">
        <w:trPr>
          <w:trHeight w:val="255"/>
        </w:trPr>
        <w:tc>
          <w:tcPr>
            <w:tcW w:w="8200" w:type="dxa"/>
            <w:gridSpan w:val="6"/>
            <w:tcBorders>
              <w:top w:val="single" w:sz="4" w:space="0" w:color="FFFFFF"/>
              <w:left w:val="single" w:sz="4" w:space="0" w:color="FFFFFF"/>
              <w:bottom w:val="single" w:sz="4" w:space="0" w:color="FFFFFF"/>
              <w:right w:val="single" w:sz="4" w:space="0" w:color="FFFFFF"/>
            </w:tcBorders>
            <w:shd w:val="clear" w:color="000000" w:fill="E5E7F3"/>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TASAS DE ACTIVIDAD, EMPLEO Y PARO</w:t>
            </w:r>
          </w:p>
        </w:tc>
      </w:tr>
      <w:tr w:rsidR="004266C5" w:rsidRPr="005E1103" w:rsidTr="0046263B">
        <w:trPr>
          <w:trHeight w:val="300"/>
        </w:trPr>
        <w:tc>
          <w:tcPr>
            <w:tcW w:w="8200" w:type="dxa"/>
            <w:gridSpan w:val="6"/>
            <w:tcBorders>
              <w:top w:val="single" w:sz="4" w:space="0" w:color="FFFFFF"/>
              <w:left w:val="single" w:sz="4" w:space="0" w:color="FFFFFF"/>
              <w:bottom w:val="single" w:sz="4" w:space="0" w:color="FFFFFF"/>
              <w:right w:val="single" w:sz="4" w:space="0" w:color="FFFFFF"/>
            </w:tcBorders>
            <w:shd w:val="clear" w:color="000000" w:fill="FFFFFF"/>
            <w:noWrap/>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Tasas de actividad, empleo y paro por tipo de municipio</w:t>
            </w:r>
          </w:p>
        </w:tc>
      </w:tr>
      <w:tr w:rsidR="004266C5" w:rsidRPr="005E1103" w:rsidTr="0046263B">
        <w:trPr>
          <w:trHeight w:val="255"/>
        </w:trPr>
        <w:tc>
          <w:tcPr>
            <w:tcW w:w="8200" w:type="dxa"/>
            <w:gridSpan w:val="6"/>
            <w:tcBorders>
              <w:top w:val="single" w:sz="4" w:space="0" w:color="FFFFFF"/>
              <w:left w:val="single" w:sz="4" w:space="0" w:color="FFFFFF"/>
              <w:bottom w:val="single" w:sz="4" w:space="0" w:color="FFFFFF"/>
              <w:right w:val="single" w:sz="4" w:space="0" w:color="FFFFFF"/>
            </w:tcBorders>
            <w:shd w:val="clear" w:color="000000" w:fill="FFFFFF"/>
            <w:noWrap/>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Unidades: porcentajes</w:t>
            </w:r>
          </w:p>
        </w:tc>
      </w:tr>
      <w:tr w:rsidR="004266C5" w:rsidRPr="005E1103" w:rsidTr="0046263B">
        <w:trPr>
          <w:trHeight w:val="510"/>
        </w:trPr>
        <w:tc>
          <w:tcPr>
            <w:tcW w:w="1060" w:type="dxa"/>
            <w:tcBorders>
              <w:top w:val="nil"/>
              <w:left w:val="single" w:sz="4" w:space="0" w:color="FFFFFF"/>
              <w:bottom w:val="single" w:sz="4" w:space="0" w:color="FFFFFF"/>
              <w:right w:val="single" w:sz="4" w:space="0" w:color="FFFFFF"/>
            </w:tcBorders>
            <w:shd w:val="clear" w:color="000000" w:fill="B6C5DF"/>
            <w:noWrap/>
            <w:vAlign w:val="bottom"/>
            <w:hideMark/>
          </w:tcPr>
          <w:p w:rsidR="004266C5" w:rsidRPr="005E1103" w:rsidRDefault="004266C5" w:rsidP="0046263B">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 xml:space="preserve"> </w:t>
            </w:r>
          </w:p>
        </w:tc>
        <w:tc>
          <w:tcPr>
            <w:tcW w:w="2060" w:type="dxa"/>
            <w:tcBorders>
              <w:top w:val="nil"/>
              <w:left w:val="nil"/>
              <w:bottom w:val="single" w:sz="4" w:space="0" w:color="FFFFFF"/>
              <w:right w:val="single" w:sz="4" w:space="0" w:color="FFFFFF"/>
            </w:tcBorders>
            <w:shd w:val="clear" w:color="000000" w:fill="B6C5DF"/>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Tasa: Total</w:t>
            </w:r>
          </w:p>
        </w:tc>
        <w:tc>
          <w:tcPr>
            <w:tcW w:w="2140" w:type="dxa"/>
            <w:gridSpan w:val="2"/>
            <w:tcBorders>
              <w:top w:val="nil"/>
              <w:left w:val="nil"/>
              <w:bottom w:val="single" w:sz="4" w:space="0" w:color="FFFFFF"/>
              <w:right w:val="single" w:sz="4" w:space="0" w:color="FFFFFF"/>
            </w:tcBorders>
            <w:shd w:val="clear" w:color="000000" w:fill="B6C5DF"/>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Tasa: Personas sin discapacidad</w:t>
            </w:r>
          </w:p>
        </w:tc>
        <w:tc>
          <w:tcPr>
            <w:tcW w:w="2780" w:type="dxa"/>
            <w:tcBorders>
              <w:top w:val="nil"/>
              <w:left w:val="nil"/>
              <w:bottom w:val="single" w:sz="4" w:space="0" w:color="FFFFFF"/>
              <w:right w:val="single" w:sz="4" w:space="0" w:color="FFFFFF"/>
            </w:tcBorders>
            <w:shd w:val="clear" w:color="000000" w:fill="B6C5DF"/>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Tasa: Personas con discapacidad</w:t>
            </w:r>
          </w:p>
        </w:tc>
        <w:tc>
          <w:tcPr>
            <w:tcW w:w="160" w:type="dxa"/>
            <w:tcBorders>
              <w:top w:val="nil"/>
              <w:left w:val="nil"/>
              <w:bottom w:val="nil"/>
              <w:right w:val="nil"/>
            </w:tcBorders>
            <w:shd w:val="clear" w:color="auto" w:fill="auto"/>
            <w:noWrap/>
            <w:vAlign w:val="bottom"/>
            <w:hideMark/>
          </w:tcPr>
          <w:p w:rsidR="004266C5" w:rsidRPr="005E1103" w:rsidRDefault="004266C5" w:rsidP="0046263B">
            <w:pPr>
              <w:spacing w:after="0" w:line="360" w:lineRule="auto"/>
              <w:jc w:val="both"/>
              <w:rPr>
                <w:rFonts w:eastAsia="Times New Roman" w:cstheme="minorHAnsi"/>
                <w:sz w:val="28"/>
                <w:szCs w:val="28"/>
                <w:lang w:eastAsia="es-ES"/>
              </w:rPr>
            </w:pPr>
          </w:p>
        </w:tc>
      </w:tr>
      <w:tr w:rsidR="004266C5" w:rsidRPr="005E1103" w:rsidTr="0046263B">
        <w:trPr>
          <w:trHeight w:val="255"/>
        </w:trPr>
        <w:tc>
          <w:tcPr>
            <w:tcW w:w="8040" w:type="dxa"/>
            <w:gridSpan w:val="5"/>
            <w:tcBorders>
              <w:top w:val="single" w:sz="4" w:space="0" w:color="FFFFFF"/>
              <w:left w:val="single" w:sz="4" w:space="0" w:color="FFFFFF"/>
              <w:bottom w:val="single" w:sz="4" w:space="0" w:color="FFFFFF"/>
              <w:right w:val="single" w:sz="4" w:space="0" w:color="FFFFFF"/>
            </w:tcBorders>
            <w:shd w:val="clear" w:color="000000" w:fill="B6C5DF"/>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2014</w:t>
            </w:r>
          </w:p>
        </w:tc>
        <w:tc>
          <w:tcPr>
            <w:tcW w:w="160" w:type="dxa"/>
            <w:tcBorders>
              <w:top w:val="nil"/>
              <w:left w:val="nil"/>
              <w:bottom w:val="nil"/>
              <w:right w:val="nil"/>
            </w:tcBorders>
            <w:shd w:val="clear" w:color="auto" w:fill="auto"/>
            <w:noWrap/>
            <w:vAlign w:val="bottom"/>
            <w:hideMark/>
          </w:tcPr>
          <w:p w:rsidR="004266C5" w:rsidRPr="005E1103" w:rsidRDefault="004266C5" w:rsidP="0046263B">
            <w:pPr>
              <w:spacing w:after="0" w:line="360" w:lineRule="auto"/>
              <w:jc w:val="both"/>
              <w:rPr>
                <w:rFonts w:eastAsia="Times New Roman" w:cstheme="minorHAnsi"/>
                <w:sz w:val="28"/>
                <w:szCs w:val="28"/>
                <w:lang w:eastAsia="es-ES"/>
              </w:rPr>
            </w:pPr>
          </w:p>
        </w:tc>
      </w:tr>
      <w:tr w:rsidR="004266C5" w:rsidRPr="005E1103" w:rsidTr="0046263B">
        <w:trPr>
          <w:trHeight w:val="430"/>
        </w:trPr>
        <w:tc>
          <w:tcPr>
            <w:tcW w:w="1060" w:type="dxa"/>
            <w:tcBorders>
              <w:top w:val="nil"/>
              <w:left w:val="single" w:sz="4" w:space="0" w:color="FFFFFF"/>
              <w:bottom w:val="single" w:sz="4" w:space="0" w:color="FFFFFF"/>
              <w:right w:val="single" w:sz="4" w:space="0" w:color="FFFFFF"/>
            </w:tcBorders>
            <w:shd w:val="clear" w:color="000000" w:fill="E5E7F3"/>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 xml:space="preserve">        Actividad</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75,3</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77,0</w:t>
            </w:r>
          </w:p>
        </w:tc>
        <w:tc>
          <w:tcPr>
            <w:tcW w:w="2860" w:type="dxa"/>
            <w:gridSpan w:val="2"/>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38,0</w:t>
            </w:r>
          </w:p>
        </w:tc>
        <w:tc>
          <w:tcPr>
            <w:tcW w:w="160" w:type="dxa"/>
            <w:tcBorders>
              <w:top w:val="nil"/>
              <w:left w:val="nil"/>
              <w:bottom w:val="nil"/>
              <w:right w:val="nil"/>
            </w:tcBorders>
            <w:shd w:val="clear" w:color="auto" w:fill="auto"/>
            <w:noWrap/>
            <w:vAlign w:val="bottom"/>
            <w:hideMark/>
          </w:tcPr>
          <w:p w:rsidR="004266C5" w:rsidRPr="005E1103" w:rsidRDefault="004266C5" w:rsidP="0046263B">
            <w:pPr>
              <w:spacing w:after="0" w:line="360" w:lineRule="auto"/>
              <w:jc w:val="both"/>
              <w:rPr>
                <w:rFonts w:eastAsia="Times New Roman" w:cstheme="minorHAnsi"/>
                <w:sz w:val="28"/>
                <w:szCs w:val="28"/>
                <w:lang w:eastAsia="es-ES"/>
              </w:rPr>
            </w:pPr>
          </w:p>
        </w:tc>
      </w:tr>
      <w:tr w:rsidR="004266C5" w:rsidRPr="005E1103" w:rsidTr="0046263B">
        <w:trPr>
          <w:trHeight w:val="288"/>
        </w:trPr>
        <w:tc>
          <w:tcPr>
            <w:tcW w:w="1060" w:type="dxa"/>
            <w:tcBorders>
              <w:top w:val="nil"/>
              <w:left w:val="single" w:sz="4" w:space="0" w:color="FFFFFF"/>
              <w:bottom w:val="single" w:sz="4" w:space="0" w:color="FFFFFF"/>
              <w:right w:val="single" w:sz="4" w:space="0" w:color="FFFFFF"/>
            </w:tcBorders>
            <w:shd w:val="clear" w:color="000000" w:fill="E5E7F3"/>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 xml:space="preserve">        Empleo</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56,8</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58,2</w:t>
            </w:r>
          </w:p>
        </w:tc>
        <w:tc>
          <w:tcPr>
            <w:tcW w:w="2860" w:type="dxa"/>
            <w:gridSpan w:val="2"/>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25,7</w:t>
            </w:r>
          </w:p>
        </w:tc>
        <w:tc>
          <w:tcPr>
            <w:tcW w:w="160" w:type="dxa"/>
            <w:tcBorders>
              <w:top w:val="nil"/>
              <w:left w:val="nil"/>
              <w:bottom w:val="nil"/>
              <w:right w:val="nil"/>
            </w:tcBorders>
            <w:shd w:val="clear" w:color="auto" w:fill="auto"/>
            <w:noWrap/>
            <w:vAlign w:val="bottom"/>
            <w:hideMark/>
          </w:tcPr>
          <w:p w:rsidR="004266C5" w:rsidRPr="005E1103" w:rsidRDefault="004266C5" w:rsidP="0046263B">
            <w:pPr>
              <w:spacing w:after="0" w:line="360" w:lineRule="auto"/>
              <w:jc w:val="both"/>
              <w:rPr>
                <w:rFonts w:eastAsia="Times New Roman" w:cstheme="minorHAnsi"/>
                <w:sz w:val="28"/>
                <w:szCs w:val="28"/>
                <w:lang w:eastAsia="es-ES"/>
              </w:rPr>
            </w:pPr>
          </w:p>
        </w:tc>
      </w:tr>
      <w:tr w:rsidR="004266C5" w:rsidRPr="005E1103" w:rsidTr="0046263B">
        <w:trPr>
          <w:trHeight w:val="255"/>
        </w:trPr>
        <w:tc>
          <w:tcPr>
            <w:tcW w:w="1060" w:type="dxa"/>
            <w:tcBorders>
              <w:top w:val="nil"/>
              <w:left w:val="single" w:sz="4" w:space="0" w:color="FFFFFF"/>
              <w:bottom w:val="single" w:sz="4" w:space="0" w:color="FFFFFF"/>
              <w:right w:val="single" w:sz="4" w:space="0" w:color="FFFFFF"/>
            </w:tcBorders>
            <w:shd w:val="clear" w:color="000000" w:fill="E5E7F3"/>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 xml:space="preserve">        Paro</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24,6</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24,4</w:t>
            </w:r>
          </w:p>
        </w:tc>
        <w:tc>
          <w:tcPr>
            <w:tcW w:w="2860" w:type="dxa"/>
            <w:gridSpan w:val="2"/>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32,2</w:t>
            </w:r>
          </w:p>
        </w:tc>
        <w:tc>
          <w:tcPr>
            <w:tcW w:w="160" w:type="dxa"/>
            <w:tcBorders>
              <w:top w:val="nil"/>
              <w:left w:val="nil"/>
              <w:bottom w:val="nil"/>
              <w:right w:val="nil"/>
            </w:tcBorders>
            <w:shd w:val="clear" w:color="auto" w:fill="auto"/>
            <w:noWrap/>
            <w:vAlign w:val="bottom"/>
            <w:hideMark/>
          </w:tcPr>
          <w:p w:rsidR="004266C5" w:rsidRPr="005E1103" w:rsidRDefault="004266C5" w:rsidP="0046263B">
            <w:pPr>
              <w:spacing w:after="0" w:line="360" w:lineRule="auto"/>
              <w:jc w:val="both"/>
              <w:rPr>
                <w:rFonts w:eastAsia="Times New Roman" w:cstheme="minorHAnsi"/>
                <w:sz w:val="28"/>
                <w:szCs w:val="28"/>
                <w:lang w:eastAsia="es-ES"/>
              </w:rPr>
            </w:pPr>
          </w:p>
        </w:tc>
      </w:tr>
      <w:tr w:rsidR="004266C5" w:rsidRPr="005E1103" w:rsidTr="0046263B">
        <w:trPr>
          <w:trHeight w:val="255"/>
        </w:trPr>
        <w:tc>
          <w:tcPr>
            <w:tcW w:w="8040" w:type="dxa"/>
            <w:gridSpan w:val="5"/>
            <w:tcBorders>
              <w:top w:val="single" w:sz="4" w:space="0" w:color="FFFFFF"/>
              <w:left w:val="single" w:sz="4" w:space="0" w:color="FFFFFF"/>
              <w:bottom w:val="single" w:sz="4" w:space="0" w:color="FFFFFF"/>
              <w:right w:val="single" w:sz="4" w:space="0" w:color="FFFFFF"/>
            </w:tcBorders>
            <w:shd w:val="clear" w:color="000000" w:fill="B6C5DF"/>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2013</w:t>
            </w:r>
          </w:p>
        </w:tc>
        <w:tc>
          <w:tcPr>
            <w:tcW w:w="160" w:type="dxa"/>
            <w:tcBorders>
              <w:top w:val="nil"/>
              <w:left w:val="nil"/>
              <w:bottom w:val="nil"/>
              <w:right w:val="nil"/>
            </w:tcBorders>
            <w:shd w:val="clear" w:color="auto" w:fill="auto"/>
            <w:noWrap/>
            <w:vAlign w:val="bottom"/>
            <w:hideMark/>
          </w:tcPr>
          <w:p w:rsidR="004266C5" w:rsidRPr="005E1103" w:rsidRDefault="004266C5" w:rsidP="0046263B">
            <w:pPr>
              <w:spacing w:after="0" w:line="360" w:lineRule="auto"/>
              <w:jc w:val="both"/>
              <w:rPr>
                <w:rFonts w:eastAsia="Times New Roman" w:cstheme="minorHAnsi"/>
                <w:sz w:val="28"/>
                <w:szCs w:val="28"/>
                <w:lang w:eastAsia="es-ES"/>
              </w:rPr>
            </w:pPr>
          </w:p>
        </w:tc>
      </w:tr>
      <w:tr w:rsidR="004266C5" w:rsidRPr="005E1103" w:rsidTr="0046263B">
        <w:trPr>
          <w:trHeight w:val="510"/>
        </w:trPr>
        <w:tc>
          <w:tcPr>
            <w:tcW w:w="1060" w:type="dxa"/>
            <w:tcBorders>
              <w:top w:val="nil"/>
              <w:left w:val="single" w:sz="4" w:space="0" w:color="FFFFFF"/>
              <w:bottom w:val="single" w:sz="4" w:space="0" w:color="FFFFFF"/>
              <w:right w:val="single" w:sz="4" w:space="0" w:color="FFFFFF"/>
            </w:tcBorders>
            <w:shd w:val="clear" w:color="000000" w:fill="E5E7F3"/>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 xml:space="preserve">        Actividad</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75,3</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77,2</w:t>
            </w:r>
          </w:p>
        </w:tc>
        <w:tc>
          <w:tcPr>
            <w:tcW w:w="2860" w:type="dxa"/>
            <w:gridSpan w:val="2"/>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37,4</w:t>
            </w:r>
          </w:p>
        </w:tc>
        <w:tc>
          <w:tcPr>
            <w:tcW w:w="160" w:type="dxa"/>
            <w:tcBorders>
              <w:top w:val="nil"/>
              <w:left w:val="nil"/>
              <w:bottom w:val="nil"/>
              <w:right w:val="nil"/>
            </w:tcBorders>
            <w:shd w:val="clear" w:color="auto" w:fill="auto"/>
            <w:noWrap/>
            <w:vAlign w:val="bottom"/>
            <w:hideMark/>
          </w:tcPr>
          <w:p w:rsidR="004266C5" w:rsidRPr="005E1103" w:rsidRDefault="004266C5" w:rsidP="0046263B">
            <w:pPr>
              <w:spacing w:after="0" w:line="360" w:lineRule="auto"/>
              <w:jc w:val="both"/>
              <w:rPr>
                <w:rFonts w:eastAsia="Times New Roman" w:cstheme="minorHAnsi"/>
                <w:sz w:val="28"/>
                <w:szCs w:val="28"/>
                <w:lang w:eastAsia="es-ES"/>
              </w:rPr>
            </w:pPr>
          </w:p>
        </w:tc>
      </w:tr>
      <w:tr w:rsidR="004266C5" w:rsidRPr="005E1103" w:rsidTr="0046263B">
        <w:trPr>
          <w:trHeight w:val="510"/>
        </w:trPr>
        <w:tc>
          <w:tcPr>
            <w:tcW w:w="1060" w:type="dxa"/>
            <w:tcBorders>
              <w:top w:val="nil"/>
              <w:left w:val="single" w:sz="4" w:space="0" w:color="FFFFFF"/>
              <w:bottom w:val="single" w:sz="4" w:space="0" w:color="FFFFFF"/>
              <w:right w:val="single" w:sz="4" w:space="0" w:color="FFFFFF"/>
            </w:tcBorders>
            <w:shd w:val="clear" w:color="000000" w:fill="E5E7F3"/>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 xml:space="preserve">        Empleo</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55,6</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57,1</w:t>
            </w:r>
          </w:p>
        </w:tc>
        <w:tc>
          <w:tcPr>
            <w:tcW w:w="2860" w:type="dxa"/>
            <w:gridSpan w:val="2"/>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24,3</w:t>
            </w:r>
          </w:p>
        </w:tc>
        <w:tc>
          <w:tcPr>
            <w:tcW w:w="160" w:type="dxa"/>
            <w:tcBorders>
              <w:top w:val="nil"/>
              <w:left w:val="nil"/>
              <w:bottom w:val="nil"/>
              <w:right w:val="nil"/>
            </w:tcBorders>
            <w:shd w:val="clear" w:color="auto" w:fill="auto"/>
            <w:noWrap/>
            <w:vAlign w:val="bottom"/>
            <w:hideMark/>
          </w:tcPr>
          <w:p w:rsidR="004266C5" w:rsidRPr="005E1103" w:rsidRDefault="004266C5" w:rsidP="0046263B">
            <w:pPr>
              <w:spacing w:after="0" w:line="360" w:lineRule="auto"/>
              <w:jc w:val="both"/>
              <w:rPr>
                <w:rFonts w:eastAsia="Times New Roman" w:cstheme="minorHAnsi"/>
                <w:sz w:val="28"/>
                <w:szCs w:val="28"/>
                <w:lang w:eastAsia="es-ES"/>
              </w:rPr>
            </w:pPr>
          </w:p>
        </w:tc>
      </w:tr>
      <w:tr w:rsidR="004266C5" w:rsidRPr="005E1103" w:rsidTr="0046263B">
        <w:trPr>
          <w:trHeight w:val="255"/>
        </w:trPr>
        <w:tc>
          <w:tcPr>
            <w:tcW w:w="1060" w:type="dxa"/>
            <w:tcBorders>
              <w:top w:val="nil"/>
              <w:left w:val="single" w:sz="4" w:space="0" w:color="FFFFFF"/>
              <w:bottom w:val="single" w:sz="4" w:space="0" w:color="FFFFFF"/>
              <w:right w:val="single" w:sz="4" w:space="0" w:color="FFFFFF"/>
            </w:tcBorders>
            <w:shd w:val="clear" w:color="000000" w:fill="E5E7F3"/>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 xml:space="preserve">        Paro</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26,2</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26,0</w:t>
            </w:r>
          </w:p>
        </w:tc>
        <w:tc>
          <w:tcPr>
            <w:tcW w:w="2860" w:type="dxa"/>
            <w:gridSpan w:val="2"/>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35,0</w:t>
            </w:r>
          </w:p>
        </w:tc>
        <w:tc>
          <w:tcPr>
            <w:tcW w:w="160" w:type="dxa"/>
            <w:tcBorders>
              <w:top w:val="nil"/>
              <w:left w:val="nil"/>
              <w:bottom w:val="nil"/>
              <w:right w:val="nil"/>
            </w:tcBorders>
            <w:shd w:val="clear" w:color="auto" w:fill="auto"/>
            <w:noWrap/>
            <w:vAlign w:val="bottom"/>
            <w:hideMark/>
          </w:tcPr>
          <w:p w:rsidR="004266C5" w:rsidRPr="005E1103" w:rsidRDefault="004266C5" w:rsidP="0046263B">
            <w:pPr>
              <w:spacing w:after="0" w:line="360" w:lineRule="auto"/>
              <w:jc w:val="both"/>
              <w:rPr>
                <w:rFonts w:eastAsia="Times New Roman" w:cstheme="minorHAnsi"/>
                <w:sz w:val="28"/>
                <w:szCs w:val="28"/>
                <w:lang w:eastAsia="es-ES"/>
              </w:rPr>
            </w:pPr>
          </w:p>
        </w:tc>
      </w:tr>
      <w:tr w:rsidR="004266C5" w:rsidRPr="005E1103" w:rsidTr="0046263B">
        <w:trPr>
          <w:trHeight w:val="255"/>
        </w:trPr>
        <w:tc>
          <w:tcPr>
            <w:tcW w:w="8040" w:type="dxa"/>
            <w:gridSpan w:val="5"/>
            <w:tcBorders>
              <w:top w:val="single" w:sz="4" w:space="0" w:color="FFFFFF"/>
              <w:left w:val="single" w:sz="4" w:space="0" w:color="FFFFFF"/>
              <w:bottom w:val="single" w:sz="4" w:space="0" w:color="FFFFFF"/>
              <w:right w:val="single" w:sz="4" w:space="0" w:color="FFFFFF"/>
            </w:tcBorders>
            <w:shd w:val="clear" w:color="000000" w:fill="B6C5DF"/>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2012</w:t>
            </w:r>
          </w:p>
        </w:tc>
        <w:tc>
          <w:tcPr>
            <w:tcW w:w="160" w:type="dxa"/>
            <w:tcBorders>
              <w:top w:val="nil"/>
              <w:left w:val="nil"/>
              <w:bottom w:val="nil"/>
              <w:right w:val="nil"/>
            </w:tcBorders>
            <w:shd w:val="clear" w:color="auto" w:fill="auto"/>
            <w:noWrap/>
            <w:vAlign w:val="bottom"/>
            <w:hideMark/>
          </w:tcPr>
          <w:p w:rsidR="004266C5" w:rsidRPr="005E1103" w:rsidRDefault="004266C5" w:rsidP="0046263B">
            <w:pPr>
              <w:spacing w:after="0" w:line="360" w:lineRule="auto"/>
              <w:jc w:val="both"/>
              <w:rPr>
                <w:rFonts w:eastAsia="Times New Roman" w:cstheme="minorHAnsi"/>
                <w:sz w:val="28"/>
                <w:szCs w:val="28"/>
                <w:lang w:eastAsia="es-ES"/>
              </w:rPr>
            </w:pPr>
          </w:p>
        </w:tc>
      </w:tr>
      <w:tr w:rsidR="004266C5" w:rsidRPr="005E1103" w:rsidTr="0046263B">
        <w:trPr>
          <w:trHeight w:val="510"/>
        </w:trPr>
        <w:tc>
          <w:tcPr>
            <w:tcW w:w="1060" w:type="dxa"/>
            <w:tcBorders>
              <w:top w:val="nil"/>
              <w:left w:val="single" w:sz="4" w:space="0" w:color="FFFFFF"/>
              <w:bottom w:val="single" w:sz="4" w:space="0" w:color="FFFFFF"/>
              <w:right w:val="single" w:sz="4" w:space="0" w:color="FFFFFF"/>
            </w:tcBorders>
            <w:shd w:val="clear" w:color="000000" w:fill="E5E7F3"/>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 xml:space="preserve">        Actividad</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75,3</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77,2</w:t>
            </w:r>
          </w:p>
        </w:tc>
        <w:tc>
          <w:tcPr>
            <w:tcW w:w="2860" w:type="dxa"/>
            <w:gridSpan w:val="2"/>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36,7</w:t>
            </w:r>
          </w:p>
        </w:tc>
        <w:tc>
          <w:tcPr>
            <w:tcW w:w="160" w:type="dxa"/>
            <w:tcBorders>
              <w:top w:val="nil"/>
              <w:left w:val="nil"/>
              <w:bottom w:val="nil"/>
              <w:right w:val="nil"/>
            </w:tcBorders>
            <w:shd w:val="clear" w:color="auto" w:fill="auto"/>
            <w:noWrap/>
            <w:vAlign w:val="bottom"/>
            <w:hideMark/>
          </w:tcPr>
          <w:p w:rsidR="004266C5" w:rsidRPr="005E1103" w:rsidRDefault="004266C5" w:rsidP="0046263B">
            <w:pPr>
              <w:spacing w:after="0" w:line="360" w:lineRule="auto"/>
              <w:jc w:val="both"/>
              <w:rPr>
                <w:rFonts w:eastAsia="Times New Roman" w:cstheme="minorHAnsi"/>
                <w:sz w:val="28"/>
                <w:szCs w:val="28"/>
                <w:lang w:eastAsia="es-ES"/>
              </w:rPr>
            </w:pPr>
          </w:p>
        </w:tc>
      </w:tr>
      <w:tr w:rsidR="004266C5" w:rsidRPr="005E1103" w:rsidTr="0046263B">
        <w:trPr>
          <w:trHeight w:val="510"/>
        </w:trPr>
        <w:tc>
          <w:tcPr>
            <w:tcW w:w="1060" w:type="dxa"/>
            <w:tcBorders>
              <w:top w:val="nil"/>
              <w:left w:val="single" w:sz="4" w:space="0" w:color="FFFFFF"/>
              <w:bottom w:val="single" w:sz="4" w:space="0" w:color="FFFFFF"/>
              <w:right w:val="single" w:sz="4" w:space="0" w:color="FFFFFF"/>
            </w:tcBorders>
            <w:shd w:val="clear" w:color="000000" w:fill="E5E7F3"/>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lastRenderedPageBreak/>
              <w:t xml:space="preserve">        Empleo</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56,5</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58,1</w:t>
            </w:r>
          </w:p>
        </w:tc>
        <w:tc>
          <w:tcPr>
            <w:tcW w:w="2860" w:type="dxa"/>
            <w:gridSpan w:val="2"/>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24,5</w:t>
            </w:r>
          </w:p>
        </w:tc>
        <w:tc>
          <w:tcPr>
            <w:tcW w:w="160" w:type="dxa"/>
            <w:tcBorders>
              <w:top w:val="nil"/>
              <w:left w:val="nil"/>
              <w:bottom w:val="nil"/>
              <w:right w:val="nil"/>
            </w:tcBorders>
            <w:shd w:val="clear" w:color="auto" w:fill="auto"/>
            <w:noWrap/>
            <w:vAlign w:val="bottom"/>
            <w:hideMark/>
          </w:tcPr>
          <w:p w:rsidR="004266C5" w:rsidRPr="005E1103" w:rsidRDefault="004266C5" w:rsidP="0046263B">
            <w:pPr>
              <w:spacing w:after="0" w:line="360" w:lineRule="auto"/>
              <w:jc w:val="both"/>
              <w:rPr>
                <w:rFonts w:eastAsia="Times New Roman" w:cstheme="minorHAnsi"/>
                <w:sz w:val="28"/>
                <w:szCs w:val="28"/>
                <w:lang w:eastAsia="es-ES"/>
              </w:rPr>
            </w:pPr>
          </w:p>
        </w:tc>
      </w:tr>
      <w:tr w:rsidR="004266C5" w:rsidRPr="005E1103" w:rsidTr="0046263B">
        <w:trPr>
          <w:trHeight w:val="255"/>
        </w:trPr>
        <w:tc>
          <w:tcPr>
            <w:tcW w:w="1060" w:type="dxa"/>
            <w:tcBorders>
              <w:top w:val="nil"/>
              <w:left w:val="single" w:sz="4" w:space="0" w:color="FFFFFF"/>
              <w:bottom w:val="single" w:sz="4" w:space="0" w:color="FFFFFF"/>
              <w:right w:val="single" w:sz="4" w:space="0" w:color="FFFFFF"/>
            </w:tcBorders>
            <w:shd w:val="clear" w:color="000000" w:fill="E5E7F3"/>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 xml:space="preserve">        Paro</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24,9</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24,7</w:t>
            </w:r>
          </w:p>
        </w:tc>
        <w:tc>
          <w:tcPr>
            <w:tcW w:w="2860" w:type="dxa"/>
            <w:gridSpan w:val="2"/>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33,2</w:t>
            </w:r>
          </w:p>
        </w:tc>
        <w:tc>
          <w:tcPr>
            <w:tcW w:w="160" w:type="dxa"/>
            <w:tcBorders>
              <w:top w:val="nil"/>
              <w:left w:val="nil"/>
              <w:bottom w:val="nil"/>
              <w:right w:val="nil"/>
            </w:tcBorders>
            <w:shd w:val="clear" w:color="auto" w:fill="auto"/>
            <w:noWrap/>
            <w:vAlign w:val="bottom"/>
            <w:hideMark/>
          </w:tcPr>
          <w:p w:rsidR="004266C5" w:rsidRPr="005E1103" w:rsidRDefault="004266C5" w:rsidP="0046263B">
            <w:pPr>
              <w:spacing w:after="0" w:line="360" w:lineRule="auto"/>
              <w:jc w:val="both"/>
              <w:rPr>
                <w:rFonts w:eastAsia="Times New Roman" w:cstheme="minorHAnsi"/>
                <w:sz w:val="28"/>
                <w:szCs w:val="28"/>
                <w:lang w:eastAsia="es-ES"/>
              </w:rPr>
            </w:pPr>
          </w:p>
        </w:tc>
      </w:tr>
      <w:tr w:rsidR="004266C5" w:rsidRPr="005E1103" w:rsidTr="0046263B">
        <w:trPr>
          <w:trHeight w:val="255"/>
        </w:trPr>
        <w:tc>
          <w:tcPr>
            <w:tcW w:w="8040" w:type="dxa"/>
            <w:gridSpan w:val="5"/>
            <w:tcBorders>
              <w:top w:val="single" w:sz="4" w:space="0" w:color="FFFFFF"/>
              <w:left w:val="single" w:sz="4" w:space="0" w:color="FFFFFF"/>
              <w:bottom w:val="single" w:sz="4" w:space="0" w:color="FFFFFF"/>
              <w:right w:val="single" w:sz="4" w:space="0" w:color="FFFFFF"/>
            </w:tcBorders>
            <w:shd w:val="clear" w:color="000000" w:fill="B6C5DF"/>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2011</w:t>
            </w:r>
          </w:p>
        </w:tc>
        <w:tc>
          <w:tcPr>
            <w:tcW w:w="160" w:type="dxa"/>
            <w:tcBorders>
              <w:top w:val="nil"/>
              <w:left w:val="nil"/>
              <w:bottom w:val="nil"/>
              <w:right w:val="nil"/>
            </w:tcBorders>
            <w:shd w:val="clear" w:color="auto" w:fill="auto"/>
            <w:noWrap/>
            <w:vAlign w:val="bottom"/>
            <w:hideMark/>
          </w:tcPr>
          <w:p w:rsidR="004266C5" w:rsidRPr="005E1103" w:rsidRDefault="004266C5" w:rsidP="0046263B">
            <w:pPr>
              <w:spacing w:after="0" w:line="360" w:lineRule="auto"/>
              <w:jc w:val="both"/>
              <w:rPr>
                <w:rFonts w:eastAsia="Times New Roman" w:cstheme="minorHAnsi"/>
                <w:sz w:val="28"/>
                <w:szCs w:val="28"/>
                <w:lang w:eastAsia="es-ES"/>
              </w:rPr>
            </w:pPr>
          </w:p>
        </w:tc>
      </w:tr>
      <w:tr w:rsidR="004266C5" w:rsidRPr="005E1103" w:rsidTr="0046263B">
        <w:trPr>
          <w:trHeight w:val="510"/>
        </w:trPr>
        <w:tc>
          <w:tcPr>
            <w:tcW w:w="1060" w:type="dxa"/>
            <w:tcBorders>
              <w:top w:val="nil"/>
              <w:left w:val="single" w:sz="4" w:space="0" w:color="FFFFFF"/>
              <w:bottom w:val="single" w:sz="4" w:space="0" w:color="FFFFFF"/>
              <w:right w:val="single" w:sz="4" w:space="0" w:color="FFFFFF"/>
            </w:tcBorders>
            <w:shd w:val="clear" w:color="000000" w:fill="E5E7F3"/>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 xml:space="preserve">        Actividad</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74,9</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76,5</w:t>
            </w:r>
          </w:p>
        </w:tc>
        <w:tc>
          <w:tcPr>
            <w:tcW w:w="2860" w:type="dxa"/>
            <w:gridSpan w:val="2"/>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36,7</w:t>
            </w:r>
          </w:p>
        </w:tc>
        <w:tc>
          <w:tcPr>
            <w:tcW w:w="160" w:type="dxa"/>
            <w:tcBorders>
              <w:top w:val="nil"/>
              <w:left w:val="nil"/>
              <w:bottom w:val="nil"/>
              <w:right w:val="nil"/>
            </w:tcBorders>
            <w:shd w:val="clear" w:color="auto" w:fill="auto"/>
            <w:noWrap/>
            <w:vAlign w:val="bottom"/>
            <w:hideMark/>
          </w:tcPr>
          <w:p w:rsidR="004266C5" w:rsidRPr="005E1103" w:rsidRDefault="004266C5" w:rsidP="0046263B">
            <w:pPr>
              <w:spacing w:after="0" w:line="360" w:lineRule="auto"/>
              <w:jc w:val="both"/>
              <w:rPr>
                <w:rFonts w:eastAsia="Times New Roman" w:cstheme="minorHAnsi"/>
                <w:sz w:val="28"/>
                <w:szCs w:val="28"/>
                <w:lang w:eastAsia="es-ES"/>
              </w:rPr>
            </w:pPr>
          </w:p>
        </w:tc>
      </w:tr>
      <w:tr w:rsidR="004266C5" w:rsidRPr="005E1103" w:rsidTr="0046263B">
        <w:trPr>
          <w:trHeight w:val="510"/>
        </w:trPr>
        <w:tc>
          <w:tcPr>
            <w:tcW w:w="1060" w:type="dxa"/>
            <w:tcBorders>
              <w:top w:val="nil"/>
              <w:left w:val="single" w:sz="4" w:space="0" w:color="FFFFFF"/>
              <w:bottom w:val="single" w:sz="4" w:space="0" w:color="FFFFFF"/>
              <w:right w:val="single" w:sz="4" w:space="0" w:color="FFFFFF"/>
            </w:tcBorders>
            <w:shd w:val="clear" w:color="000000" w:fill="E5E7F3"/>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 xml:space="preserve">        Empleo</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58,8</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60,2</w:t>
            </w:r>
          </w:p>
        </w:tc>
        <w:tc>
          <w:tcPr>
            <w:tcW w:w="2860" w:type="dxa"/>
            <w:gridSpan w:val="2"/>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26,8</w:t>
            </w:r>
          </w:p>
        </w:tc>
        <w:tc>
          <w:tcPr>
            <w:tcW w:w="160" w:type="dxa"/>
            <w:tcBorders>
              <w:top w:val="nil"/>
              <w:left w:val="nil"/>
              <w:bottom w:val="nil"/>
              <w:right w:val="nil"/>
            </w:tcBorders>
            <w:shd w:val="clear" w:color="auto" w:fill="auto"/>
            <w:noWrap/>
            <w:vAlign w:val="bottom"/>
            <w:hideMark/>
          </w:tcPr>
          <w:p w:rsidR="004266C5" w:rsidRPr="005E1103" w:rsidRDefault="004266C5" w:rsidP="0046263B">
            <w:pPr>
              <w:spacing w:after="0" w:line="360" w:lineRule="auto"/>
              <w:jc w:val="both"/>
              <w:rPr>
                <w:rFonts w:eastAsia="Times New Roman" w:cstheme="minorHAnsi"/>
                <w:sz w:val="28"/>
                <w:szCs w:val="28"/>
                <w:lang w:eastAsia="es-ES"/>
              </w:rPr>
            </w:pPr>
          </w:p>
        </w:tc>
      </w:tr>
      <w:tr w:rsidR="004266C5" w:rsidRPr="005E1103" w:rsidTr="0046263B">
        <w:trPr>
          <w:trHeight w:val="255"/>
        </w:trPr>
        <w:tc>
          <w:tcPr>
            <w:tcW w:w="1060" w:type="dxa"/>
            <w:tcBorders>
              <w:top w:val="nil"/>
              <w:left w:val="single" w:sz="4" w:space="0" w:color="FFFFFF"/>
              <w:bottom w:val="single" w:sz="4" w:space="0" w:color="FFFFFF"/>
              <w:right w:val="single" w:sz="4" w:space="0" w:color="FFFFFF"/>
            </w:tcBorders>
            <w:shd w:val="clear" w:color="000000" w:fill="E5E7F3"/>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 xml:space="preserve">        Paro</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21,5</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21,4</w:t>
            </w:r>
          </w:p>
        </w:tc>
        <w:tc>
          <w:tcPr>
            <w:tcW w:w="2860" w:type="dxa"/>
            <w:gridSpan w:val="2"/>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26,8</w:t>
            </w:r>
          </w:p>
        </w:tc>
        <w:tc>
          <w:tcPr>
            <w:tcW w:w="160" w:type="dxa"/>
            <w:tcBorders>
              <w:top w:val="nil"/>
              <w:left w:val="nil"/>
              <w:bottom w:val="nil"/>
              <w:right w:val="nil"/>
            </w:tcBorders>
            <w:shd w:val="clear" w:color="auto" w:fill="auto"/>
            <w:noWrap/>
            <w:vAlign w:val="bottom"/>
            <w:hideMark/>
          </w:tcPr>
          <w:p w:rsidR="004266C5" w:rsidRPr="005E1103" w:rsidRDefault="004266C5" w:rsidP="0046263B">
            <w:pPr>
              <w:spacing w:after="0" w:line="360" w:lineRule="auto"/>
              <w:jc w:val="both"/>
              <w:rPr>
                <w:rFonts w:eastAsia="Times New Roman" w:cstheme="minorHAnsi"/>
                <w:sz w:val="28"/>
                <w:szCs w:val="28"/>
                <w:lang w:eastAsia="es-ES"/>
              </w:rPr>
            </w:pPr>
          </w:p>
        </w:tc>
      </w:tr>
      <w:tr w:rsidR="004266C5" w:rsidRPr="005E1103" w:rsidTr="0046263B">
        <w:trPr>
          <w:trHeight w:val="255"/>
        </w:trPr>
        <w:tc>
          <w:tcPr>
            <w:tcW w:w="8040" w:type="dxa"/>
            <w:gridSpan w:val="5"/>
            <w:tcBorders>
              <w:top w:val="single" w:sz="4" w:space="0" w:color="FFFFFF"/>
              <w:left w:val="single" w:sz="4" w:space="0" w:color="FFFFFF"/>
              <w:bottom w:val="single" w:sz="4" w:space="0" w:color="FFFFFF"/>
              <w:right w:val="single" w:sz="4" w:space="0" w:color="FFFFFF"/>
            </w:tcBorders>
            <w:shd w:val="clear" w:color="000000" w:fill="B6C5DF"/>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2010</w:t>
            </w:r>
          </w:p>
        </w:tc>
        <w:tc>
          <w:tcPr>
            <w:tcW w:w="160" w:type="dxa"/>
            <w:tcBorders>
              <w:top w:val="nil"/>
              <w:left w:val="nil"/>
              <w:bottom w:val="nil"/>
              <w:right w:val="nil"/>
            </w:tcBorders>
            <w:shd w:val="clear" w:color="auto" w:fill="auto"/>
            <w:noWrap/>
            <w:vAlign w:val="bottom"/>
            <w:hideMark/>
          </w:tcPr>
          <w:p w:rsidR="004266C5" w:rsidRPr="005E1103" w:rsidRDefault="004266C5" w:rsidP="0046263B">
            <w:pPr>
              <w:spacing w:after="0" w:line="360" w:lineRule="auto"/>
              <w:jc w:val="both"/>
              <w:rPr>
                <w:rFonts w:eastAsia="Times New Roman" w:cstheme="minorHAnsi"/>
                <w:sz w:val="28"/>
                <w:szCs w:val="28"/>
                <w:lang w:eastAsia="es-ES"/>
              </w:rPr>
            </w:pPr>
          </w:p>
        </w:tc>
      </w:tr>
      <w:tr w:rsidR="004266C5" w:rsidRPr="005E1103" w:rsidTr="0046263B">
        <w:trPr>
          <w:trHeight w:val="358"/>
        </w:trPr>
        <w:tc>
          <w:tcPr>
            <w:tcW w:w="1060" w:type="dxa"/>
            <w:tcBorders>
              <w:top w:val="nil"/>
              <w:left w:val="single" w:sz="4" w:space="0" w:color="FFFFFF"/>
              <w:bottom w:val="single" w:sz="4" w:space="0" w:color="FFFFFF"/>
              <w:right w:val="single" w:sz="4" w:space="0" w:color="FFFFFF"/>
            </w:tcBorders>
            <w:shd w:val="clear" w:color="000000" w:fill="E5E7F3"/>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 xml:space="preserve">        Actividad</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74,6</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76,1</w:t>
            </w:r>
          </w:p>
        </w:tc>
        <w:tc>
          <w:tcPr>
            <w:tcW w:w="2860" w:type="dxa"/>
            <w:gridSpan w:val="2"/>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36,0</w:t>
            </w:r>
          </w:p>
        </w:tc>
        <w:tc>
          <w:tcPr>
            <w:tcW w:w="160" w:type="dxa"/>
            <w:tcBorders>
              <w:top w:val="nil"/>
              <w:left w:val="nil"/>
              <w:bottom w:val="nil"/>
              <w:right w:val="nil"/>
            </w:tcBorders>
            <w:shd w:val="clear" w:color="auto" w:fill="auto"/>
            <w:noWrap/>
            <w:vAlign w:val="bottom"/>
            <w:hideMark/>
          </w:tcPr>
          <w:p w:rsidR="004266C5" w:rsidRPr="005E1103" w:rsidRDefault="004266C5" w:rsidP="0046263B">
            <w:pPr>
              <w:spacing w:after="0" w:line="360" w:lineRule="auto"/>
              <w:jc w:val="both"/>
              <w:rPr>
                <w:rFonts w:eastAsia="Times New Roman" w:cstheme="minorHAnsi"/>
                <w:sz w:val="28"/>
                <w:szCs w:val="28"/>
                <w:lang w:eastAsia="es-ES"/>
              </w:rPr>
            </w:pPr>
          </w:p>
        </w:tc>
      </w:tr>
      <w:tr w:rsidR="004266C5" w:rsidRPr="005E1103" w:rsidTr="0046263B">
        <w:trPr>
          <w:trHeight w:val="510"/>
        </w:trPr>
        <w:tc>
          <w:tcPr>
            <w:tcW w:w="1060" w:type="dxa"/>
            <w:tcBorders>
              <w:top w:val="nil"/>
              <w:left w:val="single" w:sz="4" w:space="0" w:color="FFFFFF"/>
              <w:bottom w:val="single" w:sz="4" w:space="0" w:color="FFFFFF"/>
              <w:right w:val="single" w:sz="4" w:space="0" w:color="FFFFFF"/>
            </w:tcBorders>
            <w:shd w:val="clear" w:color="000000" w:fill="E5E7F3"/>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 xml:space="preserve">        Empleo</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59,7</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60,9</w:t>
            </w:r>
          </w:p>
        </w:tc>
        <w:tc>
          <w:tcPr>
            <w:tcW w:w="2860" w:type="dxa"/>
            <w:gridSpan w:val="2"/>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27,5</w:t>
            </w:r>
          </w:p>
        </w:tc>
        <w:tc>
          <w:tcPr>
            <w:tcW w:w="160" w:type="dxa"/>
            <w:tcBorders>
              <w:top w:val="nil"/>
              <w:left w:val="nil"/>
              <w:bottom w:val="nil"/>
              <w:right w:val="nil"/>
            </w:tcBorders>
            <w:shd w:val="clear" w:color="auto" w:fill="auto"/>
            <w:noWrap/>
            <w:vAlign w:val="bottom"/>
            <w:hideMark/>
          </w:tcPr>
          <w:p w:rsidR="004266C5" w:rsidRPr="005E1103" w:rsidRDefault="004266C5" w:rsidP="0046263B">
            <w:pPr>
              <w:spacing w:after="0" w:line="360" w:lineRule="auto"/>
              <w:jc w:val="both"/>
              <w:rPr>
                <w:rFonts w:eastAsia="Times New Roman" w:cstheme="minorHAnsi"/>
                <w:sz w:val="28"/>
                <w:szCs w:val="28"/>
                <w:lang w:eastAsia="es-ES"/>
              </w:rPr>
            </w:pPr>
          </w:p>
        </w:tc>
      </w:tr>
      <w:tr w:rsidR="004266C5" w:rsidRPr="005E1103" w:rsidTr="0046263B">
        <w:trPr>
          <w:trHeight w:val="255"/>
        </w:trPr>
        <w:tc>
          <w:tcPr>
            <w:tcW w:w="1060" w:type="dxa"/>
            <w:tcBorders>
              <w:top w:val="nil"/>
              <w:left w:val="single" w:sz="4" w:space="0" w:color="FFFFFF"/>
              <w:bottom w:val="single" w:sz="4" w:space="0" w:color="FFFFFF"/>
              <w:right w:val="single" w:sz="4" w:space="0" w:color="FFFFFF"/>
            </w:tcBorders>
            <w:shd w:val="clear" w:color="000000" w:fill="E5E7F3"/>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 xml:space="preserve">        Paro</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20,0</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19,9</w:t>
            </w:r>
          </w:p>
        </w:tc>
        <w:tc>
          <w:tcPr>
            <w:tcW w:w="2860" w:type="dxa"/>
            <w:gridSpan w:val="2"/>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23,6</w:t>
            </w:r>
          </w:p>
        </w:tc>
        <w:tc>
          <w:tcPr>
            <w:tcW w:w="160" w:type="dxa"/>
            <w:tcBorders>
              <w:top w:val="nil"/>
              <w:left w:val="nil"/>
              <w:bottom w:val="nil"/>
              <w:right w:val="nil"/>
            </w:tcBorders>
            <w:shd w:val="clear" w:color="auto" w:fill="auto"/>
            <w:noWrap/>
            <w:vAlign w:val="bottom"/>
            <w:hideMark/>
          </w:tcPr>
          <w:p w:rsidR="004266C5" w:rsidRPr="005E1103" w:rsidRDefault="004266C5" w:rsidP="0046263B">
            <w:pPr>
              <w:spacing w:after="0" w:line="360" w:lineRule="auto"/>
              <w:jc w:val="both"/>
              <w:rPr>
                <w:rFonts w:eastAsia="Times New Roman" w:cstheme="minorHAnsi"/>
                <w:sz w:val="28"/>
                <w:szCs w:val="28"/>
                <w:lang w:eastAsia="es-ES"/>
              </w:rPr>
            </w:pPr>
          </w:p>
        </w:tc>
      </w:tr>
    </w:tbl>
    <w:p w:rsidR="004266C5" w:rsidRPr="005E1103" w:rsidRDefault="004266C5" w:rsidP="004266C5">
      <w:pPr>
        <w:spacing w:line="360" w:lineRule="auto"/>
        <w:jc w:val="both"/>
        <w:rPr>
          <w:rFonts w:cstheme="minorHAnsi"/>
          <w:sz w:val="28"/>
          <w:szCs w:val="28"/>
        </w:rPr>
      </w:pPr>
    </w:p>
    <w:p w:rsidR="004266C5" w:rsidRPr="005E1103" w:rsidRDefault="004266C5" w:rsidP="004266C5">
      <w:pPr>
        <w:spacing w:line="360" w:lineRule="auto"/>
        <w:jc w:val="both"/>
        <w:rPr>
          <w:rFonts w:cstheme="minorHAnsi"/>
          <w:sz w:val="28"/>
          <w:szCs w:val="28"/>
        </w:rPr>
      </w:pPr>
    </w:p>
    <w:p w:rsidR="004266C5" w:rsidRPr="005E1103" w:rsidRDefault="004266C5" w:rsidP="004266C5">
      <w:pPr>
        <w:spacing w:line="360" w:lineRule="auto"/>
        <w:jc w:val="both"/>
        <w:rPr>
          <w:rFonts w:cstheme="minorHAnsi"/>
          <w:sz w:val="28"/>
          <w:szCs w:val="28"/>
        </w:rPr>
      </w:pPr>
      <w:r w:rsidRPr="005E1103">
        <w:rPr>
          <w:rFonts w:cstheme="minorHAnsi"/>
          <w:sz w:val="28"/>
          <w:szCs w:val="28"/>
        </w:rPr>
        <w:t xml:space="preserve">Si nos centramos en los últimos datos publicados en la Encuesta de Población Activa, diferenciando por sexo, nos aporta información sobre la doble discriminación existente en el mercado laboral: tener discapacidad y ser mujer (Bermejo;2014;21-23), donde se aprecia que la mayor tasa de </w:t>
      </w:r>
      <w:r w:rsidRPr="005E1103">
        <w:rPr>
          <w:rFonts w:cstheme="minorHAnsi"/>
          <w:sz w:val="28"/>
          <w:szCs w:val="28"/>
        </w:rPr>
        <w:lastRenderedPageBreak/>
        <w:t>paro la han soportado las mujeres con discapacidad con una tasa de paro de un 32,7%.</w:t>
      </w:r>
    </w:p>
    <w:tbl>
      <w:tblPr>
        <w:tblW w:w="5180" w:type="dxa"/>
        <w:tblInd w:w="55" w:type="dxa"/>
        <w:tblCellMar>
          <w:left w:w="70" w:type="dxa"/>
          <w:right w:w="70" w:type="dxa"/>
        </w:tblCellMar>
        <w:tblLook w:val="04A0" w:firstRow="1" w:lastRow="0" w:firstColumn="1" w:lastColumn="0" w:noHBand="0" w:noVBand="1"/>
      </w:tblPr>
      <w:tblGrid>
        <w:gridCol w:w="1233"/>
        <w:gridCol w:w="2060"/>
        <w:gridCol w:w="2060"/>
      </w:tblGrid>
      <w:tr w:rsidR="004266C5" w:rsidRPr="005E1103" w:rsidTr="0046263B">
        <w:trPr>
          <w:trHeight w:val="300"/>
        </w:trPr>
        <w:tc>
          <w:tcPr>
            <w:tcW w:w="5180" w:type="dxa"/>
            <w:gridSpan w:val="3"/>
            <w:tcBorders>
              <w:top w:val="single" w:sz="4" w:space="0" w:color="FFFFFF"/>
              <w:left w:val="single" w:sz="4" w:space="0" w:color="FFFFFF"/>
              <w:bottom w:val="single" w:sz="4" w:space="0" w:color="FFFFFF"/>
              <w:right w:val="single" w:sz="4" w:space="0" w:color="FFFFFF"/>
            </w:tcBorders>
            <w:shd w:val="clear" w:color="000000" w:fill="B6C5DF"/>
            <w:noWrap/>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Resultados nacionales</w:t>
            </w:r>
          </w:p>
        </w:tc>
      </w:tr>
      <w:tr w:rsidR="004266C5" w:rsidRPr="005E1103" w:rsidTr="0046263B">
        <w:trPr>
          <w:trHeight w:val="255"/>
        </w:trPr>
        <w:tc>
          <w:tcPr>
            <w:tcW w:w="5180" w:type="dxa"/>
            <w:gridSpan w:val="3"/>
            <w:tcBorders>
              <w:top w:val="single" w:sz="4" w:space="0" w:color="FFFFFF"/>
              <w:left w:val="single" w:sz="4" w:space="0" w:color="FFFFFF"/>
              <w:bottom w:val="single" w:sz="4" w:space="0" w:color="FFFFFF"/>
              <w:right w:val="single" w:sz="4" w:space="0" w:color="FFFFFF"/>
            </w:tcBorders>
            <w:shd w:val="clear" w:color="000000" w:fill="E5E7F3"/>
            <w:noWrap/>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Tasas de actividad, empleo y paro</w:t>
            </w:r>
          </w:p>
        </w:tc>
      </w:tr>
      <w:tr w:rsidR="004266C5" w:rsidRPr="005E1103" w:rsidTr="0046263B">
        <w:trPr>
          <w:trHeight w:val="255"/>
        </w:trPr>
        <w:tc>
          <w:tcPr>
            <w:tcW w:w="5180" w:type="dxa"/>
            <w:gridSpan w:val="3"/>
            <w:tcBorders>
              <w:top w:val="single" w:sz="4" w:space="0" w:color="FFFFFF"/>
              <w:left w:val="single" w:sz="4" w:space="0" w:color="FFFFFF"/>
              <w:bottom w:val="single" w:sz="4" w:space="0" w:color="FFFFFF"/>
              <w:right w:val="single" w:sz="4" w:space="0" w:color="FFFFFF"/>
            </w:tcBorders>
            <w:shd w:val="clear" w:color="000000" w:fill="FFFFFF"/>
            <w:noWrap/>
            <w:vAlign w:val="bottom"/>
            <w:hideMark/>
          </w:tcPr>
          <w:p w:rsidR="004266C5" w:rsidRPr="005E1103" w:rsidRDefault="004266C5" w:rsidP="0046263B">
            <w:pPr>
              <w:spacing w:after="0" w:line="360" w:lineRule="auto"/>
              <w:jc w:val="both"/>
              <w:rPr>
                <w:rFonts w:eastAsia="Times New Roman" w:cstheme="minorHAnsi"/>
                <w:color w:val="FFFFFF"/>
                <w:sz w:val="28"/>
                <w:szCs w:val="28"/>
                <w:lang w:eastAsia="es-ES"/>
              </w:rPr>
            </w:pPr>
            <w:r w:rsidRPr="005E1103">
              <w:rPr>
                <w:rFonts w:eastAsia="Times New Roman" w:cstheme="minorHAnsi"/>
                <w:color w:val="FFFFFF"/>
                <w:sz w:val="28"/>
                <w:szCs w:val="28"/>
                <w:lang w:eastAsia="es-ES"/>
              </w:rPr>
              <w:t> </w:t>
            </w:r>
          </w:p>
        </w:tc>
      </w:tr>
      <w:tr w:rsidR="004266C5" w:rsidRPr="005E1103" w:rsidTr="0046263B">
        <w:trPr>
          <w:trHeight w:val="300"/>
        </w:trPr>
        <w:tc>
          <w:tcPr>
            <w:tcW w:w="5180" w:type="dxa"/>
            <w:gridSpan w:val="3"/>
            <w:tcBorders>
              <w:top w:val="single" w:sz="4" w:space="0" w:color="FFFFFF"/>
              <w:left w:val="single" w:sz="4" w:space="0" w:color="FFFFFF"/>
              <w:bottom w:val="single" w:sz="4" w:space="0" w:color="FFFFFF"/>
              <w:right w:val="single" w:sz="4" w:space="0" w:color="FFFFFF"/>
            </w:tcBorders>
            <w:shd w:val="clear" w:color="000000" w:fill="FFFFFF"/>
            <w:noWrap/>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Tasas de actividad, empleo y paro por sexo</w:t>
            </w:r>
          </w:p>
        </w:tc>
      </w:tr>
      <w:tr w:rsidR="004266C5" w:rsidRPr="005E1103" w:rsidTr="0046263B">
        <w:trPr>
          <w:trHeight w:val="255"/>
        </w:trPr>
        <w:tc>
          <w:tcPr>
            <w:tcW w:w="5180" w:type="dxa"/>
            <w:gridSpan w:val="3"/>
            <w:tcBorders>
              <w:top w:val="single" w:sz="4" w:space="0" w:color="FFFFFF"/>
              <w:left w:val="single" w:sz="4" w:space="0" w:color="FFFFFF"/>
              <w:bottom w:val="single" w:sz="4" w:space="0" w:color="FFFFFF"/>
              <w:right w:val="single" w:sz="4" w:space="0" w:color="FFFFFF"/>
            </w:tcBorders>
            <w:shd w:val="clear" w:color="000000" w:fill="FFFFFF"/>
            <w:noWrap/>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Unidades: porcentajes</w:t>
            </w:r>
          </w:p>
        </w:tc>
      </w:tr>
      <w:tr w:rsidR="004266C5" w:rsidRPr="005E1103" w:rsidTr="0046263B">
        <w:trPr>
          <w:trHeight w:val="255"/>
        </w:trPr>
        <w:tc>
          <w:tcPr>
            <w:tcW w:w="5180" w:type="dxa"/>
            <w:gridSpan w:val="3"/>
            <w:tcBorders>
              <w:top w:val="single" w:sz="4" w:space="0" w:color="FFFFFF"/>
              <w:left w:val="single" w:sz="4" w:space="0" w:color="FFFFFF"/>
              <w:bottom w:val="single" w:sz="4" w:space="0" w:color="FFFFFF"/>
              <w:right w:val="single" w:sz="4" w:space="0" w:color="FFFFFF"/>
            </w:tcBorders>
            <w:shd w:val="clear" w:color="000000" w:fill="FFFFFF"/>
            <w:noWrap/>
            <w:vAlign w:val="bottom"/>
            <w:hideMark/>
          </w:tcPr>
          <w:p w:rsidR="004266C5" w:rsidRPr="005E1103" w:rsidRDefault="004266C5" w:rsidP="0046263B">
            <w:pPr>
              <w:spacing w:after="0" w:line="360" w:lineRule="auto"/>
              <w:jc w:val="both"/>
              <w:rPr>
                <w:rFonts w:eastAsia="Times New Roman" w:cstheme="minorHAnsi"/>
                <w:color w:val="FFFFFF"/>
                <w:sz w:val="28"/>
                <w:szCs w:val="28"/>
                <w:lang w:eastAsia="es-ES"/>
              </w:rPr>
            </w:pPr>
            <w:r w:rsidRPr="005E1103">
              <w:rPr>
                <w:rFonts w:eastAsia="Times New Roman" w:cstheme="minorHAnsi"/>
                <w:color w:val="FFFFFF"/>
                <w:sz w:val="28"/>
                <w:szCs w:val="28"/>
                <w:lang w:eastAsia="es-ES"/>
              </w:rPr>
              <w:t> </w:t>
            </w:r>
          </w:p>
        </w:tc>
      </w:tr>
      <w:tr w:rsidR="004266C5" w:rsidRPr="005E1103" w:rsidTr="0046263B">
        <w:trPr>
          <w:trHeight w:val="510"/>
        </w:trPr>
        <w:tc>
          <w:tcPr>
            <w:tcW w:w="1060" w:type="dxa"/>
            <w:tcBorders>
              <w:top w:val="nil"/>
              <w:left w:val="single" w:sz="4" w:space="0" w:color="FFFFFF"/>
              <w:bottom w:val="single" w:sz="4" w:space="0" w:color="FFFFFF"/>
              <w:right w:val="single" w:sz="4" w:space="0" w:color="FFFFFF"/>
            </w:tcBorders>
            <w:shd w:val="clear" w:color="000000" w:fill="B6C5DF"/>
            <w:noWrap/>
            <w:vAlign w:val="bottom"/>
            <w:hideMark/>
          </w:tcPr>
          <w:p w:rsidR="004266C5" w:rsidRPr="005E1103" w:rsidRDefault="004266C5" w:rsidP="0046263B">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 xml:space="preserve"> </w:t>
            </w:r>
          </w:p>
        </w:tc>
        <w:tc>
          <w:tcPr>
            <w:tcW w:w="2060" w:type="dxa"/>
            <w:tcBorders>
              <w:top w:val="nil"/>
              <w:left w:val="nil"/>
              <w:bottom w:val="single" w:sz="4" w:space="0" w:color="FFFFFF"/>
              <w:right w:val="single" w:sz="4" w:space="0" w:color="FFFFFF"/>
            </w:tcBorders>
            <w:shd w:val="clear" w:color="000000" w:fill="B6C5DF"/>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Tasa: Personas sin discapacidad</w:t>
            </w:r>
          </w:p>
        </w:tc>
        <w:tc>
          <w:tcPr>
            <w:tcW w:w="2060" w:type="dxa"/>
            <w:tcBorders>
              <w:top w:val="nil"/>
              <w:left w:val="nil"/>
              <w:bottom w:val="single" w:sz="4" w:space="0" w:color="FFFFFF"/>
              <w:right w:val="single" w:sz="4" w:space="0" w:color="FFFFFF"/>
            </w:tcBorders>
            <w:shd w:val="clear" w:color="000000" w:fill="B6C5DF"/>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Tasa: Personas con discapacidad</w:t>
            </w:r>
          </w:p>
        </w:tc>
      </w:tr>
      <w:tr w:rsidR="004266C5" w:rsidRPr="005E1103" w:rsidTr="0046263B">
        <w:trPr>
          <w:trHeight w:val="255"/>
        </w:trPr>
        <w:tc>
          <w:tcPr>
            <w:tcW w:w="5180" w:type="dxa"/>
            <w:gridSpan w:val="3"/>
            <w:tcBorders>
              <w:top w:val="single" w:sz="4" w:space="0" w:color="FFFFFF"/>
              <w:left w:val="single" w:sz="4" w:space="0" w:color="FFFFFF"/>
              <w:bottom w:val="single" w:sz="4" w:space="0" w:color="FFFFFF"/>
              <w:right w:val="single" w:sz="4" w:space="0" w:color="FFFFFF"/>
            </w:tcBorders>
            <w:shd w:val="clear" w:color="000000" w:fill="B6C5DF"/>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2014</w:t>
            </w:r>
          </w:p>
        </w:tc>
      </w:tr>
      <w:tr w:rsidR="004266C5" w:rsidRPr="005E1103" w:rsidTr="0046263B">
        <w:trPr>
          <w:trHeight w:val="255"/>
        </w:trPr>
        <w:tc>
          <w:tcPr>
            <w:tcW w:w="5180" w:type="dxa"/>
            <w:gridSpan w:val="3"/>
            <w:tcBorders>
              <w:top w:val="single" w:sz="4" w:space="0" w:color="FFFFFF"/>
              <w:left w:val="single" w:sz="4" w:space="0" w:color="FFFFFF"/>
              <w:bottom w:val="single" w:sz="4" w:space="0" w:color="FFFFFF"/>
              <w:right w:val="single" w:sz="4" w:space="0" w:color="FFFFFF"/>
            </w:tcBorders>
            <w:shd w:val="clear" w:color="000000" w:fill="E5E7F3"/>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 xml:space="preserve">    Varones</w:t>
            </w:r>
          </w:p>
        </w:tc>
      </w:tr>
      <w:tr w:rsidR="004266C5" w:rsidRPr="005E1103" w:rsidTr="0046263B">
        <w:trPr>
          <w:trHeight w:val="510"/>
        </w:trPr>
        <w:tc>
          <w:tcPr>
            <w:tcW w:w="1060" w:type="dxa"/>
            <w:tcBorders>
              <w:top w:val="nil"/>
              <w:left w:val="single" w:sz="4" w:space="0" w:color="FFFFFF"/>
              <w:bottom w:val="single" w:sz="4" w:space="0" w:color="FFFFFF"/>
              <w:right w:val="single" w:sz="4" w:space="0" w:color="FFFFFF"/>
            </w:tcBorders>
            <w:shd w:val="clear" w:color="000000" w:fill="E5E7F3"/>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 xml:space="preserve">        Actividad</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82,8</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39,5</w:t>
            </w:r>
          </w:p>
        </w:tc>
      </w:tr>
      <w:tr w:rsidR="004266C5" w:rsidRPr="005E1103" w:rsidTr="0046263B">
        <w:trPr>
          <w:trHeight w:val="510"/>
        </w:trPr>
        <w:tc>
          <w:tcPr>
            <w:tcW w:w="1060" w:type="dxa"/>
            <w:tcBorders>
              <w:top w:val="nil"/>
              <w:left w:val="single" w:sz="4" w:space="0" w:color="FFFFFF"/>
              <w:bottom w:val="single" w:sz="4" w:space="0" w:color="FFFFFF"/>
              <w:right w:val="single" w:sz="4" w:space="0" w:color="FFFFFF"/>
            </w:tcBorders>
            <w:shd w:val="clear" w:color="000000" w:fill="E5E7F3"/>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 xml:space="preserve">        Empleo</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63,3</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26,9</w:t>
            </w:r>
          </w:p>
        </w:tc>
      </w:tr>
      <w:tr w:rsidR="004266C5" w:rsidRPr="005E1103" w:rsidTr="0046263B">
        <w:trPr>
          <w:trHeight w:val="255"/>
        </w:trPr>
        <w:tc>
          <w:tcPr>
            <w:tcW w:w="1060" w:type="dxa"/>
            <w:tcBorders>
              <w:top w:val="nil"/>
              <w:left w:val="single" w:sz="4" w:space="0" w:color="FFFFFF"/>
              <w:bottom w:val="single" w:sz="4" w:space="0" w:color="FFFFFF"/>
              <w:right w:val="single" w:sz="4" w:space="0" w:color="FFFFFF"/>
            </w:tcBorders>
            <w:shd w:val="clear" w:color="000000" w:fill="E5E7F3"/>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 xml:space="preserve">        Paro</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23,5</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31,9</w:t>
            </w:r>
          </w:p>
        </w:tc>
      </w:tr>
      <w:tr w:rsidR="004266C5" w:rsidRPr="005E1103" w:rsidTr="0046263B">
        <w:trPr>
          <w:trHeight w:val="255"/>
        </w:trPr>
        <w:tc>
          <w:tcPr>
            <w:tcW w:w="5180" w:type="dxa"/>
            <w:gridSpan w:val="3"/>
            <w:tcBorders>
              <w:top w:val="single" w:sz="4" w:space="0" w:color="FFFFFF"/>
              <w:left w:val="single" w:sz="4" w:space="0" w:color="FFFFFF"/>
              <w:bottom w:val="single" w:sz="4" w:space="0" w:color="FFFFFF"/>
              <w:right w:val="single" w:sz="4" w:space="0" w:color="FFFFFF"/>
            </w:tcBorders>
            <w:shd w:val="clear" w:color="000000" w:fill="E5E7F3"/>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 xml:space="preserve">    Mujeres</w:t>
            </w:r>
          </w:p>
        </w:tc>
      </w:tr>
      <w:tr w:rsidR="004266C5" w:rsidRPr="005E1103" w:rsidTr="0046263B">
        <w:trPr>
          <w:trHeight w:val="510"/>
        </w:trPr>
        <w:tc>
          <w:tcPr>
            <w:tcW w:w="1060" w:type="dxa"/>
            <w:tcBorders>
              <w:top w:val="nil"/>
              <w:left w:val="single" w:sz="4" w:space="0" w:color="FFFFFF"/>
              <w:bottom w:val="single" w:sz="4" w:space="0" w:color="FFFFFF"/>
              <w:right w:val="single" w:sz="4" w:space="0" w:color="FFFFFF"/>
            </w:tcBorders>
            <w:shd w:val="clear" w:color="000000" w:fill="E5E7F3"/>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 xml:space="preserve">        Actividad</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71,2</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36,1</w:t>
            </w:r>
          </w:p>
        </w:tc>
      </w:tr>
      <w:tr w:rsidR="004266C5" w:rsidRPr="005E1103" w:rsidTr="0046263B">
        <w:trPr>
          <w:trHeight w:val="510"/>
        </w:trPr>
        <w:tc>
          <w:tcPr>
            <w:tcW w:w="1060" w:type="dxa"/>
            <w:tcBorders>
              <w:top w:val="nil"/>
              <w:left w:val="single" w:sz="4" w:space="0" w:color="FFFFFF"/>
              <w:bottom w:val="single" w:sz="4" w:space="0" w:color="FFFFFF"/>
              <w:right w:val="single" w:sz="4" w:space="0" w:color="FFFFFF"/>
            </w:tcBorders>
            <w:shd w:val="clear" w:color="000000" w:fill="E5E7F3"/>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 xml:space="preserve">        Empleo</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53,1</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24,3</w:t>
            </w:r>
          </w:p>
        </w:tc>
      </w:tr>
      <w:tr w:rsidR="004266C5" w:rsidRPr="005E1103" w:rsidTr="0046263B">
        <w:trPr>
          <w:trHeight w:val="255"/>
        </w:trPr>
        <w:tc>
          <w:tcPr>
            <w:tcW w:w="1060" w:type="dxa"/>
            <w:tcBorders>
              <w:top w:val="nil"/>
              <w:left w:val="single" w:sz="4" w:space="0" w:color="FFFFFF"/>
              <w:bottom w:val="single" w:sz="4" w:space="0" w:color="FFFFFF"/>
              <w:right w:val="single" w:sz="4" w:space="0" w:color="FFFFFF"/>
            </w:tcBorders>
            <w:shd w:val="clear" w:color="000000" w:fill="E5E7F3"/>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 xml:space="preserve">        Paro</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25,4</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32,7</w:t>
            </w:r>
          </w:p>
        </w:tc>
      </w:tr>
    </w:tbl>
    <w:p w:rsidR="004266C5" w:rsidRPr="005E1103" w:rsidRDefault="00BF6455" w:rsidP="004266C5">
      <w:pPr>
        <w:spacing w:line="360" w:lineRule="auto"/>
        <w:jc w:val="both"/>
        <w:rPr>
          <w:rFonts w:cstheme="minorHAnsi"/>
          <w:sz w:val="28"/>
          <w:szCs w:val="28"/>
        </w:rPr>
      </w:pPr>
      <w:hyperlink r:id="rId124" w:history="1">
        <w:r w:rsidR="004266C5" w:rsidRPr="005E1103">
          <w:rPr>
            <w:rStyle w:val="Hipervnculo"/>
            <w:rFonts w:cstheme="minorHAnsi"/>
            <w:sz w:val="28"/>
            <w:szCs w:val="28"/>
          </w:rPr>
          <w:t>www.ine.es</w:t>
        </w:r>
      </w:hyperlink>
    </w:p>
    <w:p w:rsidR="004266C5" w:rsidRPr="005E1103" w:rsidRDefault="004266C5" w:rsidP="004266C5">
      <w:pPr>
        <w:spacing w:line="360" w:lineRule="auto"/>
        <w:jc w:val="both"/>
        <w:rPr>
          <w:rFonts w:cstheme="minorHAnsi"/>
          <w:sz w:val="28"/>
          <w:szCs w:val="28"/>
        </w:rPr>
      </w:pPr>
      <w:r w:rsidRPr="005E1103">
        <w:rPr>
          <w:rFonts w:cstheme="minorHAnsi"/>
          <w:sz w:val="28"/>
          <w:szCs w:val="28"/>
        </w:rPr>
        <w:lastRenderedPageBreak/>
        <w:t>Situación que puede verse agravada en los últimos años (Bermejo, 2013:114-116), debido a los recorte económicos que sufre en país como consecuencia de la crisis financiera que soporta España.</w:t>
      </w:r>
    </w:p>
    <w:p w:rsidR="004266C5" w:rsidRPr="005E1103" w:rsidRDefault="004266C5" w:rsidP="004266C5">
      <w:pPr>
        <w:spacing w:line="360" w:lineRule="auto"/>
        <w:jc w:val="both"/>
        <w:rPr>
          <w:rFonts w:cstheme="minorHAnsi"/>
          <w:sz w:val="28"/>
          <w:szCs w:val="28"/>
        </w:rPr>
      </w:pPr>
      <w:r w:rsidRPr="005E1103">
        <w:rPr>
          <w:rFonts w:cstheme="minorHAnsi"/>
          <w:sz w:val="28"/>
          <w:szCs w:val="28"/>
        </w:rPr>
        <w:t>Frente a la posibilidad de aumentar la empleabilidad a través de la formación, las personas con discapacidad auditiva, según los datos publicados en el año 2014, presentan un menor porcentaje de su colectivo con formación superior (Solo un 16,4 % de las personas que padecen discapacidad auditiva tienen estudios superiores).</w:t>
      </w:r>
    </w:p>
    <w:p w:rsidR="004266C5" w:rsidRPr="005E1103" w:rsidRDefault="004266C5" w:rsidP="004266C5">
      <w:pPr>
        <w:spacing w:line="360" w:lineRule="auto"/>
        <w:jc w:val="both"/>
        <w:rPr>
          <w:rFonts w:cstheme="minorHAnsi"/>
          <w:sz w:val="28"/>
          <w:szCs w:val="28"/>
        </w:rPr>
      </w:pPr>
    </w:p>
    <w:tbl>
      <w:tblPr>
        <w:tblW w:w="9660" w:type="dxa"/>
        <w:tblInd w:w="55" w:type="dxa"/>
        <w:tblCellMar>
          <w:left w:w="70" w:type="dxa"/>
          <w:right w:w="70" w:type="dxa"/>
        </w:tblCellMar>
        <w:tblLook w:val="04A0" w:firstRow="1" w:lastRow="0" w:firstColumn="1" w:lastColumn="0" w:noHBand="0" w:noVBand="1"/>
      </w:tblPr>
      <w:tblGrid>
        <w:gridCol w:w="5540"/>
        <w:gridCol w:w="2060"/>
        <w:gridCol w:w="2060"/>
      </w:tblGrid>
      <w:tr w:rsidR="004266C5" w:rsidRPr="005E1103" w:rsidTr="0046263B">
        <w:trPr>
          <w:trHeight w:val="300"/>
        </w:trPr>
        <w:tc>
          <w:tcPr>
            <w:tcW w:w="9660" w:type="dxa"/>
            <w:gridSpan w:val="3"/>
            <w:tcBorders>
              <w:top w:val="single" w:sz="4" w:space="0" w:color="FFFFFF"/>
              <w:left w:val="single" w:sz="4" w:space="0" w:color="FFFFFF"/>
              <w:bottom w:val="single" w:sz="4" w:space="0" w:color="FFFFFF"/>
              <w:right w:val="single" w:sz="4" w:space="0" w:color="FFFFFF"/>
            </w:tcBorders>
            <w:shd w:val="clear" w:color="000000" w:fill="B6C5DF"/>
            <w:noWrap/>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El Empleo de las Personas con Discapacidad. 2014</w:t>
            </w:r>
          </w:p>
        </w:tc>
      </w:tr>
      <w:tr w:rsidR="004266C5" w:rsidRPr="005E1103" w:rsidTr="0046263B">
        <w:trPr>
          <w:trHeight w:val="255"/>
        </w:trPr>
        <w:tc>
          <w:tcPr>
            <w:tcW w:w="9660" w:type="dxa"/>
            <w:gridSpan w:val="3"/>
            <w:tcBorders>
              <w:top w:val="single" w:sz="4" w:space="0" w:color="FFFFFF"/>
              <w:left w:val="single" w:sz="4" w:space="0" w:color="FFFFFF"/>
              <w:bottom w:val="single" w:sz="4" w:space="0" w:color="FFFFFF"/>
              <w:right w:val="single" w:sz="4" w:space="0" w:color="FFFFFF"/>
            </w:tcBorders>
            <w:shd w:val="clear" w:color="000000" w:fill="E5E7F3"/>
            <w:noWrap/>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ESTUDIOS</w:t>
            </w:r>
          </w:p>
        </w:tc>
      </w:tr>
      <w:tr w:rsidR="004266C5" w:rsidRPr="005E1103" w:rsidTr="0046263B">
        <w:trPr>
          <w:trHeight w:val="255"/>
        </w:trPr>
        <w:tc>
          <w:tcPr>
            <w:tcW w:w="9660" w:type="dxa"/>
            <w:gridSpan w:val="3"/>
            <w:tcBorders>
              <w:top w:val="single" w:sz="4" w:space="0" w:color="FFFFFF"/>
              <w:left w:val="single" w:sz="4" w:space="0" w:color="FFFFFF"/>
              <w:bottom w:val="single" w:sz="4" w:space="0" w:color="FFFFFF"/>
              <w:right w:val="single" w:sz="4" w:space="0" w:color="FFFFFF"/>
            </w:tcBorders>
            <w:shd w:val="clear" w:color="000000" w:fill="FFFFFF"/>
            <w:noWrap/>
            <w:vAlign w:val="bottom"/>
            <w:hideMark/>
          </w:tcPr>
          <w:p w:rsidR="004266C5" w:rsidRPr="005E1103" w:rsidRDefault="004266C5" w:rsidP="0046263B">
            <w:pPr>
              <w:spacing w:after="0" w:line="360" w:lineRule="auto"/>
              <w:jc w:val="both"/>
              <w:rPr>
                <w:rFonts w:eastAsia="Times New Roman" w:cstheme="minorHAnsi"/>
                <w:color w:val="FFFFFF"/>
                <w:sz w:val="28"/>
                <w:szCs w:val="28"/>
                <w:lang w:eastAsia="es-ES"/>
              </w:rPr>
            </w:pPr>
            <w:r w:rsidRPr="005E1103">
              <w:rPr>
                <w:rFonts w:eastAsia="Times New Roman" w:cstheme="minorHAnsi"/>
                <w:color w:val="FFFFFF"/>
                <w:sz w:val="28"/>
                <w:szCs w:val="28"/>
                <w:lang w:eastAsia="es-ES"/>
              </w:rPr>
              <w:t> </w:t>
            </w:r>
          </w:p>
        </w:tc>
      </w:tr>
      <w:tr w:rsidR="004266C5" w:rsidRPr="005E1103" w:rsidTr="0046263B">
        <w:trPr>
          <w:trHeight w:val="300"/>
        </w:trPr>
        <w:tc>
          <w:tcPr>
            <w:tcW w:w="9660" w:type="dxa"/>
            <w:gridSpan w:val="3"/>
            <w:tcBorders>
              <w:top w:val="single" w:sz="4" w:space="0" w:color="FFFFFF"/>
              <w:left w:val="single" w:sz="4" w:space="0" w:color="FFFFFF"/>
              <w:bottom w:val="single" w:sz="4" w:space="0" w:color="FFFFFF"/>
              <w:right w:val="single" w:sz="4" w:space="0" w:color="FFFFFF"/>
            </w:tcBorders>
            <w:shd w:val="clear" w:color="000000" w:fill="FFFFFF"/>
            <w:noWrap/>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Nivel de estudios por tipo de discapacidad</w:t>
            </w:r>
          </w:p>
        </w:tc>
      </w:tr>
      <w:tr w:rsidR="004266C5" w:rsidRPr="005E1103" w:rsidTr="0046263B">
        <w:trPr>
          <w:trHeight w:val="255"/>
        </w:trPr>
        <w:tc>
          <w:tcPr>
            <w:tcW w:w="9660" w:type="dxa"/>
            <w:gridSpan w:val="3"/>
            <w:tcBorders>
              <w:top w:val="single" w:sz="4" w:space="0" w:color="FFFFFF"/>
              <w:left w:val="single" w:sz="4" w:space="0" w:color="FFFFFF"/>
              <w:bottom w:val="single" w:sz="4" w:space="0" w:color="FFFFFF"/>
              <w:right w:val="single" w:sz="4" w:space="0" w:color="FFFFFF"/>
            </w:tcBorders>
            <w:shd w:val="clear" w:color="000000" w:fill="FFFFFF"/>
            <w:noWrap/>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Unidades: miles de personas y porcentajes</w:t>
            </w:r>
          </w:p>
        </w:tc>
      </w:tr>
      <w:tr w:rsidR="004266C5" w:rsidRPr="005E1103" w:rsidTr="0046263B">
        <w:trPr>
          <w:trHeight w:val="255"/>
        </w:trPr>
        <w:tc>
          <w:tcPr>
            <w:tcW w:w="9660" w:type="dxa"/>
            <w:gridSpan w:val="3"/>
            <w:tcBorders>
              <w:top w:val="single" w:sz="4" w:space="0" w:color="FFFFFF"/>
              <w:left w:val="single" w:sz="4" w:space="0" w:color="FFFFFF"/>
              <w:bottom w:val="single" w:sz="4" w:space="0" w:color="FFFFFF"/>
              <w:right w:val="single" w:sz="4" w:space="0" w:color="FFFFFF"/>
            </w:tcBorders>
            <w:shd w:val="clear" w:color="000000" w:fill="FFFFFF"/>
            <w:noWrap/>
            <w:vAlign w:val="bottom"/>
            <w:hideMark/>
          </w:tcPr>
          <w:p w:rsidR="004266C5" w:rsidRPr="005E1103" w:rsidRDefault="004266C5" w:rsidP="0046263B">
            <w:pPr>
              <w:spacing w:after="0" w:line="360" w:lineRule="auto"/>
              <w:jc w:val="both"/>
              <w:rPr>
                <w:rFonts w:eastAsia="Times New Roman" w:cstheme="minorHAnsi"/>
                <w:color w:val="FFFFFF"/>
                <w:sz w:val="28"/>
                <w:szCs w:val="28"/>
                <w:lang w:eastAsia="es-ES"/>
              </w:rPr>
            </w:pPr>
            <w:r w:rsidRPr="005E1103">
              <w:rPr>
                <w:rFonts w:eastAsia="Times New Roman" w:cstheme="minorHAnsi"/>
                <w:color w:val="FFFFFF"/>
                <w:sz w:val="28"/>
                <w:szCs w:val="28"/>
                <w:lang w:eastAsia="es-ES"/>
              </w:rPr>
              <w:t> </w:t>
            </w:r>
          </w:p>
        </w:tc>
      </w:tr>
      <w:tr w:rsidR="004266C5" w:rsidRPr="005E1103" w:rsidTr="0046263B">
        <w:trPr>
          <w:trHeight w:val="510"/>
        </w:trPr>
        <w:tc>
          <w:tcPr>
            <w:tcW w:w="5540" w:type="dxa"/>
            <w:tcBorders>
              <w:top w:val="nil"/>
              <w:left w:val="single" w:sz="4" w:space="0" w:color="FFFFFF"/>
              <w:bottom w:val="single" w:sz="4" w:space="0" w:color="FFFFFF"/>
              <w:right w:val="single" w:sz="4" w:space="0" w:color="FFFFFF"/>
            </w:tcBorders>
            <w:shd w:val="clear" w:color="000000" w:fill="B6C5DF"/>
            <w:noWrap/>
            <w:vAlign w:val="bottom"/>
            <w:hideMark/>
          </w:tcPr>
          <w:p w:rsidR="004266C5" w:rsidRPr="005E1103" w:rsidRDefault="004266C5" w:rsidP="0046263B">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 xml:space="preserve"> </w:t>
            </w:r>
          </w:p>
        </w:tc>
        <w:tc>
          <w:tcPr>
            <w:tcW w:w="2060" w:type="dxa"/>
            <w:tcBorders>
              <w:top w:val="nil"/>
              <w:left w:val="nil"/>
              <w:bottom w:val="single" w:sz="4" w:space="0" w:color="FFFFFF"/>
              <w:right w:val="single" w:sz="4" w:space="0" w:color="FFFFFF"/>
            </w:tcBorders>
            <w:shd w:val="clear" w:color="000000" w:fill="B6C5DF"/>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Personas con discapacidad</w:t>
            </w:r>
          </w:p>
        </w:tc>
        <w:tc>
          <w:tcPr>
            <w:tcW w:w="2060" w:type="dxa"/>
            <w:tcBorders>
              <w:top w:val="nil"/>
              <w:left w:val="nil"/>
              <w:bottom w:val="single" w:sz="4" w:space="0" w:color="FFFFFF"/>
              <w:right w:val="single" w:sz="4" w:space="0" w:color="FFFFFF"/>
            </w:tcBorders>
            <w:shd w:val="clear" w:color="000000" w:fill="B6C5DF"/>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 Personas con discapacidad</w:t>
            </w:r>
          </w:p>
        </w:tc>
      </w:tr>
      <w:tr w:rsidR="004266C5" w:rsidRPr="005E1103" w:rsidTr="0046263B">
        <w:trPr>
          <w:trHeight w:val="255"/>
        </w:trPr>
        <w:tc>
          <w:tcPr>
            <w:tcW w:w="9660" w:type="dxa"/>
            <w:gridSpan w:val="3"/>
            <w:tcBorders>
              <w:top w:val="single" w:sz="4" w:space="0" w:color="FFFFFF"/>
              <w:left w:val="single" w:sz="4" w:space="0" w:color="FFFFFF"/>
              <w:bottom w:val="single" w:sz="4" w:space="0" w:color="FFFFFF"/>
              <w:right w:val="single" w:sz="4" w:space="0" w:color="FFFFFF"/>
            </w:tcBorders>
            <w:shd w:val="clear" w:color="000000" w:fill="B6C5DF"/>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2014</w:t>
            </w:r>
          </w:p>
        </w:tc>
      </w:tr>
      <w:tr w:rsidR="004266C5" w:rsidRPr="005E1103" w:rsidTr="0046263B">
        <w:trPr>
          <w:trHeight w:val="255"/>
        </w:trPr>
        <w:tc>
          <w:tcPr>
            <w:tcW w:w="9660" w:type="dxa"/>
            <w:gridSpan w:val="3"/>
            <w:tcBorders>
              <w:top w:val="single" w:sz="4" w:space="0" w:color="FFFFFF"/>
              <w:left w:val="single" w:sz="4" w:space="0" w:color="FFFFFF"/>
              <w:bottom w:val="single" w:sz="4" w:space="0" w:color="FFFFFF"/>
              <w:right w:val="single" w:sz="4" w:space="0" w:color="FFFFFF"/>
            </w:tcBorders>
            <w:shd w:val="clear" w:color="000000" w:fill="E5E7F3"/>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 xml:space="preserve">    Física y otras: Total</w:t>
            </w:r>
          </w:p>
        </w:tc>
      </w:tr>
      <w:tr w:rsidR="004266C5" w:rsidRPr="005E1103" w:rsidTr="0046263B">
        <w:trPr>
          <w:trHeight w:val="255"/>
        </w:trPr>
        <w:tc>
          <w:tcPr>
            <w:tcW w:w="5540" w:type="dxa"/>
            <w:tcBorders>
              <w:top w:val="nil"/>
              <w:left w:val="single" w:sz="4" w:space="0" w:color="FFFFFF"/>
              <w:bottom w:val="single" w:sz="4" w:space="0" w:color="FFFFFF"/>
              <w:right w:val="single" w:sz="4" w:space="0" w:color="FFFFFF"/>
            </w:tcBorders>
            <w:shd w:val="clear" w:color="000000" w:fill="E5E7F3"/>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 xml:space="preserve">        Analfabetos</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27,2</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3,7</w:t>
            </w:r>
          </w:p>
        </w:tc>
      </w:tr>
      <w:tr w:rsidR="004266C5" w:rsidRPr="005E1103" w:rsidTr="0046263B">
        <w:trPr>
          <w:trHeight w:val="255"/>
        </w:trPr>
        <w:tc>
          <w:tcPr>
            <w:tcW w:w="5540" w:type="dxa"/>
            <w:tcBorders>
              <w:top w:val="nil"/>
              <w:left w:val="single" w:sz="4" w:space="0" w:color="FFFFFF"/>
              <w:bottom w:val="single" w:sz="4" w:space="0" w:color="FFFFFF"/>
              <w:right w:val="single" w:sz="4" w:space="0" w:color="FFFFFF"/>
            </w:tcBorders>
            <w:shd w:val="clear" w:color="000000" w:fill="E5E7F3"/>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 xml:space="preserve">        Primaria</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171,5</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23,6</w:t>
            </w:r>
          </w:p>
        </w:tc>
      </w:tr>
      <w:tr w:rsidR="004266C5" w:rsidRPr="005E1103" w:rsidTr="0046263B">
        <w:trPr>
          <w:trHeight w:val="510"/>
        </w:trPr>
        <w:tc>
          <w:tcPr>
            <w:tcW w:w="5540" w:type="dxa"/>
            <w:tcBorders>
              <w:top w:val="nil"/>
              <w:left w:val="single" w:sz="4" w:space="0" w:color="FFFFFF"/>
              <w:bottom w:val="single" w:sz="4" w:space="0" w:color="FFFFFF"/>
              <w:right w:val="single" w:sz="4" w:space="0" w:color="FFFFFF"/>
            </w:tcBorders>
            <w:shd w:val="clear" w:color="000000" w:fill="E5E7F3"/>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 xml:space="preserve">        Secundaria y programas formación e inserción laboral</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396,2</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54,6</w:t>
            </w:r>
          </w:p>
        </w:tc>
      </w:tr>
      <w:tr w:rsidR="004266C5" w:rsidRPr="005E1103" w:rsidTr="0046263B">
        <w:trPr>
          <w:trHeight w:val="255"/>
        </w:trPr>
        <w:tc>
          <w:tcPr>
            <w:tcW w:w="5540" w:type="dxa"/>
            <w:tcBorders>
              <w:top w:val="nil"/>
              <w:left w:val="single" w:sz="4" w:space="0" w:color="FFFFFF"/>
              <w:bottom w:val="single" w:sz="4" w:space="0" w:color="FFFFFF"/>
              <w:right w:val="single" w:sz="4" w:space="0" w:color="FFFFFF"/>
            </w:tcBorders>
            <w:shd w:val="clear" w:color="000000" w:fill="E5E7F3"/>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 xml:space="preserve">        Superiores</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131,3</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18,1</w:t>
            </w:r>
          </w:p>
        </w:tc>
      </w:tr>
      <w:tr w:rsidR="004266C5" w:rsidRPr="005E1103" w:rsidTr="0046263B">
        <w:trPr>
          <w:trHeight w:val="255"/>
        </w:trPr>
        <w:tc>
          <w:tcPr>
            <w:tcW w:w="9660" w:type="dxa"/>
            <w:gridSpan w:val="3"/>
            <w:tcBorders>
              <w:top w:val="single" w:sz="4" w:space="0" w:color="FFFFFF"/>
              <w:left w:val="single" w:sz="4" w:space="0" w:color="FFFFFF"/>
              <w:bottom w:val="single" w:sz="4" w:space="0" w:color="FFFFFF"/>
              <w:right w:val="single" w:sz="4" w:space="0" w:color="FFFFFF"/>
            </w:tcBorders>
            <w:shd w:val="clear" w:color="000000" w:fill="E5E7F3"/>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 xml:space="preserve">    Sensorial: Total</w:t>
            </w:r>
          </w:p>
        </w:tc>
      </w:tr>
      <w:tr w:rsidR="004266C5" w:rsidRPr="005E1103" w:rsidTr="0046263B">
        <w:trPr>
          <w:trHeight w:val="255"/>
        </w:trPr>
        <w:tc>
          <w:tcPr>
            <w:tcW w:w="5540" w:type="dxa"/>
            <w:tcBorders>
              <w:top w:val="nil"/>
              <w:left w:val="single" w:sz="4" w:space="0" w:color="FFFFFF"/>
              <w:bottom w:val="single" w:sz="4" w:space="0" w:color="FFFFFF"/>
              <w:right w:val="single" w:sz="4" w:space="0" w:color="FFFFFF"/>
            </w:tcBorders>
            <w:shd w:val="clear" w:color="000000" w:fill="E5E7F3"/>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 xml:space="preserve">        Analfabetos</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5,8</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3,5</w:t>
            </w:r>
          </w:p>
        </w:tc>
      </w:tr>
      <w:tr w:rsidR="004266C5" w:rsidRPr="005E1103" w:rsidTr="0046263B">
        <w:trPr>
          <w:trHeight w:val="255"/>
        </w:trPr>
        <w:tc>
          <w:tcPr>
            <w:tcW w:w="5540" w:type="dxa"/>
            <w:tcBorders>
              <w:top w:val="nil"/>
              <w:left w:val="single" w:sz="4" w:space="0" w:color="FFFFFF"/>
              <w:bottom w:val="single" w:sz="4" w:space="0" w:color="FFFFFF"/>
              <w:right w:val="single" w:sz="4" w:space="0" w:color="FFFFFF"/>
            </w:tcBorders>
            <w:shd w:val="clear" w:color="000000" w:fill="E5E7F3"/>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lastRenderedPageBreak/>
              <w:t xml:space="preserve">        Primaria</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42,2</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25,3</w:t>
            </w:r>
          </w:p>
        </w:tc>
      </w:tr>
      <w:tr w:rsidR="004266C5" w:rsidRPr="005E1103" w:rsidTr="0046263B">
        <w:trPr>
          <w:trHeight w:val="510"/>
        </w:trPr>
        <w:tc>
          <w:tcPr>
            <w:tcW w:w="5540" w:type="dxa"/>
            <w:tcBorders>
              <w:top w:val="nil"/>
              <w:left w:val="single" w:sz="4" w:space="0" w:color="FFFFFF"/>
              <w:bottom w:val="single" w:sz="4" w:space="0" w:color="FFFFFF"/>
              <w:right w:val="single" w:sz="4" w:space="0" w:color="FFFFFF"/>
            </w:tcBorders>
            <w:shd w:val="clear" w:color="000000" w:fill="E5E7F3"/>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 xml:space="preserve">        Secundaria y programas formación e inserción laboral</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88,8</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53,3</w:t>
            </w:r>
          </w:p>
        </w:tc>
      </w:tr>
      <w:tr w:rsidR="004266C5" w:rsidRPr="005E1103" w:rsidTr="0046263B">
        <w:trPr>
          <w:trHeight w:val="255"/>
        </w:trPr>
        <w:tc>
          <w:tcPr>
            <w:tcW w:w="5540" w:type="dxa"/>
            <w:tcBorders>
              <w:top w:val="nil"/>
              <w:left w:val="single" w:sz="4" w:space="0" w:color="FFFFFF"/>
              <w:bottom w:val="single" w:sz="4" w:space="0" w:color="FFFFFF"/>
              <w:right w:val="single" w:sz="4" w:space="0" w:color="FFFFFF"/>
            </w:tcBorders>
            <w:shd w:val="clear" w:color="000000" w:fill="E5E7F3"/>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 xml:space="preserve">        Superiores</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29,7</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17,9</w:t>
            </w:r>
          </w:p>
        </w:tc>
      </w:tr>
      <w:tr w:rsidR="004266C5" w:rsidRPr="005E1103" w:rsidTr="0046263B">
        <w:trPr>
          <w:trHeight w:val="255"/>
        </w:trPr>
        <w:tc>
          <w:tcPr>
            <w:tcW w:w="9660" w:type="dxa"/>
            <w:gridSpan w:val="3"/>
            <w:tcBorders>
              <w:top w:val="single" w:sz="4" w:space="0" w:color="FFFFFF"/>
              <w:left w:val="single" w:sz="4" w:space="0" w:color="FFFFFF"/>
              <w:bottom w:val="single" w:sz="4" w:space="0" w:color="FFFFFF"/>
              <w:right w:val="single" w:sz="4" w:space="0" w:color="FFFFFF"/>
            </w:tcBorders>
            <w:shd w:val="clear" w:color="000000" w:fill="E5E7F3"/>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 xml:space="preserve">    Sensorial: Sistema auditivo</w:t>
            </w:r>
          </w:p>
        </w:tc>
      </w:tr>
      <w:tr w:rsidR="004266C5" w:rsidRPr="005E1103" w:rsidTr="0046263B">
        <w:trPr>
          <w:trHeight w:val="255"/>
        </w:trPr>
        <w:tc>
          <w:tcPr>
            <w:tcW w:w="5540" w:type="dxa"/>
            <w:tcBorders>
              <w:top w:val="nil"/>
              <w:left w:val="single" w:sz="4" w:space="0" w:color="FFFFFF"/>
              <w:bottom w:val="single" w:sz="4" w:space="0" w:color="FFFFFF"/>
              <w:right w:val="single" w:sz="4" w:space="0" w:color="FFFFFF"/>
            </w:tcBorders>
            <w:shd w:val="clear" w:color="000000" w:fill="E5E7F3"/>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 xml:space="preserve">        Analfabetos</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2,4</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3,0</w:t>
            </w:r>
          </w:p>
        </w:tc>
      </w:tr>
      <w:tr w:rsidR="004266C5" w:rsidRPr="005E1103" w:rsidTr="0046263B">
        <w:trPr>
          <w:trHeight w:val="255"/>
        </w:trPr>
        <w:tc>
          <w:tcPr>
            <w:tcW w:w="5540" w:type="dxa"/>
            <w:tcBorders>
              <w:top w:val="nil"/>
              <w:left w:val="single" w:sz="4" w:space="0" w:color="FFFFFF"/>
              <w:bottom w:val="single" w:sz="4" w:space="0" w:color="FFFFFF"/>
              <w:right w:val="single" w:sz="4" w:space="0" w:color="FFFFFF"/>
            </w:tcBorders>
            <w:shd w:val="clear" w:color="000000" w:fill="E5E7F3"/>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 xml:space="preserve">        Primaria</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23,2</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29,9</w:t>
            </w:r>
          </w:p>
        </w:tc>
      </w:tr>
      <w:tr w:rsidR="004266C5" w:rsidRPr="005E1103" w:rsidTr="0046263B">
        <w:trPr>
          <w:trHeight w:val="510"/>
        </w:trPr>
        <w:tc>
          <w:tcPr>
            <w:tcW w:w="5540" w:type="dxa"/>
            <w:tcBorders>
              <w:top w:val="nil"/>
              <w:left w:val="single" w:sz="4" w:space="0" w:color="FFFFFF"/>
              <w:bottom w:val="single" w:sz="4" w:space="0" w:color="FFFFFF"/>
              <w:right w:val="single" w:sz="4" w:space="0" w:color="FFFFFF"/>
            </w:tcBorders>
            <w:shd w:val="clear" w:color="000000" w:fill="E5E7F3"/>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 xml:space="preserve">        Secundaria y programas formación e inserción laboral</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39,4</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50,7</w:t>
            </w:r>
          </w:p>
        </w:tc>
      </w:tr>
      <w:tr w:rsidR="004266C5" w:rsidRPr="005E1103" w:rsidTr="0046263B">
        <w:trPr>
          <w:trHeight w:val="255"/>
        </w:trPr>
        <w:tc>
          <w:tcPr>
            <w:tcW w:w="5540" w:type="dxa"/>
            <w:tcBorders>
              <w:top w:val="nil"/>
              <w:left w:val="single" w:sz="4" w:space="0" w:color="FFFFFF"/>
              <w:bottom w:val="single" w:sz="4" w:space="0" w:color="FFFFFF"/>
              <w:right w:val="single" w:sz="4" w:space="0" w:color="FFFFFF"/>
            </w:tcBorders>
            <w:shd w:val="clear" w:color="000000" w:fill="E5E7F3"/>
            <w:vAlign w:val="bottom"/>
            <w:hideMark/>
          </w:tcPr>
          <w:p w:rsidR="004266C5" w:rsidRPr="005E1103" w:rsidRDefault="004266C5" w:rsidP="0046263B">
            <w:pPr>
              <w:spacing w:after="0" w:line="360" w:lineRule="auto"/>
              <w:jc w:val="both"/>
              <w:rPr>
                <w:rFonts w:eastAsia="Times New Roman" w:cstheme="minorHAnsi"/>
                <w:b/>
                <w:bCs/>
                <w:color w:val="333333"/>
                <w:sz w:val="28"/>
                <w:szCs w:val="28"/>
                <w:lang w:eastAsia="es-ES"/>
              </w:rPr>
            </w:pPr>
            <w:r w:rsidRPr="005E1103">
              <w:rPr>
                <w:rFonts w:eastAsia="Times New Roman" w:cstheme="minorHAnsi"/>
                <w:b/>
                <w:bCs/>
                <w:color w:val="333333"/>
                <w:sz w:val="28"/>
                <w:szCs w:val="28"/>
                <w:lang w:eastAsia="es-ES"/>
              </w:rPr>
              <w:t xml:space="preserve">        Superiores</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12,7</w:t>
            </w:r>
          </w:p>
        </w:tc>
        <w:tc>
          <w:tcPr>
            <w:tcW w:w="2060" w:type="dxa"/>
            <w:tcBorders>
              <w:top w:val="nil"/>
              <w:left w:val="nil"/>
              <w:bottom w:val="single" w:sz="4" w:space="0" w:color="FFFFFF"/>
              <w:right w:val="single" w:sz="4" w:space="0" w:color="FFFFFF"/>
            </w:tcBorders>
            <w:shd w:val="clear" w:color="000000" w:fill="F3F4F7"/>
            <w:noWrap/>
            <w:vAlign w:val="bottom"/>
            <w:hideMark/>
          </w:tcPr>
          <w:p w:rsidR="004266C5" w:rsidRPr="005E1103" w:rsidRDefault="004266C5" w:rsidP="0046263B">
            <w:pPr>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16,4</w:t>
            </w:r>
          </w:p>
        </w:tc>
      </w:tr>
    </w:tbl>
    <w:p w:rsidR="004266C5" w:rsidRPr="005E1103" w:rsidRDefault="004266C5" w:rsidP="004266C5">
      <w:pPr>
        <w:spacing w:line="360" w:lineRule="auto"/>
        <w:jc w:val="both"/>
        <w:rPr>
          <w:rFonts w:cstheme="minorHAnsi"/>
          <w:sz w:val="28"/>
          <w:szCs w:val="28"/>
        </w:rPr>
      </w:pPr>
    </w:p>
    <w:p w:rsidR="004266C5" w:rsidRPr="005E1103" w:rsidRDefault="004266C5" w:rsidP="004266C5">
      <w:pPr>
        <w:spacing w:line="360" w:lineRule="auto"/>
        <w:jc w:val="both"/>
        <w:rPr>
          <w:rFonts w:cstheme="minorHAnsi"/>
          <w:sz w:val="28"/>
          <w:szCs w:val="28"/>
        </w:rPr>
      </w:pPr>
      <w:r w:rsidRPr="005E1103">
        <w:rPr>
          <w:rFonts w:cstheme="minorHAnsi"/>
          <w:sz w:val="28"/>
          <w:szCs w:val="28"/>
        </w:rPr>
        <w:t>Para dar respuesta a aumentar la empleabilidad, se recoge un estudio descriptivo en una persona adulta, mujer y con estudios universitarios que necesita ampliar su nivel de inglés.</w:t>
      </w:r>
    </w:p>
    <w:p w:rsidR="004266C5" w:rsidRPr="005E1103" w:rsidRDefault="004266C5" w:rsidP="004266C5">
      <w:pPr>
        <w:spacing w:line="360" w:lineRule="auto"/>
        <w:jc w:val="both"/>
        <w:rPr>
          <w:rFonts w:cstheme="minorHAnsi"/>
          <w:sz w:val="28"/>
          <w:szCs w:val="28"/>
        </w:rPr>
      </w:pPr>
      <w:r w:rsidRPr="005E1103">
        <w:rPr>
          <w:rFonts w:cstheme="minorHAnsi"/>
          <w:b/>
          <w:sz w:val="28"/>
          <w:szCs w:val="28"/>
        </w:rPr>
        <w:t>Ficha de datos del participante del programa</w:t>
      </w:r>
      <w:r w:rsidRPr="005E1103">
        <w:rPr>
          <w:rFonts w:cstheme="minorHAnsi"/>
          <w:sz w:val="28"/>
          <w:szCs w:val="28"/>
        </w:rPr>
        <w:t>,  recogido a partir de la información aportada por  ella misma:</w:t>
      </w:r>
    </w:p>
    <w:p w:rsidR="004266C5" w:rsidRPr="005E1103" w:rsidRDefault="004266C5" w:rsidP="004266C5">
      <w:pPr>
        <w:pStyle w:val="Prrafodelista"/>
        <w:numPr>
          <w:ilvl w:val="0"/>
          <w:numId w:val="84"/>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 xml:space="preserve">Mujer </w:t>
      </w:r>
    </w:p>
    <w:p w:rsidR="004266C5" w:rsidRPr="005E1103" w:rsidRDefault="004266C5" w:rsidP="004266C5">
      <w:pPr>
        <w:pStyle w:val="Prrafodelista"/>
        <w:numPr>
          <w:ilvl w:val="0"/>
          <w:numId w:val="84"/>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Adulta (41 años)</w:t>
      </w:r>
    </w:p>
    <w:p w:rsidR="004266C5" w:rsidRPr="005E1103" w:rsidRDefault="004266C5" w:rsidP="004266C5">
      <w:pPr>
        <w:pStyle w:val="Prrafodelista"/>
        <w:numPr>
          <w:ilvl w:val="0"/>
          <w:numId w:val="84"/>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Pérdida auditiva moderada-grave</w:t>
      </w:r>
    </w:p>
    <w:p w:rsidR="004266C5" w:rsidRPr="005E1103" w:rsidRDefault="004266C5" w:rsidP="004266C5">
      <w:pPr>
        <w:pStyle w:val="Prrafodelista"/>
        <w:numPr>
          <w:ilvl w:val="0"/>
          <w:numId w:val="84"/>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Nivel de inglés principiante. Al inicio del programa no es capaz de mantener una conversación en lengua inglesa. Su metodología de estudios,  a través de los colegios públicos donde estudió, ha sido memorizar la gramática sin posibilidad de aprender el idioma de forma oral.</w:t>
      </w:r>
    </w:p>
    <w:p w:rsidR="004266C5" w:rsidRPr="005E1103" w:rsidRDefault="004266C5" w:rsidP="004266C5">
      <w:pPr>
        <w:pStyle w:val="Prrafodelista"/>
        <w:numPr>
          <w:ilvl w:val="0"/>
          <w:numId w:val="84"/>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 xml:space="preserve">Actualmente en compañía en la que está empleada, los cursos de idiomas están limitados a los puestos más elevados dentro de la </w:t>
      </w:r>
      <w:r w:rsidRPr="005E1103">
        <w:rPr>
          <w:rFonts w:asciiTheme="minorHAnsi" w:hAnsiTheme="minorHAnsi" w:cstheme="minorHAnsi"/>
          <w:sz w:val="28"/>
          <w:szCs w:val="28"/>
        </w:rPr>
        <w:lastRenderedPageBreak/>
        <w:t>estructura jerárquica, existiendo solamente posibilidad de realizar cursos de inglés online (metodología escrita y de memorización y escucha a través de auriculares) (Bermejo2013:55-60)</w:t>
      </w:r>
    </w:p>
    <w:p w:rsidR="004266C5" w:rsidRPr="005E1103" w:rsidRDefault="004266C5" w:rsidP="004266C5">
      <w:pPr>
        <w:pStyle w:val="Prrafodelista"/>
        <w:numPr>
          <w:ilvl w:val="0"/>
          <w:numId w:val="84"/>
        </w:numPr>
        <w:spacing w:before="0" w:after="200" w:line="360" w:lineRule="auto"/>
        <w:jc w:val="both"/>
        <w:rPr>
          <w:rFonts w:asciiTheme="minorHAnsi" w:hAnsiTheme="minorHAnsi" w:cstheme="minorHAnsi"/>
          <w:sz w:val="28"/>
          <w:szCs w:val="28"/>
        </w:rPr>
      </w:pPr>
    </w:p>
    <w:p w:rsidR="004266C5" w:rsidRPr="005E1103" w:rsidRDefault="004266C5" w:rsidP="004266C5">
      <w:pPr>
        <w:spacing w:line="360" w:lineRule="auto"/>
        <w:ind w:left="360"/>
        <w:jc w:val="both"/>
        <w:rPr>
          <w:rFonts w:cstheme="minorHAnsi"/>
          <w:sz w:val="28"/>
          <w:szCs w:val="28"/>
        </w:rPr>
      </w:pPr>
      <w:r w:rsidRPr="005E1103">
        <w:rPr>
          <w:rFonts w:cstheme="minorHAnsi"/>
          <w:b/>
          <w:sz w:val="28"/>
          <w:szCs w:val="28"/>
        </w:rPr>
        <w:t xml:space="preserve">Dificultades de aprendijaze de idioma derivados de la discapacidad auditiva </w:t>
      </w:r>
      <w:r w:rsidRPr="005E1103">
        <w:rPr>
          <w:rFonts w:cstheme="minorHAnsi"/>
          <w:sz w:val="28"/>
          <w:szCs w:val="28"/>
        </w:rPr>
        <w:t>(Bermejo 2013:28)</w:t>
      </w:r>
    </w:p>
    <w:p w:rsidR="004266C5" w:rsidRPr="005E1103" w:rsidRDefault="004266C5" w:rsidP="004266C5">
      <w:pPr>
        <w:pStyle w:val="Prrafodelista"/>
        <w:numPr>
          <w:ilvl w:val="0"/>
          <w:numId w:val="84"/>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Menor percepción del sonido</w:t>
      </w:r>
    </w:p>
    <w:p w:rsidR="004266C5" w:rsidRPr="005E1103" w:rsidRDefault="004266C5" w:rsidP="004266C5">
      <w:pPr>
        <w:pStyle w:val="Prrafodelista"/>
        <w:numPr>
          <w:ilvl w:val="0"/>
          <w:numId w:val="84"/>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Entorno rodeado de elevada contaminación acústica</w:t>
      </w:r>
    </w:p>
    <w:p w:rsidR="004266C5" w:rsidRPr="005E1103" w:rsidRDefault="004266C5" w:rsidP="004266C5">
      <w:pPr>
        <w:pStyle w:val="Prrafodelista"/>
        <w:numPr>
          <w:ilvl w:val="0"/>
          <w:numId w:val="84"/>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Los implantes cocleares y audífonos amplifican el ruido</w:t>
      </w:r>
    </w:p>
    <w:p w:rsidR="004266C5" w:rsidRPr="005E1103" w:rsidRDefault="004266C5" w:rsidP="004266C5">
      <w:pPr>
        <w:pStyle w:val="Prrafodelista"/>
        <w:numPr>
          <w:ilvl w:val="0"/>
          <w:numId w:val="84"/>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La señal de sonido se pierde según se amplía la distancia entre el emisor del mensaje y el receptor del mismo.</w:t>
      </w:r>
    </w:p>
    <w:p w:rsidR="004266C5" w:rsidRPr="005E1103" w:rsidRDefault="004266C5" w:rsidP="004266C5">
      <w:pPr>
        <w:spacing w:line="360" w:lineRule="auto"/>
        <w:jc w:val="both"/>
        <w:rPr>
          <w:rFonts w:cstheme="minorHAnsi"/>
          <w:sz w:val="28"/>
          <w:szCs w:val="28"/>
        </w:rPr>
      </w:pPr>
      <w:r w:rsidRPr="005E1103">
        <w:rPr>
          <w:rFonts w:cstheme="minorHAnsi"/>
          <w:b/>
          <w:sz w:val="28"/>
          <w:szCs w:val="28"/>
        </w:rPr>
        <w:t>En el caso de aprender un idioma, nos encontramos</w:t>
      </w:r>
      <w:r w:rsidRPr="005E1103">
        <w:rPr>
          <w:rFonts w:cstheme="minorHAnsi"/>
          <w:sz w:val="28"/>
          <w:szCs w:val="28"/>
        </w:rPr>
        <w:t xml:space="preserve"> (Bermejo 2013:64-83)</w:t>
      </w:r>
    </w:p>
    <w:p w:rsidR="004266C5" w:rsidRPr="005E1103" w:rsidRDefault="004266C5" w:rsidP="004266C5">
      <w:pPr>
        <w:pStyle w:val="Prrafodelista"/>
        <w:numPr>
          <w:ilvl w:val="0"/>
          <w:numId w:val="84"/>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Las consonantes fuertes enmascaran las consonantes débiles</w:t>
      </w:r>
    </w:p>
    <w:p w:rsidR="004266C5" w:rsidRPr="005E1103" w:rsidRDefault="004266C5" w:rsidP="004266C5">
      <w:pPr>
        <w:pStyle w:val="Prrafodelista"/>
        <w:numPr>
          <w:ilvl w:val="0"/>
          <w:numId w:val="84"/>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 xml:space="preserve">Las personas con deficiencia auditiva, se apoyan en la lectura labial para la comprensión de idioma  </w:t>
      </w:r>
    </w:p>
    <w:p w:rsidR="004266C5" w:rsidRPr="005E1103" w:rsidRDefault="004266C5" w:rsidP="004266C5">
      <w:pPr>
        <w:pStyle w:val="Prrafodelista"/>
        <w:numPr>
          <w:ilvl w:val="0"/>
          <w:numId w:val="84"/>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El ruido y la reverberación se percibe unidas</w:t>
      </w:r>
    </w:p>
    <w:p w:rsidR="004266C5" w:rsidRPr="005E1103" w:rsidRDefault="004266C5" w:rsidP="004266C5">
      <w:pPr>
        <w:pStyle w:val="Prrafodelista"/>
        <w:numPr>
          <w:ilvl w:val="0"/>
          <w:numId w:val="84"/>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Se realiza una reflexión rápida de los sonidos consonánticos</w:t>
      </w:r>
    </w:p>
    <w:p w:rsidR="004266C5" w:rsidRPr="005E1103" w:rsidRDefault="004266C5" w:rsidP="004266C5">
      <w:pPr>
        <w:spacing w:line="360" w:lineRule="auto"/>
        <w:ind w:left="360"/>
        <w:jc w:val="both"/>
        <w:rPr>
          <w:rFonts w:cstheme="minorHAnsi"/>
          <w:b/>
          <w:sz w:val="28"/>
          <w:szCs w:val="28"/>
        </w:rPr>
      </w:pPr>
      <w:r w:rsidRPr="005E1103">
        <w:rPr>
          <w:rFonts w:cstheme="minorHAnsi"/>
          <w:b/>
          <w:sz w:val="28"/>
          <w:szCs w:val="28"/>
        </w:rPr>
        <w:t>Diferencias entre el castellano y el inglés:</w:t>
      </w:r>
    </w:p>
    <w:p w:rsidR="004266C5" w:rsidRPr="005E1103" w:rsidRDefault="004266C5" w:rsidP="004266C5">
      <w:pPr>
        <w:pStyle w:val="Prrafodelista"/>
        <w:numPr>
          <w:ilvl w:val="0"/>
          <w:numId w:val="84"/>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El castellano es un idioma transparente: tiene 24 letras y 27 sonidos</w:t>
      </w:r>
    </w:p>
    <w:p w:rsidR="004266C5" w:rsidRPr="005E1103" w:rsidRDefault="004266C5" w:rsidP="004266C5">
      <w:pPr>
        <w:pStyle w:val="Prrafodelista"/>
        <w:numPr>
          <w:ilvl w:val="0"/>
          <w:numId w:val="84"/>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El inglés tiene 44 sonidos escritos en más de 159 maneras</w:t>
      </w:r>
    </w:p>
    <w:p w:rsidR="004266C5" w:rsidRPr="005E1103" w:rsidRDefault="004266C5" w:rsidP="004266C5">
      <w:pPr>
        <w:pStyle w:val="Prrafodelista"/>
        <w:spacing w:line="360" w:lineRule="auto"/>
        <w:jc w:val="both"/>
        <w:rPr>
          <w:rFonts w:asciiTheme="minorHAnsi" w:hAnsiTheme="minorHAnsi" w:cstheme="minorHAnsi"/>
          <w:sz w:val="28"/>
          <w:szCs w:val="28"/>
        </w:rPr>
      </w:pPr>
    </w:p>
    <w:p w:rsidR="004266C5" w:rsidRPr="005E1103" w:rsidRDefault="004266C5" w:rsidP="004266C5">
      <w:pPr>
        <w:spacing w:line="360" w:lineRule="auto"/>
        <w:jc w:val="both"/>
        <w:rPr>
          <w:rFonts w:cstheme="minorHAnsi"/>
          <w:b/>
          <w:sz w:val="28"/>
          <w:szCs w:val="28"/>
        </w:rPr>
      </w:pPr>
    </w:p>
    <w:p w:rsidR="004266C5" w:rsidRPr="005E1103" w:rsidRDefault="004266C5" w:rsidP="004266C5">
      <w:pPr>
        <w:spacing w:line="360" w:lineRule="auto"/>
        <w:jc w:val="both"/>
        <w:rPr>
          <w:rFonts w:cstheme="minorHAnsi"/>
          <w:b/>
          <w:sz w:val="28"/>
          <w:szCs w:val="28"/>
        </w:rPr>
      </w:pPr>
    </w:p>
    <w:p w:rsidR="004266C5" w:rsidRPr="005E1103" w:rsidRDefault="004266C5" w:rsidP="004266C5">
      <w:pPr>
        <w:spacing w:line="360" w:lineRule="auto"/>
        <w:jc w:val="both"/>
        <w:rPr>
          <w:rFonts w:cstheme="minorHAnsi"/>
          <w:b/>
          <w:sz w:val="28"/>
          <w:szCs w:val="28"/>
        </w:rPr>
      </w:pPr>
      <w:r w:rsidRPr="005E1103">
        <w:rPr>
          <w:rFonts w:cstheme="minorHAnsi"/>
          <w:b/>
          <w:sz w:val="28"/>
          <w:szCs w:val="28"/>
        </w:rPr>
        <w:lastRenderedPageBreak/>
        <w:t>Caracteríticas del proyecto de aprendizaje de inglés en una persona adulta</w:t>
      </w:r>
    </w:p>
    <w:p w:rsidR="004266C5" w:rsidRPr="005E1103" w:rsidRDefault="004266C5" w:rsidP="004266C5">
      <w:pPr>
        <w:pStyle w:val="Prrafodelista"/>
        <w:spacing w:line="360" w:lineRule="auto"/>
        <w:jc w:val="both"/>
        <w:rPr>
          <w:rFonts w:asciiTheme="minorHAnsi" w:hAnsiTheme="minorHAnsi" w:cstheme="minorHAnsi"/>
          <w:sz w:val="28"/>
          <w:szCs w:val="28"/>
        </w:rPr>
      </w:pPr>
      <w:r w:rsidRPr="005E1103">
        <w:rPr>
          <w:rFonts w:asciiTheme="minorHAnsi" w:hAnsiTheme="minorHAnsi" w:cstheme="minorHAnsi"/>
          <w:sz w:val="28"/>
          <w:szCs w:val="28"/>
        </w:rPr>
        <w:t>El estudio está basado en la participación de la persona con discapacidad auditiva en un programa de aprendizaje en inglés a través de voluntarios americanos de lengua inglesa.</w:t>
      </w:r>
    </w:p>
    <w:p w:rsidR="004266C5" w:rsidRPr="005E1103" w:rsidRDefault="004266C5" w:rsidP="004266C5">
      <w:pPr>
        <w:pStyle w:val="Prrafodelista"/>
        <w:spacing w:line="360" w:lineRule="auto"/>
        <w:jc w:val="both"/>
        <w:rPr>
          <w:rFonts w:asciiTheme="minorHAnsi" w:hAnsiTheme="minorHAnsi" w:cstheme="minorHAnsi"/>
          <w:sz w:val="28"/>
          <w:szCs w:val="28"/>
        </w:rPr>
      </w:pPr>
    </w:p>
    <w:p w:rsidR="004266C5" w:rsidRPr="005E1103" w:rsidRDefault="004266C5" w:rsidP="004266C5">
      <w:pPr>
        <w:pStyle w:val="Prrafodelista"/>
        <w:spacing w:line="360" w:lineRule="auto"/>
        <w:jc w:val="both"/>
        <w:rPr>
          <w:rFonts w:asciiTheme="minorHAnsi" w:hAnsiTheme="minorHAnsi" w:cstheme="minorHAnsi"/>
          <w:sz w:val="28"/>
          <w:szCs w:val="28"/>
        </w:rPr>
      </w:pPr>
      <w:r w:rsidRPr="005E1103">
        <w:rPr>
          <w:rFonts w:asciiTheme="minorHAnsi" w:hAnsiTheme="minorHAnsi" w:cstheme="minorHAnsi"/>
          <w:sz w:val="28"/>
          <w:szCs w:val="28"/>
        </w:rPr>
        <w:t>El programa cuenta con voluntarios que son alumnos de las siguientes universidades: New York University, Saint Louis University, Johns Hopkins, Boston Univeersity, Boston Collee, Syracuse University, Hamilton College, Fundación Ortega y Gasset Madrid/Toledo, CIEE, Middebury College, CEA, Universidad complutense, USAC Madrid University Studies Abroad Consortium, Duke University, CIS, UCEAP Education Abroad Program, Accent, Vassar-Wesleyan Madrid, American Scholl of Madrid, Year Abroad Zaragoza, Universidad de Vigo, Florida States University of Georgia entre otras.</w:t>
      </w:r>
    </w:p>
    <w:p w:rsidR="004266C5" w:rsidRPr="005E1103" w:rsidRDefault="004266C5" w:rsidP="004266C5">
      <w:pPr>
        <w:pStyle w:val="Prrafodelista"/>
        <w:spacing w:line="360" w:lineRule="auto"/>
        <w:jc w:val="both"/>
        <w:rPr>
          <w:rFonts w:asciiTheme="minorHAnsi" w:hAnsiTheme="minorHAnsi" w:cstheme="minorHAnsi"/>
          <w:sz w:val="28"/>
          <w:szCs w:val="28"/>
        </w:rPr>
      </w:pPr>
    </w:p>
    <w:p w:rsidR="004266C5" w:rsidRPr="005E1103" w:rsidRDefault="004266C5" w:rsidP="004266C5">
      <w:pPr>
        <w:pStyle w:val="Prrafodelista"/>
        <w:spacing w:line="360" w:lineRule="auto"/>
        <w:jc w:val="both"/>
        <w:rPr>
          <w:rFonts w:asciiTheme="minorHAnsi" w:hAnsiTheme="minorHAnsi" w:cstheme="minorHAnsi"/>
          <w:sz w:val="28"/>
          <w:szCs w:val="28"/>
        </w:rPr>
      </w:pPr>
      <w:r w:rsidRPr="005E1103">
        <w:rPr>
          <w:rFonts w:asciiTheme="minorHAnsi" w:hAnsiTheme="minorHAnsi" w:cstheme="minorHAnsi"/>
          <w:sz w:val="28"/>
          <w:szCs w:val="28"/>
        </w:rPr>
        <w:t>Los voluntarios estudian disciplinas diversas como pueden ser Finanzas y administración, Ciencias Actuariales (matemáticas), psicología.. .en concreto, la persona voluntaria que ha participado en este programa procede  Saint Louis University y estudia Comercio y relaciones internacionales</w:t>
      </w:r>
    </w:p>
    <w:p w:rsidR="004266C5" w:rsidRPr="005E1103" w:rsidRDefault="004266C5" w:rsidP="004266C5">
      <w:pPr>
        <w:pStyle w:val="Prrafodelista"/>
        <w:spacing w:line="360" w:lineRule="auto"/>
        <w:jc w:val="both"/>
        <w:rPr>
          <w:rFonts w:asciiTheme="minorHAnsi" w:hAnsiTheme="minorHAnsi" w:cstheme="minorHAnsi"/>
          <w:sz w:val="28"/>
          <w:szCs w:val="28"/>
        </w:rPr>
      </w:pPr>
    </w:p>
    <w:p w:rsidR="004266C5" w:rsidRPr="005E1103" w:rsidRDefault="004266C5" w:rsidP="004266C5">
      <w:pPr>
        <w:pStyle w:val="Prrafodelista"/>
        <w:spacing w:line="360" w:lineRule="auto"/>
        <w:jc w:val="both"/>
        <w:rPr>
          <w:rFonts w:asciiTheme="minorHAnsi" w:hAnsiTheme="minorHAnsi" w:cstheme="minorHAnsi"/>
          <w:b/>
          <w:sz w:val="28"/>
          <w:szCs w:val="28"/>
        </w:rPr>
      </w:pPr>
      <w:r w:rsidRPr="005E1103">
        <w:rPr>
          <w:rFonts w:asciiTheme="minorHAnsi" w:hAnsiTheme="minorHAnsi" w:cstheme="minorHAnsi"/>
          <w:b/>
          <w:sz w:val="28"/>
          <w:szCs w:val="28"/>
        </w:rPr>
        <w:t>Perpectiva y experiencia de la persona universitaria de habla inglesa que participa como voluntaria en el proyecto:</w:t>
      </w:r>
    </w:p>
    <w:p w:rsidR="004266C5" w:rsidRPr="005E1103" w:rsidRDefault="004266C5" w:rsidP="004266C5">
      <w:pPr>
        <w:pStyle w:val="Prrafodelista"/>
        <w:spacing w:line="360" w:lineRule="auto"/>
        <w:jc w:val="both"/>
        <w:rPr>
          <w:rFonts w:asciiTheme="minorHAnsi" w:hAnsiTheme="minorHAnsi" w:cstheme="minorHAnsi"/>
          <w:b/>
          <w:sz w:val="28"/>
          <w:szCs w:val="28"/>
        </w:rPr>
      </w:pPr>
    </w:p>
    <w:p w:rsidR="004266C5" w:rsidRPr="005E1103" w:rsidRDefault="004266C5" w:rsidP="004266C5">
      <w:pPr>
        <w:pStyle w:val="Prrafodelista"/>
        <w:numPr>
          <w:ilvl w:val="0"/>
          <w:numId w:val="84"/>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Años de experiencia como voluntaria  (4 años)</w:t>
      </w:r>
    </w:p>
    <w:p w:rsidR="004266C5" w:rsidRPr="005E1103" w:rsidRDefault="004266C5" w:rsidP="004266C5">
      <w:pPr>
        <w:pStyle w:val="Prrafodelista"/>
        <w:numPr>
          <w:ilvl w:val="0"/>
          <w:numId w:val="84"/>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lastRenderedPageBreak/>
        <w:t>Considera que para integrarte en una sociedad necesitas ayudarla y hacer cosas sociales. No solo va a ayudar y enseñar sino que va a prender</w:t>
      </w:r>
    </w:p>
    <w:p w:rsidR="004266C5" w:rsidRPr="005E1103" w:rsidRDefault="004266C5" w:rsidP="004266C5">
      <w:pPr>
        <w:pStyle w:val="Prrafodelista"/>
        <w:numPr>
          <w:ilvl w:val="0"/>
          <w:numId w:val="84"/>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Realiza ejercicios de literatura, encuestas, opiniones, adquiriendo un compromiso e iniciativa para llevar a cabo su objetivo de enseñanza en inglés con actividades lúdicas, ayudándola a desarrollarse como persona.</w:t>
      </w:r>
    </w:p>
    <w:p w:rsidR="004266C5" w:rsidRPr="005E1103" w:rsidRDefault="004266C5" w:rsidP="004266C5">
      <w:pPr>
        <w:pStyle w:val="Prrafodelista"/>
        <w:numPr>
          <w:ilvl w:val="0"/>
          <w:numId w:val="84"/>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Es consciente de que tiene que hablar más despacio y evitar ruido de fondo, por lo que las sesiones se realizaron en lugares tranquilos</w:t>
      </w:r>
    </w:p>
    <w:p w:rsidR="004266C5" w:rsidRPr="005E1103" w:rsidRDefault="004266C5" w:rsidP="004266C5">
      <w:pPr>
        <w:pStyle w:val="Prrafodelista"/>
        <w:numPr>
          <w:ilvl w:val="0"/>
          <w:numId w:val="84"/>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Muy interesada en comprender cómo funciona una prótesis auditiva, adquiriendo sensibilidad hacia las personas con discapacidad auditiva y reconociendo el impacto de su ayuda en la vida de la persona que enseña.</w:t>
      </w:r>
    </w:p>
    <w:p w:rsidR="004266C5" w:rsidRPr="005E1103" w:rsidRDefault="004266C5" w:rsidP="004266C5">
      <w:pPr>
        <w:pStyle w:val="Prrafodelista"/>
        <w:numPr>
          <w:ilvl w:val="0"/>
          <w:numId w:val="84"/>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Le gusta aprender sobre las personas y cultura española</w:t>
      </w:r>
    </w:p>
    <w:p w:rsidR="004266C5" w:rsidRPr="005E1103" w:rsidRDefault="004266C5" w:rsidP="004266C5">
      <w:pPr>
        <w:pStyle w:val="Prrafodelista"/>
        <w:numPr>
          <w:ilvl w:val="0"/>
          <w:numId w:val="84"/>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 xml:space="preserve">Considera importante que las personas con determinadas carencias reciban ayuda individual. </w:t>
      </w:r>
    </w:p>
    <w:p w:rsidR="004266C5" w:rsidRPr="005E1103" w:rsidRDefault="004266C5" w:rsidP="004266C5">
      <w:pPr>
        <w:pStyle w:val="Prrafodelista"/>
        <w:numPr>
          <w:ilvl w:val="0"/>
          <w:numId w:val="84"/>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 xml:space="preserve">Lo considera una gran oportunidad para ayudar a otra persona que lo necesite y crear un vínculo con España. </w:t>
      </w:r>
    </w:p>
    <w:p w:rsidR="004266C5" w:rsidRPr="005E1103" w:rsidRDefault="004266C5" w:rsidP="004266C5">
      <w:pPr>
        <w:spacing w:line="360" w:lineRule="auto"/>
        <w:jc w:val="both"/>
        <w:rPr>
          <w:rFonts w:cstheme="minorHAnsi"/>
          <w:b/>
          <w:sz w:val="28"/>
          <w:szCs w:val="28"/>
        </w:rPr>
      </w:pPr>
      <w:r w:rsidRPr="005E1103">
        <w:rPr>
          <w:rFonts w:cstheme="minorHAnsi"/>
          <w:b/>
          <w:sz w:val="28"/>
          <w:szCs w:val="28"/>
        </w:rPr>
        <w:t>Metodología utilizada para el aprendizaje</w:t>
      </w:r>
    </w:p>
    <w:p w:rsidR="004266C5" w:rsidRPr="005E1103" w:rsidRDefault="004266C5" w:rsidP="004266C5">
      <w:pPr>
        <w:pStyle w:val="Prrafodelista"/>
        <w:numPr>
          <w:ilvl w:val="0"/>
          <w:numId w:val="84"/>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100% conversación, apoyado con actividades lúdicas y material mínimo: cuaderno, lápiz y pequeña lectura.</w:t>
      </w:r>
    </w:p>
    <w:p w:rsidR="004266C5" w:rsidRPr="005E1103" w:rsidRDefault="004266C5" w:rsidP="004266C5">
      <w:pPr>
        <w:pStyle w:val="Prrafodelista"/>
        <w:numPr>
          <w:ilvl w:val="0"/>
          <w:numId w:val="84"/>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Ejercicios dinámicos y divertidos: por ejemplo realización de entrevistas, encuestas, contar cuentos..</w:t>
      </w:r>
    </w:p>
    <w:p w:rsidR="004266C5" w:rsidRPr="005E1103" w:rsidRDefault="004266C5" w:rsidP="004266C5">
      <w:pPr>
        <w:pStyle w:val="Prrafodelista"/>
        <w:numPr>
          <w:ilvl w:val="0"/>
          <w:numId w:val="84"/>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Adaptado al nivel de inglés de la participante</w:t>
      </w:r>
    </w:p>
    <w:p w:rsidR="004266C5" w:rsidRPr="005E1103" w:rsidRDefault="004266C5" w:rsidP="004266C5">
      <w:pPr>
        <w:pStyle w:val="Prrafodelista"/>
        <w:numPr>
          <w:ilvl w:val="0"/>
          <w:numId w:val="84"/>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Lugar tranquilo y silencioso evitando contaminación acústica.</w:t>
      </w:r>
    </w:p>
    <w:p w:rsidR="004266C5" w:rsidRPr="005E1103" w:rsidRDefault="004266C5" w:rsidP="004266C5">
      <w:pPr>
        <w:pStyle w:val="Prrafodelista"/>
        <w:numPr>
          <w:ilvl w:val="0"/>
          <w:numId w:val="84"/>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Utilización de variedad de temas y vocabulario</w:t>
      </w:r>
    </w:p>
    <w:p w:rsidR="004266C5" w:rsidRPr="005E1103" w:rsidRDefault="004266C5" w:rsidP="004266C5">
      <w:pPr>
        <w:pStyle w:val="Prrafodelista"/>
        <w:numPr>
          <w:ilvl w:val="0"/>
          <w:numId w:val="84"/>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lastRenderedPageBreak/>
        <w:t>Horario y lugar adaptado a las necesidades de la participante</w:t>
      </w:r>
    </w:p>
    <w:p w:rsidR="004266C5" w:rsidRPr="005E1103" w:rsidRDefault="004266C5" w:rsidP="004266C5">
      <w:pPr>
        <w:pStyle w:val="Prrafodelista"/>
        <w:numPr>
          <w:ilvl w:val="0"/>
          <w:numId w:val="84"/>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Conversación con naturalidad y de frente, apoyado por el lenguaje labial y gestual</w:t>
      </w:r>
    </w:p>
    <w:p w:rsidR="004266C5" w:rsidRPr="005E1103" w:rsidRDefault="004266C5" w:rsidP="004266C5">
      <w:pPr>
        <w:pStyle w:val="Prrafodelista"/>
        <w:numPr>
          <w:ilvl w:val="0"/>
          <w:numId w:val="84"/>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Duración del proyecto: 6 meses</w:t>
      </w:r>
    </w:p>
    <w:p w:rsidR="004266C5" w:rsidRPr="005E1103" w:rsidRDefault="004266C5" w:rsidP="004266C5">
      <w:pPr>
        <w:pStyle w:val="Prrafodelista"/>
        <w:spacing w:line="360" w:lineRule="auto"/>
        <w:jc w:val="both"/>
        <w:rPr>
          <w:rFonts w:asciiTheme="minorHAnsi" w:hAnsiTheme="minorHAnsi" w:cstheme="minorHAnsi"/>
          <w:sz w:val="28"/>
          <w:szCs w:val="28"/>
        </w:rPr>
      </w:pPr>
    </w:p>
    <w:p w:rsidR="004266C5" w:rsidRPr="005E1103" w:rsidRDefault="004266C5" w:rsidP="004266C5">
      <w:pPr>
        <w:spacing w:line="360" w:lineRule="auto"/>
        <w:jc w:val="both"/>
        <w:rPr>
          <w:rFonts w:cstheme="minorHAnsi"/>
          <w:b/>
          <w:sz w:val="28"/>
          <w:szCs w:val="28"/>
        </w:rPr>
      </w:pPr>
      <w:r w:rsidRPr="005E1103">
        <w:rPr>
          <w:rFonts w:cstheme="minorHAnsi"/>
          <w:b/>
          <w:sz w:val="28"/>
          <w:szCs w:val="28"/>
        </w:rPr>
        <w:t>Resultados percibidos por parte de la participante</w:t>
      </w:r>
    </w:p>
    <w:p w:rsidR="004266C5" w:rsidRPr="005E1103" w:rsidRDefault="004266C5" w:rsidP="004266C5">
      <w:pPr>
        <w:pStyle w:val="Prrafodelista"/>
        <w:numPr>
          <w:ilvl w:val="0"/>
          <w:numId w:val="84"/>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Aumento de capacidad  de comunicación en lengua inglesa y de mantener una conversación en inglés con una persona nativa</w:t>
      </w:r>
    </w:p>
    <w:p w:rsidR="004266C5" w:rsidRPr="005E1103" w:rsidRDefault="004266C5" w:rsidP="004266C5">
      <w:pPr>
        <w:pStyle w:val="Prrafodelista"/>
        <w:numPr>
          <w:ilvl w:val="0"/>
          <w:numId w:val="84"/>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Enlace emocional con persona nativa y de otra cultura</w:t>
      </w:r>
    </w:p>
    <w:p w:rsidR="004266C5" w:rsidRPr="005E1103" w:rsidRDefault="004266C5" w:rsidP="004266C5">
      <w:pPr>
        <w:pStyle w:val="Prrafodelista"/>
        <w:numPr>
          <w:ilvl w:val="0"/>
          <w:numId w:val="84"/>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Aumento de la autoestima, en línea con la observación de incremento de sus capacidades</w:t>
      </w:r>
    </w:p>
    <w:p w:rsidR="004266C5" w:rsidRPr="005E1103" w:rsidRDefault="004266C5" w:rsidP="004266C5">
      <w:pPr>
        <w:pStyle w:val="Prrafodelista"/>
        <w:numPr>
          <w:ilvl w:val="0"/>
          <w:numId w:val="84"/>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Aumento de la motivación por comunicarte en inglés y seguir aprendiendo y mejorando.</w:t>
      </w:r>
    </w:p>
    <w:p w:rsidR="004266C5" w:rsidRPr="005E1103" w:rsidRDefault="004266C5" w:rsidP="004266C5">
      <w:pPr>
        <w:pStyle w:val="Prrafodelista"/>
        <w:numPr>
          <w:ilvl w:val="0"/>
          <w:numId w:val="84"/>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Intercambio cultural y necesidad de comunicarte con otras personas de diferentes países</w:t>
      </w:r>
    </w:p>
    <w:p w:rsidR="004266C5" w:rsidRPr="005E1103" w:rsidRDefault="004266C5" w:rsidP="004266C5">
      <w:pPr>
        <w:pStyle w:val="Prrafodelista"/>
        <w:numPr>
          <w:ilvl w:val="0"/>
          <w:numId w:val="84"/>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Incremento de creatividad para facilitar el incremento de la comunicación</w:t>
      </w:r>
    </w:p>
    <w:p w:rsidR="004266C5" w:rsidRPr="005E1103" w:rsidRDefault="004266C5" w:rsidP="004266C5">
      <w:pPr>
        <w:spacing w:line="360" w:lineRule="auto"/>
        <w:jc w:val="both"/>
        <w:rPr>
          <w:rFonts w:cstheme="minorHAnsi"/>
          <w:b/>
          <w:sz w:val="28"/>
          <w:szCs w:val="28"/>
        </w:rPr>
      </w:pPr>
      <w:r w:rsidRPr="005E1103">
        <w:rPr>
          <w:rFonts w:cstheme="minorHAnsi"/>
          <w:b/>
          <w:sz w:val="28"/>
          <w:szCs w:val="28"/>
        </w:rPr>
        <w:t>Citas bibliográficas</w:t>
      </w:r>
    </w:p>
    <w:p w:rsidR="004266C5" w:rsidRPr="005E1103" w:rsidRDefault="004266C5" w:rsidP="004266C5">
      <w:pPr>
        <w:pStyle w:val="Prrafodelista"/>
        <w:numPr>
          <w:ilvl w:val="0"/>
          <w:numId w:val="85"/>
        </w:numPr>
        <w:shd w:val="clear" w:color="auto" w:fill="FFFFFF"/>
        <w:spacing w:before="100" w:beforeAutospacing="1" w:after="100" w:afterAutospacing="1" w:line="360" w:lineRule="auto"/>
        <w:jc w:val="both"/>
        <w:rPr>
          <w:rFonts w:asciiTheme="minorHAnsi" w:hAnsiTheme="minorHAnsi" w:cstheme="minorHAnsi"/>
          <w:b/>
          <w:sz w:val="28"/>
          <w:szCs w:val="28"/>
        </w:rPr>
      </w:pPr>
      <w:r w:rsidRPr="005E1103">
        <w:rPr>
          <w:rFonts w:asciiTheme="minorHAnsi" w:hAnsiTheme="minorHAnsi" w:cstheme="minorHAnsi"/>
          <w:sz w:val="28"/>
          <w:szCs w:val="28"/>
        </w:rPr>
        <w:t xml:space="preserve">Bermejo Hernando, Almudena et Piñuel y Zabala, Iñaki (2013), </w:t>
      </w:r>
      <w:r w:rsidRPr="005E1103">
        <w:rPr>
          <w:rFonts w:asciiTheme="minorHAnsi" w:hAnsiTheme="minorHAnsi" w:cstheme="minorHAnsi"/>
          <w:i/>
          <w:sz w:val="28"/>
          <w:szCs w:val="28"/>
        </w:rPr>
        <w:t xml:space="preserve">Guia de adaptación en oficinas para personas con discapacidad auditiva. </w:t>
      </w:r>
      <w:r w:rsidRPr="005E1103">
        <w:rPr>
          <w:rFonts w:asciiTheme="minorHAnsi" w:hAnsiTheme="minorHAnsi" w:cstheme="minorHAnsi"/>
          <w:sz w:val="28"/>
          <w:szCs w:val="28"/>
        </w:rPr>
        <w:t>Madrid. Autoedición.</w:t>
      </w:r>
    </w:p>
    <w:p w:rsidR="004266C5" w:rsidRPr="005E1103" w:rsidRDefault="004266C5" w:rsidP="004266C5">
      <w:pPr>
        <w:pStyle w:val="Prrafodelista"/>
        <w:shd w:val="clear" w:color="auto" w:fill="FFFFFF"/>
        <w:spacing w:before="100" w:beforeAutospacing="1" w:after="100" w:afterAutospacing="1" w:line="360" w:lineRule="auto"/>
        <w:jc w:val="both"/>
        <w:rPr>
          <w:rFonts w:asciiTheme="minorHAnsi" w:hAnsiTheme="minorHAnsi" w:cstheme="minorHAnsi"/>
          <w:b/>
          <w:sz w:val="28"/>
          <w:szCs w:val="28"/>
        </w:rPr>
      </w:pPr>
    </w:p>
    <w:p w:rsidR="004266C5" w:rsidRPr="005E1103" w:rsidRDefault="004266C5" w:rsidP="004266C5">
      <w:pPr>
        <w:pStyle w:val="Prrafodelista"/>
        <w:numPr>
          <w:ilvl w:val="0"/>
          <w:numId w:val="85"/>
        </w:numPr>
        <w:shd w:val="clear" w:color="auto" w:fill="FFFFFF"/>
        <w:spacing w:before="100" w:beforeAutospacing="1" w:after="100" w:afterAutospacing="1" w:line="360" w:lineRule="auto"/>
        <w:jc w:val="both"/>
        <w:rPr>
          <w:rFonts w:asciiTheme="minorHAnsi" w:hAnsiTheme="minorHAnsi" w:cstheme="minorHAnsi"/>
          <w:b/>
          <w:sz w:val="28"/>
          <w:szCs w:val="28"/>
        </w:rPr>
      </w:pPr>
      <w:r w:rsidRPr="005E1103">
        <w:rPr>
          <w:rFonts w:asciiTheme="minorHAnsi" w:hAnsiTheme="minorHAnsi" w:cstheme="minorHAnsi"/>
          <w:sz w:val="28"/>
          <w:szCs w:val="28"/>
        </w:rPr>
        <w:t xml:space="preserve">Bermejo Hernando, Almudena et Alfageme Roldán, Fernando (2014), </w:t>
      </w:r>
      <w:r w:rsidRPr="005E1103">
        <w:rPr>
          <w:rFonts w:asciiTheme="minorHAnsi" w:hAnsiTheme="minorHAnsi" w:cstheme="minorHAnsi"/>
          <w:i/>
          <w:sz w:val="28"/>
          <w:szCs w:val="28"/>
        </w:rPr>
        <w:t>Discapacidad creativa.</w:t>
      </w:r>
      <w:r w:rsidRPr="005E1103">
        <w:rPr>
          <w:rFonts w:asciiTheme="minorHAnsi" w:hAnsiTheme="minorHAnsi" w:cstheme="minorHAnsi"/>
          <w:sz w:val="28"/>
          <w:szCs w:val="28"/>
        </w:rPr>
        <w:t xml:space="preserve"> Madrid. Autoedición.</w:t>
      </w:r>
    </w:p>
    <w:p w:rsidR="004266C5" w:rsidRPr="005E1103" w:rsidRDefault="004266C5" w:rsidP="004266C5">
      <w:pPr>
        <w:pStyle w:val="Prrafodelista"/>
        <w:shd w:val="clear" w:color="auto" w:fill="FFFFFF"/>
        <w:spacing w:before="100" w:beforeAutospacing="1" w:after="100" w:afterAutospacing="1" w:line="360" w:lineRule="auto"/>
        <w:jc w:val="both"/>
        <w:rPr>
          <w:rFonts w:asciiTheme="minorHAnsi" w:hAnsiTheme="minorHAnsi" w:cstheme="minorHAnsi"/>
          <w:b/>
          <w:sz w:val="28"/>
          <w:szCs w:val="28"/>
        </w:rPr>
      </w:pPr>
    </w:p>
    <w:p w:rsidR="004266C5" w:rsidRPr="005E1103" w:rsidRDefault="004266C5" w:rsidP="004266C5">
      <w:pPr>
        <w:pStyle w:val="Prrafodelista"/>
        <w:numPr>
          <w:ilvl w:val="0"/>
          <w:numId w:val="85"/>
        </w:numPr>
        <w:shd w:val="clear" w:color="auto" w:fill="FFFFFF"/>
        <w:spacing w:before="100" w:beforeAutospacing="1" w:after="100" w:afterAutospacing="1" w:line="360" w:lineRule="auto"/>
        <w:jc w:val="both"/>
        <w:rPr>
          <w:rFonts w:asciiTheme="minorHAnsi" w:hAnsiTheme="minorHAnsi" w:cstheme="minorHAnsi"/>
          <w:b/>
          <w:sz w:val="28"/>
          <w:szCs w:val="28"/>
        </w:rPr>
      </w:pPr>
      <w:r w:rsidRPr="005E1103">
        <w:rPr>
          <w:rFonts w:asciiTheme="minorHAnsi" w:hAnsiTheme="minorHAnsi" w:cstheme="minorHAnsi"/>
          <w:sz w:val="28"/>
          <w:szCs w:val="28"/>
        </w:rPr>
        <w:lastRenderedPageBreak/>
        <w:t xml:space="preserve">CERMI (Comité Español de Representantes de Personas con Discapacidad); </w:t>
      </w:r>
      <w:r w:rsidRPr="005E1103">
        <w:rPr>
          <w:rFonts w:asciiTheme="minorHAnsi" w:hAnsiTheme="minorHAnsi" w:cstheme="minorHAnsi"/>
          <w:i/>
          <w:sz w:val="28"/>
          <w:szCs w:val="28"/>
        </w:rPr>
        <w:t>Contribución del CERMI al estudio analítico sobre la violencia contra las mujeres y niñas y la discapacidad</w:t>
      </w:r>
      <w:r w:rsidRPr="005E1103">
        <w:rPr>
          <w:rFonts w:asciiTheme="minorHAnsi" w:hAnsiTheme="minorHAnsi" w:cstheme="minorHAnsi"/>
          <w:sz w:val="28"/>
          <w:szCs w:val="28"/>
        </w:rPr>
        <w:t xml:space="preserve"> (A/HRC/RES/17/10), CERMI, Madrid 2010.</w:t>
      </w:r>
    </w:p>
    <w:p w:rsidR="004266C5" w:rsidRPr="005E1103" w:rsidRDefault="004266C5" w:rsidP="004266C5">
      <w:pPr>
        <w:pStyle w:val="Prrafodelista"/>
        <w:spacing w:line="360" w:lineRule="auto"/>
        <w:jc w:val="both"/>
        <w:rPr>
          <w:rFonts w:asciiTheme="minorHAnsi" w:hAnsiTheme="minorHAnsi" w:cstheme="minorHAnsi"/>
          <w:b/>
          <w:sz w:val="28"/>
          <w:szCs w:val="28"/>
        </w:rPr>
      </w:pPr>
    </w:p>
    <w:p w:rsidR="004266C5" w:rsidRPr="005E1103" w:rsidRDefault="004266C5" w:rsidP="004266C5">
      <w:pPr>
        <w:pStyle w:val="Prrafodelista"/>
        <w:numPr>
          <w:ilvl w:val="0"/>
          <w:numId w:val="85"/>
        </w:numPr>
        <w:shd w:val="clear" w:color="auto" w:fill="FFFFFF"/>
        <w:spacing w:before="100" w:beforeAutospacing="1" w:after="100" w:afterAutospacing="1" w:line="360" w:lineRule="auto"/>
        <w:jc w:val="both"/>
        <w:rPr>
          <w:rFonts w:asciiTheme="minorHAnsi" w:hAnsiTheme="minorHAnsi" w:cstheme="minorHAnsi"/>
          <w:b/>
          <w:sz w:val="28"/>
          <w:szCs w:val="28"/>
        </w:rPr>
      </w:pPr>
      <w:r w:rsidRPr="005E1103">
        <w:rPr>
          <w:rFonts w:asciiTheme="minorHAnsi" w:hAnsiTheme="minorHAnsi" w:cstheme="minorHAnsi"/>
          <w:sz w:val="28"/>
          <w:szCs w:val="28"/>
        </w:rPr>
        <w:t xml:space="preserve">CERMI (Comité Español de Representantes de Personas con Discapacidad), Manual, </w:t>
      </w:r>
      <w:r w:rsidRPr="005E1103">
        <w:rPr>
          <w:rFonts w:asciiTheme="minorHAnsi" w:hAnsiTheme="minorHAnsi" w:cstheme="minorHAnsi"/>
          <w:i/>
          <w:sz w:val="28"/>
          <w:szCs w:val="28"/>
        </w:rPr>
        <w:t xml:space="preserve">La Transversalidad de Género en las Políticas Públicas de Discapacidad, </w:t>
      </w:r>
      <w:r w:rsidRPr="005E1103">
        <w:rPr>
          <w:rFonts w:asciiTheme="minorHAnsi" w:hAnsiTheme="minorHAnsi" w:cstheme="minorHAnsi"/>
          <w:sz w:val="28"/>
          <w:szCs w:val="28"/>
        </w:rPr>
        <w:t>Volumen I, Ediciones Cinca, Madrid, 2012.</w:t>
      </w:r>
    </w:p>
    <w:p w:rsidR="004266C5" w:rsidRPr="005E1103" w:rsidRDefault="004266C5" w:rsidP="004266C5">
      <w:pPr>
        <w:pStyle w:val="Prrafodelista"/>
        <w:shd w:val="clear" w:color="auto" w:fill="FFFFFF"/>
        <w:spacing w:before="100" w:beforeAutospacing="1" w:after="100" w:afterAutospacing="1" w:line="360" w:lineRule="auto"/>
        <w:jc w:val="both"/>
        <w:rPr>
          <w:rFonts w:asciiTheme="minorHAnsi" w:hAnsiTheme="minorHAnsi" w:cstheme="minorHAnsi"/>
          <w:b/>
          <w:sz w:val="28"/>
          <w:szCs w:val="28"/>
        </w:rPr>
      </w:pPr>
    </w:p>
    <w:p w:rsidR="004266C5" w:rsidRPr="005E1103" w:rsidRDefault="004266C5" w:rsidP="004266C5">
      <w:pPr>
        <w:pStyle w:val="Prrafodelista"/>
        <w:numPr>
          <w:ilvl w:val="0"/>
          <w:numId w:val="85"/>
        </w:numPr>
        <w:spacing w:before="0" w:line="360" w:lineRule="auto"/>
        <w:jc w:val="both"/>
        <w:rPr>
          <w:rFonts w:asciiTheme="minorHAnsi" w:hAnsiTheme="minorHAnsi" w:cstheme="minorHAnsi"/>
          <w:b/>
          <w:sz w:val="28"/>
          <w:szCs w:val="28"/>
        </w:rPr>
      </w:pPr>
      <w:r w:rsidRPr="005E1103">
        <w:rPr>
          <w:rFonts w:asciiTheme="minorHAnsi" w:hAnsiTheme="minorHAnsi" w:cstheme="minorHAnsi"/>
          <w:noProof/>
          <w:sz w:val="28"/>
          <w:szCs w:val="28"/>
          <w:lang w:eastAsia="es-ES"/>
        </w:rPr>
        <w:t>España, Ley 49/2007, de 26 de diciebre, Boletín Oficial del Estado núm. 310. Publicado Diciembre de 2007.</w:t>
      </w:r>
      <w:r w:rsidRPr="005E1103">
        <w:rPr>
          <w:rFonts w:asciiTheme="minorHAnsi" w:hAnsiTheme="minorHAnsi" w:cstheme="minorHAnsi"/>
          <w:b/>
          <w:sz w:val="28"/>
          <w:szCs w:val="28"/>
        </w:rPr>
        <w:t xml:space="preserve"> </w:t>
      </w:r>
    </w:p>
    <w:p w:rsidR="004266C5" w:rsidRPr="005E1103" w:rsidRDefault="004266C5" w:rsidP="004266C5">
      <w:pPr>
        <w:pStyle w:val="Prrafodelista"/>
        <w:shd w:val="clear" w:color="auto" w:fill="FFFFFF"/>
        <w:spacing w:before="100" w:beforeAutospacing="1" w:after="100" w:afterAutospacing="1" w:line="360" w:lineRule="auto"/>
        <w:jc w:val="both"/>
        <w:rPr>
          <w:rFonts w:asciiTheme="minorHAnsi" w:hAnsiTheme="minorHAnsi" w:cstheme="minorHAnsi"/>
          <w:b/>
          <w:sz w:val="28"/>
          <w:szCs w:val="28"/>
        </w:rPr>
      </w:pPr>
    </w:p>
    <w:p w:rsidR="004266C5" w:rsidRPr="005E1103" w:rsidRDefault="004266C5" w:rsidP="004266C5">
      <w:pPr>
        <w:pStyle w:val="Prrafodelista"/>
        <w:numPr>
          <w:ilvl w:val="0"/>
          <w:numId w:val="85"/>
        </w:numPr>
        <w:shd w:val="clear" w:color="auto" w:fill="FFFFFF"/>
        <w:spacing w:before="100" w:beforeAutospacing="1" w:after="100" w:afterAutospacing="1" w:line="360" w:lineRule="auto"/>
        <w:jc w:val="both"/>
        <w:rPr>
          <w:rFonts w:asciiTheme="minorHAnsi" w:hAnsiTheme="minorHAnsi" w:cstheme="minorHAnsi"/>
          <w:b/>
          <w:sz w:val="28"/>
          <w:szCs w:val="28"/>
        </w:rPr>
      </w:pPr>
      <w:r w:rsidRPr="005E1103">
        <w:rPr>
          <w:rFonts w:asciiTheme="minorHAnsi" w:hAnsiTheme="minorHAnsi" w:cstheme="minorHAnsi"/>
          <w:sz w:val="28"/>
          <w:szCs w:val="28"/>
        </w:rPr>
        <w:t>INE. El empleo de las personas con Discapacidad. Explotación de la Encuesta de Población Activa y de la Base Estatal de Personas con Discapacidad. Año 2014. Disponible en: http://www.ine.es/jaxi/</w:t>
      </w:r>
    </w:p>
    <w:p w:rsidR="004266C5" w:rsidRPr="005E1103" w:rsidRDefault="004266C5" w:rsidP="004266C5">
      <w:pPr>
        <w:pStyle w:val="Prrafodelista"/>
        <w:spacing w:line="360" w:lineRule="auto"/>
        <w:jc w:val="both"/>
        <w:rPr>
          <w:rFonts w:asciiTheme="minorHAnsi" w:hAnsiTheme="minorHAnsi" w:cstheme="minorHAnsi"/>
          <w:b/>
          <w:sz w:val="28"/>
          <w:szCs w:val="28"/>
        </w:rPr>
      </w:pPr>
    </w:p>
    <w:p w:rsidR="004266C5" w:rsidRPr="005E1103" w:rsidRDefault="004266C5" w:rsidP="004266C5">
      <w:pPr>
        <w:pStyle w:val="Prrafodelista"/>
        <w:numPr>
          <w:ilvl w:val="0"/>
          <w:numId w:val="85"/>
        </w:numPr>
        <w:shd w:val="clear" w:color="auto" w:fill="FFFFFF"/>
        <w:spacing w:before="100" w:beforeAutospacing="1" w:after="100" w:afterAutospacing="1" w:line="360" w:lineRule="auto"/>
        <w:jc w:val="both"/>
        <w:rPr>
          <w:rFonts w:asciiTheme="minorHAnsi" w:hAnsiTheme="minorHAnsi" w:cstheme="minorHAnsi"/>
          <w:b/>
          <w:sz w:val="28"/>
          <w:szCs w:val="28"/>
        </w:rPr>
      </w:pPr>
      <w:r w:rsidRPr="005E1103">
        <w:rPr>
          <w:rFonts w:asciiTheme="minorHAnsi" w:hAnsiTheme="minorHAnsi" w:cstheme="minorHAnsi"/>
          <w:sz w:val="28"/>
          <w:szCs w:val="28"/>
        </w:rPr>
        <w:t xml:space="preserve">ONU (Organización de Naciones Unidas) </w:t>
      </w:r>
      <w:r w:rsidRPr="005E1103">
        <w:rPr>
          <w:rFonts w:asciiTheme="minorHAnsi" w:hAnsiTheme="minorHAnsi" w:cstheme="minorHAnsi"/>
          <w:i/>
          <w:sz w:val="28"/>
          <w:szCs w:val="28"/>
        </w:rPr>
        <w:t>Convención sobre los derechos de las personas con Discapacidad de la ONU del año 2006.</w:t>
      </w:r>
    </w:p>
    <w:p w:rsidR="004266C5" w:rsidRPr="005E1103" w:rsidRDefault="004266C5" w:rsidP="004266C5">
      <w:pPr>
        <w:pStyle w:val="Prrafodelista"/>
        <w:shd w:val="clear" w:color="auto" w:fill="FFFFFF"/>
        <w:spacing w:before="100" w:beforeAutospacing="1" w:after="100" w:afterAutospacing="1" w:line="360" w:lineRule="auto"/>
        <w:jc w:val="both"/>
        <w:rPr>
          <w:rFonts w:asciiTheme="minorHAnsi" w:hAnsiTheme="minorHAnsi" w:cstheme="minorHAnsi"/>
          <w:b/>
          <w:sz w:val="28"/>
          <w:szCs w:val="28"/>
        </w:rPr>
      </w:pPr>
    </w:p>
    <w:p w:rsidR="004266C5" w:rsidRPr="005E1103" w:rsidRDefault="00BF6455" w:rsidP="004266C5">
      <w:pPr>
        <w:pStyle w:val="Prrafodelista"/>
        <w:numPr>
          <w:ilvl w:val="0"/>
          <w:numId w:val="85"/>
        </w:numPr>
        <w:shd w:val="clear" w:color="auto" w:fill="FFFFFF"/>
        <w:spacing w:before="100" w:beforeAutospacing="1" w:after="100" w:afterAutospacing="1" w:line="360" w:lineRule="auto"/>
        <w:jc w:val="both"/>
        <w:rPr>
          <w:rFonts w:asciiTheme="minorHAnsi" w:hAnsiTheme="minorHAnsi" w:cstheme="minorHAnsi"/>
          <w:b/>
          <w:sz w:val="28"/>
          <w:szCs w:val="28"/>
        </w:rPr>
      </w:pPr>
      <w:hyperlink r:id="rId125" w:history="1">
        <w:r w:rsidR="004266C5" w:rsidRPr="005E1103">
          <w:rPr>
            <w:rStyle w:val="Hipervnculo"/>
            <w:rFonts w:asciiTheme="minorHAnsi" w:hAnsiTheme="minorHAnsi" w:cstheme="minorHAnsi"/>
            <w:sz w:val="28"/>
            <w:szCs w:val="28"/>
          </w:rPr>
          <w:t>www.discapacidadcreativa.com</w:t>
        </w:r>
      </w:hyperlink>
    </w:p>
    <w:p w:rsidR="004266C5" w:rsidRPr="005E1103" w:rsidRDefault="004266C5" w:rsidP="004266C5">
      <w:pPr>
        <w:pStyle w:val="Prrafodelista"/>
        <w:rPr>
          <w:rFonts w:asciiTheme="minorHAnsi" w:hAnsiTheme="minorHAnsi" w:cstheme="minorHAnsi"/>
          <w:b/>
          <w:sz w:val="28"/>
          <w:szCs w:val="28"/>
        </w:rPr>
      </w:pPr>
    </w:p>
    <w:p w:rsidR="004266C5" w:rsidRPr="005E1103" w:rsidRDefault="004266C5" w:rsidP="004266C5">
      <w:pPr>
        <w:pStyle w:val="Prrafodelista"/>
        <w:numPr>
          <w:ilvl w:val="0"/>
          <w:numId w:val="85"/>
        </w:numPr>
        <w:shd w:val="clear" w:color="auto" w:fill="FFFFFF"/>
        <w:spacing w:before="100" w:beforeAutospacing="1" w:after="100" w:afterAutospacing="1" w:line="360" w:lineRule="auto"/>
        <w:jc w:val="both"/>
        <w:rPr>
          <w:rFonts w:asciiTheme="minorHAnsi" w:hAnsiTheme="minorHAnsi" w:cstheme="minorHAnsi"/>
          <w:b/>
          <w:sz w:val="28"/>
          <w:szCs w:val="28"/>
        </w:rPr>
      </w:pPr>
      <w:r w:rsidRPr="005E1103">
        <w:rPr>
          <w:rFonts w:asciiTheme="minorHAnsi" w:hAnsiTheme="minorHAnsi" w:cstheme="minorHAnsi"/>
          <w:sz w:val="28"/>
          <w:szCs w:val="28"/>
        </w:rPr>
        <w:t>www.t-oigo.com</w:t>
      </w:r>
    </w:p>
    <w:p w:rsidR="004266C5" w:rsidRPr="005E1103" w:rsidRDefault="004266C5" w:rsidP="004266C5">
      <w:pPr>
        <w:spacing w:after="0" w:line="240" w:lineRule="auto"/>
        <w:rPr>
          <w:rFonts w:cstheme="minorHAnsi"/>
          <w:sz w:val="28"/>
          <w:szCs w:val="28"/>
        </w:rPr>
      </w:pPr>
    </w:p>
    <w:p w:rsidR="00664415" w:rsidRPr="005E1103" w:rsidRDefault="00664415" w:rsidP="00664415">
      <w:pPr>
        <w:rPr>
          <w:rFonts w:cstheme="minorHAnsi"/>
          <w:sz w:val="28"/>
          <w:szCs w:val="28"/>
        </w:rPr>
      </w:pPr>
    </w:p>
    <w:p w:rsidR="00664415" w:rsidRPr="005E1103" w:rsidRDefault="00664415" w:rsidP="00664415">
      <w:pPr>
        <w:jc w:val="center"/>
        <w:rPr>
          <w:rFonts w:cstheme="minorHAnsi"/>
          <w:sz w:val="28"/>
          <w:szCs w:val="28"/>
        </w:rPr>
      </w:pPr>
      <w:r w:rsidRPr="005E1103">
        <w:rPr>
          <w:rFonts w:cstheme="minorHAnsi"/>
          <w:noProof/>
          <w:sz w:val="28"/>
          <w:szCs w:val="28"/>
          <w:lang w:eastAsia="es-ES"/>
        </w:rPr>
        <w:drawing>
          <wp:inline distT="0" distB="0" distL="0" distR="0" wp14:anchorId="3B905C36" wp14:editId="2C2E4D20">
            <wp:extent cx="4111777" cy="542925"/>
            <wp:effectExtent l="0" t="0" r="3175" b="0"/>
            <wp:docPr id="2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11294" cy="542861"/>
                    </a:xfrm>
                    <a:prstGeom prst="rect">
                      <a:avLst/>
                    </a:prstGeom>
                    <a:noFill/>
                    <a:ln>
                      <a:noFill/>
                    </a:ln>
                  </pic:spPr>
                </pic:pic>
              </a:graphicData>
            </a:graphic>
          </wp:inline>
        </w:drawing>
      </w:r>
    </w:p>
    <w:p w:rsidR="00664415" w:rsidRPr="005E1103" w:rsidRDefault="00664415" w:rsidP="00664415">
      <w:pPr>
        <w:spacing w:after="360"/>
        <w:jc w:val="center"/>
        <w:rPr>
          <w:rFonts w:cstheme="minorHAnsi"/>
          <w:b/>
          <w:color w:val="3F5570"/>
          <w:sz w:val="28"/>
          <w:szCs w:val="28"/>
        </w:rPr>
      </w:pPr>
      <w:r w:rsidRPr="005E1103">
        <w:rPr>
          <w:rFonts w:cstheme="minorHAnsi"/>
          <w:b/>
          <w:color w:val="3F5570"/>
          <w:sz w:val="28"/>
          <w:szCs w:val="28"/>
        </w:rPr>
        <w:lastRenderedPageBreak/>
        <w:t>10 y 11 de noviembre de 2016</w:t>
      </w:r>
    </w:p>
    <w:p w:rsidR="00664415" w:rsidRPr="005E1103" w:rsidRDefault="00664415" w:rsidP="00664415">
      <w:pPr>
        <w:spacing w:before="240"/>
        <w:jc w:val="center"/>
        <w:rPr>
          <w:rFonts w:cstheme="minorHAnsi"/>
          <w:b/>
          <w:color w:val="D20116"/>
          <w:sz w:val="28"/>
          <w:szCs w:val="28"/>
        </w:rPr>
      </w:pPr>
      <w:r w:rsidRPr="005E1103">
        <w:rPr>
          <w:rFonts w:cstheme="minorHAnsi"/>
          <w:b/>
          <w:color w:val="D20116"/>
          <w:sz w:val="28"/>
          <w:szCs w:val="28"/>
        </w:rPr>
        <w:t>COMUNICACIONES PRESENTADAS</w:t>
      </w:r>
    </w:p>
    <w:p w:rsidR="00664415" w:rsidRPr="005E1103" w:rsidRDefault="00664415" w:rsidP="00664415">
      <w:pPr>
        <w:spacing w:before="240"/>
        <w:jc w:val="center"/>
        <w:rPr>
          <w:rFonts w:cstheme="minorHAnsi"/>
          <w:b/>
          <w:color w:val="D20116"/>
          <w:sz w:val="28"/>
          <w:szCs w:val="28"/>
        </w:rPr>
      </w:pPr>
      <w:r w:rsidRPr="005E1103">
        <w:rPr>
          <w:rFonts w:cstheme="minorHAnsi"/>
          <w:b/>
          <w:color w:val="D20116"/>
          <w:sz w:val="28"/>
          <w:szCs w:val="28"/>
        </w:rPr>
        <w:t>GRUPO 4</w:t>
      </w:r>
    </w:p>
    <w:p w:rsidR="00664415" w:rsidRPr="005E1103" w:rsidRDefault="00664415" w:rsidP="00664415">
      <w:pPr>
        <w:spacing w:before="240"/>
        <w:jc w:val="center"/>
        <w:rPr>
          <w:rFonts w:cstheme="minorHAnsi"/>
          <w:b/>
          <w:color w:val="D20116"/>
          <w:sz w:val="28"/>
          <w:szCs w:val="28"/>
        </w:rPr>
      </w:pPr>
      <w:r w:rsidRPr="005E1103">
        <w:rPr>
          <w:rFonts w:cstheme="minorHAnsi"/>
          <w:b/>
          <w:color w:val="D20116"/>
          <w:sz w:val="28"/>
          <w:szCs w:val="28"/>
        </w:rPr>
        <w:t>MARCOS NORMATIVOS Y DEMANDAS LEGISLATIVAS</w:t>
      </w:r>
    </w:p>
    <w:p w:rsidR="004266C5" w:rsidRPr="005E1103" w:rsidRDefault="00664415" w:rsidP="004266C5">
      <w:pPr>
        <w:jc w:val="both"/>
        <w:rPr>
          <w:rFonts w:cstheme="minorHAnsi"/>
          <w:b/>
          <w:sz w:val="28"/>
          <w:szCs w:val="28"/>
        </w:rPr>
      </w:pPr>
      <w:r w:rsidRPr="005E1103">
        <w:rPr>
          <w:rFonts w:cstheme="minorHAnsi"/>
          <w:b/>
          <w:i/>
          <w:noProof/>
          <w:color w:val="D20116"/>
          <w:sz w:val="28"/>
          <w:szCs w:val="28"/>
          <w:lang w:eastAsia="es-ES"/>
        </w:rPr>
        <w:drawing>
          <wp:anchor distT="0" distB="0" distL="114300" distR="114300" simplePos="0" relativeHeight="251669504" behindDoc="0" locked="0" layoutInCell="1" allowOverlap="1" wp14:anchorId="07517F5F" wp14:editId="5C902292">
            <wp:simplePos x="0" y="0"/>
            <wp:positionH relativeFrom="column">
              <wp:posOffset>1572260</wp:posOffset>
            </wp:positionH>
            <wp:positionV relativeFrom="paragraph">
              <wp:posOffset>233362</wp:posOffset>
            </wp:positionV>
            <wp:extent cx="1952625" cy="1207135"/>
            <wp:effectExtent l="0" t="0" r="0" b="0"/>
            <wp:wrapNone/>
            <wp:docPr id="2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52625" cy="12071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54B58" w:rsidRPr="005E1103" w:rsidRDefault="00954B58" w:rsidP="00954B58">
      <w:pPr>
        <w:spacing w:after="0" w:line="360" w:lineRule="auto"/>
        <w:jc w:val="both"/>
        <w:rPr>
          <w:rFonts w:eastAsia="Times New Roman" w:cstheme="minorHAnsi"/>
          <w:color w:val="000000"/>
          <w:sz w:val="28"/>
          <w:szCs w:val="28"/>
          <w:lang w:eastAsia="es-ES"/>
        </w:rPr>
      </w:pPr>
    </w:p>
    <w:p w:rsidR="00954B58" w:rsidRPr="005E1103" w:rsidRDefault="00954B58" w:rsidP="00954B58">
      <w:pPr>
        <w:spacing w:after="0" w:line="360" w:lineRule="auto"/>
        <w:jc w:val="both"/>
        <w:rPr>
          <w:rFonts w:eastAsia="Times New Roman" w:cstheme="minorHAnsi"/>
          <w:color w:val="000000"/>
          <w:sz w:val="28"/>
          <w:szCs w:val="28"/>
          <w:lang w:eastAsia="es-ES"/>
        </w:rPr>
      </w:pPr>
    </w:p>
    <w:p w:rsidR="00954B58" w:rsidRPr="005E1103" w:rsidRDefault="00954B58" w:rsidP="00954B58">
      <w:pPr>
        <w:spacing w:line="360" w:lineRule="auto"/>
        <w:rPr>
          <w:rFonts w:eastAsia="Calibri" w:cstheme="minorHAnsi"/>
          <w:color w:val="0000FF"/>
          <w:sz w:val="28"/>
          <w:szCs w:val="28"/>
          <w:u w:val="single"/>
        </w:rPr>
      </w:pPr>
    </w:p>
    <w:p w:rsidR="00954B58" w:rsidRPr="005E1103" w:rsidRDefault="00954B58" w:rsidP="00954B58">
      <w:pPr>
        <w:spacing w:after="120" w:line="360" w:lineRule="auto"/>
        <w:jc w:val="both"/>
        <w:rPr>
          <w:rFonts w:eastAsia="Calibri" w:cstheme="minorHAnsi"/>
          <w:sz w:val="28"/>
          <w:szCs w:val="28"/>
          <w:lang w:eastAsia="es-ES"/>
        </w:rPr>
      </w:pPr>
    </w:p>
    <w:p w:rsidR="00954B58" w:rsidRPr="005E1103" w:rsidRDefault="00954B58" w:rsidP="00954B58">
      <w:pPr>
        <w:jc w:val="both"/>
        <w:rPr>
          <w:rFonts w:cstheme="minorHAnsi"/>
          <w:sz w:val="28"/>
          <w:szCs w:val="28"/>
        </w:rPr>
      </w:pPr>
    </w:p>
    <w:p w:rsidR="00954B58" w:rsidRPr="005E1103" w:rsidRDefault="00954B58" w:rsidP="00954B58">
      <w:pPr>
        <w:jc w:val="both"/>
        <w:rPr>
          <w:rFonts w:cstheme="minorHAnsi"/>
          <w:sz w:val="28"/>
          <w:szCs w:val="28"/>
        </w:rPr>
      </w:pPr>
    </w:p>
    <w:tbl>
      <w:tblPr>
        <w:tblW w:w="8637" w:type="dxa"/>
        <w:jc w:val="center"/>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3025"/>
        <w:gridCol w:w="5612"/>
      </w:tblGrid>
      <w:tr w:rsidR="00664415" w:rsidRPr="005E1103" w:rsidTr="00664415">
        <w:trPr>
          <w:trHeight w:val="2071"/>
          <w:jc w:val="center"/>
        </w:trPr>
        <w:tc>
          <w:tcPr>
            <w:tcW w:w="3025" w:type="dxa"/>
            <w:shd w:val="clear" w:color="auto" w:fill="auto"/>
            <w:vAlign w:val="center"/>
          </w:tcPr>
          <w:p w:rsidR="00664415" w:rsidRPr="005E1103" w:rsidRDefault="00664415" w:rsidP="0046263B">
            <w:pPr>
              <w:spacing w:after="0"/>
              <w:jc w:val="both"/>
              <w:rPr>
                <w:rFonts w:eastAsia="Times New Roman" w:cstheme="minorHAnsi"/>
                <w:b/>
                <w:bCs/>
                <w:color w:val="002060"/>
                <w:sz w:val="28"/>
                <w:szCs w:val="28"/>
                <w:lang w:eastAsia="es-ES"/>
              </w:rPr>
            </w:pPr>
            <w:r w:rsidRPr="005E1103">
              <w:rPr>
                <w:rFonts w:eastAsia="Times New Roman" w:cstheme="minorHAnsi"/>
                <w:b/>
                <w:bCs/>
                <w:color w:val="002060"/>
                <w:sz w:val="28"/>
                <w:szCs w:val="28"/>
                <w:lang w:eastAsia="es-ES"/>
              </w:rPr>
              <w:t>Grupo de Trabajo 4</w:t>
            </w:r>
          </w:p>
          <w:p w:rsidR="00664415" w:rsidRPr="005E1103" w:rsidRDefault="00664415" w:rsidP="0046263B">
            <w:pPr>
              <w:spacing w:after="0" w:line="360" w:lineRule="auto"/>
              <w:jc w:val="both"/>
              <w:rPr>
                <w:rFonts w:eastAsia="Times New Roman" w:cstheme="minorHAnsi"/>
                <w:b/>
                <w:bCs/>
                <w:color w:val="002060"/>
                <w:sz w:val="28"/>
                <w:szCs w:val="28"/>
                <w:lang w:eastAsia="es-ES"/>
              </w:rPr>
            </w:pPr>
            <w:r w:rsidRPr="005E1103">
              <w:rPr>
                <w:rFonts w:eastAsia="Times New Roman" w:cstheme="minorHAnsi"/>
                <w:b/>
                <w:bCs/>
                <w:color w:val="002060"/>
                <w:sz w:val="28"/>
                <w:szCs w:val="28"/>
                <w:lang w:eastAsia="es-ES"/>
              </w:rPr>
              <w:t>Marcos normativos y demandas legislativas</w:t>
            </w:r>
          </w:p>
        </w:tc>
        <w:tc>
          <w:tcPr>
            <w:tcW w:w="5612" w:type="dxa"/>
            <w:shd w:val="clear" w:color="auto" w:fill="auto"/>
          </w:tcPr>
          <w:p w:rsidR="00664415" w:rsidRPr="005E1103" w:rsidRDefault="00664415" w:rsidP="0046263B">
            <w:pPr>
              <w:spacing w:after="0" w:line="360" w:lineRule="auto"/>
              <w:jc w:val="both"/>
              <w:rPr>
                <w:rFonts w:eastAsia="Times New Roman" w:cstheme="minorHAnsi"/>
                <w:color w:val="002060"/>
                <w:sz w:val="28"/>
                <w:szCs w:val="28"/>
                <w:lang w:eastAsia="es-ES"/>
              </w:rPr>
            </w:pPr>
            <w:r w:rsidRPr="005E1103">
              <w:rPr>
                <w:rFonts w:eastAsia="Times New Roman" w:cstheme="minorHAnsi"/>
                <w:color w:val="002060"/>
                <w:sz w:val="28"/>
                <w:szCs w:val="28"/>
                <w:lang w:eastAsia="es-ES"/>
              </w:rPr>
              <w:t>Análisis y propuestas legislativas que mejoren la garantía de los derechos de acceso y promoción de las personas con discapacidad en el ámbito universitario y la sociedad del conocimiento</w:t>
            </w:r>
          </w:p>
        </w:tc>
      </w:tr>
    </w:tbl>
    <w:p w:rsidR="00664415" w:rsidRPr="005E1103" w:rsidRDefault="00664415" w:rsidP="00954B58">
      <w:pPr>
        <w:tabs>
          <w:tab w:val="left" w:pos="6960"/>
        </w:tabs>
        <w:rPr>
          <w:rFonts w:eastAsia="Times New Roman" w:cstheme="minorHAnsi"/>
          <w:sz w:val="28"/>
          <w:szCs w:val="28"/>
          <w:lang w:eastAsia="es-CO"/>
        </w:rPr>
      </w:pPr>
    </w:p>
    <w:p w:rsidR="00664415" w:rsidRPr="005E1103" w:rsidRDefault="00664415">
      <w:pPr>
        <w:rPr>
          <w:rFonts w:eastAsia="Times New Roman" w:cstheme="minorHAnsi"/>
          <w:sz w:val="28"/>
          <w:szCs w:val="28"/>
          <w:lang w:eastAsia="es-CO"/>
        </w:rPr>
      </w:pPr>
      <w:r w:rsidRPr="005E1103">
        <w:rPr>
          <w:rFonts w:eastAsia="Times New Roman" w:cstheme="minorHAnsi"/>
          <w:sz w:val="28"/>
          <w:szCs w:val="28"/>
          <w:lang w:eastAsia="es-CO"/>
        </w:rPr>
        <w:br w:type="page"/>
      </w:r>
    </w:p>
    <w:p w:rsidR="00664415" w:rsidRPr="005E1103" w:rsidRDefault="00664415" w:rsidP="00664415">
      <w:pPr>
        <w:spacing w:after="0"/>
        <w:jc w:val="both"/>
        <w:rPr>
          <w:rFonts w:cstheme="minorHAnsi"/>
          <w:b/>
          <w:sz w:val="28"/>
          <w:szCs w:val="28"/>
        </w:rPr>
      </w:pPr>
      <w:r w:rsidRPr="005E1103">
        <w:rPr>
          <w:rFonts w:cstheme="minorHAnsi"/>
          <w:b/>
          <w:sz w:val="28"/>
          <w:szCs w:val="28"/>
        </w:rPr>
        <w:lastRenderedPageBreak/>
        <w:t xml:space="preserve">Descripción: </w:t>
      </w:r>
    </w:p>
    <w:p w:rsidR="00664415" w:rsidRPr="005E1103" w:rsidRDefault="00664415" w:rsidP="00664415">
      <w:pPr>
        <w:spacing w:after="0"/>
        <w:jc w:val="both"/>
        <w:rPr>
          <w:rFonts w:cstheme="minorHAnsi"/>
          <w:b/>
          <w:sz w:val="28"/>
          <w:szCs w:val="28"/>
        </w:rPr>
      </w:pPr>
    </w:p>
    <w:p w:rsidR="00664415" w:rsidRPr="005E1103" w:rsidRDefault="00664415" w:rsidP="00664415">
      <w:pPr>
        <w:spacing w:after="0"/>
        <w:jc w:val="both"/>
        <w:rPr>
          <w:rFonts w:cstheme="minorHAnsi"/>
          <w:sz w:val="28"/>
          <w:szCs w:val="28"/>
        </w:rPr>
      </w:pPr>
      <w:r w:rsidRPr="005E1103">
        <w:rPr>
          <w:rFonts w:cstheme="minorHAnsi"/>
          <w:sz w:val="28"/>
          <w:szCs w:val="28"/>
        </w:rPr>
        <w:t>La aplicación de la Convención de los Derechos de las Personas con Discapacidad, ha requerido cambios normativos en todos los países que como España la han ratificado. En relación a la educación se ha garantizado a través de las correspondientes leyes, un sistema educativo inclusivo, que preste atención a la diversidad de las necesidades educativas del alumnado con discapacidad mediante la regulación de los apoyos y ajustes necesarios. Los nuevos marcos normativos han llegado también a la Universidad y al derecho de acceso a la educación superior, aunque aún quedan retos pendientes y necesidades de ajustes normativos y reglamentarios para garantizar el pleno disfrute de la igualdad de oportunidades de las personas con discapacidad, tanto en el acceso a la educación como en la promoción y la carrera académica e investigadora de las personas con discapacidad. Se pretende así conocer los nuevos marcos normativos que están permitiendo avanzar hacia una educación y sociedad inclusiva y con nuevas propuestas que permitan seguir avanzando en garantías y políticas efectivas.</w:t>
      </w:r>
    </w:p>
    <w:p w:rsidR="00664415" w:rsidRPr="005E1103" w:rsidRDefault="00664415" w:rsidP="00664415">
      <w:pPr>
        <w:spacing w:after="0"/>
        <w:jc w:val="both"/>
        <w:rPr>
          <w:rFonts w:cstheme="minorHAnsi"/>
          <w:sz w:val="28"/>
          <w:szCs w:val="28"/>
        </w:rPr>
      </w:pPr>
    </w:p>
    <w:p w:rsidR="00664415" w:rsidRPr="005E1103" w:rsidRDefault="00664415" w:rsidP="00664415">
      <w:pPr>
        <w:spacing w:after="0"/>
        <w:jc w:val="both"/>
        <w:rPr>
          <w:rFonts w:cstheme="minorHAnsi"/>
          <w:b/>
          <w:sz w:val="28"/>
          <w:szCs w:val="28"/>
        </w:rPr>
      </w:pPr>
      <w:r w:rsidRPr="005E1103">
        <w:rPr>
          <w:rFonts w:cstheme="minorHAnsi"/>
          <w:b/>
          <w:sz w:val="28"/>
          <w:szCs w:val="28"/>
        </w:rPr>
        <w:t>Objetivos:</w:t>
      </w:r>
    </w:p>
    <w:p w:rsidR="00664415" w:rsidRPr="005E1103" w:rsidRDefault="00664415" w:rsidP="00664415">
      <w:pPr>
        <w:numPr>
          <w:ilvl w:val="0"/>
          <w:numId w:val="66"/>
        </w:numPr>
        <w:shd w:val="clear" w:color="auto" w:fill="FFFFFF"/>
        <w:spacing w:after="0" w:line="276" w:lineRule="auto"/>
        <w:ind w:right="240"/>
        <w:jc w:val="both"/>
        <w:rPr>
          <w:rFonts w:eastAsia="Times New Roman" w:cstheme="minorHAnsi"/>
          <w:sz w:val="28"/>
          <w:szCs w:val="28"/>
          <w:lang w:eastAsia="es-ES"/>
        </w:rPr>
      </w:pPr>
      <w:r w:rsidRPr="005E1103">
        <w:rPr>
          <w:rFonts w:eastAsia="Times New Roman" w:cstheme="minorHAnsi"/>
          <w:sz w:val="28"/>
          <w:szCs w:val="28"/>
          <w:lang w:eastAsia="es-ES"/>
        </w:rPr>
        <w:t>Conocer y divulgar propuestas legislativas innovadoras en el marco del cumplimiento de la Convención para los Derechos de las Personas con Discapacidad.</w:t>
      </w:r>
    </w:p>
    <w:p w:rsidR="00664415" w:rsidRPr="005E1103" w:rsidRDefault="00664415" w:rsidP="00664415">
      <w:pPr>
        <w:numPr>
          <w:ilvl w:val="0"/>
          <w:numId w:val="66"/>
        </w:numPr>
        <w:shd w:val="clear" w:color="auto" w:fill="FFFFFF"/>
        <w:spacing w:after="0" w:line="276" w:lineRule="auto"/>
        <w:ind w:right="240"/>
        <w:jc w:val="both"/>
        <w:rPr>
          <w:rFonts w:eastAsia="Times New Roman" w:cstheme="minorHAnsi"/>
          <w:sz w:val="28"/>
          <w:szCs w:val="28"/>
          <w:lang w:eastAsia="es-ES"/>
        </w:rPr>
      </w:pPr>
      <w:r w:rsidRPr="005E1103">
        <w:rPr>
          <w:rFonts w:eastAsia="Times New Roman" w:cstheme="minorHAnsi"/>
          <w:sz w:val="28"/>
          <w:szCs w:val="28"/>
          <w:lang w:eastAsia="es-ES"/>
        </w:rPr>
        <w:t>Analizar el impacto que ha tenido la Convención en el ámbito educativo.</w:t>
      </w:r>
    </w:p>
    <w:p w:rsidR="00664415" w:rsidRPr="005E1103" w:rsidRDefault="00664415" w:rsidP="00664415">
      <w:pPr>
        <w:numPr>
          <w:ilvl w:val="0"/>
          <w:numId w:val="66"/>
        </w:numPr>
        <w:shd w:val="clear" w:color="auto" w:fill="FFFFFF"/>
        <w:spacing w:after="0" w:line="276" w:lineRule="auto"/>
        <w:ind w:right="240"/>
        <w:jc w:val="both"/>
        <w:rPr>
          <w:rFonts w:eastAsia="Times New Roman" w:cstheme="minorHAnsi"/>
          <w:sz w:val="28"/>
          <w:szCs w:val="28"/>
          <w:lang w:eastAsia="es-ES"/>
        </w:rPr>
      </w:pPr>
      <w:r w:rsidRPr="005E1103">
        <w:rPr>
          <w:rFonts w:eastAsia="Times New Roman" w:cstheme="minorHAnsi"/>
          <w:sz w:val="28"/>
          <w:szCs w:val="28"/>
          <w:lang w:eastAsia="es-ES"/>
        </w:rPr>
        <w:t xml:space="preserve">Realizar propuestas de mejora para el cumplimiento real y efectivo de la normativa vigente. </w:t>
      </w:r>
    </w:p>
    <w:p w:rsidR="00664415" w:rsidRPr="005E1103" w:rsidRDefault="00664415" w:rsidP="00664415">
      <w:pPr>
        <w:numPr>
          <w:ilvl w:val="0"/>
          <w:numId w:val="66"/>
        </w:numPr>
        <w:shd w:val="clear" w:color="auto" w:fill="FFFFFF"/>
        <w:spacing w:after="0" w:line="276" w:lineRule="auto"/>
        <w:ind w:right="240"/>
        <w:jc w:val="both"/>
        <w:rPr>
          <w:rFonts w:eastAsia="Times New Roman" w:cstheme="minorHAnsi"/>
          <w:sz w:val="28"/>
          <w:szCs w:val="28"/>
          <w:lang w:eastAsia="es-ES"/>
        </w:rPr>
      </w:pPr>
      <w:r w:rsidRPr="005E1103">
        <w:rPr>
          <w:rFonts w:eastAsia="Times New Roman" w:cstheme="minorHAnsi"/>
          <w:sz w:val="28"/>
          <w:szCs w:val="28"/>
          <w:lang w:eastAsia="es-ES"/>
        </w:rPr>
        <w:t>Analizar y proponer medidas para garantizar y fomentar el derecho de los universitarios a la carrera académica e investigadora.</w:t>
      </w:r>
    </w:p>
    <w:p w:rsidR="00664415" w:rsidRPr="005E1103" w:rsidRDefault="00664415" w:rsidP="00664415">
      <w:pPr>
        <w:spacing w:after="0"/>
        <w:jc w:val="both"/>
        <w:rPr>
          <w:rFonts w:cstheme="minorHAnsi"/>
          <w:sz w:val="28"/>
          <w:szCs w:val="28"/>
        </w:rPr>
      </w:pPr>
    </w:p>
    <w:p w:rsidR="00664415" w:rsidRPr="005E1103" w:rsidRDefault="00664415" w:rsidP="00664415">
      <w:pPr>
        <w:spacing w:after="0"/>
        <w:jc w:val="both"/>
        <w:rPr>
          <w:rFonts w:cstheme="minorHAnsi"/>
          <w:sz w:val="28"/>
          <w:szCs w:val="28"/>
        </w:rPr>
      </w:pPr>
    </w:p>
    <w:p w:rsidR="00664415" w:rsidRPr="005E1103" w:rsidRDefault="00664415" w:rsidP="00664415">
      <w:pPr>
        <w:spacing w:after="0" w:line="360" w:lineRule="auto"/>
        <w:ind w:right="44"/>
        <w:jc w:val="both"/>
        <w:rPr>
          <w:rFonts w:cstheme="minorHAnsi"/>
          <w:sz w:val="28"/>
          <w:szCs w:val="28"/>
        </w:rPr>
      </w:pPr>
    </w:p>
    <w:p w:rsidR="00664415" w:rsidRPr="005E1103" w:rsidRDefault="00664415" w:rsidP="00664415">
      <w:pPr>
        <w:spacing w:after="0" w:line="240" w:lineRule="auto"/>
        <w:jc w:val="center"/>
        <w:rPr>
          <w:rFonts w:eastAsia="Times New Roman" w:cstheme="minorHAnsi"/>
          <w:b/>
          <w:sz w:val="28"/>
          <w:szCs w:val="28"/>
          <w:lang w:eastAsia="es-ES"/>
        </w:rPr>
      </w:pPr>
    </w:p>
    <w:p w:rsidR="00664415" w:rsidRPr="005E1103" w:rsidRDefault="00664415" w:rsidP="00BF6455">
      <w:pPr>
        <w:spacing w:after="0" w:line="240" w:lineRule="auto"/>
        <w:rPr>
          <w:rFonts w:eastAsia="Times New Roman" w:cstheme="minorHAnsi"/>
          <w:b/>
          <w:sz w:val="28"/>
          <w:szCs w:val="28"/>
          <w:lang w:eastAsia="es-ES"/>
        </w:rPr>
      </w:pPr>
    </w:p>
    <w:p w:rsidR="00664415" w:rsidRPr="005E1103" w:rsidRDefault="00664415" w:rsidP="00664415">
      <w:pPr>
        <w:spacing w:after="0" w:line="240" w:lineRule="auto"/>
        <w:jc w:val="center"/>
        <w:rPr>
          <w:rFonts w:eastAsia="Times New Roman" w:cstheme="minorHAnsi"/>
          <w:b/>
          <w:sz w:val="28"/>
          <w:szCs w:val="28"/>
          <w:lang w:eastAsia="es-ES"/>
        </w:rPr>
      </w:pPr>
    </w:p>
    <w:p w:rsidR="00664415" w:rsidRPr="005E1103" w:rsidRDefault="00664415" w:rsidP="00BF6455">
      <w:pPr>
        <w:spacing w:after="0" w:line="240" w:lineRule="auto"/>
        <w:rPr>
          <w:rFonts w:eastAsia="Times New Roman" w:cstheme="minorHAnsi"/>
          <w:b/>
          <w:sz w:val="28"/>
          <w:szCs w:val="28"/>
          <w:lang w:eastAsia="es-ES"/>
        </w:rPr>
      </w:pPr>
      <w:bookmarkStart w:id="67" w:name="_GoBack"/>
      <w:bookmarkEnd w:id="67"/>
    </w:p>
    <w:p w:rsidR="00664415" w:rsidRPr="005E1103" w:rsidRDefault="00664415" w:rsidP="00664415">
      <w:pPr>
        <w:spacing w:after="0" w:line="240" w:lineRule="auto"/>
        <w:jc w:val="center"/>
        <w:rPr>
          <w:rFonts w:eastAsia="Times New Roman" w:cstheme="minorHAnsi"/>
          <w:b/>
          <w:sz w:val="28"/>
          <w:szCs w:val="28"/>
          <w:lang w:eastAsia="es-ES"/>
        </w:rPr>
      </w:pPr>
      <w:r w:rsidRPr="005E1103">
        <w:rPr>
          <w:rFonts w:eastAsia="Times New Roman" w:cstheme="minorHAnsi"/>
          <w:b/>
          <w:sz w:val="28"/>
          <w:szCs w:val="28"/>
          <w:lang w:eastAsia="es-ES"/>
        </w:rPr>
        <w:lastRenderedPageBreak/>
        <w:t xml:space="preserve">ÍNDICE Y ORDEN DE COMUNICACIONES </w:t>
      </w:r>
    </w:p>
    <w:p w:rsidR="00664415" w:rsidRPr="005E1103" w:rsidRDefault="00664415" w:rsidP="00664415">
      <w:pPr>
        <w:spacing w:after="0" w:line="240" w:lineRule="auto"/>
        <w:jc w:val="both"/>
        <w:rPr>
          <w:rFonts w:eastAsia="Times New Roman" w:cstheme="minorHAnsi"/>
          <w:sz w:val="28"/>
          <w:szCs w:val="28"/>
          <w:lang w:eastAsia="es-ES"/>
        </w:rPr>
      </w:pPr>
    </w:p>
    <w:tbl>
      <w:tblPr>
        <w:tblW w:w="9989" w:type="dxa"/>
        <w:jc w:val="center"/>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424"/>
        <w:gridCol w:w="3585"/>
        <w:gridCol w:w="2891"/>
        <w:gridCol w:w="3539"/>
      </w:tblGrid>
      <w:tr w:rsidR="00664415" w:rsidRPr="005E1103" w:rsidTr="0046263B">
        <w:trPr>
          <w:trHeight w:val="675"/>
          <w:jc w:val="center"/>
        </w:trPr>
        <w:tc>
          <w:tcPr>
            <w:tcW w:w="365" w:type="dxa"/>
            <w:shd w:val="clear" w:color="auto" w:fill="C00000"/>
          </w:tcPr>
          <w:p w:rsidR="00664415" w:rsidRPr="005E1103" w:rsidRDefault="00664415" w:rsidP="0046263B">
            <w:pPr>
              <w:spacing w:after="0" w:line="240" w:lineRule="auto"/>
              <w:jc w:val="center"/>
              <w:rPr>
                <w:rFonts w:eastAsia="Times New Roman" w:cstheme="minorHAnsi"/>
                <w:b/>
                <w:bCs/>
                <w:color w:val="000000"/>
                <w:sz w:val="28"/>
                <w:szCs w:val="28"/>
                <w:lang w:eastAsia="es-ES"/>
              </w:rPr>
            </w:pPr>
          </w:p>
        </w:tc>
        <w:tc>
          <w:tcPr>
            <w:tcW w:w="3585" w:type="dxa"/>
            <w:tcBorders>
              <w:top w:val="single" w:sz="12" w:space="0" w:color="auto"/>
              <w:bottom w:val="single" w:sz="8" w:space="0" w:color="auto"/>
            </w:tcBorders>
            <w:shd w:val="clear" w:color="auto" w:fill="C00000"/>
            <w:noWrap/>
            <w:vAlign w:val="center"/>
            <w:hideMark/>
          </w:tcPr>
          <w:p w:rsidR="00664415" w:rsidRPr="005E1103" w:rsidRDefault="00664415" w:rsidP="0046263B">
            <w:pPr>
              <w:spacing w:after="0" w:line="240" w:lineRule="auto"/>
              <w:jc w:val="center"/>
              <w:rPr>
                <w:rFonts w:eastAsia="Times New Roman" w:cstheme="minorHAnsi"/>
                <w:b/>
                <w:bCs/>
                <w:color w:val="000000"/>
                <w:sz w:val="28"/>
                <w:szCs w:val="28"/>
                <w:lang w:eastAsia="es-ES"/>
              </w:rPr>
            </w:pPr>
            <w:r w:rsidRPr="005E1103">
              <w:rPr>
                <w:rFonts w:eastAsia="Times New Roman" w:cstheme="minorHAnsi"/>
                <w:b/>
                <w:bCs/>
                <w:color w:val="000000"/>
                <w:sz w:val="28"/>
                <w:szCs w:val="28"/>
                <w:lang w:eastAsia="es-ES"/>
              </w:rPr>
              <w:t>Autores</w:t>
            </w:r>
          </w:p>
        </w:tc>
        <w:tc>
          <w:tcPr>
            <w:tcW w:w="2500" w:type="dxa"/>
            <w:tcBorders>
              <w:bottom w:val="single" w:sz="8" w:space="0" w:color="auto"/>
            </w:tcBorders>
            <w:shd w:val="clear" w:color="auto" w:fill="C00000"/>
            <w:noWrap/>
            <w:vAlign w:val="center"/>
            <w:hideMark/>
          </w:tcPr>
          <w:p w:rsidR="00664415" w:rsidRPr="005E1103" w:rsidRDefault="00664415" w:rsidP="0046263B">
            <w:pPr>
              <w:spacing w:after="0" w:line="240" w:lineRule="auto"/>
              <w:jc w:val="center"/>
              <w:rPr>
                <w:rFonts w:eastAsia="Times New Roman" w:cstheme="minorHAnsi"/>
                <w:b/>
                <w:bCs/>
                <w:color w:val="000000"/>
                <w:sz w:val="28"/>
                <w:szCs w:val="28"/>
                <w:lang w:eastAsia="es-ES"/>
              </w:rPr>
            </w:pPr>
            <w:r w:rsidRPr="005E1103">
              <w:rPr>
                <w:rFonts w:eastAsia="Times New Roman" w:cstheme="minorHAnsi"/>
                <w:b/>
                <w:bCs/>
                <w:color w:val="000000"/>
                <w:sz w:val="28"/>
                <w:szCs w:val="28"/>
                <w:lang w:eastAsia="es-ES"/>
              </w:rPr>
              <w:t>Universidad/Institución</w:t>
            </w:r>
          </w:p>
        </w:tc>
        <w:tc>
          <w:tcPr>
            <w:tcW w:w="3539" w:type="dxa"/>
            <w:shd w:val="clear" w:color="auto" w:fill="C00000"/>
            <w:noWrap/>
            <w:vAlign w:val="center"/>
            <w:hideMark/>
          </w:tcPr>
          <w:p w:rsidR="00664415" w:rsidRPr="005E1103" w:rsidRDefault="00664415" w:rsidP="0046263B">
            <w:pPr>
              <w:spacing w:after="0" w:line="240" w:lineRule="auto"/>
              <w:jc w:val="center"/>
              <w:rPr>
                <w:rFonts w:eastAsia="Times New Roman" w:cstheme="minorHAnsi"/>
                <w:b/>
                <w:bCs/>
                <w:color w:val="000000"/>
                <w:sz w:val="28"/>
                <w:szCs w:val="28"/>
                <w:lang w:eastAsia="es-ES"/>
              </w:rPr>
            </w:pPr>
            <w:r w:rsidRPr="005E1103">
              <w:rPr>
                <w:rFonts w:eastAsia="Times New Roman" w:cstheme="minorHAnsi"/>
                <w:b/>
                <w:bCs/>
                <w:color w:val="000000"/>
                <w:sz w:val="28"/>
                <w:szCs w:val="28"/>
                <w:lang w:eastAsia="es-ES"/>
              </w:rPr>
              <w:t>Título</w:t>
            </w:r>
          </w:p>
        </w:tc>
      </w:tr>
      <w:tr w:rsidR="00664415" w:rsidRPr="005E1103" w:rsidTr="0046263B">
        <w:trPr>
          <w:trHeight w:val="315"/>
          <w:jc w:val="center"/>
        </w:trPr>
        <w:tc>
          <w:tcPr>
            <w:tcW w:w="365" w:type="dxa"/>
            <w:shd w:val="clear" w:color="auto" w:fill="C00000"/>
            <w:vAlign w:val="center"/>
          </w:tcPr>
          <w:p w:rsidR="00664415" w:rsidRPr="005E1103" w:rsidRDefault="00664415" w:rsidP="0046263B">
            <w:pPr>
              <w:spacing w:after="0" w:line="240" w:lineRule="auto"/>
              <w:rPr>
                <w:rFonts w:eastAsia="Times New Roman" w:cstheme="minorHAnsi"/>
                <w:b/>
                <w:bCs/>
                <w:sz w:val="28"/>
                <w:szCs w:val="28"/>
                <w:lang w:eastAsia="es-ES"/>
              </w:rPr>
            </w:pPr>
            <w:r w:rsidRPr="005E1103">
              <w:rPr>
                <w:rFonts w:eastAsia="Times New Roman" w:cstheme="minorHAnsi"/>
                <w:b/>
                <w:bCs/>
                <w:sz w:val="28"/>
                <w:szCs w:val="28"/>
                <w:lang w:eastAsia="es-ES"/>
              </w:rPr>
              <w:t>1</w:t>
            </w:r>
          </w:p>
        </w:tc>
        <w:tc>
          <w:tcPr>
            <w:tcW w:w="3585" w:type="dxa"/>
            <w:shd w:val="clear" w:color="auto" w:fill="C00000"/>
            <w:noWrap/>
            <w:vAlign w:val="center"/>
          </w:tcPr>
          <w:p w:rsidR="00664415" w:rsidRPr="005E1103" w:rsidRDefault="00664415" w:rsidP="0046263B">
            <w:pPr>
              <w:jc w:val="both"/>
              <w:rPr>
                <w:rFonts w:cstheme="minorHAnsi"/>
                <w:b/>
                <w:bCs/>
                <w:sz w:val="28"/>
                <w:szCs w:val="28"/>
              </w:rPr>
            </w:pPr>
            <w:r w:rsidRPr="005E1103">
              <w:rPr>
                <w:rFonts w:cstheme="minorHAnsi"/>
                <w:b/>
                <w:bCs/>
                <w:sz w:val="28"/>
                <w:szCs w:val="28"/>
              </w:rPr>
              <w:t xml:space="preserve">Francisco Javier Durán Ruiz </w:t>
            </w:r>
          </w:p>
          <w:p w:rsidR="00664415" w:rsidRPr="005E1103" w:rsidRDefault="00664415" w:rsidP="0046263B">
            <w:pPr>
              <w:spacing w:after="0" w:line="240" w:lineRule="auto"/>
              <w:jc w:val="both"/>
              <w:rPr>
                <w:rFonts w:eastAsia="Times New Roman" w:cstheme="minorHAnsi"/>
                <w:b/>
                <w:bCs/>
                <w:sz w:val="28"/>
                <w:szCs w:val="28"/>
                <w:lang w:eastAsia="es-ES"/>
              </w:rPr>
            </w:pPr>
          </w:p>
        </w:tc>
        <w:tc>
          <w:tcPr>
            <w:tcW w:w="2500" w:type="dxa"/>
            <w:tcBorders>
              <w:top w:val="single" w:sz="8" w:space="0" w:color="auto"/>
            </w:tcBorders>
            <w:shd w:val="clear" w:color="auto" w:fill="BFBFBF" w:themeFill="background1" w:themeFillShade="BF"/>
            <w:noWrap/>
            <w:vAlign w:val="center"/>
          </w:tcPr>
          <w:p w:rsidR="00664415" w:rsidRPr="005E1103" w:rsidRDefault="00664415" w:rsidP="0046263B">
            <w:pPr>
              <w:jc w:val="both"/>
              <w:rPr>
                <w:rFonts w:cstheme="minorHAnsi"/>
                <w:color w:val="000000"/>
                <w:sz w:val="28"/>
                <w:szCs w:val="28"/>
              </w:rPr>
            </w:pPr>
            <w:r w:rsidRPr="005E1103">
              <w:rPr>
                <w:rFonts w:cstheme="minorHAnsi"/>
                <w:color w:val="000000"/>
                <w:sz w:val="28"/>
                <w:szCs w:val="28"/>
              </w:rPr>
              <w:t>Universidad de Granada</w:t>
            </w:r>
          </w:p>
          <w:p w:rsidR="00664415" w:rsidRPr="005E1103" w:rsidRDefault="00664415" w:rsidP="0046263B">
            <w:pPr>
              <w:spacing w:after="0" w:line="240" w:lineRule="auto"/>
              <w:jc w:val="both"/>
              <w:rPr>
                <w:rFonts w:eastAsia="Times New Roman" w:cstheme="minorHAnsi"/>
                <w:b/>
                <w:sz w:val="28"/>
                <w:szCs w:val="28"/>
                <w:lang w:eastAsia="es-ES"/>
              </w:rPr>
            </w:pPr>
          </w:p>
        </w:tc>
        <w:tc>
          <w:tcPr>
            <w:tcW w:w="3539" w:type="dxa"/>
            <w:shd w:val="clear" w:color="auto" w:fill="BFBFBF" w:themeFill="background1" w:themeFillShade="BF"/>
            <w:vAlign w:val="center"/>
          </w:tcPr>
          <w:p w:rsidR="00664415" w:rsidRPr="005E1103" w:rsidRDefault="00664415" w:rsidP="0046263B">
            <w:pPr>
              <w:jc w:val="both"/>
              <w:rPr>
                <w:rFonts w:cstheme="minorHAnsi"/>
                <w:sz w:val="28"/>
                <w:szCs w:val="28"/>
              </w:rPr>
            </w:pPr>
            <w:r w:rsidRPr="005E1103">
              <w:rPr>
                <w:rFonts w:cstheme="minorHAnsi"/>
                <w:sz w:val="28"/>
                <w:szCs w:val="28"/>
              </w:rPr>
              <w:t>El acceso de los discapacitados como personal docente-investigador universitario. Sombras de inaplicación de la LGDPD</w:t>
            </w:r>
          </w:p>
          <w:p w:rsidR="00664415" w:rsidRPr="005E1103" w:rsidRDefault="00664415" w:rsidP="0046263B">
            <w:pPr>
              <w:spacing w:after="0" w:line="240" w:lineRule="auto"/>
              <w:jc w:val="both"/>
              <w:rPr>
                <w:rFonts w:eastAsia="Times New Roman" w:cstheme="minorHAnsi"/>
                <w:sz w:val="28"/>
                <w:szCs w:val="28"/>
                <w:lang w:eastAsia="es-ES"/>
              </w:rPr>
            </w:pPr>
          </w:p>
        </w:tc>
      </w:tr>
      <w:tr w:rsidR="00664415" w:rsidRPr="005E1103" w:rsidTr="0046263B">
        <w:trPr>
          <w:trHeight w:val="315"/>
          <w:jc w:val="center"/>
        </w:trPr>
        <w:tc>
          <w:tcPr>
            <w:tcW w:w="365" w:type="dxa"/>
            <w:shd w:val="clear" w:color="auto" w:fill="C00000"/>
            <w:vAlign w:val="center"/>
          </w:tcPr>
          <w:p w:rsidR="00664415" w:rsidRPr="005E1103" w:rsidRDefault="00664415" w:rsidP="0046263B">
            <w:pPr>
              <w:spacing w:after="0" w:line="240" w:lineRule="auto"/>
              <w:rPr>
                <w:rFonts w:eastAsia="Times New Roman" w:cstheme="minorHAnsi"/>
                <w:b/>
                <w:bCs/>
                <w:sz w:val="28"/>
                <w:szCs w:val="28"/>
                <w:lang w:eastAsia="es-ES"/>
              </w:rPr>
            </w:pPr>
            <w:r w:rsidRPr="005E1103">
              <w:rPr>
                <w:rFonts w:eastAsia="Times New Roman" w:cstheme="minorHAnsi"/>
                <w:b/>
                <w:bCs/>
                <w:sz w:val="28"/>
                <w:szCs w:val="28"/>
                <w:lang w:eastAsia="es-ES"/>
              </w:rPr>
              <w:t>2</w:t>
            </w:r>
          </w:p>
        </w:tc>
        <w:tc>
          <w:tcPr>
            <w:tcW w:w="3585" w:type="dxa"/>
            <w:shd w:val="clear" w:color="auto" w:fill="C00000"/>
            <w:noWrap/>
            <w:vAlign w:val="center"/>
          </w:tcPr>
          <w:p w:rsidR="00664415" w:rsidRPr="005E1103" w:rsidRDefault="00664415" w:rsidP="0046263B">
            <w:pPr>
              <w:jc w:val="both"/>
              <w:rPr>
                <w:rFonts w:cstheme="minorHAnsi"/>
                <w:b/>
                <w:bCs/>
                <w:sz w:val="28"/>
                <w:szCs w:val="28"/>
              </w:rPr>
            </w:pPr>
            <w:r w:rsidRPr="005E1103">
              <w:rPr>
                <w:rFonts w:cstheme="minorHAnsi"/>
                <w:b/>
                <w:bCs/>
                <w:sz w:val="28"/>
                <w:szCs w:val="28"/>
              </w:rPr>
              <w:t xml:space="preserve">Maria Honrubia Perez, Esther Sanchez Raja </w:t>
            </w:r>
          </w:p>
          <w:p w:rsidR="00664415" w:rsidRPr="005E1103" w:rsidRDefault="00664415" w:rsidP="0046263B">
            <w:pPr>
              <w:spacing w:after="0" w:line="240" w:lineRule="auto"/>
              <w:jc w:val="both"/>
              <w:rPr>
                <w:rFonts w:eastAsia="Times New Roman" w:cstheme="minorHAnsi"/>
                <w:b/>
                <w:bCs/>
                <w:sz w:val="28"/>
                <w:szCs w:val="28"/>
                <w:lang w:eastAsia="es-ES"/>
              </w:rPr>
            </w:pPr>
          </w:p>
        </w:tc>
        <w:tc>
          <w:tcPr>
            <w:tcW w:w="2500" w:type="dxa"/>
            <w:shd w:val="clear" w:color="auto" w:fill="BFBFBF" w:themeFill="background1" w:themeFillShade="BF"/>
            <w:noWrap/>
            <w:vAlign w:val="center"/>
          </w:tcPr>
          <w:p w:rsidR="00664415" w:rsidRPr="005E1103" w:rsidRDefault="00664415" w:rsidP="0046263B">
            <w:pPr>
              <w:jc w:val="both"/>
              <w:rPr>
                <w:rFonts w:cstheme="minorHAnsi"/>
                <w:color w:val="000000"/>
                <w:sz w:val="28"/>
                <w:szCs w:val="28"/>
              </w:rPr>
            </w:pPr>
            <w:r w:rsidRPr="005E1103">
              <w:rPr>
                <w:rFonts w:cstheme="minorHAnsi"/>
                <w:color w:val="000000"/>
                <w:sz w:val="28"/>
                <w:szCs w:val="28"/>
              </w:rPr>
              <w:t>Asociación Nacional de Salud sexual y Discapacidad (ANSSYD) y Universidad de Barcelona (Escuela de Enfermería)</w:t>
            </w:r>
          </w:p>
          <w:p w:rsidR="00664415" w:rsidRPr="005E1103" w:rsidRDefault="00664415" w:rsidP="0046263B">
            <w:pPr>
              <w:spacing w:after="0" w:line="240" w:lineRule="auto"/>
              <w:jc w:val="both"/>
              <w:rPr>
                <w:rFonts w:eastAsia="Times New Roman" w:cstheme="minorHAnsi"/>
                <w:b/>
                <w:sz w:val="28"/>
                <w:szCs w:val="28"/>
                <w:lang w:eastAsia="es-ES"/>
              </w:rPr>
            </w:pPr>
          </w:p>
        </w:tc>
        <w:tc>
          <w:tcPr>
            <w:tcW w:w="3539" w:type="dxa"/>
            <w:shd w:val="clear" w:color="auto" w:fill="BFBFBF" w:themeFill="background1" w:themeFillShade="BF"/>
            <w:vAlign w:val="center"/>
          </w:tcPr>
          <w:p w:rsidR="00664415" w:rsidRPr="005E1103" w:rsidRDefault="00664415" w:rsidP="0046263B">
            <w:pPr>
              <w:jc w:val="both"/>
              <w:rPr>
                <w:rFonts w:cstheme="minorHAnsi"/>
                <w:sz w:val="28"/>
                <w:szCs w:val="28"/>
              </w:rPr>
            </w:pPr>
            <w:r w:rsidRPr="005E1103">
              <w:rPr>
                <w:rFonts w:cstheme="minorHAnsi"/>
                <w:sz w:val="28"/>
                <w:szCs w:val="28"/>
              </w:rPr>
              <w:t xml:space="preserve">Tutorización de trabajos de Fin de Grado y Master desde la Asociación Nacional de Salud sexual y Discapacidad (ANSSYD) </w:t>
            </w:r>
          </w:p>
          <w:p w:rsidR="00664415" w:rsidRPr="005E1103" w:rsidRDefault="00664415" w:rsidP="0046263B">
            <w:pPr>
              <w:spacing w:after="0" w:line="240" w:lineRule="auto"/>
              <w:jc w:val="both"/>
              <w:rPr>
                <w:rFonts w:eastAsia="Times New Roman" w:cstheme="minorHAnsi"/>
                <w:sz w:val="28"/>
                <w:szCs w:val="28"/>
                <w:lang w:eastAsia="es-ES"/>
              </w:rPr>
            </w:pPr>
          </w:p>
        </w:tc>
      </w:tr>
      <w:tr w:rsidR="00664415" w:rsidRPr="005E1103" w:rsidTr="0046263B">
        <w:trPr>
          <w:trHeight w:val="315"/>
          <w:jc w:val="center"/>
        </w:trPr>
        <w:tc>
          <w:tcPr>
            <w:tcW w:w="365" w:type="dxa"/>
            <w:shd w:val="clear" w:color="auto" w:fill="C00000"/>
            <w:vAlign w:val="center"/>
          </w:tcPr>
          <w:p w:rsidR="00664415" w:rsidRPr="005E1103" w:rsidRDefault="00664415" w:rsidP="0046263B">
            <w:pPr>
              <w:spacing w:after="0" w:line="240" w:lineRule="auto"/>
              <w:rPr>
                <w:rFonts w:eastAsia="Times New Roman" w:cstheme="minorHAnsi"/>
                <w:b/>
                <w:bCs/>
                <w:sz w:val="28"/>
                <w:szCs w:val="28"/>
                <w:lang w:eastAsia="es-ES"/>
              </w:rPr>
            </w:pPr>
            <w:r w:rsidRPr="005E1103">
              <w:rPr>
                <w:rFonts w:eastAsia="Times New Roman" w:cstheme="minorHAnsi"/>
                <w:b/>
                <w:bCs/>
                <w:sz w:val="28"/>
                <w:szCs w:val="28"/>
                <w:lang w:eastAsia="es-ES"/>
              </w:rPr>
              <w:t>3</w:t>
            </w:r>
          </w:p>
        </w:tc>
        <w:tc>
          <w:tcPr>
            <w:tcW w:w="3585" w:type="dxa"/>
            <w:shd w:val="clear" w:color="auto" w:fill="C00000"/>
            <w:noWrap/>
            <w:vAlign w:val="center"/>
          </w:tcPr>
          <w:p w:rsidR="00664415" w:rsidRPr="005E1103" w:rsidRDefault="00664415" w:rsidP="0046263B">
            <w:pPr>
              <w:jc w:val="both"/>
              <w:rPr>
                <w:rFonts w:cstheme="minorHAnsi"/>
                <w:b/>
                <w:bCs/>
                <w:sz w:val="28"/>
                <w:szCs w:val="28"/>
              </w:rPr>
            </w:pPr>
            <w:r w:rsidRPr="005E1103">
              <w:rPr>
                <w:rFonts w:cstheme="minorHAnsi"/>
                <w:b/>
                <w:bCs/>
                <w:sz w:val="28"/>
                <w:szCs w:val="28"/>
              </w:rPr>
              <w:t xml:space="preserve">Gema Polonio de Dios </w:t>
            </w:r>
          </w:p>
          <w:p w:rsidR="00664415" w:rsidRPr="005E1103" w:rsidRDefault="00664415" w:rsidP="0046263B">
            <w:pPr>
              <w:spacing w:after="0" w:line="240" w:lineRule="auto"/>
              <w:jc w:val="both"/>
              <w:rPr>
                <w:rFonts w:eastAsia="Times New Roman" w:cstheme="minorHAnsi"/>
                <w:b/>
                <w:bCs/>
                <w:sz w:val="28"/>
                <w:szCs w:val="28"/>
                <w:lang w:eastAsia="es-ES"/>
              </w:rPr>
            </w:pPr>
          </w:p>
        </w:tc>
        <w:tc>
          <w:tcPr>
            <w:tcW w:w="2500" w:type="dxa"/>
            <w:shd w:val="clear" w:color="auto" w:fill="BFBFBF" w:themeFill="background1" w:themeFillShade="BF"/>
            <w:noWrap/>
            <w:vAlign w:val="center"/>
          </w:tcPr>
          <w:p w:rsidR="00664415" w:rsidRPr="005E1103" w:rsidRDefault="00664415" w:rsidP="0046263B">
            <w:pPr>
              <w:jc w:val="both"/>
              <w:rPr>
                <w:rFonts w:cstheme="minorHAnsi"/>
                <w:color w:val="000000"/>
                <w:sz w:val="28"/>
                <w:szCs w:val="28"/>
              </w:rPr>
            </w:pPr>
            <w:r w:rsidRPr="005E1103">
              <w:rPr>
                <w:rFonts w:cstheme="minorHAnsi"/>
                <w:color w:val="000000"/>
                <w:sz w:val="28"/>
                <w:szCs w:val="28"/>
              </w:rPr>
              <w:t xml:space="preserve">Universidad de Córdoba </w:t>
            </w:r>
          </w:p>
          <w:p w:rsidR="00664415" w:rsidRPr="005E1103" w:rsidRDefault="00664415" w:rsidP="0046263B">
            <w:pPr>
              <w:spacing w:after="0" w:line="240" w:lineRule="auto"/>
              <w:jc w:val="both"/>
              <w:rPr>
                <w:rFonts w:eastAsia="Times New Roman" w:cstheme="minorHAnsi"/>
                <w:b/>
                <w:sz w:val="28"/>
                <w:szCs w:val="28"/>
                <w:lang w:eastAsia="es-ES"/>
              </w:rPr>
            </w:pPr>
          </w:p>
        </w:tc>
        <w:tc>
          <w:tcPr>
            <w:tcW w:w="3539" w:type="dxa"/>
            <w:shd w:val="clear" w:color="auto" w:fill="BFBFBF" w:themeFill="background1" w:themeFillShade="BF"/>
            <w:noWrap/>
            <w:vAlign w:val="center"/>
          </w:tcPr>
          <w:p w:rsidR="00664415" w:rsidRPr="005E1103" w:rsidRDefault="00664415" w:rsidP="0046263B">
            <w:pPr>
              <w:rPr>
                <w:rFonts w:cstheme="minorHAnsi"/>
                <w:sz w:val="28"/>
                <w:szCs w:val="28"/>
              </w:rPr>
            </w:pPr>
            <w:r w:rsidRPr="005E1103">
              <w:rPr>
                <w:rFonts w:cstheme="minorHAnsi"/>
                <w:sz w:val="28"/>
                <w:szCs w:val="28"/>
              </w:rPr>
              <w:t xml:space="preserve">Hacia una revisión del marco legislativo español para la promoción de una universidad más inclusiva </w:t>
            </w:r>
          </w:p>
          <w:p w:rsidR="00664415" w:rsidRPr="005E1103" w:rsidRDefault="00664415" w:rsidP="0046263B">
            <w:pPr>
              <w:spacing w:after="0" w:line="240" w:lineRule="auto"/>
              <w:rPr>
                <w:rFonts w:eastAsia="Times New Roman" w:cstheme="minorHAnsi"/>
                <w:sz w:val="28"/>
                <w:szCs w:val="28"/>
                <w:lang w:eastAsia="es-ES"/>
              </w:rPr>
            </w:pPr>
          </w:p>
        </w:tc>
      </w:tr>
      <w:tr w:rsidR="00664415" w:rsidRPr="005E1103" w:rsidTr="0046263B">
        <w:trPr>
          <w:trHeight w:val="315"/>
          <w:jc w:val="center"/>
        </w:trPr>
        <w:tc>
          <w:tcPr>
            <w:tcW w:w="365" w:type="dxa"/>
            <w:shd w:val="clear" w:color="auto" w:fill="C00000"/>
            <w:vAlign w:val="center"/>
          </w:tcPr>
          <w:p w:rsidR="00664415" w:rsidRPr="005E1103" w:rsidRDefault="00664415" w:rsidP="0046263B">
            <w:pPr>
              <w:spacing w:after="0" w:line="240" w:lineRule="auto"/>
              <w:rPr>
                <w:rFonts w:eastAsia="Times New Roman" w:cstheme="minorHAnsi"/>
                <w:b/>
                <w:bCs/>
                <w:sz w:val="28"/>
                <w:szCs w:val="28"/>
                <w:lang w:eastAsia="es-ES"/>
              </w:rPr>
            </w:pPr>
            <w:r w:rsidRPr="005E1103">
              <w:rPr>
                <w:rFonts w:eastAsia="Times New Roman" w:cstheme="minorHAnsi"/>
                <w:b/>
                <w:bCs/>
                <w:sz w:val="28"/>
                <w:szCs w:val="28"/>
                <w:lang w:eastAsia="es-ES"/>
              </w:rPr>
              <w:t>4</w:t>
            </w:r>
          </w:p>
        </w:tc>
        <w:tc>
          <w:tcPr>
            <w:tcW w:w="3585" w:type="dxa"/>
            <w:shd w:val="clear" w:color="auto" w:fill="C00000"/>
            <w:noWrap/>
            <w:vAlign w:val="center"/>
          </w:tcPr>
          <w:p w:rsidR="00664415" w:rsidRPr="005E1103" w:rsidRDefault="00664415" w:rsidP="0046263B">
            <w:pPr>
              <w:jc w:val="both"/>
              <w:rPr>
                <w:rFonts w:cstheme="minorHAnsi"/>
                <w:b/>
                <w:bCs/>
                <w:sz w:val="28"/>
                <w:szCs w:val="28"/>
              </w:rPr>
            </w:pPr>
            <w:r w:rsidRPr="005E1103">
              <w:rPr>
                <w:rFonts w:cstheme="minorHAnsi"/>
                <w:b/>
                <w:bCs/>
                <w:sz w:val="28"/>
                <w:szCs w:val="28"/>
              </w:rPr>
              <w:t xml:space="preserve">Jenny Estefany Valenzuela Rincón </w:t>
            </w:r>
          </w:p>
          <w:p w:rsidR="00664415" w:rsidRPr="005E1103" w:rsidRDefault="00664415" w:rsidP="0046263B">
            <w:pPr>
              <w:spacing w:after="0" w:line="240" w:lineRule="auto"/>
              <w:jc w:val="both"/>
              <w:rPr>
                <w:rFonts w:eastAsia="Times New Roman" w:cstheme="minorHAnsi"/>
                <w:b/>
                <w:bCs/>
                <w:sz w:val="28"/>
                <w:szCs w:val="28"/>
                <w:lang w:eastAsia="es-ES"/>
              </w:rPr>
            </w:pPr>
          </w:p>
        </w:tc>
        <w:tc>
          <w:tcPr>
            <w:tcW w:w="2500" w:type="dxa"/>
            <w:shd w:val="clear" w:color="auto" w:fill="BFBFBF" w:themeFill="background1" w:themeFillShade="BF"/>
            <w:noWrap/>
            <w:vAlign w:val="center"/>
          </w:tcPr>
          <w:p w:rsidR="00664415" w:rsidRPr="005E1103" w:rsidRDefault="00664415" w:rsidP="0046263B">
            <w:pPr>
              <w:jc w:val="both"/>
              <w:rPr>
                <w:rFonts w:cstheme="minorHAnsi"/>
                <w:color w:val="000000"/>
                <w:sz w:val="28"/>
                <w:szCs w:val="28"/>
              </w:rPr>
            </w:pPr>
            <w:r w:rsidRPr="005E1103">
              <w:rPr>
                <w:rFonts w:cstheme="minorHAnsi"/>
                <w:color w:val="000000"/>
                <w:sz w:val="28"/>
                <w:szCs w:val="28"/>
              </w:rPr>
              <w:t xml:space="preserve">Universidad Industrial de Santander </w:t>
            </w:r>
          </w:p>
          <w:p w:rsidR="00664415" w:rsidRPr="005E1103" w:rsidRDefault="00664415" w:rsidP="0046263B">
            <w:pPr>
              <w:spacing w:after="0" w:line="240" w:lineRule="auto"/>
              <w:jc w:val="both"/>
              <w:rPr>
                <w:rFonts w:eastAsia="Times New Roman" w:cstheme="minorHAnsi"/>
                <w:b/>
                <w:sz w:val="28"/>
                <w:szCs w:val="28"/>
                <w:lang w:eastAsia="es-ES"/>
              </w:rPr>
            </w:pPr>
          </w:p>
        </w:tc>
        <w:tc>
          <w:tcPr>
            <w:tcW w:w="3539" w:type="dxa"/>
            <w:shd w:val="clear" w:color="auto" w:fill="BFBFBF" w:themeFill="background1" w:themeFillShade="BF"/>
            <w:noWrap/>
            <w:vAlign w:val="center"/>
          </w:tcPr>
          <w:p w:rsidR="00664415" w:rsidRPr="005E1103" w:rsidRDefault="00664415" w:rsidP="0046263B">
            <w:pPr>
              <w:jc w:val="both"/>
              <w:rPr>
                <w:rFonts w:cstheme="minorHAnsi"/>
                <w:sz w:val="28"/>
                <w:szCs w:val="28"/>
              </w:rPr>
            </w:pPr>
            <w:r w:rsidRPr="005E1103">
              <w:rPr>
                <w:rFonts w:cstheme="minorHAnsi"/>
                <w:sz w:val="28"/>
                <w:szCs w:val="28"/>
              </w:rPr>
              <w:t>Aproximación al estado de la Inclusión Educativa universitaria en Colombia: Tendencias y vacíos</w:t>
            </w:r>
          </w:p>
          <w:p w:rsidR="00664415" w:rsidRPr="005E1103" w:rsidRDefault="00664415" w:rsidP="0046263B">
            <w:pPr>
              <w:spacing w:after="0" w:line="240" w:lineRule="auto"/>
              <w:jc w:val="both"/>
              <w:rPr>
                <w:rFonts w:eastAsia="Times New Roman" w:cstheme="minorHAnsi"/>
                <w:sz w:val="28"/>
                <w:szCs w:val="28"/>
                <w:lang w:eastAsia="es-ES"/>
              </w:rPr>
            </w:pPr>
          </w:p>
        </w:tc>
      </w:tr>
      <w:tr w:rsidR="00664415" w:rsidRPr="005E1103" w:rsidTr="0046263B">
        <w:trPr>
          <w:trHeight w:val="315"/>
          <w:jc w:val="center"/>
        </w:trPr>
        <w:tc>
          <w:tcPr>
            <w:tcW w:w="365" w:type="dxa"/>
            <w:shd w:val="clear" w:color="auto" w:fill="C00000"/>
            <w:vAlign w:val="center"/>
          </w:tcPr>
          <w:p w:rsidR="00664415" w:rsidRPr="005E1103" w:rsidRDefault="00664415" w:rsidP="0046263B">
            <w:pPr>
              <w:spacing w:after="0" w:line="240" w:lineRule="auto"/>
              <w:rPr>
                <w:rFonts w:eastAsia="Times New Roman" w:cstheme="minorHAnsi"/>
                <w:b/>
                <w:bCs/>
                <w:sz w:val="28"/>
                <w:szCs w:val="28"/>
                <w:lang w:eastAsia="es-ES"/>
              </w:rPr>
            </w:pPr>
            <w:r w:rsidRPr="005E1103">
              <w:rPr>
                <w:rFonts w:eastAsia="Times New Roman" w:cstheme="minorHAnsi"/>
                <w:b/>
                <w:bCs/>
                <w:sz w:val="28"/>
                <w:szCs w:val="28"/>
                <w:lang w:eastAsia="es-ES"/>
              </w:rPr>
              <w:t>5</w:t>
            </w:r>
          </w:p>
        </w:tc>
        <w:tc>
          <w:tcPr>
            <w:tcW w:w="3585" w:type="dxa"/>
            <w:shd w:val="clear" w:color="auto" w:fill="C00000"/>
            <w:noWrap/>
            <w:vAlign w:val="center"/>
          </w:tcPr>
          <w:p w:rsidR="00664415" w:rsidRPr="005E1103" w:rsidRDefault="00664415" w:rsidP="0046263B">
            <w:pPr>
              <w:jc w:val="both"/>
              <w:rPr>
                <w:rFonts w:cstheme="minorHAnsi"/>
                <w:b/>
                <w:bCs/>
                <w:sz w:val="28"/>
                <w:szCs w:val="28"/>
              </w:rPr>
            </w:pPr>
            <w:r w:rsidRPr="005E1103">
              <w:rPr>
                <w:rFonts w:cstheme="minorHAnsi"/>
                <w:b/>
                <w:bCs/>
                <w:sz w:val="28"/>
                <w:szCs w:val="28"/>
              </w:rPr>
              <w:t>Antonieta Ozols R.</w:t>
            </w:r>
          </w:p>
          <w:p w:rsidR="00664415" w:rsidRPr="005E1103" w:rsidRDefault="00664415" w:rsidP="0046263B">
            <w:pPr>
              <w:spacing w:after="0" w:line="240" w:lineRule="auto"/>
              <w:jc w:val="both"/>
              <w:rPr>
                <w:rFonts w:eastAsia="Times New Roman" w:cstheme="minorHAnsi"/>
                <w:b/>
                <w:bCs/>
                <w:sz w:val="28"/>
                <w:szCs w:val="28"/>
                <w:lang w:eastAsia="es-ES"/>
              </w:rPr>
            </w:pPr>
          </w:p>
        </w:tc>
        <w:tc>
          <w:tcPr>
            <w:tcW w:w="2500" w:type="dxa"/>
            <w:shd w:val="clear" w:color="auto" w:fill="BFBFBF" w:themeFill="background1" w:themeFillShade="BF"/>
            <w:noWrap/>
            <w:vAlign w:val="center"/>
          </w:tcPr>
          <w:p w:rsidR="00664415" w:rsidRPr="005E1103" w:rsidRDefault="00664415" w:rsidP="0046263B">
            <w:pPr>
              <w:jc w:val="both"/>
              <w:rPr>
                <w:rFonts w:cstheme="minorHAnsi"/>
                <w:color w:val="000000"/>
                <w:sz w:val="28"/>
                <w:szCs w:val="28"/>
              </w:rPr>
            </w:pPr>
            <w:r w:rsidRPr="005E1103">
              <w:rPr>
                <w:rFonts w:cstheme="minorHAnsi"/>
                <w:color w:val="000000"/>
                <w:sz w:val="28"/>
                <w:szCs w:val="28"/>
              </w:rPr>
              <w:t xml:space="preserve">Universidad Nacional de Costa Rica </w:t>
            </w:r>
          </w:p>
          <w:p w:rsidR="00664415" w:rsidRPr="005E1103" w:rsidRDefault="00664415" w:rsidP="0046263B">
            <w:pPr>
              <w:spacing w:after="0" w:line="240" w:lineRule="auto"/>
              <w:jc w:val="both"/>
              <w:rPr>
                <w:rFonts w:eastAsia="Times New Roman" w:cstheme="minorHAnsi"/>
                <w:b/>
                <w:sz w:val="28"/>
                <w:szCs w:val="28"/>
                <w:lang w:eastAsia="es-ES"/>
              </w:rPr>
            </w:pPr>
          </w:p>
        </w:tc>
        <w:tc>
          <w:tcPr>
            <w:tcW w:w="3539" w:type="dxa"/>
            <w:shd w:val="clear" w:color="auto" w:fill="BFBFBF" w:themeFill="background1" w:themeFillShade="BF"/>
            <w:noWrap/>
            <w:vAlign w:val="center"/>
          </w:tcPr>
          <w:p w:rsidR="00664415" w:rsidRPr="005E1103" w:rsidRDefault="00664415" w:rsidP="0046263B">
            <w:pPr>
              <w:jc w:val="both"/>
              <w:rPr>
                <w:rFonts w:cstheme="minorHAnsi"/>
                <w:sz w:val="28"/>
                <w:szCs w:val="28"/>
              </w:rPr>
            </w:pPr>
            <w:r w:rsidRPr="005E1103">
              <w:rPr>
                <w:rFonts w:cstheme="minorHAnsi"/>
                <w:sz w:val="28"/>
                <w:szCs w:val="28"/>
              </w:rPr>
              <w:t>Inclusión Educativa en la  Universidad Nacional</w:t>
            </w:r>
          </w:p>
          <w:p w:rsidR="00664415" w:rsidRPr="005E1103" w:rsidRDefault="00664415" w:rsidP="0046263B">
            <w:pPr>
              <w:spacing w:after="0" w:line="240" w:lineRule="auto"/>
              <w:jc w:val="both"/>
              <w:rPr>
                <w:rFonts w:eastAsia="Times New Roman" w:cstheme="minorHAnsi"/>
                <w:sz w:val="28"/>
                <w:szCs w:val="28"/>
                <w:lang w:eastAsia="es-ES"/>
              </w:rPr>
            </w:pPr>
          </w:p>
        </w:tc>
      </w:tr>
      <w:tr w:rsidR="00664415" w:rsidRPr="005E1103" w:rsidTr="0046263B">
        <w:trPr>
          <w:trHeight w:val="315"/>
          <w:jc w:val="center"/>
        </w:trPr>
        <w:tc>
          <w:tcPr>
            <w:tcW w:w="365" w:type="dxa"/>
            <w:shd w:val="clear" w:color="auto" w:fill="C00000"/>
            <w:vAlign w:val="center"/>
          </w:tcPr>
          <w:p w:rsidR="00664415" w:rsidRPr="005E1103" w:rsidRDefault="00664415" w:rsidP="0046263B">
            <w:pPr>
              <w:spacing w:after="0" w:line="240" w:lineRule="auto"/>
              <w:rPr>
                <w:rFonts w:eastAsia="Times New Roman" w:cstheme="minorHAnsi"/>
                <w:b/>
                <w:bCs/>
                <w:sz w:val="28"/>
                <w:szCs w:val="28"/>
                <w:lang w:eastAsia="es-ES"/>
              </w:rPr>
            </w:pPr>
            <w:r w:rsidRPr="005E1103">
              <w:rPr>
                <w:rFonts w:eastAsia="Times New Roman" w:cstheme="minorHAnsi"/>
                <w:b/>
                <w:bCs/>
                <w:sz w:val="28"/>
                <w:szCs w:val="28"/>
                <w:lang w:eastAsia="es-ES"/>
              </w:rPr>
              <w:t>6</w:t>
            </w:r>
          </w:p>
        </w:tc>
        <w:tc>
          <w:tcPr>
            <w:tcW w:w="3585" w:type="dxa"/>
            <w:shd w:val="clear" w:color="auto" w:fill="C00000"/>
            <w:noWrap/>
            <w:vAlign w:val="center"/>
          </w:tcPr>
          <w:p w:rsidR="00664415" w:rsidRPr="005E1103" w:rsidRDefault="00664415" w:rsidP="0046263B">
            <w:pPr>
              <w:jc w:val="both"/>
              <w:rPr>
                <w:rFonts w:cstheme="minorHAnsi"/>
                <w:b/>
                <w:bCs/>
                <w:sz w:val="28"/>
                <w:szCs w:val="28"/>
              </w:rPr>
            </w:pPr>
            <w:r w:rsidRPr="005E1103">
              <w:rPr>
                <w:rFonts w:cstheme="minorHAnsi"/>
                <w:b/>
                <w:bCs/>
                <w:sz w:val="28"/>
                <w:szCs w:val="28"/>
              </w:rPr>
              <w:t xml:space="preserve"> Pilar López de la Osa Escribano,  Mercedes de Prada Rodríguez</w:t>
            </w:r>
          </w:p>
          <w:p w:rsidR="00664415" w:rsidRPr="005E1103" w:rsidRDefault="00664415" w:rsidP="0046263B">
            <w:pPr>
              <w:spacing w:after="0" w:line="240" w:lineRule="auto"/>
              <w:jc w:val="both"/>
              <w:rPr>
                <w:rFonts w:eastAsia="Times New Roman" w:cstheme="minorHAnsi"/>
                <w:b/>
                <w:bCs/>
                <w:sz w:val="28"/>
                <w:szCs w:val="28"/>
                <w:lang w:eastAsia="es-ES"/>
              </w:rPr>
            </w:pPr>
          </w:p>
        </w:tc>
        <w:tc>
          <w:tcPr>
            <w:tcW w:w="2500" w:type="dxa"/>
            <w:shd w:val="clear" w:color="auto" w:fill="BFBFBF" w:themeFill="background1" w:themeFillShade="BF"/>
            <w:noWrap/>
            <w:vAlign w:val="center"/>
          </w:tcPr>
          <w:p w:rsidR="00664415" w:rsidRPr="005E1103" w:rsidRDefault="00664415" w:rsidP="0046263B">
            <w:pPr>
              <w:jc w:val="both"/>
              <w:rPr>
                <w:rFonts w:cstheme="minorHAnsi"/>
                <w:color w:val="000000"/>
                <w:sz w:val="28"/>
                <w:szCs w:val="28"/>
              </w:rPr>
            </w:pPr>
            <w:r w:rsidRPr="005E1103">
              <w:rPr>
                <w:rFonts w:cstheme="minorHAnsi"/>
                <w:color w:val="000000"/>
                <w:sz w:val="28"/>
                <w:szCs w:val="28"/>
              </w:rPr>
              <w:t xml:space="preserve">Centro  Universitario Villanueva (Universidad Complutense de Madrid) </w:t>
            </w:r>
          </w:p>
          <w:p w:rsidR="00664415" w:rsidRPr="005E1103" w:rsidRDefault="00664415" w:rsidP="0046263B">
            <w:pPr>
              <w:spacing w:after="0" w:line="240" w:lineRule="auto"/>
              <w:jc w:val="both"/>
              <w:rPr>
                <w:rFonts w:eastAsia="Times New Roman" w:cstheme="minorHAnsi"/>
                <w:b/>
                <w:sz w:val="28"/>
                <w:szCs w:val="28"/>
                <w:lang w:eastAsia="es-ES"/>
              </w:rPr>
            </w:pPr>
          </w:p>
        </w:tc>
        <w:tc>
          <w:tcPr>
            <w:tcW w:w="3539" w:type="dxa"/>
            <w:shd w:val="clear" w:color="auto" w:fill="BFBFBF" w:themeFill="background1" w:themeFillShade="BF"/>
            <w:noWrap/>
            <w:vAlign w:val="center"/>
          </w:tcPr>
          <w:p w:rsidR="00664415" w:rsidRPr="005E1103" w:rsidRDefault="00664415" w:rsidP="0046263B">
            <w:pPr>
              <w:jc w:val="both"/>
              <w:rPr>
                <w:rFonts w:cstheme="minorHAnsi"/>
                <w:sz w:val="28"/>
                <w:szCs w:val="28"/>
              </w:rPr>
            </w:pPr>
            <w:r w:rsidRPr="005E1103">
              <w:rPr>
                <w:rFonts w:cstheme="minorHAnsi"/>
                <w:sz w:val="28"/>
                <w:szCs w:val="28"/>
              </w:rPr>
              <w:lastRenderedPageBreak/>
              <w:t>La inclusión de estudiantes con discapacidad en la educación universitaria: concienciar  y formar</w:t>
            </w:r>
          </w:p>
          <w:p w:rsidR="00664415" w:rsidRPr="005E1103" w:rsidRDefault="00664415" w:rsidP="0046263B">
            <w:pPr>
              <w:spacing w:after="0" w:line="240" w:lineRule="auto"/>
              <w:jc w:val="both"/>
              <w:rPr>
                <w:rFonts w:eastAsia="Times New Roman" w:cstheme="minorHAnsi"/>
                <w:sz w:val="28"/>
                <w:szCs w:val="28"/>
                <w:lang w:eastAsia="es-ES"/>
              </w:rPr>
            </w:pPr>
          </w:p>
        </w:tc>
      </w:tr>
      <w:tr w:rsidR="00664415" w:rsidRPr="005E1103" w:rsidTr="0046263B">
        <w:trPr>
          <w:trHeight w:val="315"/>
          <w:jc w:val="center"/>
        </w:trPr>
        <w:tc>
          <w:tcPr>
            <w:tcW w:w="365" w:type="dxa"/>
            <w:shd w:val="clear" w:color="auto" w:fill="C00000"/>
            <w:vAlign w:val="center"/>
          </w:tcPr>
          <w:p w:rsidR="00664415" w:rsidRPr="005E1103" w:rsidRDefault="00664415" w:rsidP="0046263B">
            <w:pPr>
              <w:spacing w:line="240" w:lineRule="auto"/>
              <w:rPr>
                <w:rFonts w:eastAsia="Times New Roman" w:cstheme="minorHAnsi"/>
                <w:b/>
                <w:bCs/>
                <w:sz w:val="28"/>
                <w:szCs w:val="28"/>
                <w:lang w:eastAsia="es-ES"/>
              </w:rPr>
            </w:pPr>
            <w:r w:rsidRPr="005E1103">
              <w:rPr>
                <w:rFonts w:eastAsia="Times New Roman" w:cstheme="minorHAnsi"/>
                <w:b/>
                <w:bCs/>
                <w:sz w:val="28"/>
                <w:szCs w:val="28"/>
                <w:lang w:eastAsia="es-ES"/>
              </w:rPr>
              <w:lastRenderedPageBreak/>
              <w:t>7</w:t>
            </w:r>
          </w:p>
        </w:tc>
        <w:tc>
          <w:tcPr>
            <w:tcW w:w="3585" w:type="dxa"/>
            <w:shd w:val="clear" w:color="auto" w:fill="C00000"/>
            <w:noWrap/>
            <w:vAlign w:val="center"/>
          </w:tcPr>
          <w:p w:rsidR="00664415" w:rsidRPr="005E1103" w:rsidRDefault="00664415" w:rsidP="0046263B">
            <w:pPr>
              <w:jc w:val="both"/>
              <w:rPr>
                <w:rFonts w:cstheme="minorHAnsi"/>
                <w:b/>
                <w:bCs/>
                <w:sz w:val="28"/>
                <w:szCs w:val="28"/>
              </w:rPr>
            </w:pPr>
            <w:r w:rsidRPr="005E1103">
              <w:rPr>
                <w:rFonts w:cstheme="minorHAnsi"/>
                <w:b/>
                <w:bCs/>
                <w:sz w:val="28"/>
                <w:szCs w:val="28"/>
              </w:rPr>
              <w:t>Jose Luis Aguirre</w:t>
            </w:r>
          </w:p>
          <w:p w:rsidR="00664415" w:rsidRPr="005E1103" w:rsidRDefault="00664415" w:rsidP="0046263B">
            <w:pPr>
              <w:spacing w:after="0" w:line="240" w:lineRule="auto"/>
              <w:jc w:val="both"/>
              <w:rPr>
                <w:rFonts w:eastAsia="Times New Roman" w:cstheme="minorHAnsi"/>
                <w:b/>
                <w:bCs/>
                <w:sz w:val="28"/>
                <w:szCs w:val="28"/>
                <w:lang w:val="es-ES_tradnl" w:eastAsia="es-ES"/>
              </w:rPr>
            </w:pPr>
          </w:p>
        </w:tc>
        <w:tc>
          <w:tcPr>
            <w:tcW w:w="2500" w:type="dxa"/>
            <w:shd w:val="clear" w:color="auto" w:fill="BFBFBF" w:themeFill="background1" w:themeFillShade="BF"/>
            <w:noWrap/>
            <w:vAlign w:val="center"/>
          </w:tcPr>
          <w:p w:rsidR="00664415" w:rsidRPr="005E1103" w:rsidRDefault="00664415" w:rsidP="0046263B">
            <w:pPr>
              <w:jc w:val="both"/>
              <w:rPr>
                <w:rFonts w:cstheme="minorHAnsi"/>
                <w:color w:val="000000"/>
                <w:sz w:val="28"/>
                <w:szCs w:val="28"/>
              </w:rPr>
            </w:pPr>
            <w:r w:rsidRPr="005E1103">
              <w:rPr>
                <w:rFonts w:cstheme="minorHAnsi"/>
                <w:color w:val="000000"/>
                <w:sz w:val="28"/>
                <w:szCs w:val="28"/>
              </w:rPr>
              <w:t>Centro Universitario de Investigación y Docencia. Instituto Universitario del Gran Rosario</w:t>
            </w:r>
          </w:p>
          <w:p w:rsidR="00664415" w:rsidRPr="005E1103" w:rsidRDefault="00664415" w:rsidP="0046263B">
            <w:pPr>
              <w:spacing w:after="0" w:line="240" w:lineRule="auto"/>
              <w:jc w:val="both"/>
              <w:rPr>
                <w:rFonts w:eastAsia="Times New Roman" w:cstheme="minorHAnsi"/>
                <w:b/>
                <w:sz w:val="28"/>
                <w:szCs w:val="28"/>
                <w:lang w:eastAsia="es-ES"/>
              </w:rPr>
            </w:pPr>
          </w:p>
        </w:tc>
        <w:tc>
          <w:tcPr>
            <w:tcW w:w="3539" w:type="dxa"/>
            <w:shd w:val="clear" w:color="auto" w:fill="BFBFBF" w:themeFill="background1" w:themeFillShade="BF"/>
            <w:noWrap/>
            <w:vAlign w:val="center"/>
          </w:tcPr>
          <w:p w:rsidR="00664415" w:rsidRPr="005E1103" w:rsidRDefault="00664415" w:rsidP="0046263B">
            <w:pPr>
              <w:jc w:val="both"/>
              <w:rPr>
                <w:rFonts w:cstheme="minorHAnsi"/>
                <w:sz w:val="28"/>
                <w:szCs w:val="28"/>
              </w:rPr>
            </w:pPr>
            <w:r w:rsidRPr="005E1103">
              <w:rPr>
                <w:rFonts w:cstheme="minorHAnsi"/>
                <w:sz w:val="28"/>
                <w:szCs w:val="28"/>
              </w:rPr>
              <w:t>El rol de la Universidad en los procesos de Inclusión social de personas con discapacidad</w:t>
            </w:r>
          </w:p>
          <w:p w:rsidR="00664415" w:rsidRPr="005E1103" w:rsidRDefault="00664415" w:rsidP="0046263B">
            <w:pPr>
              <w:spacing w:after="0" w:line="240" w:lineRule="auto"/>
              <w:jc w:val="both"/>
              <w:rPr>
                <w:rFonts w:eastAsia="Times New Roman" w:cstheme="minorHAnsi"/>
                <w:sz w:val="28"/>
                <w:szCs w:val="28"/>
                <w:lang w:eastAsia="es-ES"/>
              </w:rPr>
            </w:pPr>
          </w:p>
        </w:tc>
      </w:tr>
      <w:tr w:rsidR="00664415" w:rsidRPr="005E1103" w:rsidTr="0046263B">
        <w:trPr>
          <w:trHeight w:val="315"/>
          <w:jc w:val="center"/>
        </w:trPr>
        <w:tc>
          <w:tcPr>
            <w:tcW w:w="365" w:type="dxa"/>
            <w:shd w:val="clear" w:color="auto" w:fill="C00000"/>
            <w:vAlign w:val="center"/>
          </w:tcPr>
          <w:p w:rsidR="00664415" w:rsidRPr="005E1103" w:rsidRDefault="00664415" w:rsidP="0046263B">
            <w:pPr>
              <w:spacing w:line="240" w:lineRule="auto"/>
              <w:rPr>
                <w:rFonts w:eastAsia="Times New Roman" w:cstheme="minorHAnsi"/>
                <w:b/>
                <w:bCs/>
                <w:sz w:val="28"/>
                <w:szCs w:val="28"/>
                <w:lang w:eastAsia="es-ES"/>
              </w:rPr>
            </w:pPr>
            <w:r w:rsidRPr="005E1103">
              <w:rPr>
                <w:rFonts w:eastAsia="Times New Roman" w:cstheme="minorHAnsi"/>
                <w:b/>
                <w:bCs/>
                <w:sz w:val="28"/>
                <w:szCs w:val="28"/>
                <w:lang w:eastAsia="es-ES"/>
              </w:rPr>
              <w:t>8</w:t>
            </w:r>
          </w:p>
        </w:tc>
        <w:tc>
          <w:tcPr>
            <w:tcW w:w="3585" w:type="dxa"/>
            <w:shd w:val="clear" w:color="auto" w:fill="C00000"/>
            <w:noWrap/>
            <w:vAlign w:val="center"/>
          </w:tcPr>
          <w:p w:rsidR="00664415" w:rsidRPr="005E1103" w:rsidRDefault="00664415" w:rsidP="0046263B">
            <w:pPr>
              <w:jc w:val="both"/>
              <w:rPr>
                <w:rFonts w:cstheme="minorHAnsi"/>
                <w:b/>
                <w:bCs/>
                <w:sz w:val="28"/>
                <w:szCs w:val="28"/>
              </w:rPr>
            </w:pPr>
            <w:r w:rsidRPr="005E1103">
              <w:rPr>
                <w:rFonts w:cstheme="minorHAnsi"/>
                <w:b/>
                <w:bCs/>
                <w:sz w:val="28"/>
                <w:szCs w:val="28"/>
              </w:rPr>
              <w:t>Jesus Manuel Cedeira Costales</w:t>
            </w:r>
          </w:p>
        </w:tc>
        <w:tc>
          <w:tcPr>
            <w:tcW w:w="2500" w:type="dxa"/>
            <w:shd w:val="clear" w:color="auto" w:fill="BFBFBF" w:themeFill="background1" w:themeFillShade="BF"/>
            <w:noWrap/>
            <w:vAlign w:val="center"/>
          </w:tcPr>
          <w:p w:rsidR="00664415" w:rsidRPr="005E1103" w:rsidRDefault="00664415" w:rsidP="0046263B">
            <w:pPr>
              <w:jc w:val="both"/>
              <w:rPr>
                <w:rFonts w:cstheme="minorHAnsi"/>
                <w:color w:val="000000"/>
                <w:sz w:val="28"/>
                <w:szCs w:val="28"/>
              </w:rPr>
            </w:pPr>
            <w:r w:rsidRPr="005E1103">
              <w:rPr>
                <w:rFonts w:cstheme="minorHAnsi"/>
                <w:color w:val="000000"/>
                <w:sz w:val="28"/>
                <w:szCs w:val="28"/>
              </w:rPr>
              <w:t>Universidad de Oviedo</w:t>
            </w:r>
          </w:p>
        </w:tc>
        <w:tc>
          <w:tcPr>
            <w:tcW w:w="3539" w:type="dxa"/>
            <w:shd w:val="clear" w:color="auto" w:fill="BFBFBF" w:themeFill="background1" w:themeFillShade="BF"/>
            <w:noWrap/>
            <w:vAlign w:val="center"/>
          </w:tcPr>
          <w:p w:rsidR="00664415" w:rsidRPr="005E1103" w:rsidRDefault="00664415" w:rsidP="0046263B">
            <w:pPr>
              <w:jc w:val="both"/>
              <w:rPr>
                <w:rFonts w:cstheme="minorHAnsi"/>
                <w:sz w:val="28"/>
                <w:szCs w:val="28"/>
              </w:rPr>
            </w:pPr>
            <w:r w:rsidRPr="005E1103">
              <w:rPr>
                <w:rFonts w:cstheme="minorHAnsi"/>
                <w:sz w:val="28"/>
                <w:szCs w:val="28"/>
              </w:rPr>
              <w:t>Haciendo accesible la accesibilidad: Un Modelo de la  Participación Social Inclusiva</w:t>
            </w:r>
          </w:p>
        </w:tc>
      </w:tr>
      <w:tr w:rsidR="00664415" w:rsidRPr="005E1103" w:rsidTr="0046263B">
        <w:trPr>
          <w:trHeight w:val="315"/>
          <w:jc w:val="center"/>
        </w:trPr>
        <w:tc>
          <w:tcPr>
            <w:tcW w:w="365" w:type="dxa"/>
            <w:shd w:val="clear" w:color="auto" w:fill="C00000"/>
            <w:vAlign w:val="center"/>
          </w:tcPr>
          <w:p w:rsidR="00664415" w:rsidRPr="005E1103" w:rsidRDefault="00664415" w:rsidP="0046263B">
            <w:pPr>
              <w:spacing w:line="240" w:lineRule="auto"/>
              <w:rPr>
                <w:rFonts w:eastAsia="Times New Roman" w:cstheme="minorHAnsi"/>
                <w:b/>
                <w:bCs/>
                <w:sz w:val="28"/>
                <w:szCs w:val="28"/>
                <w:lang w:eastAsia="es-ES"/>
              </w:rPr>
            </w:pPr>
            <w:r w:rsidRPr="005E1103">
              <w:rPr>
                <w:rFonts w:eastAsia="Times New Roman" w:cstheme="minorHAnsi"/>
                <w:b/>
                <w:bCs/>
                <w:sz w:val="28"/>
                <w:szCs w:val="28"/>
                <w:lang w:eastAsia="es-ES"/>
              </w:rPr>
              <w:t>9</w:t>
            </w:r>
          </w:p>
        </w:tc>
        <w:tc>
          <w:tcPr>
            <w:tcW w:w="3585" w:type="dxa"/>
            <w:shd w:val="clear" w:color="auto" w:fill="C00000"/>
            <w:noWrap/>
            <w:vAlign w:val="center"/>
          </w:tcPr>
          <w:p w:rsidR="00664415" w:rsidRPr="005E1103" w:rsidRDefault="00664415" w:rsidP="0046263B">
            <w:pPr>
              <w:jc w:val="both"/>
              <w:rPr>
                <w:rFonts w:cstheme="minorHAnsi"/>
                <w:b/>
                <w:bCs/>
                <w:sz w:val="28"/>
                <w:szCs w:val="28"/>
              </w:rPr>
            </w:pPr>
            <w:r w:rsidRPr="005E1103">
              <w:rPr>
                <w:rFonts w:cstheme="minorHAnsi"/>
                <w:b/>
                <w:bCs/>
                <w:sz w:val="28"/>
                <w:szCs w:val="28"/>
              </w:rPr>
              <w:t>Sandra Eli Sartoreto de Oliveira Martins-Lucia Pereira Leite</w:t>
            </w:r>
          </w:p>
        </w:tc>
        <w:tc>
          <w:tcPr>
            <w:tcW w:w="2500" w:type="dxa"/>
            <w:shd w:val="clear" w:color="auto" w:fill="BFBFBF" w:themeFill="background1" w:themeFillShade="BF"/>
            <w:noWrap/>
            <w:vAlign w:val="center"/>
          </w:tcPr>
          <w:p w:rsidR="00664415" w:rsidRPr="005E1103" w:rsidRDefault="00664415" w:rsidP="0046263B">
            <w:pPr>
              <w:jc w:val="both"/>
              <w:rPr>
                <w:rFonts w:cstheme="minorHAnsi"/>
                <w:color w:val="000000"/>
                <w:sz w:val="28"/>
                <w:szCs w:val="28"/>
              </w:rPr>
            </w:pPr>
            <w:r w:rsidRPr="005E1103">
              <w:rPr>
                <w:rFonts w:cstheme="minorHAnsi"/>
                <w:color w:val="000000"/>
                <w:sz w:val="28"/>
                <w:szCs w:val="28"/>
              </w:rPr>
              <w:t>UNESP</w:t>
            </w:r>
          </w:p>
        </w:tc>
        <w:tc>
          <w:tcPr>
            <w:tcW w:w="3539" w:type="dxa"/>
            <w:shd w:val="clear" w:color="auto" w:fill="BFBFBF" w:themeFill="background1" w:themeFillShade="BF"/>
            <w:noWrap/>
            <w:vAlign w:val="center"/>
          </w:tcPr>
          <w:p w:rsidR="00664415" w:rsidRPr="005E1103" w:rsidRDefault="00664415" w:rsidP="0046263B">
            <w:pPr>
              <w:jc w:val="both"/>
              <w:rPr>
                <w:rFonts w:cstheme="minorHAnsi"/>
                <w:sz w:val="28"/>
                <w:szCs w:val="28"/>
              </w:rPr>
            </w:pPr>
            <w:r w:rsidRPr="005E1103">
              <w:rPr>
                <w:rFonts w:cstheme="minorHAnsi"/>
                <w:sz w:val="28"/>
                <w:szCs w:val="28"/>
              </w:rPr>
              <w:t>ACCESIBILIDAD E INCLUSIÓN EN LA UNIVERSIDAD: Visión general de la investigación social y extensión desarrolladas en la UNESP</w:t>
            </w:r>
          </w:p>
        </w:tc>
      </w:tr>
      <w:tr w:rsidR="00664415" w:rsidRPr="005E1103" w:rsidTr="0046263B">
        <w:trPr>
          <w:trHeight w:val="315"/>
          <w:jc w:val="center"/>
        </w:trPr>
        <w:tc>
          <w:tcPr>
            <w:tcW w:w="365" w:type="dxa"/>
            <w:shd w:val="clear" w:color="auto" w:fill="C00000"/>
            <w:vAlign w:val="center"/>
          </w:tcPr>
          <w:p w:rsidR="00664415" w:rsidRPr="005E1103" w:rsidRDefault="00664415" w:rsidP="0046263B">
            <w:pPr>
              <w:spacing w:line="240" w:lineRule="auto"/>
              <w:rPr>
                <w:rFonts w:eastAsia="Times New Roman" w:cstheme="minorHAnsi"/>
                <w:b/>
                <w:bCs/>
                <w:sz w:val="28"/>
                <w:szCs w:val="28"/>
                <w:lang w:eastAsia="es-ES"/>
              </w:rPr>
            </w:pPr>
            <w:r w:rsidRPr="005E1103">
              <w:rPr>
                <w:rFonts w:eastAsia="Times New Roman" w:cstheme="minorHAnsi"/>
                <w:b/>
                <w:bCs/>
                <w:sz w:val="28"/>
                <w:szCs w:val="28"/>
                <w:lang w:eastAsia="es-ES"/>
              </w:rPr>
              <w:t>10</w:t>
            </w:r>
          </w:p>
        </w:tc>
        <w:tc>
          <w:tcPr>
            <w:tcW w:w="3585" w:type="dxa"/>
            <w:shd w:val="clear" w:color="auto" w:fill="C00000"/>
            <w:noWrap/>
            <w:vAlign w:val="center"/>
          </w:tcPr>
          <w:p w:rsidR="00664415" w:rsidRPr="005E1103" w:rsidRDefault="00664415" w:rsidP="0046263B">
            <w:pPr>
              <w:jc w:val="both"/>
              <w:rPr>
                <w:rFonts w:cstheme="minorHAnsi"/>
                <w:b/>
                <w:bCs/>
                <w:sz w:val="28"/>
                <w:szCs w:val="28"/>
              </w:rPr>
            </w:pPr>
            <w:r w:rsidRPr="005E1103">
              <w:rPr>
                <w:rFonts w:cstheme="minorHAnsi"/>
                <w:b/>
                <w:bCs/>
                <w:sz w:val="28"/>
                <w:szCs w:val="28"/>
              </w:rPr>
              <w:t>Juana Morcillo Moreno y Carmen Maria Fajardo Martínez</w:t>
            </w:r>
          </w:p>
        </w:tc>
        <w:tc>
          <w:tcPr>
            <w:tcW w:w="2500" w:type="dxa"/>
            <w:shd w:val="clear" w:color="auto" w:fill="BFBFBF" w:themeFill="background1" w:themeFillShade="BF"/>
            <w:noWrap/>
            <w:vAlign w:val="center"/>
          </w:tcPr>
          <w:p w:rsidR="00664415" w:rsidRPr="005E1103" w:rsidRDefault="00664415" w:rsidP="0046263B">
            <w:pPr>
              <w:jc w:val="both"/>
              <w:rPr>
                <w:rFonts w:cstheme="minorHAnsi"/>
                <w:color w:val="000000"/>
                <w:sz w:val="28"/>
                <w:szCs w:val="28"/>
              </w:rPr>
            </w:pPr>
            <w:r w:rsidRPr="005E1103">
              <w:rPr>
                <w:rFonts w:cstheme="minorHAnsi"/>
                <w:color w:val="000000"/>
                <w:sz w:val="28"/>
                <w:szCs w:val="28"/>
              </w:rPr>
              <w:t>Universidad de Castilla La Mancha</w:t>
            </w:r>
          </w:p>
        </w:tc>
        <w:tc>
          <w:tcPr>
            <w:tcW w:w="3539" w:type="dxa"/>
            <w:shd w:val="clear" w:color="auto" w:fill="BFBFBF" w:themeFill="background1" w:themeFillShade="BF"/>
            <w:noWrap/>
            <w:vAlign w:val="center"/>
          </w:tcPr>
          <w:p w:rsidR="00664415" w:rsidRPr="005E1103" w:rsidRDefault="00664415" w:rsidP="0046263B">
            <w:pPr>
              <w:spacing w:after="0" w:line="360" w:lineRule="auto"/>
              <w:jc w:val="center"/>
              <w:rPr>
                <w:rFonts w:cstheme="minorHAnsi"/>
                <w:sz w:val="28"/>
                <w:szCs w:val="28"/>
              </w:rPr>
            </w:pPr>
            <w:r w:rsidRPr="005E1103">
              <w:rPr>
                <w:rFonts w:cstheme="minorHAnsi"/>
                <w:sz w:val="28"/>
                <w:szCs w:val="28"/>
              </w:rPr>
              <w:t>Responsabilidad Social y Deporte en la Universidad de Castilla-La Mancha</w:t>
            </w:r>
          </w:p>
          <w:p w:rsidR="00664415" w:rsidRPr="005E1103" w:rsidRDefault="00664415" w:rsidP="0046263B">
            <w:pPr>
              <w:jc w:val="both"/>
              <w:rPr>
                <w:rFonts w:cstheme="minorHAnsi"/>
                <w:sz w:val="28"/>
                <w:szCs w:val="28"/>
              </w:rPr>
            </w:pPr>
          </w:p>
        </w:tc>
      </w:tr>
      <w:tr w:rsidR="00664415" w:rsidRPr="005E1103" w:rsidTr="0046263B">
        <w:trPr>
          <w:trHeight w:val="315"/>
          <w:jc w:val="center"/>
        </w:trPr>
        <w:tc>
          <w:tcPr>
            <w:tcW w:w="365" w:type="dxa"/>
            <w:shd w:val="clear" w:color="auto" w:fill="C00000"/>
            <w:vAlign w:val="center"/>
          </w:tcPr>
          <w:p w:rsidR="00664415" w:rsidRPr="005E1103" w:rsidRDefault="00664415" w:rsidP="0046263B">
            <w:pPr>
              <w:spacing w:line="240" w:lineRule="auto"/>
              <w:rPr>
                <w:rFonts w:eastAsia="Times New Roman" w:cstheme="minorHAnsi"/>
                <w:b/>
                <w:bCs/>
                <w:sz w:val="28"/>
                <w:szCs w:val="28"/>
                <w:lang w:eastAsia="es-ES"/>
              </w:rPr>
            </w:pPr>
            <w:r w:rsidRPr="005E1103">
              <w:rPr>
                <w:rFonts w:eastAsia="Times New Roman" w:cstheme="minorHAnsi"/>
                <w:b/>
                <w:bCs/>
                <w:sz w:val="28"/>
                <w:szCs w:val="28"/>
                <w:lang w:eastAsia="es-ES"/>
              </w:rPr>
              <w:t>11</w:t>
            </w:r>
          </w:p>
        </w:tc>
        <w:tc>
          <w:tcPr>
            <w:tcW w:w="3585" w:type="dxa"/>
            <w:shd w:val="clear" w:color="auto" w:fill="C00000"/>
            <w:noWrap/>
            <w:vAlign w:val="center"/>
          </w:tcPr>
          <w:p w:rsidR="00664415" w:rsidRPr="005E1103" w:rsidRDefault="00664415" w:rsidP="0046263B">
            <w:pPr>
              <w:jc w:val="both"/>
              <w:rPr>
                <w:rFonts w:cstheme="minorHAnsi"/>
                <w:b/>
                <w:bCs/>
                <w:sz w:val="28"/>
                <w:szCs w:val="28"/>
              </w:rPr>
            </w:pPr>
            <w:r w:rsidRPr="005E1103">
              <w:rPr>
                <w:rFonts w:cstheme="minorHAnsi"/>
                <w:b/>
                <w:bCs/>
                <w:sz w:val="28"/>
                <w:szCs w:val="28"/>
              </w:rPr>
              <w:t>Laura Navarrete Moreno-Elisa Ruiz Veerman</w:t>
            </w:r>
          </w:p>
        </w:tc>
        <w:tc>
          <w:tcPr>
            <w:tcW w:w="2500" w:type="dxa"/>
            <w:shd w:val="clear" w:color="auto" w:fill="BFBFBF" w:themeFill="background1" w:themeFillShade="BF"/>
            <w:noWrap/>
            <w:vAlign w:val="center"/>
          </w:tcPr>
          <w:p w:rsidR="00664415" w:rsidRPr="005E1103" w:rsidRDefault="00664415" w:rsidP="0046263B">
            <w:pPr>
              <w:jc w:val="both"/>
              <w:rPr>
                <w:rFonts w:cstheme="minorHAnsi"/>
                <w:color w:val="000000"/>
                <w:sz w:val="28"/>
                <w:szCs w:val="28"/>
              </w:rPr>
            </w:pPr>
            <w:r w:rsidRPr="005E1103">
              <w:rPr>
                <w:rFonts w:cstheme="minorHAnsi"/>
                <w:color w:val="000000"/>
                <w:sz w:val="28"/>
                <w:szCs w:val="28"/>
              </w:rPr>
              <w:t>Universidad Complutense de Madrid</w:t>
            </w:r>
          </w:p>
        </w:tc>
        <w:tc>
          <w:tcPr>
            <w:tcW w:w="3539" w:type="dxa"/>
            <w:shd w:val="clear" w:color="auto" w:fill="BFBFBF" w:themeFill="background1" w:themeFillShade="BF"/>
            <w:noWrap/>
            <w:vAlign w:val="center"/>
          </w:tcPr>
          <w:p w:rsidR="00664415" w:rsidRPr="005E1103" w:rsidRDefault="00664415" w:rsidP="0046263B">
            <w:pPr>
              <w:spacing w:after="0" w:line="360" w:lineRule="auto"/>
              <w:rPr>
                <w:rFonts w:cstheme="minorHAnsi"/>
                <w:sz w:val="28"/>
                <w:szCs w:val="28"/>
              </w:rPr>
            </w:pPr>
            <w:r w:rsidRPr="005E1103">
              <w:rPr>
                <w:rFonts w:cstheme="minorHAnsi"/>
                <w:sz w:val="28"/>
                <w:szCs w:val="28"/>
              </w:rPr>
              <w:t>La Inclusión en la Educación Superior Universitaria: Indicadores en la Facultad de Educación de la Universidad Complutense de Madrid</w:t>
            </w:r>
          </w:p>
        </w:tc>
      </w:tr>
    </w:tbl>
    <w:p w:rsidR="00664415" w:rsidRPr="005E1103" w:rsidRDefault="00664415" w:rsidP="00954B58">
      <w:pPr>
        <w:tabs>
          <w:tab w:val="left" w:pos="6960"/>
        </w:tabs>
        <w:rPr>
          <w:rFonts w:eastAsia="Times New Roman" w:cstheme="minorHAnsi"/>
          <w:sz w:val="28"/>
          <w:szCs w:val="28"/>
          <w:lang w:eastAsia="es-CO"/>
        </w:rPr>
      </w:pPr>
    </w:p>
    <w:p w:rsidR="00664415" w:rsidRPr="005E1103" w:rsidRDefault="00664415">
      <w:pPr>
        <w:rPr>
          <w:rFonts w:eastAsia="Times New Roman" w:cstheme="minorHAnsi"/>
          <w:sz w:val="28"/>
          <w:szCs w:val="28"/>
          <w:lang w:eastAsia="es-CO"/>
        </w:rPr>
      </w:pPr>
      <w:r w:rsidRPr="005E1103">
        <w:rPr>
          <w:rFonts w:eastAsia="Times New Roman" w:cstheme="minorHAnsi"/>
          <w:sz w:val="28"/>
          <w:szCs w:val="28"/>
          <w:lang w:eastAsia="es-CO"/>
        </w:rPr>
        <w:br w:type="page"/>
      </w:r>
    </w:p>
    <w:p w:rsidR="00664415" w:rsidRPr="005E1103" w:rsidRDefault="00664415" w:rsidP="00664415">
      <w:pPr>
        <w:spacing w:line="360" w:lineRule="auto"/>
        <w:jc w:val="center"/>
        <w:rPr>
          <w:rFonts w:cstheme="minorHAnsi"/>
          <w:b/>
          <w:sz w:val="28"/>
          <w:szCs w:val="28"/>
        </w:rPr>
      </w:pPr>
      <w:r w:rsidRPr="005E1103">
        <w:rPr>
          <w:rFonts w:cstheme="minorHAnsi"/>
          <w:b/>
          <w:sz w:val="28"/>
          <w:szCs w:val="28"/>
        </w:rPr>
        <w:lastRenderedPageBreak/>
        <w:t>COMUNICACIÓN 1</w:t>
      </w:r>
    </w:p>
    <w:tbl>
      <w:tblPr>
        <w:tblW w:w="100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0068"/>
      </w:tblGrid>
      <w:tr w:rsidR="00664415" w:rsidRPr="005E1103" w:rsidTr="0046263B">
        <w:trPr>
          <w:trHeight w:val="1116"/>
        </w:trPr>
        <w:tc>
          <w:tcPr>
            <w:tcW w:w="10068" w:type="dxa"/>
          </w:tcPr>
          <w:p w:rsidR="00664415" w:rsidRPr="005E1103" w:rsidRDefault="00664415" w:rsidP="0046263B">
            <w:pPr>
              <w:spacing w:line="360" w:lineRule="auto"/>
              <w:jc w:val="center"/>
              <w:rPr>
                <w:rFonts w:cstheme="minorHAnsi"/>
                <w:b/>
                <w:sz w:val="28"/>
                <w:szCs w:val="28"/>
              </w:rPr>
            </w:pPr>
            <w:r w:rsidRPr="005E1103">
              <w:rPr>
                <w:rFonts w:cstheme="minorHAnsi"/>
                <w:b/>
                <w:sz w:val="28"/>
                <w:szCs w:val="28"/>
              </w:rPr>
              <w:t xml:space="preserve"> El acceso de los discapacitados como personal docente-investigador universitario. Sombras de inaplicación de la LGDPD</w:t>
            </w:r>
          </w:p>
        </w:tc>
      </w:tr>
    </w:tbl>
    <w:p w:rsidR="00664415" w:rsidRPr="005E1103" w:rsidRDefault="00664415" w:rsidP="00664415">
      <w:pPr>
        <w:tabs>
          <w:tab w:val="left" w:pos="3300"/>
        </w:tabs>
        <w:spacing w:line="360" w:lineRule="auto"/>
        <w:rPr>
          <w:rFonts w:cstheme="minorHAnsi"/>
          <w:sz w:val="28"/>
          <w:szCs w:val="28"/>
        </w:rPr>
      </w:pPr>
    </w:p>
    <w:p w:rsidR="00664415" w:rsidRPr="005E1103" w:rsidRDefault="00664415" w:rsidP="00664415">
      <w:pPr>
        <w:spacing w:line="360" w:lineRule="auto"/>
        <w:jc w:val="right"/>
        <w:rPr>
          <w:rFonts w:cstheme="minorHAnsi"/>
          <w:sz w:val="28"/>
          <w:szCs w:val="28"/>
        </w:rPr>
      </w:pPr>
      <w:r w:rsidRPr="005E1103">
        <w:rPr>
          <w:rFonts w:cstheme="minorHAnsi"/>
          <w:sz w:val="28"/>
          <w:szCs w:val="28"/>
        </w:rPr>
        <w:t>Francisco Javier Durán Ruiz</w:t>
      </w:r>
    </w:p>
    <w:p w:rsidR="00664415" w:rsidRPr="005E1103" w:rsidRDefault="00664415" w:rsidP="00664415">
      <w:pPr>
        <w:spacing w:line="360" w:lineRule="auto"/>
        <w:jc w:val="right"/>
        <w:rPr>
          <w:rFonts w:cstheme="minorHAnsi"/>
          <w:sz w:val="28"/>
          <w:szCs w:val="28"/>
        </w:rPr>
      </w:pPr>
      <w:r w:rsidRPr="005E1103">
        <w:rPr>
          <w:rFonts w:cstheme="minorHAnsi"/>
          <w:sz w:val="28"/>
          <w:szCs w:val="28"/>
        </w:rPr>
        <w:t>Profesor Contratado Doctor de Derecho Administrativo</w:t>
      </w:r>
    </w:p>
    <w:p w:rsidR="00664415" w:rsidRPr="005E1103" w:rsidRDefault="00664415" w:rsidP="00664415">
      <w:pPr>
        <w:spacing w:line="360" w:lineRule="auto"/>
        <w:jc w:val="right"/>
        <w:rPr>
          <w:rFonts w:cstheme="minorHAnsi"/>
          <w:sz w:val="28"/>
          <w:szCs w:val="28"/>
        </w:rPr>
      </w:pPr>
      <w:r w:rsidRPr="005E1103">
        <w:rPr>
          <w:rFonts w:cstheme="minorHAnsi"/>
          <w:sz w:val="28"/>
          <w:szCs w:val="28"/>
        </w:rPr>
        <w:t>Universidad de Granada</w:t>
      </w:r>
    </w:p>
    <w:p w:rsidR="00664415" w:rsidRPr="005E1103" w:rsidRDefault="00664415" w:rsidP="00664415">
      <w:pPr>
        <w:spacing w:line="360" w:lineRule="auto"/>
        <w:rPr>
          <w:rFonts w:cstheme="minorHAnsi"/>
          <w:b/>
          <w:sz w:val="28"/>
          <w:szCs w:val="28"/>
        </w:rPr>
      </w:pPr>
      <w:r w:rsidRPr="005E1103">
        <w:rPr>
          <w:rFonts w:cstheme="minorHAnsi"/>
          <w:b/>
          <w:sz w:val="28"/>
          <w:szCs w:val="28"/>
        </w:rPr>
        <w:t>Resumen</w:t>
      </w:r>
    </w:p>
    <w:p w:rsidR="00664415" w:rsidRPr="005E1103" w:rsidRDefault="00664415" w:rsidP="00664415">
      <w:pPr>
        <w:spacing w:line="360" w:lineRule="auto"/>
        <w:ind w:firstLine="708"/>
        <w:jc w:val="both"/>
        <w:rPr>
          <w:rFonts w:cstheme="minorHAnsi"/>
          <w:sz w:val="28"/>
          <w:szCs w:val="28"/>
        </w:rPr>
      </w:pPr>
      <w:r w:rsidRPr="005E1103">
        <w:rPr>
          <w:rFonts w:cstheme="minorHAnsi"/>
          <w:sz w:val="28"/>
          <w:szCs w:val="28"/>
        </w:rPr>
        <w:t xml:space="preserve">La legislación actual, como medida de discriminación positiva en el acceso al empleo público realiza una reserva de plazas empleo público a favor de las personas que tengan reconocida la condición de discapacitado. Tal reserva se  establece actualmente, con carácter general, por el Real Decreto Legislativo 1/2013, de 29 de noviembre, por el que se aprueba el Texto Refundido de la Ley General de derechos de las personas con discapacidad y de su inclusión social, art. 42 “Cuota de reserva de puestos de trabajo para personas con discapacidad”, que dispone en su apartado 2 “En las ofertas de empleo público se reservará un cupo para ser cubierto por personas con discapacidad, en los términos establecidos en la normativa reguladora de la materia”. Esta previsión se ha trasladado a la normativa reguladora del empleo público, en este caso  el Real Decreto Legislativo 5/2015, de 30 de octubre, por el que se aprueba el  texto refundido de la Ley del Estatuto Básico del Empleado Público. Esta norma, en su artículo 59.1 titulado “Personas con discapacidad”, establece una obligación de realizar una reserva de un cupo no inferior al 7% de las </w:t>
      </w:r>
      <w:r w:rsidRPr="005E1103">
        <w:rPr>
          <w:rFonts w:cstheme="minorHAnsi"/>
          <w:sz w:val="28"/>
          <w:szCs w:val="28"/>
        </w:rPr>
        <w:lastRenderedPageBreak/>
        <w:t xml:space="preserve">vacantes de empleo público para ser cubiertas entre personas con discapacidad. </w:t>
      </w:r>
    </w:p>
    <w:p w:rsidR="00664415" w:rsidRPr="005E1103" w:rsidRDefault="00664415" w:rsidP="00664415">
      <w:pPr>
        <w:spacing w:line="360" w:lineRule="auto"/>
        <w:ind w:firstLine="708"/>
        <w:jc w:val="both"/>
        <w:rPr>
          <w:rFonts w:cstheme="minorHAnsi"/>
          <w:sz w:val="28"/>
          <w:szCs w:val="28"/>
        </w:rPr>
      </w:pPr>
      <w:r w:rsidRPr="005E1103">
        <w:rPr>
          <w:rFonts w:cstheme="minorHAnsi"/>
          <w:sz w:val="28"/>
          <w:szCs w:val="28"/>
        </w:rPr>
        <w:t>Tal previsión se está aplicando ya en muchos sectores de la Administración, pero aún quedan zonas oscuras en las que la Ley, por diversas causas, queda inaplicada, y una de las inaplicaciones más sangrantes se produce en cuanto al acceso como personal docente e investigador de las personas discapacitadas en las Universidades. En este ámbito, nos ocuparemos particularmente de su acceso a la condición funcionarial mediante su promoción a la figura de Profesor Titular de Universidad (PTU).</w:t>
      </w:r>
    </w:p>
    <w:p w:rsidR="00664415" w:rsidRPr="005E1103" w:rsidRDefault="00664415" w:rsidP="00664415">
      <w:pPr>
        <w:spacing w:line="360" w:lineRule="auto"/>
        <w:ind w:firstLine="708"/>
        <w:jc w:val="both"/>
        <w:rPr>
          <w:rFonts w:cstheme="minorHAnsi"/>
          <w:sz w:val="28"/>
          <w:szCs w:val="28"/>
        </w:rPr>
      </w:pPr>
      <w:r w:rsidRPr="005E1103">
        <w:rPr>
          <w:rFonts w:cstheme="minorHAnsi"/>
          <w:sz w:val="28"/>
          <w:szCs w:val="28"/>
        </w:rPr>
        <w:t xml:space="preserve">Las peculiaridades de la autonomía universitaria, del reparto competencial en materia de universidades y del acceso al empleo público y la contratación de personal en las universidades públicas, provoca que, finalmente, no se cumpla la Ley en este aspecto, lo que conlleva una discriminación, esta vez negativa, en cuanto a su acceso y promoción al empleo público de los docentes e investigadores que sufren algún tipo de discapacidad. </w:t>
      </w:r>
    </w:p>
    <w:p w:rsidR="00664415" w:rsidRPr="005E1103" w:rsidRDefault="00664415" w:rsidP="00664415">
      <w:pPr>
        <w:spacing w:line="360" w:lineRule="auto"/>
        <w:ind w:firstLine="708"/>
        <w:jc w:val="both"/>
        <w:rPr>
          <w:rFonts w:cstheme="minorHAnsi"/>
          <w:sz w:val="28"/>
          <w:szCs w:val="28"/>
        </w:rPr>
      </w:pPr>
      <w:r w:rsidRPr="005E1103">
        <w:rPr>
          <w:rFonts w:cstheme="minorHAnsi"/>
          <w:sz w:val="28"/>
          <w:szCs w:val="28"/>
        </w:rPr>
        <w:t>Esta comunicación pretende poner en evidencia este incumplimiento de la Ley, así como aportar soluciones a la hora de implementar la Ley en el ámbito universitario superando la discriminación actualmente existente.</w:t>
      </w:r>
    </w:p>
    <w:p w:rsidR="00664415" w:rsidRPr="005E1103" w:rsidRDefault="00664415" w:rsidP="00664415">
      <w:pPr>
        <w:spacing w:line="360" w:lineRule="auto"/>
        <w:jc w:val="both"/>
        <w:rPr>
          <w:rFonts w:cstheme="minorHAnsi"/>
          <w:b/>
          <w:sz w:val="28"/>
          <w:szCs w:val="28"/>
        </w:rPr>
      </w:pPr>
      <w:r w:rsidRPr="005E1103">
        <w:rPr>
          <w:rFonts w:cstheme="minorHAnsi"/>
          <w:b/>
          <w:sz w:val="28"/>
          <w:szCs w:val="28"/>
        </w:rPr>
        <w:t>1. El acceso al empleo público de las personas discapacitadas, una exigencia constitucional y legal. Su aplicabilidad en el ámbito docente e investigador universitario.</w:t>
      </w:r>
    </w:p>
    <w:p w:rsidR="00664415" w:rsidRPr="005E1103" w:rsidRDefault="00664415" w:rsidP="00664415">
      <w:pPr>
        <w:spacing w:line="360" w:lineRule="auto"/>
        <w:jc w:val="both"/>
        <w:rPr>
          <w:rFonts w:cstheme="minorHAnsi"/>
          <w:sz w:val="28"/>
          <w:szCs w:val="28"/>
        </w:rPr>
      </w:pPr>
      <w:r w:rsidRPr="005E1103">
        <w:rPr>
          <w:rFonts w:cstheme="minorHAnsi"/>
          <w:sz w:val="28"/>
          <w:szCs w:val="28"/>
        </w:rPr>
        <w:tab/>
        <w:t xml:space="preserve">El acceso de las personas discapacitadas al empleo público encuentra su fundamento en la Constitución española. Esta, en su artículo </w:t>
      </w:r>
      <w:r w:rsidRPr="005E1103">
        <w:rPr>
          <w:rFonts w:cstheme="minorHAnsi"/>
          <w:sz w:val="28"/>
          <w:szCs w:val="28"/>
        </w:rPr>
        <w:lastRenderedPageBreak/>
        <w:t>9.2, establece que corresponde a los poderes públicos promover las condiciones para que la igualdad de las personas sea real y efectiva, removiendo los obstáculos que impidan o dificulten su participación en la vida política, económica, cultural y social. Dicho precepto es complementario y sirve para hacer efectiva la cláusula de igualdad ante la ley establecida en el artículo  14, que impide que pueda existir discriminación por nacimiento, raza, sexo, religión, opinión “o cualquier otra condición o circunstancia personal o social”. En consonancia con estos preceptos, el artículo 49 CE, encomienda a los poderes públicos la realización de políticas de previsión, tratamiento, rehabilitación e integración de las personas con discapacidad, a las que prestarán la atención que requieran para el disfrute de los derechos fundamentales. Uno de esos derechos que tienen el carácter de fundamental es el previsto en el artículo 23.2 de acceder, en condiciones de igualdad, a las funciones y cargos públicos, con los requisitos que marquen las leyes, mientras que como derecho de todos los ciudadanos se sitúan los derechos laborales contenidos en el artículo 35.1: el derecho al trabajo, a la libre elección de profesión u oficio, a la promoción a través del trabajo y a una remuneración suficiente para satisfacer sus necesidades y las de su familia. Por su parte el artículo 103.3 CE dispone que el acceso a la función pública se realizará de acuerdo a los principios de mérito y capacidad.</w:t>
      </w:r>
    </w:p>
    <w:p w:rsidR="00664415" w:rsidRPr="005E1103" w:rsidRDefault="00664415" w:rsidP="00664415">
      <w:pPr>
        <w:spacing w:line="360" w:lineRule="auto"/>
        <w:ind w:firstLine="708"/>
        <w:jc w:val="both"/>
        <w:rPr>
          <w:rFonts w:cstheme="minorHAnsi"/>
          <w:sz w:val="28"/>
          <w:szCs w:val="28"/>
        </w:rPr>
      </w:pPr>
      <w:r w:rsidRPr="005E1103">
        <w:rPr>
          <w:rFonts w:cstheme="minorHAnsi"/>
          <w:sz w:val="28"/>
          <w:szCs w:val="28"/>
        </w:rPr>
        <w:t xml:space="preserve">Pese a todo lo anterior, la regulación en el ámbito del empleo público ha permanecido ajena a las personas con discapacidad hasta fechas recientes. De hecho, en la Ley de Funcionarios Civiles del Estado (texto articulado aprobado por Decreto 315/1964, de 7 de febrero), que continuó vigente tiempo después de aprobada la Constitución española, </w:t>
      </w:r>
      <w:r w:rsidRPr="005E1103">
        <w:rPr>
          <w:rFonts w:cstheme="minorHAnsi"/>
          <w:sz w:val="28"/>
          <w:szCs w:val="28"/>
        </w:rPr>
        <w:lastRenderedPageBreak/>
        <w:t>no había previsiones al respecto</w:t>
      </w:r>
      <w:r w:rsidRPr="005E1103">
        <w:rPr>
          <w:rStyle w:val="Refdenotaalpie"/>
          <w:rFonts w:cstheme="minorHAnsi"/>
          <w:sz w:val="28"/>
          <w:szCs w:val="28"/>
        </w:rPr>
        <w:footnoteReference w:id="38"/>
      </w:r>
      <w:r w:rsidRPr="005E1103">
        <w:rPr>
          <w:rFonts w:cstheme="minorHAnsi"/>
          <w:sz w:val="28"/>
          <w:szCs w:val="28"/>
        </w:rPr>
        <w:t>.  En realidad esto no impide de por sí el acceso de los discapacitados al empleo público, dado que ello dependería de la causa concreta de la discapacidad y de las funciones a desempeñar en cada puesto, pero lo dificultaba enormemente por la desigualdad de base existente en cuanto a la diferente capacidad y a las mayores dificultades para conseguir méritos, las dos varas de medir constitucionales para seleccionar los empleados públicos. La no existencia de medidas de adaptación de los concursos y oposiciones a las personas discapacitadas y la no existencia de cupos de acceso reservados a personas discapacitadas impedían en la práctica casi totalmente el acceso de estas personas al empleo público.</w:t>
      </w:r>
    </w:p>
    <w:p w:rsidR="00664415" w:rsidRPr="005E1103" w:rsidRDefault="00664415" w:rsidP="00664415">
      <w:pPr>
        <w:spacing w:line="360" w:lineRule="auto"/>
        <w:ind w:firstLine="708"/>
        <w:jc w:val="both"/>
        <w:rPr>
          <w:rFonts w:cstheme="minorHAnsi"/>
          <w:sz w:val="28"/>
          <w:szCs w:val="28"/>
        </w:rPr>
      </w:pPr>
      <w:r w:rsidRPr="005E1103">
        <w:rPr>
          <w:rFonts w:cstheme="minorHAnsi"/>
          <w:sz w:val="28"/>
          <w:szCs w:val="28"/>
        </w:rPr>
        <w:t>Los primeros avances se produjeron a partir de la aprobación de la Ley 13/1982, de 7 de abril, de Integración Social de los Minusválidos (LISMI) cuyo artículo 37 señala que la finalidad primordial de la política de empleo de trabajadores con discapacidad será su integración, en condiciones que garanticen la aplicación del principio de igualdad de trato, en el sistema ordinario de trabajo o, en su defecto, su incorporación al sistema productivo mediante la fórmula especial de trabajo protegido. La citada Ley, en su artículo 38, dispuso que las empresas públicas y privadas que empleasen a un número de 50 o más trabajadores vendrían obligadas a que de entre ellos, al menos, el 2 por 100 sean trabajadores con discapacidad</w:t>
      </w:r>
      <w:r w:rsidRPr="005E1103">
        <w:rPr>
          <w:rStyle w:val="Refdenotaalpie"/>
          <w:rFonts w:cstheme="minorHAnsi"/>
          <w:sz w:val="28"/>
          <w:szCs w:val="28"/>
        </w:rPr>
        <w:footnoteReference w:id="39"/>
      </w:r>
      <w:r w:rsidRPr="005E1103">
        <w:rPr>
          <w:rFonts w:cstheme="minorHAnsi"/>
          <w:sz w:val="28"/>
          <w:szCs w:val="28"/>
        </w:rPr>
        <w:t xml:space="preserve">. </w:t>
      </w:r>
    </w:p>
    <w:p w:rsidR="00664415" w:rsidRPr="005E1103" w:rsidRDefault="00664415" w:rsidP="00664415">
      <w:pPr>
        <w:spacing w:line="360" w:lineRule="auto"/>
        <w:ind w:firstLine="708"/>
        <w:jc w:val="both"/>
        <w:rPr>
          <w:rFonts w:cstheme="minorHAnsi"/>
          <w:sz w:val="28"/>
          <w:szCs w:val="28"/>
        </w:rPr>
      </w:pPr>
      <w:r w:rsidRPr="005E1103">
        <w:rPr>
          <w:rFonts w:cstheme="minorHAnsi"/>
          <w:sz w:val="28"/>
          <w:szCs w:val="28"/>
        </w:rPr>
        <w:lastRenderedPageBreak/>
        <w:t>La  fórmula especial del cupo de reserva para las personas con discapacidad en el empleo público fue desarrollada por la Ley 23/1988, de 28 de julio, que modifica la Ley 30/1984, de 2 de agosto, de Medidas para la Reforma de la Función Pública, incluyendo en ésta una disposición adicional decimonovena con la previsión de que en las ofertas de empleo público se reservará un cupo no inferior al 3 por 100 de las vacantes para ser cubiertas por personas con discapacidad, de modo que progresivamente se alcance el 2 por 100 de los efectivos totales de la Administración del Estado, siempre que superen las pruebas selectivas y que, en su momento, acrediten el grado de discapacidad exigido y la compatibilidad con el desempeño de las tareas y funciones correspondientes. Esta regulación de la Ley de Medidas para la Reforma de la Función Pública fue complementada y desarrollada por el Real Decreto 364/1995, de 10 de marzo, por el que se aprueba el Reglamento General de Ingreso del Personal al Servicio de la Administración General del Estado y de Provisión de Puestos de Trabajo y Promoción Profesional de los funcionarios civiles del Estado. El Reglamento, hacía referencia tanto a la admisión en los procesos selectivos de personas con discapacidad en igualdad de condiciones con los demás aspirantes con las adaptaciones de tiempos y medios necesarios para garantizar el principio de igualdad de oportunidades, como  a la asignación de puestos de trabajo adaptados y compatibles con las circunstancias personales del candidato para el desempeño de las tareas y funciones del puesto en concreto. Las disposiciones de este reglamento se aplicaban también a la selección de personal laboral.</w:t>
      </w:r>
    </w:p>
    <w:p w:rsidR="00664415" w:rsidRPr="005E1103" w:rsidRDefault="00664415" w:rsidP="00664415">
      <w:pPr>
        <w:spacing w:line="360" w:lineRule="auto"/>
        <w:ind w:firstLine="708"/>
        <w:jc w:val="both"/>
        <w:rPr>
          <w:rFonts w:cstheme="minorHAnsi"/>
          <w:sz w:val="28"/>
          <w:szCs w:val="28"/>
        </w:rPr>
      </w:pPr>
      <w:r w:rsidRPr="005E1103">
        <w:rPr>
          <w:rFonts w:cstheme="minorHAnsi"/>
          <w:sz w:val="28"/>
          <w:szCs w:val="28"/>
        </w:rPr>
        <w:lastRenderedPageBreak/>
        <w:t xml:space="preserve">Debido a la lentitud de la incorporación de las personas con discapacidad al empleo público en las distintas Administraciones, la Ley 53/2003, de 10 de diciembre, sobre empleo público de discapacitados, modificó la disposición adicional decimonovena de la Ley 30/1984, de 2 de agosto, de Medidas de la Reforma de la Función Pública, elevando la reserva de un cupo no inferior al 5% de las vacantes para ser cubiertas entre personas con discapacidad, de modo que progresivamente se alcanzase el 2% de los efectivos totales de la Administración del Estado. </w:t>
      </w:r>
    </w:p>
    <w:p w:rsidR="00664415" w:rsidRPr="005E1103" w:rsidRDefault="00664415" w:rsidP="00664415">
      <w:pPr>
        <w:spacing w:line="360" w:lineRule="auto"/>
        <w:ind w:firstLine="708"/>
        <w:jc w:val="both"/>
        <w:rPr>
          <w:rFonts w:cstheme="minorHAnsi"/>
          <w:sz w:val="28"/>
          <w:szCs w:val="28"/>
        </w:rPr>
      </w:pPr>
      <w:r w:rsidRPr="005E1103">
        <w:rPr>
          <w:rFonts w:cstheme="minorHAnsi"/>
          <w:sz w:val="28"/>
          <w:szCs w:val="28"/>
        </w:rPr>
        <w:t xml:space="preserve">Este lento avance encontró apoyo desde la normativa comunitaria, así la Directiva 2000/78/CE del Consejo, de 27 de noviembre, relativa al establecimiento de un marco general para la igualdad de trato en el empleo y la ocupación (transpuesta a la legislación española por la Ley 62/2003, de 30 de diciembre, de medidas fiscales, administrativas y del orden social, prohíbe la discriminación en el empleo por razón de discapacidad, promueve medidas de acción positiva de igualdad de oportunidades y la adopción de ajustes razonables que remuevan las barreras u obstáculos en el acceso al empleo, selección, contratación, promoción, formación profesional para el empleo. y en las condiciones de trabajo en todos los ámbitos, incluida la Administración Pública. </w:t>
      </w:r>
    </w:p>
    <w:p w:rsidR="00664415" w:rsidRPr="005E1103" w:rsidRDefault="00664415" w:rsidP="00664415">
      <w:pPr>
        <w:spacing w:line="360" w:lineRule="auto"/>
        <w:ind w:firstLine="708"/>
        <w:jc w:val="both"/>
        <w:rPr>
          <w:rFonts w:cstheme="minorHAnsi"/>
          <w:sz w:val="28"/>
          <w:szCs w:val="28"/>
        </w:rPr>
      </w:pPr>
      <w:r w:rsidRPr="005E1103">
        <w:rPr>
          <w:rFonts w:cstheme="minorHAnsi"/>
          <w:sz w:val="28"/>
          <w:szCs w:val="28"/>
        </w:rPr>
        <w:t xml:space="preserve">Para desarrollar tanto la Directiva 2000/78/CE como la Ley 53/2003 fue aprobado el Real Decreto 2271/2004, de 3 de diciembre, por el que se regula el acceso al empleo público y la provisión de puestos de trabajo de las personas con discapacidad, con el objetivo de fomentar la práctica de acciones positivas que favorezcan la igualdad de oportunidades, de acuerdo con los principios de no discriminación, accesibilidad universal y compensación de desventajas, sin perjuicio de la igualdad de condiciones de acceso que debe imperar entre los candidatos a la cobertura de </w:t>
      </w:r>
      <w:r w:rsidRPr="005E1103">
        <w:rPr>
          <w:rFonts w:cstheme="minorHAnsi"/>
          <w:sz w:val="28"/>
          <w:szCs w:val="28"/>
        </w:rPr>
        <w:lastRenderedPageBreak/>
        <w:t>puestos de empleo público. Para garantizar la igualdad efectiva de oportunidades y combatir la discriminación por motivos de discapacidad se incorporan, al citado Real Decreto, la adopción de diversas medidas, tales como reserva de plazas, adaptaciones y ajustes razonables de tiempos y medios en los procesos selectivos y en el lugar de trabajo, preferencia en la elección de destino tanto en personal funcionario como laboral pudiendo alterar el orden de prelación, etc. El artículo 8.3 del citado Real Decreto expresa el mandato a los Ministerios de Administraciones Públicas y de Trabajo y Asuntos Sociales para que dicten una resolución conjunta en la que se establezcan los criterios generales para determinar la adaptación de tiempos adicionales en los procesos selectivos en los que concurran personas con discapacidad</w:t>
      </w:r>
      <w:r w:rsidRPr="005E1103">
        <w:rPr>
          <w:rStyle w:val="Refdenotaalpie"/>
          <w:rFonts w:cstheme="minorHAnsi"/>
          <w:sz w:val="28"/>
          <w:szCs w:val="28"/>
        </w:rPr>
        <w:footnoteReference w:id="40"/>
      </w:r>
      <w:r w:rsidRPr="005E1103">
        <w:rPr>
          <w:rFonts w:cstheme="minorHAnsi"/>
          <w:sz w:val="28"/>
          <w:szCs w:val="28"/>
        </w:rPr>
        <w:t xml:space="preserve">. </w:t>
      </w:r>
    </w:p>
    <w:p w:rsidR="00664415" w:rsidRPr="005E1103" w:rsidRDefault="00664415" w:rsidP="00664415">
      <w:pPr>
        <w:spacing w:line="360" w:lineRule="auto"/>
        <w:ind w:firstLine="708"/>
        <w:jc w:val="both"/>
        <w:rPr>
          <w:rFonts w:cstheme="minorHAnsi"/>
          <w:color w:val="000000"/>
          <w:sz w:val="28"/>
          <w:szCs w:val="28"/>
        </w:rPr>
      </w:pPr>
      <w:r w:rsidRPr="005E1103">
        <w:rPr>
          <w:rFonts w:cstheme="minorHAnsi"/>
          <w:sz w:val="28"/>
          <w:szCs w:val="28"/>
        </w:rPr>
        <w:t>De acuerdo con esta regulación, y con la Orden PRE/1822/2006, de 9 de junio, que la desarrolla, las plazas reservadas para personas con discapacidad pueden incluirse dentro de las convocatorias de plazas de ingreso ordinario o convocarse en un turno independiente (Torres López, 2011). En cualquier caso, como bien expone Soler Arrebola (2009),  la diferenciación entre convocatorias independientes o generales no puede dar lugar a que el contenido y el grado de exigencia  sea diferente para los aspirantes ya que eso vulneraría el principio de igualdad que debe estar presente en las pruebas de acceso, aunque ello no obste a que se puedan realizar las adaptaciones pertinentes. Considera este autor que el grado de exigencia debe ser equiparable tanto para el turno general como para discapacitados</w:t>
      </w:r>
      <w:r w:rsidRPr="005E1103">
        <w:rPr>
          <w:rStyle w:val="Refdenotaalpie"/>
          <w:rFonts w:cstheme="minorHAnsi"/>
          <w:sz w:val="28"/>
          <w:szCs w:val="28"/>
        </w:rPr>
        <w:footnoteReference w:id="41"/>
      </w:r>
      <w:r w:rsidRPr="005E1103">
        <w:rPr>
          <w:rFonts w:cstheme="minorHAnsi"/>
          <w:sz w:val="28"/>
          <w:szCs w:val="28"/>
        </w:rPr>
        <w:t xml:space="preserve">, sin perjuicio de que una vez superadas las pruebas, los </w:t>
      </w:r>
      <w:r w:rsidRPr="005E1103">
        <w:rPr>
          <w:rFonts w:cstheme="minorHAnsi"/>
          <w:sz w:val="28"/>
          <w:szCs w:val="28"/>
        </w:rPr>
        <w:lastRenderedPageBreak/>
        <w:t>discapacitados tengan un tratamiento diferenciado por turnos y su acceso sea a través de su correspondiente cupo. Incluso platea que, si alguno de los aspirantes con discapacidad se presentase por el cupo habilitado para discapacitados y no obtuviera plaza en dicho cupo, pero su puntuación fuese superior a la obtenida por otros aspirantes del sistema de acceso general, «será incluido por su orden de puntuación en el sistema de acceso general», conforme a lo establecido en el RD 2271/2004 (art. 3.2).</w:t>
      </w:r>
    </w:p>
    <w:p w:rsidR="00664415" w:rsidRPr="005E1103" w:rsidRDefault="00664415" w:rsidP="00664415">
      <w:pPr>
        <w:spacing w:line="360" w:lineRule="auto"/>
        <w:ind w:firstLine="708"/>
        <w:jc w:val="both"/>
        <w:rPr>
          <w:rFonts w:cstheme="minorHAnsi"/>
          <w:sz w:val="28"/>
          <w:szCs w:val="28"/>
        </w:rPr>
      </w:pPr>
      <w:r w:rsidRPr="005E1103">
        <w:rPr>
          <w:rFonts w:cstheme="minorHAnsi"/>
          <w:sz w:val="28"/>
          <w:szCs w:val="28"/>
        </w:rPr>
        <w:t xml:space="preserve">Un paso más se dio tras la aprobación de la Ley 7/2007, de 12 de abril, del Estatuto Básico del Empleado Público, que establece los principios generales aplicables al conjunto de funcionarios de todas las Administraciones Públicas. En su artículo 59, aumentó el porcentaje de reserva y dispone que en las ofertas de empleo público se reservará un cupo no inferior al cinco por ciento de las vacantes para ser cubiertas entre personas con discapacidad, considerando como tales las definidas en el apartado 2 del artículo 1 de la Ley 51/2003, de 2 de diciembre (LIONDAU), siempre que superen los procesos selectivos y acrediten su discapacidad y la compatibilidad con el desempeño de las tareas, de modo que progresivamente se alcance el 2% de los efectivos totales en cada Administración Pública. Encomendaba a cada Administración Pública adoptar las medidas precisas para establecer las adaptaciones y ajustes razonables de tiempos y medios en el proceso selectivo y, una vez superado éste, las adaptaciones en el puesto de trabajo a las necesidades de las personas con discapacidad. </w:t>
      </w:r>
    </w:p>
    <w:p w:rsidR="00664415" w:rsidRPr="005E1103" w:rsidRDefault="00664415" w:rsidP="00664415">
      <w:pPr>
        <w:spacing w:line="360" w:lineRule="auto"/>
        <w:ind w:firstLine="709"/>
        <w:jc w:val="both"/>
        <w:rPr>
          <w:rFonts w:cstheme="minorHAnsi"/>
          <w:sz w:val="28"/>
          <w:szCs w:val="28"/>
        </w:rPr>
      </w:pPr>
      <w:r w:rsidRPr="005E1103">
        <w:rPr>
          <w:rFonts w:cstheme="minorHAnsi"/>
          <w:sz w:val="28"/>
          <w:szCs w:val="28"/>
        </w:rPr>
        <w:t xml:space="preserve">Finalmente, el Real Decreto Legislativo 1/2013, de 29 de noviembre, por el que se aprueba el Texto Refundido de la Ley General de derechos </w:t>
      </w:r>
      <w:r w:rsidRPr="005E1103">
        <w:rPr>
          <w:rFonts w:cstheme="minorHAnsi"/>
          <w:sz w:val="28"/>
          <w:szCs w:val="28"/>
        </w:rPr>
        <w:lastRenderedPageBreak/>
        <w:t>de las personas con discapacidad y de su inclusión social (en adelante LGDPD), dispone en su artículo 37 relativo a los tipos de empleo de las personas con discapacidad  (empleo ordinario en las empresas y en las administraciones públicas, incluido los servicios de empleo con apoyo; empleo protegido, en centros especiales de empleo y en enclaves laborales; y empleo autónomo) que:</w:t>
      </w:r>
    </w:p>
    <w:p w:rsidR="00664415" w:rsidRPr="005E1103" w:rsidRDefault="00664415" w:rsidP="00664415">
      <w:pPr>
        <w:spacing w:line="240" w:lineRule="auto"/>
        <w:ind w:left="360"/>
        <w:jc w:val="both"/>
        <w:rPr>
          <w:rFonts w:cstheme="minorHAnsi"/>
          <w:sz w:val="28"/>
          <w:szCs w:val="28"/>
        </w:rPr>
      </w:pPr>
      <w:r w:rsidRPr="005E1103">
        <w:rPr>
          <w:rFonts w:cstheme="minorHAnsi"/>
          <w:sz w:val="28"/>
          <w:szCs w:val="28"/>
        </w:rPr>
        <w:t>1. Será finalidad de la política de empleo aumentar las tasas de actividad y de ocupación e inserción laboral de las personas con discapacidad, así como mejorar la calidad del empleo y dignificar sus condiciones de trabajo, combatiendo activamente su discriminación. Para ello, las administraciones públicas competentes fomentarán sus oportunidades de empleo y promoción profesional en el mercado laboral, y promoverán los apoyos necesarios para la búsqueda, obtención, mantenimiento del empleo y retorno al mismo.</w:t>
      </w:r>
    </w:p>
    <w:p w:rsidR="00664415" w:rsidRPr="005E1103" w:rsidRDefault="00664415" w:rsidP="00664415">
      <w:pPr>
        <w:spacing w:line="360" w:lineRule="auto"/>
        <w:ind w:firstLine="708"/>
        <w:jc w:val="both"/>
        <w:rPr>
          <w:rFonts w:cstheme="minorHAnsi"/>
          <w:sz w:val="28"/>
          <w:szCs w:val="28"/>
        </w:rPr>
      </w:pPr>
      <w:r w:rsidRPr="005E1103">
        <w:rPr>
          <w:rFonts w:cstheme="minorHAnsi"/>
          <w:sz w:val="28"/>
          <w:szCs w:val="28"/>
        </w:rPr>
        <w:t xml:space="preserve">El mismo art. 37 en su apartado 3 dispone que  “El acceso al empleo público se regirá por lo dispuesto en la normativa reguladora de la materia”, por lo que debemos remitirnos en este caso a la legislación sobre empleo público. La misma remisión se produce en cuanto a la </w:t>
      </w:r>
      <w:r w:rsidRPr="005E1103">
        <w:rPr>
          <w:rFonts w:cstheme="minorHAnsi"/>
          <w:i/>
          <w:sz w:val="28"/>
          <w:szCs w:val="28"/>
        </w:rPr>
        <w:t xml:space="preserve">cuota de reserva de puestos de trabajo para personas con discapacidad, </w:t>
      </w:r>
      <w:r w:rsidRPr="005E1103">
        <w:rPr>
          <w:rFonts w:cstheme="minorHAnsi"/>
          <w:sz w:val="28"/>
          <w:szCs w:val="28"/>
        </w:rPr>
        <w:t>prevista en el art. 42 LGDPD, si bien el establecimiento de la cuota en sí mismo resulta obligatorio, al disponer el núm. 2 de este artículo que “</w:t>
      </w:r>
      <w:r w:rsidRPr="005E1103">
        <w:rPr>
          <w:rFonts w:cstheme="minorHAnsi"/>
          <w:b/>
          <w:sz w:val="28"/>
          <w:szCs w:val="28"/>
        </w:rPr>
        <w:t xml:space="preserve">En las ofertas de empleo público se reservará un cupo para ser cubierto por personas con </w:t>
      </w:r>
      <w:r w:rsidRPr="005E1103">
        <w:rPr>
          <w:rFonts w:cstheme="minorHAnsi"/>
          <w:sz w:val="28"/>
          <w:szCs w:val="28"/>
        </w:rPr>
        <w:t>discapacidad, en los términos establecidos en la normativa reguladora de la materia”.</w:t>
      </w:r>
    </w:p>
    <w:p w:rsidR="00664415" w:rsidRPr="005E1103" w:rsidRDefault="00664415" w:rsidP="00664415">
      <w:pPr>
        <w:spacing w:line="360" w:lineRule="auto"/>
        <w:ind w:firstLine="708"/>
        <w:jc w:val="both"/>
        <w:rPr>
          <w:rFonts w:cstheme="minorHAnsi"/>
          <w:sz w:val="28"/>
          <w:szCs w:val="28"/>
        </w:rPr>
      </w:pPr>
      <w:r w:rsidRPr="005E1103">
        <w:rPr>
          <w:rFonts w:cstheme="minorHAnsi"/>
          <w:sz w:val="28"/>
          <w:szCs w:val="28"/>
        </w:rPr>
        <w:t xml:space="preserve">Esto remisión nos lleva a analizar la normativa que regula el empleo en el sector público, cuyas bases corresponde establecer el legislador estatal, que así lo ha hecho mediante el Real Decreto Legislativo 5/2015, de 30 de octubre, por el que se aprueba el texto refundido de la Ley del Estatuto Básico del Empleado Público (TREBEP). </w:t>
      </w:r>
    </w:p>
    <w:p w:rsidR="00664415" w:rsidRPr="005E1103" w:rsidRDefault="00664415" w:rsidP="00664415">
      <w:pPr>
        <w:spacing w:line="360" w:lineRule="auto"/>
        <w:ind w:firstLine="708"/>
        <w:jc w:val="both"/>
        <w:rPr>
          <w:rFonts w:cstheme="minorHAnsi"/>
          <w:sz w:val="28"/>
          <w:szCs w:val="28"/>
        </w:rPr>
      </w:pPr>
      <w:r w:rsidRPr="005E1103">
        <w:rPr>
          <w:rFonts w:cstheme="minorHAnsi"/>
          <w:sz w:val="28"/>
          <w:szCs w:val="28"/>
        </w:rPr>
        <w:lastRenderedPageBreak/>
        <w:t>En cuanto a los derechos individuales de los empleados públicos (art. 14 TREBEP), hemos de destacar dos que afectan especialmente al personal docente investigador empleado por las universidades: el derecho a la progresión en la carrera profesional y promoción interna según principios constitucionales de igualdad, mérito y capacidad mediante la implantación de sistemas objetivos y transparentes de evaluación y el derecho a la no discriminación por razón de nacimiento, origen racial o étnico, género, sexo u orientación sexual, religión o convicciones, opinión, discapacidad, edad o cualquier otra condición o circunstancia personal o social.</w:t>
      </w:r>
    </w:p>
    <w:p w:rsidR="00664415" w:rsidRPr="005E1103" w:rsidRDefault="00664415" w:rsidP="00664415">
      <w:pPr>
        <w:spacing w:line="360" w:lineRule="auto"/>
        <w:ind w:firstLine="708"/>
        <w:jc w:val="both"/>
        <w:rPr>
          <w:rFonts w:cstheme="minorHAnsi"/>
          <w:sz w:val="28"/>
          <w:szCs w:val="28"/>
        </w:rPr>
      </w:pPr>
      <w:r w:rsidRPr="005E1103">
        <w:rPr>
          <w:rFonts w:cstheme="minorHAnsi"/>
          <w:sz w:val="28"/>
          <w:szCs w:val="28"/>
        </w:rPr>
        <w:t>Es el art. 59 TREBEP el que se refiere a las personas con discapacidad y desarrolla el cupo de reserva al que se refiere el art. 42.2 LGDPD. En concreto el precepto obliga en su apartado 1 a todas las Administraciones a que, en sus ofertas de empleo público, reserven un cupo no inferior al siete por ciento de las vacantes para ser cubiertas entre personas con discapacidad, siempre que superen los procesos selectivos y acrediten su discapacidad y la compatibilidad con el desempeño de las tareas, de modo que progresivamente se alcance el dos por ciento de los efectivos totales en cada Administración Pública.</w:t>
      </w:r>
    </w:p>
    <w:p w:rsidR="00664415" w:rsidRPr="005E1103" w:rsidRDefault="00664415" w:rsidP="00664415">
      <w:pPr>
        <w:spacing w:line="360" w:lineRule="auto"/>
        <w:ind w:firstLine="708"/>
        <w:jc w:val="both"/>
        <w:rPr>
          <w:rFonts w:cstheme="minorHAnsi"/>
          <w:sz w:val="28"/>
          <w:szCs w:val="28"/>
        </w:rPr>
      </w:pPr>
      <w:r w:rsidRPr="005E1103">
        <w:rPr>
          <w:rFonts w:cstheme="minorHAnsi"/>
          <w:sz w:val="28"/>
          <w:szCs w:val="28"/>
        </w:rPr>
        <w:t>Además por primera vez se ocupa en particular de las personas con discapacidad intelectual, estableciendo que la reserva del mínimo del siete por ciento se realizará de manera que, al menos, el dos por ciento de las plazas ofertadas lo sea para ser cubiertas por personas que acrediten discapacidad intelectual y el resto de las plazas ofertadas lo sea para personas que acrediten cualquier otro tipo de discapacidad.</w:t>
      </w:r>
    </w:p>
    <w:p w:rsidR="00664415" w:rsidRPr="005E1103" w:rsidRDefault="00664415" w:rsidP="00664415">
      <w:pPr>
        <w:spacing w:line="360" w:lineRule="auto"/>
        <w:ind w:firstLine="708"/>
        <w:jc w:val="both"/>
        <w:rPr>
          <w:rFonts w:cstheme="minorHAnsi"/>
          <w:sz w:val="28"/>
          <w:szCs w:val="28"/>
        </w:rPr>
      </w:pPr>
      <w:r w:rsidRPr="005E1103">
        <w:rPr>
          <w:rFonts w:cstheme="minorHAnsi"/>
          <w:sz w:val="28"/>
          <w:szCs w:val="28"/>
        </w:rPr>
        <w:lastRenderedPageBreak/>
        <w:t>En su apdo. 2 el art. 59 dispone que “Cada Administración Pública adoptará las medidas precisas para establecer las adaptaciones y ajustes razonables de tiempos y medios en el proceso selectivo y, una vez superado dicho proceso, las adaptaciones en el puesto de trabajo a las necesidades de las personas con discapacidad”.</w:t>
      </w:r>
    </w:p>
    <w:p w:rsidR="00664415" w:rsidRPr="005E1103" w:rsidRDefault="00664415" w:rsidP="00664415">
      <w:pPr>
        <w:spacing w:line="360" w:lineRule="auto"/>
        <w:ind w:firstLine="708"/>
        <w:jc w:val="both"/>
        <w:rPr>
          <w:rFonts w:cstheme="minorHAnsi"/>
          <w:sz w:val="28"/>
          <w:szCs w:val="28"/>
        </w:rPr>
      </w:pPr>
      <w:r w:rsidRPr="005E1103">
        <w:rPr>
          <w:rFonts w:cstheme="minorHAnsi"/>
          <w:sz w:val="28"/>
          <w:szCs w:val="28"/>
        </w:rPr>
        <w:t>La aplicación de esta normativa en las diferentes Administraciones públicas es generalizada, recientemente el Gobierno en funciones aprobó la reserva 846 plazas para discapacitados en la oferta de empleo público de 2016 entre turno libre y promoción interna, el  mayor número de plazas reservado para personas con discapacidad efectuado en la serie histórica de ofertas de empleo público anuales según el   </w:t>
      </w:r>
      <w:hyperlink r:id="rId126" w:history="1">
        <w:r w:rsidRPr="005E1103">
          <w:rPr>
            <w:rFonts w:cstheme="minorHAnsi"/>
            <w:sz w:val="28"/>
            <w:szCs w:val="28"/>
          </w:rPr>
          <w:t>Comité Español de Representantes de Personas con Discapacidad (Cermi)</w:t>
        </w:r>
      </w:hyperlink>
      <w:r w:rsidRPr="005E1103">
        <w:rPr>
          <w:rStyle w:val="Refdenotaalpie"/>
          <w:rFonts w:cstheme="minorHAnsi"/>
          <w:sz w:val="28"/>
          <w:szCs w:val="28"/>
        </w:rPr>
        <w:footnoteReference w:id="42"/>
      </w:r>
      <w:r w:rsidRPr="005E1103">
        <w:rPr>
          <w:rFonts w:cstheme="minorHAnsi"/>
          <w:sz w:val="28"/>
          <w:szCs w:val="28"/>
        </w:rPr>
        <w:t>. No obstante, como en otras cuestiones, las universidades públicas siguen siendo como veremos un punto negro en la aplicación de esta legislación inclusiva, en particular en lo relativo  a la contratación del personal docente investigador (PDI, en adelante).</w:t>
      </w:r>
    </w:p>
    <w:p w:rsidR="00664415" w:rsidRPr="005E1103" w:rsidRDefault="00664415" w:rsidP="00664415">
      <w:pPr>
        <w:spacing w:line="360" w:lineRule="auto"/>
        <w:ind w:firstLine="708"/>
        <w:jc w:val="both"/>
        <w:rPr>
          <w:rFonts w:cstheme="minorHAnsi"/>
          <w:sz w:val="28"/>
          <w:szCs w:val="28"/>
        </w:rPr>
      </w:pPr>
      <w:r w:rsidRPr="005E1103">
        <w:rPr>
          <w:rFonts w:cstheme="minorHAnsi"/>
          <w:sz w:val="28"/>
          <w:szCs w:val="28"/>
        </w:rPr>
        <w:t xml:space="preserve">Así, en la OPE (oferta pública de empleo) del conjunto de universidades públicas españolas para 2016, nos encontramos con que únicamente en un caso, el de la Universidad de Oviedo, aparece recogida la reserva de plazas por el turno de discapacidad en su oferta pública de empleo, tanto en las plazas convocadas por el turno libre, que correspondería a las plazas de Profesor Titular de Universidad (PTU), como en el caso de las plazas dedicadas a la promoción interna, que corresponderían a las de Catedrático de Universidad (CU). </w:t>
      </w:r>
    </w:p>
    <w:p w:rsidR="00664415" w:rsidRPr="005E1103" w:rsidRDefault="00664415" w:rsidP="00664415">
      <w:pPr>
        <w:spacing w:line="360" w:lineRule="auto"/>
        <w:ind w:firstLine="708"/>
        <w:jc w:val="both"/>
        <w:rPr>
          <w:rFonts w:cstheme="minorHAnsi"/>
          <w:sz w:val="28"/>
          <w:szCs w:val="28"/>
        </w:rPr>
      </w:pPr>
      <w:r w:rsidRPr="005E1103">
        <w:rPr>
          <w:rFonts w:cstheme="minorHAnsi"/>
          <w:sz w:val="28"/>
          <w:szCs w:val="28"/>
        </w:rPr>
        <w:lastRenderedPageBreak/>
        <w:t xml:space="preserve">El TREBEP es plenamente aplicable a las Universidades Públicas, incluidas en el art. 2 que regula su ámbito de actuación, sin que quepa margen en la normativa de desarrollo del EBEP por las Comunidades Autónomas o las Universidades, para desarrollo alguno respecto del cupo de reserva de empleo para las personas con discapacidad (Pérez Pérez, 2015). </w:t>
      </w:r>
    </w:p>
    <w:p w:rsidR="00664415" w:rsidRPr="005E1103" w:rsidRDefault="00664415" w:rsidP="00664415">
      <w:pPr>
        <w:pStyle w:val="Prrafodelista"/>
        <w:numPr>
          <w:ilvl w:val="0"/>
          <w:numId w:val="87"/>
        </w:numPr>
        <w:tabs>
          <w:tab w:val="left" w:pos="426"/>
        </w:tabs>
        <w:spacing w:before="0" w:after="200" w:line="360" w:lineRule="auto"/>
        <w:ind w:left="0" w:firstLine="0"/>
        <w:jc w:val="both"/>
        <w:rPr>
          <w:rFonts w:asciiTheme="minorHAnsi" w:hAnsiTheme="minorHAnsi" w:cstheme="minorHAnsi"/>
          <w:b/>
          <w:sz w:val="28"/>
          <w:szCs w:val="28"/>
        </w:rPr>
      </w:pPr>
      <w:r w:rsidRPr="005E1103">
        <w:rPr>
          <w:rFonts w:asciiTheme="minorHAnsi" w:hAnsiTheme="minorHAnsi" w:cstheme="minorHAnsi"/>
          <w:b/>
          <w:sz w:val="28"/>
          <w:szCs w:val="28"/>
        </w:rPr>
        <w:t>Las particularidades del acceso a la función pública del personal docente e investigador universitario y otras explicaciones para el incumplimiento de la reserva legal de cupos de acceso para personas discapacitadas en la Universidad.</w:t>
      </w:r>
    </w:p>
    <w:p w:rsidR="00664415" w:rsidRPr="005E1103" w:rsidRDefault="00664415" w:rsidP="00664415">
      <w:pPr>
        <w:pStyle w:val="Prrafodelista"/>
        <w:tabs>
          <w:tab w:val="left" w:pos="426"/>
        </w:tabs>
        <w:spacing w:line="360" w:lineRule="auto"/>
        <w:ind w:left="0"/>
        <w:jc w:val="both"/>
        <w:rPr>
          <w:rFonts w:asciiTheme="minorHAnsi" w:hAnsiTheme="minorHAnsi" w:cstheme="minorHAnsi"/>
          <w:sz w:val="28"/>
          <w:szCs w:val="28"/>
        </w:rPr>
      </w:pPr>
      <w:r w:rsidRPr="005E1103">
        <w:rPr>
          <w:rFonts w:asciiTheme="minorHAnsi" w:hAnsiTheme="minorHAnsi" w:cstheme="minorHAnsi"/>
          <w:b/>
          <w:sz w:val="28"/>
          <w:szCs w:val="28"/>
        </w:rPr>
        <w:tab/>
      </w:r>
      <w:r w:rsidRPr="005E1103">
        <w:rPr>
          <w:rFonts w:asciiTheme="minorHAnsi" w:hAnsiTheme="minorHAnsi" w:cstheme="minorHAnsi"/>
          <w:b/>
          <w:sz w:val="28"/>
          <w:szCs w:val="28"/>
        </w:rPr>
        <w:tab/>
      </w:r>
      <w:r w:rsidRPr="005E1103">
        <w:rPr>
          <w:rFonts w:asciiTheme="minorHAnsi" w:hAnsiTheme="minorHAnsi" w:cstheme="minorHAnsi"/>
          <w:sz w:val="28"/>
          <w:szCs w:val="28"/>
        </w:rPr>
        <w:t xml:space="preserve">Es cierto que el acceso como personal funcionario de los cuerpos docentes universitarios requiere mayor complejidad y mucho más tiempo que ninguno de los puestos de funcionarios ofertados en las Administraciones Públicas. Lo habitual es la convocatoria de una oposición o concurso-oposición, a la que se podrá acceder si se cuenta con la titulación exigida (como máximo el título de licenciatura o grado universitario), que si es superada con puntuación suficiente permitirá acceder a una de las plazas convocadas y tomar posesión de la misma. </w:t>
      </w:r>
    </w:p>
    <w:p w:rsidR="00664415" w:rsidRPr="005E1103" w:rsidRDefault="00664415" w:rsidP="00664415">
      <w:pPr>
        <w:pStyle w:val="Prrafodelista"/>
        <w:tabs>
          <w:tab w:val="left" w:pos="426"/>
        </w:tabs>
        <w:spacing w:line="360" w:lineRule="auto"/>
        <w:ind w:left="0"/>
        <w:jc w:val="both"/>
        <w:rPr>
          <w:rFonts w:asciiTheme="minorHAnsi" w:hAnsiTheme="minorHAnsi" w:cstheme="minorHAnsi"/>
          <w:sz w:val="28"/>
          <w:szCs w:val="28"/>
        </w:rPr>
      </w:pPr>
      <w:r w:rsidRPr="005E1103">
        <w:rPr>
          <w:rFonts w:asciiTheme="minorHAnsi" w:hAnsiTheme="minorHAnsi" w:cstheme="minorHAnsi"/>
          <w:sz w:val="28"/>
          <w:szCs w:val="28"/>
        </w:rPr>
        <w:tab/>
      </w:r>
      <w:r w:rsidRPr="005E1103">
        <w:rPr>
          <w:rFonts w:asciiTheme="minorHAnsi" w:hAnsiTheme="minorHAnsi" w:cstheme="minorHAnsi"/>
          <w:sz w:val="28"/>
          <w:szCs w:val="28"/>
        </w:rPr>
        <w:tab/>
        <w:t>En el caso de los cuerpos docentes universitarios la exigencia es bastante superior. En primer lugar en cuanto a la titulación exigida, que es el título de Doctor. Este título exige previamente a su vez la obtención de un título de máster que tenga carácter oficial para poder acceder a los estudios del doctorado, amén de la aceptación en el programa de doctorado correspondiente, cuestión que actualmente reviste también bastante dificultad al ser limitadas las plazas existentes de acceso al doctorado según las diferentes ramas de conocimiento, debido a los criterios de calidad introducidos.</w:t>
      </w:r>
    </w:p>
    <w:p w:rsidR="00664415" w:rsidRPr="005E1103" w:rsidRDefault="00664415" w:rsidP="00664415">
      <w:pPr>
        <w:pStyle w:val="Prrafodelista"/>
        <w:tabs>
          <w:tab w:val="left" w:pos="426"/>
        </w:tabs>
        <w:spacing w:line="360" w:lineRule="auto"/>
        <w:ind w:left="0"/>
        <w:jc w:val="both"/>
        <w:rPr>
          <w:rFonts w:asciiTheme="minorHAnsi" w:hAnsiTheme="minorHAnsi" w:cstheme="minorHAnsi"/>
          <w:sz w:val="28"/>
          <w:szCs w:val="28"/>
        </w:rPr>
      </w:pPr>
      <w:r w:rsidRPr="005E1103">
        <w:rPr>
          <w:rFonts w:asciiTheme="minorHAnsi" w:hAnsiTheme="minorHAnsi" w:cstheme="minorHAnsi"/>
          <w:sz w:val="28"/>
          <w:szCs w:val="28"/>
        </w:rPr>
        <w:lastRenderedPageBreak/>
        <w:tab/>
      </w:r>
      <w:r w:rsidRPr="005E1103">
        <w:rPr>
          <w:rFonts w:asciiTheme="minorHAnsi" w:hAnsiTheme="minorHAnsi" w:cstheme="minorHAnsi"/>
          <w:sz w:val="28"/>
          <w:szCs w:val="28"/>
        </w:rPr>
        <w:tab/>
        <w:t xml:space="preserve">En segundo lugar, tras la obtención del título de Doctor tampoco es posible el acceso a los cuerpos docentes universitarios sin otro prerrequisito cuya obtención es aún más compleja, la obtención de una acreditación de carácter nacional como profesor titular de universidad o catedrático de universidad que tiene la única finalidad, precisamente, de permitir a la persona que lo ha obtenido (habitualmente un investigador con unos diez o quince años de recorrido en el caso de los PTU y de más de veinte en el caso de los CU), presentarse en las plazas convocadas en cualquier universidad nacional en su área de conocimiento. </w:t>
      </w:r>
    </w:p>
    <w:p w:rsidR="00664415" w:rsidRPr="005E1103" w:rsidRDefault="00664415" w:rsidP="00664415">
      <w:pPr>
        <w:pStyle w:val="Prrafodelista"/>
        <w:tabs>
          <w:tab w:val="left" w:pos="426"/>
        </w:tabs>
        <w:spacing w:line="360" w:lineRule="auto"/>
        <w:ind w:left="0"/>
        <w:jc w:val="both"/>
        <w:rPr>
          <w:rFonts w:asciiTheme="minorHAnsi" w:hAnsiTheme="minorHAnsi" w:cstheme="minorHAnsi"/>
          <w:sz w:val="28"/>
          <w:szCs w:val="28"/>
        </w:rPr>
      </w:pPr>
      <w:r w:rsidRPr="005E1103">
        <w:rPr>
          <w:rFonts w:asciiTheme="minorHAnsi" w:hAnsiTheme="minorHAnsi" w:cstheme="minorHAnsi"/>
          <w:sz w:val="28"/>
          <w:szCs w:val="28"/>
        </w:rPr>
        <w:tab/>
        <w:t>Para la obtención de la acreditación correspondiente es necesario obtener una serie de méritos investigadores (publicaciones, estancias en el extranjero, dirección de proyectos de investigación…), docentes y de gestión universitaria. Tales requisitos no se adaptan en función de la discapacidad que pueda tener el docente-investigador que solicita la acreditación, lo que en la práctica dificulta enormemente que una persona discapacitada pueda obtener tal acreditación, o, en caso de obtenerla, lo haría en un tiempo mucho mayor que otra persona que no sufra una discapacidad.</w:t>
      </w:r>
    </w:p>
    <w:p w:rsidR="00664415" w:rsidRPr="005E1103" w:rsidRDefault="00664415" w:rsidP="00664415">
      <w:pPr>
        <w:pStyle w:val="Prrafodelista"/>
        <w:tabs>
          <w:tab w:val="left" w:pos="426"/>
        </w:tabs>
        <w:spacing w:line="360" w:lineRule="auto"/>
        <w:ind w:left="0"/>
        <w:jc w:val="both"/>
        <w:rPr>
          <w:rFonts w:asciiTheme="minorHAnsi" w:hAnsiTheme="minorHAnsi" w:cstheme="minorHAnsi"/>
          <w:sz w:val="28"/>
          <w:szCs w:val="28"/>
        </w:rPr>
      </w:pPr>
      <w:r w:rsidRPr="005E1103">
        <w:rPr>
          <w:rFonts w:asciiTheme="minorHAnsi" w:hAnsiTheme="minorHAnsi" w:cstheme="minorHAnsi"/>
          <w:sz w:val="28"/>
          <w:szCs w:val="28"/>
        </w:rPr>
        <w:tab/>
      </w:r>
      <w:r w:rsidRPr="005E1103">
        <w:rPr>
          <w:rFonts w:asciiTheme="minorHAnsi" w:hAnsiTheme="minorHAnsi" w:cstheme="minorHAnsi"/>
          <w:sz w:val="28"/>
          <w:szCs w:val="28"/>
        </w:rPr>
        <w:tab/>
        <w:t xml:space="preserve">La normativa reguladora de los concursos de acceso a los cuerpos docentes universitarios a nivel nacional se recoge en el Real Decreto 1313/2007, de 5 de octubre, por el que se regula el régimen de los concursos de acceso a cuerpos docentes universitarios, posteriormente completados en ocasiones por normativa autonómica y en todo caso por la normativa interna al respecto de cada universidad. Este Real Decreto se refiere a las personas con discapacidad en su artículo 8 “Garantías de las pruebas”, disponiendo el apartado 2 que “Las Universidades garantizarán la igualdad de oportunidades de las personas con discapacidad y </w:t>
      </w:r>
      <w:r w:rsidRPr="005E1103">
        <w:rPr>
          <w:rFonts w:asciiTheme="minorHAnsi" w:hAnsiTheme="minorHAnsi" w:cstheme="minorHAnsi"/>
          <w:sz w:val="28"/>
          <w:szCs w:val="28"/>
        </w:rPr>
        <w:lastRenderedPageBreak/>
        <w:t>adoptarán, en el procedimiento que haya de regir en los concursos, las oportunas medidas de adaptación a las necesidades de las personas con discapacidad”. No hace referencia pues a los cupos de reserva, tan sólo a la adaptación de los concursos de acceso a las personas discapacitadas.</w:t>
      </w:r>
    </w:p>
    <w:p w:rsidR="00664415" w:rsidRPr="005E1103" w:rsidRDefault="00664415" w:rsidP="00664415">
      <w:pPr>
        <w:pStyle w:val="Prrafodelista"/>
        <w:tabs>
          <w:tab w:val="left" w:pos="426"/>
        </w:tabs>
        <w:spacing w:line="360" w:lineRule="auto"/>
        <w:ind w:left="0"/>
        <w:jc w:val="both"/>
        <w:rPr>
          <w:rFonts w:asciiTheme="minorHAnsi" w:hAnsiTheme="minorHAnsi" w:cstheme="minorHAnsi"/>
          <w:sz w:val="28"/>
          <w:szCs w:val="28"/>
        </w:rPr>
      </w:pPr>
      <w:r w:rsidRPr="005E1103">
        <w:rPr>
          <w:rFonts w:asciiTheme="minorHAnsi" w:hAnsiTheme="minorHAnsi" w:cstheme="minorHAnsi"/>
          <w:sz w:val="28"/>
          <w:szCs w:val="28"/>
        </w:rPr>
        <w:tab/>
        <w:t xml:space="preserve">La problemática principal se produce, si nos ceñimos a las plazas de PTU, en que las universidades públicas no incluyen en sus ofertas públicas de empleo la necesaria reserva legal por diversos motivos. Esto es muy grave, ya que deberían establecer la reserva de forma automática, junto con la oferta pública empleo correspondiente. De no haber solicitantes discapacitados para ese cupo, las plazas acrecentarían el cupo general.  Otro motivo es que las universidades no tienen por lo general un censo de aquellos miembros de su PDI con discapacidad, o por falta de coordinación interna, incluso si conocen a algunos efectos como los de cotizaciones a la Seguridad Social la condición de discapacitado del algún miembro del PDI, no existe garantía de que este hecho sea conocido por los órganos (Vicerrectorado habitualmente), competentes en la ordenación del profesorado y la convocatoria de las plazas respectivas previa inclusión en la oferta pública de empleo anual.  </w:t>
      </w:r>
    </w:p>
    <w:p w:rsidR="00664415" w:rsidRPr="005E1103" w:rsidRDefault="00664415" w:rsidP="00664415">
      <w:pPr>
        <w:pStyle w:val="Prrafodelista"/>
        <w:tabs>
          <w:tab w:val="left" w:pos="426"/>
        </w:tabs>
        <w:spacing w:line="360" w:lineRule="auto"/>
        <w:ind w:left="0"/>
        <w:jc w:val="both"/>
        <w:rPr>
          <w:rFonts w:asciiTheme="minorHAnsi" w:hAnsiTheme="minorHAnsi" w:cstheme="minorHAnsi"/>
          <w:sz w:val="28"/>
          <w:szCs w:val="28"/>
        </w:rPr>
      </w:pPr>
      <w:r w:rsidRPr="005E1103">
        <w:rPr>
          <w:rFonts w:asciiTheme="minorHAnsi" w:hAnsiTheme="minorHAnsi" w:cstheme="minorHAnsi"/>
          <w:sz w:val="28"/>
          <w:szCs w:val="28"/>
        </w:rPr>
        <w:tab/>
        <w:t>Es necesaria pues la coordinación interna y elaborar el censo correspondiente (con las necesarias garantías en cuanto a protección de datos personales), aunque también puede ser que las personas discapacitadas sean las que insten la convocatoria, en cuyo caso, la no inclusión del cupo de reserva, con conocimiento de la existencia de personas que pudiesen acceder por esta vía, sería susceptible de viciar de nulidad la respectiva oferta pública de empleo y la convocatoria de plazas realizada en aplicación de la misma.</w:t>
      </w:r>
    </w:p>
    <w:p w:rsidR="00664415" w:rsidRPr="005E1103" w:rsidRDefault="00664415" w:rsidP="00664415">
      <w:pPr>
        <w:pStyle w:val="Prrafodelista"/>
        <w:tabs>
          <w:tab w:val="left" w:pos="426"/>
        </w:tabs>
        <w:spacing w:line="360" w:lineRule="auto"/>
        <w:ind w:left="0"/>
        <w:jc w:val="both"/>
        <w:rPr>
          <w:rFonts w:asciiTheme="minorHAnsi" w:hAnsiTheme="minorHAnsi" w:cstheme="minorHAnsi"/>
          <w:sz w:val="28"/>
          <w:szCs w:val="28"/>
        </w:rPr>
      </w:pPr>
      <w:r w:rsidRPr="005E1103">
        <w:rPr>
          <w:rFonts w:asciiTheme="minorHAnsi" w:hAnsiTheme="minorHAnsi" w:cstheme="minorHAnsi"/>
          <w:sz w:val="28"/>
          <w:szCs w:val="28"/>
        </w:rPr>
        <w:lastRenderedPageBreak/>
        <w:tab/>
        <w:t>Por otra parte, la oferta pública de empleo anual es negociada con los representantes de los trabajadores en del Comité de Empresa y/o la Junta de Personal, por lo que a través de los sindicatos sin el miembro del PDI les ha comunicado su situación sería también una vía por la que la Universidad podría conocer la existencia de miembros del PDI discapacitados que han solicitado la convocatoria de una plaza.</w:t>
      </w:r>
    </w:p>
    <w:p w:rsidR="00664415" w:rsidRPr="005E1103" w:rsidRDefault="00664415" w:rsidP="00664415">
      <w:pPr>
        <w:pStyle w:val="Prrafodelista"/>
        <w:tabs>
          <w:tab w:val="left" w:pos="426"/>
        </w:tabs>
        <w:spacing w:line="360" w:lineRule="auto"/>
        <w:ind w:left="0"/>
        <w:jc w:val="both"/>
        <w:rPr>
          <w:rFonts w:asciiTheme="minorHAnsi" w:hAnsiTheme="minorHAnsi" w:cstheme="minorHAnsi"/>
          <w:sz w:val="28"/>
          <w:szCs w:val="28"/>
        </w:rPr>
      </w:pPr>
      <w:r w:rsidRPr="005E1103">
        <w:rPr>
          <w:rFonts w:asciiTheme="minorHAnsi" w:hAnsiTheme="minorHAnsi" w:cstheme="minorHAnsi"/>
          <w:sz w:val="28"/>
          <w:szCs w:val="28"/>
        </w:rPr>
        <w:tab/>
        <w:t>Un problema añadido se ha producido con las tasas de reposición inferiores al 100% de las vacantes producidas entre los miembros del PDI. En 2008 pasaron al 30%, reduciéndose aún más, hasta el 10% entre 2011 y 2014, e incrementándose al 50% en 2015 para regresar finalmente al 100% en 2016 (esto por encontrarse las universidades dentro de los servicios educativos, considerados entre los prestados con carácter de servicio esencial, puesto que en el común de las Administraciones Públicas fue inferior dicha tasa de reposición). Se ha producido por esta circunstancia una acumulación de miembros del PDI acreditados como PTU que han debido esperar o lo siguen haciendo para la dotación de la plaza a la que tenían derecho tras acreditarse a una figura superior a aquella que se encontraban ocupando como PDI laboral. Por ejemplo, en el caso del Convenio Colectivo del PDI Laboral de las Universidades Públicas de Andalucía, el plazo máximo para dotar las plazas en la OPE está establecido en 1 año desde la solicitud por el art. 19.2)</w:t>
      </w:r>
      <w:r w:rsidRPr="005E1103">
        <w:rPr>
          <w:rStyle w:val="Refdenotaalpie"/>
          <w:rFonts w:asciiTheme="minorHAnsi" w:hAnsiTheme="minorHAnsi" w:cstheme="minorHAnsi"/>
          <w:sz w:val="28"/>
          <w:szCs w:val="28"/>
        </w:rPr>
        <w:footnoteReference w:id="43"/>
      </w:r>
      <w:r w:rsidRPr="005E1103">
        <w:rPr>
          <w:rFonts w:asciiTheme="minorHAnsi" w:hAnsiTheme="minorHAnsi" w:cstheme="minorHAnsi"/>
          <w:sz w:val="28"/>
          <w:szCs w:val="28"/>
        </w:rPr>
        <w:t>.</w:t>
      </w:r>
    </w:p>
    <w:p w:rsidR="00664415" w:rsidRPr="005E1103" w:rsidRDefault="00664415" w:rsidP="00664415">
      <w:pPr>
        <w:pStyle w:val="Prrafodelista"/>
        <w:tabs>
          <w:tab w:val="left" w:pos="426"/>
        </w:tabs>
        <w:spacing w:line="360" w:lineRule="auto"/>
        <w:ind w:left="0"/>
        <w:jc w:val="both"/>
        <w:rPr>
          <w:rFonts w:asciiTheme="minorHAnsi" w:hAnsiTheme="minorHAnsi" w:cstheme="minorHAnsi"/>
          <w:sz w:val="28"/>
          <w:szCs w:val="28"/>
        </w:rPr>
      </w:pPr>
      <w:r w:rsidRPr="005E1103">
        <w:rPr>
          <w:rFonts w:asciiTheme="minorHAnsi" w:hAnsiTheme="minorHAnsi" w:cstheme="minorHAnsi"/>
          <w:sz w:val="28"/>
          <w:szCs w:val="28"/>
        </w:rPr>
        <w:tab/>
        <w:t xml:space="preserve">Esta espera para poder concurrir a la plaza dotada en cada caso previa acreditación del miembro del PDI correspondiente, ha provocado también que las Universidades tengan que establecer criterios de prioridad en </w:t>
      </w:r>
      <w:r w:rsidRPr="005E1103">
        <w:rPr>
          <w:rFonts w:asciiTheme="minorHAnsi" w:hAnsiTheme="minorHAnsi" w:cstheme="minorHAnsi"/>
          <w:sz w:val="28"/>
          <w:szCs w:val="28"/>
        </w:rPr>
        <w:lastRenderedPageBreak/>
        <w:t>cuanto a la convocatoria de las plazas respectivas en las diversas áreas de conocimiento a la que correspondían los solicitantes acreditados, ya sea en función de las necesidades docentes en las áreas, en función de la antigüedad en la fecha de obtención de la acreditación o de ingreso como PDI en la Universidad del solicitante, etc. Se produce pues otra cuestión a dilucidar en este caso, ya que, si alguna de las solicitudes se realiza pidiendo además que la dotación de la plaza corresponda a la reserva legal para las personas discapacitadas por ser una persona discapacitada la solicitante, ¿debería dotarse en la primera OPE que realice la Universidad dicha plaza o por el contrario dotarse cuando al solicitante le llegue el turno conforme a los criterios establecidos por cada Universidad para ordenar la dotación de las plazas? Estimamos que de cumplirse la Ley, y realizarse la reserva legal establecida, el efecto sería que la espera para los discapacitados en la convocatoria de la plaza fuese menor, pero que esto no vulnera el principio de igualdad, puesto que se trata de plazas a las que no pueden concurrir los candidatos que no sean discapacitados.</w:t>
      </w:r>
    </w:p>
    <w:p w:rsidR="00664415" w:rsidRPr="005E1103" w:rsidRDefault="00664415" w:rsidP="00664415">
      <w:pPr>
        <w:spacing w:line="360" w:lineRule="auto"/>
        <w:jc w:val="both"/>
        <w:rPr>
          <w:rFonts w:cstheme="minorHAnsi"/>
          <w:sz w:val="28"/>
          <w:szCs w:val="28"/>
        </w:rPr>
      </w:pPr>
      <w:r w:rsidRPr="005E1103">
        <w:rPr>
          <w:rFonts w:cstheme="minorHAnsi"/>
          <w:b/>
          <w:sz w:val="28"/>
          <w:szCs w:val="28"/>
        </w:rPr>
        <w:t>3.</w:t>
      </w:r>
      <w:r w:rsidRPr="005E1103">
        <w:rPr>
          <w:rFonts w:cstheme="minorHAnsi"/>
          <w:sz w:val="28"/>
          <w:szCs w:val="28"/>
        </w:rPr>
        <w:t xml:space="preserve"> </w:t>
      </w:r>
      <w:r w:rsidRPr="005E1103">
        <w:rPr>
          <w:rFonts w:cstheme="minorHAnsi"/>
          <w:b/>
          <w:sz w:val="28"/>
          <w:szCs w:val="28"/>
        </w:rPr>
        <w:t>A modo de conclusión. Propuestas a las Universidades para la inclusión de los discapacitados en el marco de los procesos de selección del personal docente investigador.</w:t>
      </w:r>
    </w:p>
    <w:p w:rsidR="00664415" w:rsidRPr="005E1103" w:rsidRDefault="00664415" w:rsidP="00664415">
      <w:pPr>
        <w:pStyle w:val="Prrafodelista"/>
        <w:tabs>
          <w:tab w:val="left" w:pos="426"/>
        </w:tabs>
        <w:spacing w:line="360" w:lineRule="auto"/>
        <w:ind w:left="0"/>
        <w:jc w:val="both"/>
        <w:rPr>
          <w:rFonts w:asciiTheme="minorHAnsi" w:hAnsiTheme="minorHAnsi" w:cstheme="minorHAnsi"/>
          <w:sz w:val="28"/>
          <w:szCs w:val="28"/>
        </w:rPr>
      </w:pPr>
      <w:r w:rsidRPr="005E1103">
        <w:rPr>
          <w:rFonts w:asciiTheme="minorHAnsi" w:hAnsiTheme="minorHAnsi" w:cstheme="minorHAnsi"/>
          <w:b/>
          <w:sz w:val="28"/>
          <w:szCs w:val="28"/>
        </w:rPr>
        <w:tab/>
      </w:r>
      <w:r w:rsidRPr="005E1103">
        <w:rPr>
          <w:rFonts w:asciiTheme="minorHAnsi" w:hAnsiTheme="minorHAnsi" w:cstheme="minorHAnsi"/>
          <w:sz w:val="28"/>
          <w:szCs w:val="28"/>
        </w:rPr>
        <w:t xml:space="preserve">Tras el análisis efectuado, con las limitaciones de espacio del formato de esta comunicación, hemos de concluir que se está produciendo en la actualidad un incumplimiento o inaplicación de las Universidades de la reserva legal de plazas para discapacitados recogida en la LGDPD y en el TREBEP, y que de nada sirven los progresos legislativos en aras de los derechos de los discapacitados, si posteriormente estas normas no son aplicadas por las diferentes administraciones. Por suerte, en este caso, el supuesto del PDI es la excepción y no la norma, tanto en el común de las </w:t>
      </w:r>
      <w:r w:rsidRPr="005E1103">
        <w:rPr>
          <w:rFonts w:asciiTheme="minorHAnsi" w:hAnsiTheme="minorHAnsi" w:cstheme="minorHAnsi"/>
          <w:sz w:val="28"/>
          <w:szCs w:val="28"/>
        </w:rPr>
        <w:lastRenderedPageBreak/>
        <w:t>Administraciones Públicas como en la propia Universidad, donde el cupo de reserva legal de plazas es aplicado con toda normalidad en el caso del personal de administración y servicios, lo que hace más grave la discriminación sufrida por parte de las personas discapacitadas que forman parte del PDI.</w:t>
      </w:r>
    </w:p>
    <w:p w:rsidR="00664415" w:rsidRPr="005E1103" w:rsidRDefault="00664415" w:rsidP="00664415">
      <w:pPr>
        <w:pStyle w:val="Prrafodelista"/>
        <w:tabs>
          <w:tab w:val="left" w:pos="426"/>
        </w:tabs>
        <w:spacing w:line="360" w:lineRule="auto"/>
        <w:ind w:left="0"/>
        <w:jc w:val="both"/>
        <w:rPr>
          <w:rFonts w:asciiTheme="minorHAnsi" w:hAnsiTheme="minorHAnsi" w:cstheme="minorHAnsi"/>
          <w:sz w:val="28"/>
          <w:szCs w:val="28"/>
        </w:rPr>
      </w:pPr>
      <w:r w:rsidRPr="005E1103">
        <w:rPr>
          <w:rFonts w:asciiTheme="minorHAnsi" w:hAnsiTheme="minorHAnsi" w:cstheme="minorHAnsi"/>
          <w:sz w:val="28"/>
          <w:szCs w:val="28"/>
        </w:rPr>
        <w:tab/>
        <w:t>Para solucionar este grave incumplimiento y no seguir permitiendo esta vulneración de los derechos de las personas discapacitadas, es necesario que cada Universidad en sus ofertas públicas de empleo reserve las plazas correspondientes para personas discapacidad. Esto sería en estricto cumplimiento de la Ley, ya que considerando pertinente que cada Universidad cuente con un censo de los miembros de su PDI que sufren alguna discapacidad, estimamos que no debe limitarse la realización de esta reserva a los casos en que la Universidad conozca la existencia de solicitudes de convocatoria de plazas realizadas por personas discapacitadas. Existen distintas alternativas, pero deben partir de la reserva del cupo correspondiente en cada oferta pública de empleo de cada universidad. Si todas lo realizan, no habrá reticencias por parte de ninguna de ellas.</w:t>
      </w:r>
    </w:p>
    <w:p w:rsidR="00664415" w:rsidRPr="005E1103" w:rsidRDefault="00664415" w:rsidP="00664415">
      <w:pPr>
        <w:pStyle w:val="Prrafodelista"/>
        <w:tabs>
          <w:tab w:val="left" w:pos="426"/>
        </w:tabs>
        <w:spacing w:line="360" w:lineRule="auto"/>
        <w:ind w:left="0"/>
        <w:jc w:val="both"/>
        <w:rPr>
          <w:rFonts w:asciiTheme="minorHAnsi" w:hAnsiTheme="minorHAnsi" w:cstheme="minorHAnsi"/>
          <w:sz w:val="28"/>
          <w:szCs w:val="28"/>
        </w:rPr>
      </w:pPr>
      <w:r w:rsidRPr="005E1103">
        <w:rPr>
          <w:rFonts w:asciiTheme="minorHAnsi" w:hAnsiTheme="minorHAnsi" w:cstheme="minorHAnsi"/>
          <w:sz w:val="28"/>
          <w:szCs w:val="28"/>
        </w:rPr>
        <w:tab/>
        <w:t>Otra vía de solución sería comunicar la propia persona discapacitada que cuente con la pertinente acreditación para ser PTU o CU, o bien el área de conocimiento a la que pertenezca, esta circunstancia en el momento de solicitar la convocatoria de la plaza. Bastaría en este caso con modificar la normativa interna de la Universidad o incluso el modelo de solicitud que haya establecido para cumplir la Ley.</w:t>
      </w:r>
    </w:p>
    <w:p w:rsidR="00664415" w:rsidRPr="005E1103" w:rsidRDefault="00664415" w:rsidP="00664415">
      <w:pPr>
        <w:pStyle w:val="Prrafodelista"/>
        <w:tabs>
          <w:tab w:val="left" w:pos="426"/>
        </w:tabs>
        <w:spacing w:line="360" w:lineRule="auto"/>
        <w:ind w:left="0"/>
        <w:jc w:val="both"/>
        <w:rPr>
          <w:rFonts w:asciiTheme="minorHAnsi" w:hAnsiTheme="minorHAnsi" w:cstheme="minorHAnsi"/>
          <w:sz w:val="28"/>
          <w:szCs w:val="28"/>
        </w:rPr>
      </w:pPr>
      <w:r w:rsidRPr="005E1103">
        <w:rPr>
          <w:rFonts w:asciiTheme="minorHAnsi" w:hAnsiTheme="minorHAnsi" w:cstheme="minorHAnsi"/>
          <w:sz w:val="28"/>
          <w:szCs w:val="28"/>
        </w:rPr>
        <w:tab/>
        <w:t xml:space="preserve">En el caso de que la tasa de reposición haya creado una lista de espera, concluimos que esto tampoco puede ser óbice para el cumplimiento del TREBEP en cuanto al cupo de reserva para las personas </w:t>
      </w:r>
      <w:r w:rsidRPr="005E1103">
        <w:rPr>
          <w:rFonts w:asciiTheme="minorHAnsi" w:hAnsiTheme="minorHAnsi" w:cstheme="minorHAnsi"/>
          <w:sz w:val="28"/>
          <w:szCs w:val="28"/>
        </w:rPr>
        <w:lastRenderedPageBreak/>
        <w:t>discapacitadas, plenamente aplicable en el ámbito de las Universidades públicas, y que no vulneraría el principio de igualdad de trato a las personas no discapacitadas incluso en el caso de que se produjese una convocatoria de la plaza en menor lapso de tiempo respecto a la solicitud de la misma a la respectiva Universidad en el caso de las personas discapacitadas con derecho a ello.</w:t>
      </w:r>
    </w:p>
    <w:p w:rsidR="00664415" w:rsidRPr="005E1103" w:rsidRDefault="00664415" w:rsidP="00664415">
      <w:pPr>
        <w:pStyle w:val="Prrafodelista"/>
        <w:tabs>
          <w:tab w:val="left" w:pos="426"/>
        </w:tabs>
        <w:spacing w:line="360" w:lineRule="auto"/>
        <w:ind w:left="0"/>
        <w:jc w:val="both"/>
        <w:rPr>
          <w:rFonts w:asciiTheme="minorHAnsi" w:hAnsiTheme="minorHAnsi" w:cstheme="minorHAnsi"/>
          <w:b/>
          <w:sz w:val="28"/>
          <w:szCs w:val="28"/>
        </w:rPr>
      </w:pPr>
    </w:p>
    <w:p w:rsidR="00664415" w:rsidRPr="005E1103" w:rsidRDefault="00664415" w:rsidP="00664415">
      <w:pPr>
        <w:pStyle w:val="Prrafodelista"/>
        <w:tabs>
          <w:tab w:val="left" w:pos="426"/>
        </w:tabs>
        <w:spacing w:line="360" w:lineRule="auto"/>
        <w:ind w:left="0"/>
        <w:jc w:val="both"/>
        <w:rPr>
          <w:rFonts w:asciiTheme="minorHAnsi" w:hAnsiTheme="minorHAnsi" w:cstheme="minorHAnsi"/>
          <w:b/>
          <w:sz w:val="28"/>
          <w:szCs w:val="28"/>
        </w:rPr>
      </w:pPr>
    </w:p>
    <w:p w:rsidR="00664415" w:rsidRPr="005E1103" w:rsidRDefault="00664415" w:rsidP="00664415">
      <w:pPr>
        <w:pStyle w:val="Prrafodelista"/>
        <w:tabs>
          <w:tab w:val="left" w:pos="426"/>
        </w:tabs>
        <w:spacing w:line="360" w:lineRule="auto"/>
        <w:ind w:left="0"/>
        <w:jc w:val="both"/>
        <w:rPr>
          <w:rFonts w:asciiTheme="minorHAnsi" w:hAnsiTheme="minorHAnsi" w:cstheme="minorHAnsi"/>
          <w:b/>
          <w:sz w:val="28"/>
          <w:szCs w:val="28"/>
        </w:rPr>
      </w:pPr>
      <w:r w:rsidRPr="005E1103">
        <w:rPr>
          <w:rFonts w:asciiTheme="minorHAnsi" w:hAnsiTheme="minorHAnsi" w:cstheme="minorHAnsi"/>
          <w:b/>
          <w:sz w:val="28"/>
          <w:szCs w:val="28"/>
        </w:rPr>
        <w:t>Bibliografía</w:t>
      </w:r>
    </w:p>
    <w:p w:rsidR="00664415" w:rsidRPr="005E1103" w:rsidRDefault="00664415" w:rsidP="00664415">
      <w:pPr>
        <w:pStyle w:val="Prrafodelista"/>
        <w:tabs>
          <w:tab w:val="left" w:pos="426"/>
        </w:tabs>
        <w:spacing w:line="360" w:lineRule="auto"/>
        <w:ind w:left="0"/>
        <w:jc w:val="both"/>
        <w:rPr>
          <w:rFonts w:asciiTheme="minorHAnsi" w:hAnsiTheme="minorHAnsi" w:cstheme="minorHAnsi"/>
          <w:sz w:val="28"/>
          <w:szCs w:val="28"/>
        </w:rPr>
      </w:pPr>
      <w:r w:rsidRPr="005E1103">
        <w:rPr>
          <w:rFonts w:asciiTheme="minorHAnsi" w:hAnsiTheme="minorHAnsi" w:cstheme="minorHAnsi"/>
          <w:sz w:val="28"/>
          <w:szCs w:val="28"/>
        </w:rPr>
        <w:t xml:space="preserve">Torres López, María Asunción (2011), </w:t>
      </w:r>
      <w:r w:rsidRPr="005E1103">
        <w:rPr>
          <w:rFonts w:asciiTheme="minorHAnsi" w:hAnsiTheme="minorHAnsi" w:cstheme="minorHAnsi"/>
          <w:i/>
          <w:sz w:val="28"/>
          <w:szCs w:val="28"/>
        </w:rPr>
        <w:t xml:space="preserve">La discapacidad en el Derecho Administrativo, </w:t>
      </w:r>
      <w:r w:rsidRPr="005E1103">
        <w:rPr>
          <w:rFonts w:asciiTheme="minorHAnsi" w:hAnsiTheme="minorHAnsi" w:cstheme="minorHAnsi"/>
          <w:sz w:val="28"/>
          <w:szCs w:val="28"/>
        </w:rPr>
        <w:t>Madrid, Thomson-Civitas</w:t>
      </w:r>
    </w:p>
    <w:p w:rsidR="00664415" w:rsidRPr="005E1103" w:rsidRDefault="00664415" w:rsidP="00664415">
      <w:pPr>
        <w:pStyle w:val="Prrafodelista"/>
        <w:tabs>
          <w:tab w:val="left" w:pos="426"/>
        </w:tabs>
        <w:spacing w:line="360" w:lineRule="auto"/>
        <w:ind w:left="0"/>
        <w:jc w:val="both"/>
        <w:rPr>
          <w:rFonts w:asciiTheme="minorHAnsi" w:hAnsiTheme="minorHAnsi" w:cstheme="minorHAnsi"/>
          <w:bCs/>
          <w:sz w:val="28"/>
          <w:szCs w:val="28"/>
        </w:rPr>
      </w:pPr>
      <w:r w:rsidRPr="005E1103">
        <w:rPr>
          <w:rFonts w:asciiTheme="minorHAnsi" w:hAnsiTheme="minorHAnsi" w:cstheme="minorHAnsi"/>
          <w:sz w:val="28"/>
          <w:szCs w:val="28"/>
        </w:rPr>
        <w:t xml:space="preserve">Pérez Pérez, Jorge (2015), </w:t>
      </w:r>
      <w:r w:rsidRPr="005E1103">
        <w:rPr>
          <w:rFonts w:asciiTheme="minorHAnsi" w:hAnsiTheme="minorHAnsi" w:cstheme="minorHAnsi"/>
          <w:bCs/>
          <w:i/>
          <w:sz w:val="28"/>
          <w:szCs w:val="28"/>
        </w:rPr>
        <w:t xml:space="preserve">Contratación laboral de personas con discapacidad. Incentivos y cuotas de reserva, </w:t>
      </w:r>
      <w:r w:rsidRPr="005E1103">
        <w:rPr>
          <w:rFonts w:asciiTheme="minorHAnsi" w:hAnsiTheme="minorHAnsi" w:cstheme="minorHAnsi"/>
          <w:bCs/>
          <w:sz w:val="28"/>
          <w:szCs w:val="28"/>
        </w:rPr>
        <w:t xml:space="preserve"> Madrid, Lex Nova.</w:t>
      </w:r>
    </w:p>
    <w:p w:rsidR="00664415" w:rsidRPr="005E1103" w:rsidRDefault="00664415" w:rsidP="00664415">
      <w:pPr>
        <w:tabs>
          <w:tab w:val="left" w:pos="6960"/>
        </w:tabs>
        <w:rPr>
          <w:rFonts w:cstheme="minorHAnsi"/>
          <w:bCs/>
          <w:sz w:val="28"/>
          <w:szCs w:val="28"/>
        </w:rPr>
      </w:pPr>
      <w:r w:rsidRPr="005E1103">
        <w:rPr>
          <w:rFonts w:cstheme="minorHAnsi"/>
          <w:bCs/>
          <w:sz w:val="28"/>
          <w:szCs w:val="28"/>
        </w:rPr>
        <w:t>Soler Arrebola, José A. «Particularidades en el acceso al empleo público de personas con</w:t>
      </w:r>
      <w:r w:rsidRPr="005E1103">
        <w:rPr>
          <w:rFonts w:cstheme="minorHAnsi"/>
          <w:sz w:val="28"/>
          <w:szCs w:val="28"/>
        </w:rPr>
        <w:t> discapacidad</w:t>
      </w:r>
      <w:r w:rsidRPr="005E1103">
        <w:rPr>
          <w:rFonts w:cstheme="minorHAnsi"/>
          <w:bCs/>
          <w:sz w:val="28"/>
          <w:szCs w:val="28"/>
        </w:rPr>
        <w:t>», Revista Doctrinal Aranzadi Social, 2009, núm.6</w:t>
      </w:r>
      <w:r w:rsidRPr="005E1103">
        <w:rPr>
          <w:rFonts w:cstheme="minorHAnsi"/>
          <w:bCs/>
          <w:i/>
          <w:sz w:val="28"/>
          <w:szCs w:val="28"/>
        </w:rPr>
        <w:t>.</w:t>
      </w:r>
      <w:r w:rsidRPr="005E1103">
        <w:rPr>
          <w:rFonts w:cstheme="minorHAnsi"/>
          <w:bCs/>
          <w:sz w:val="28"/>
          <w:szCs w:val="28"/>
        </w:rPr>
        <w:t xml:space="preserve"> pp. 63-89.</w:t>
      </w:r>
    </w:p>
    <w:p w:rsidR="00664415" w:rsidRPr="005E1103" w:rsidRDefault="00664415">
      <w:pPr>
        <w:rPr>
          <w:rFonts w:cstheme="minorHAnsi"/>
          <w:bCs/>
          <w:sz w:val="28"/>
          <w:szCs w:val="28"/>
        </w:rPr>
      </w:pPr>
      <w:r w:rsidRPr="005E1103">
        <w:rPr>
          <w:rFonts w:cstheme="minorHAnsi"/>
          <w:bCs/>
          <w:sz w:val="28"/>
          <w:szCs w:val="28"/>
        </w:rPr>
        <w:br w:type="page"/>
      </w:r>
    </w:p>
    <w:p w:rsidR="00664415" w:rsidRPr="005E1103" w:rsidRDefault="00664415" w:rsidP="00664415">
      <w:pPr>
        <w:spacing w:line="360" w:lineRule="auto"/>
        <w:jc w:val="center"/>
        <w:rPr>
          <w:rFonts w:cstheme="minorHAnsi"/>
          <w:b/>
          <w:sz w:val="28"/>
          <w:szCs w:val="28"/>
        </w:rPr>
      </w:pPr>
      <w:r w:rsidRPr="005E1103">
        <w:rPr>
          <w:rFonts w:cstheme="minorHAnsi"/>
          <w:b/>
          <w:sz w:val="28"/>
          <w:szCs w:val="28"/>
        </w:rPr>
        <w:lastRenderedPageBreak/>
        <w:t>COMUNICACIÓN  2</w:t>
      </w:r>
    </w:p>
    <w:tbl>
      <w:tblPr>
        <w:tblW w:w="10260" w:type="dxa"/>
        <w:tblInd w:w="-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0260"/>
      </w:tblGrid>
      <w:tr w:rsidR="00664415" w:rsidRPr="005E1103" w:rsidTr="0046263B">
        <w:trPr>
          <w:trHeight w:val="1512"/>
        </w:trPr>
        <w:tc>
          <w:tcPr>
            <w:tcW w:w="10260" w:type="dxa"/>
          </w:tcPr>
          <w:p w:rsidR="00664415" w:rsidRPr="005E1103" w:rsidRDefault="00664415" w:rsidP="0046263B">
            <w:pPr>
              <w:spacing w:after="0"/>
              <w:jc w:val="center"/>
              <w:rPr>
                <w:rFonts w:cstheme="minorHAnsi"/>
                <w:b/>
                <w:sz w:val="28"/>
                <w:szCs w:val="28"/>
              </w:rPr>
            </w:pPr>
            <w:r w:rsidRPr="005E1103">
              <w:rPr>
                <w:rFonts w:cstheme="minorHAnsi"/>
                <w:b/>
                <w:sz w:val="28"/>
                <w:szCs w:val="28"/>
              </w:rPr>
              <w:t>TUTORIZACIÓN DE TRABAJOS DE FIN DE GRADO Y MÁSTER SOBRE SEXUALIDAD Y DISCAPACIDAD DESDE LA ASOCIACIÓN NACIONAL DE SALUD SEXUAL Y DISCAPACIDAD (ANSSYD)</w:t>
            </w:r>
          </w:p>
          <w:p w:rsidR="00664415" w:rsidRPr="005E1103" w:rsidRDefault="00664415" w:rsidP="0046263B">
            <w:pPr>
              <w:spacing w:line="360" w:lineRule="auto"/>
              <w:jc w:val="center"/>
              <w:rPr>
                <w:rFonts w:cstheme="minorHAnsi"/>
                <w:b/>
                <w:sz w:val="28"/>
                <w:szCs w:val="28"/>
              </w:rPr>
            </w:pPr>
          </w:p>
        </w:tc>
      </w:tr>
    </w:tbl>
    <w:p w:rsidR="00664415" w:rsidRPr="005E1103" w:rsidRDefault="00664415" w:rsidP="00664415">
      <w:pPr>
        <w:spacing w:line="360" w:lineRule="auto"/>
        <w:jc w:val="center"/>
        <w:rPr>
          <w:rFonts w:cstheme="minorHAnsi"/>
          <w:b/>
          <w:sz w:val="28"/>
          <w:szCs w:val="28"/>
        </w:rPr>
      </w:pPr>
    </w:p>
    <w:p w:rsidR="00664415" w:rsidRPr="005E1103" w:rsidRDefault="00664415" w:rsidP="00664415">
      <w:pPr>
        <w:spacing w:after="0"/>
        <w:jc w:val="right"/>
        <w:rPr>
          <w:rFonts w:cstheme="minorHAnsi"/>
          <w:sz w:val="28"/>
          <w:szCs w:val="28"/>
        </w:rPr>
      </w:pPr>
      <w:r w:rsidRPr="005E1103">
        <w:rPr>
          <w:rFonts w:cstheme="minorHAnsi"/>
          <w:sz w:val="28"/>
          <w:szCs w:val="28"/>
        </w:rPr>
        <w:t>María Honrubia Pérez</w:t>
      </w:r>
    </w:p>
    <w:p w:rsidR="00664415" w:rsidRPr="005E1103" w:rsidRDefault="00664415" w:rsidP="00664415">
      <w:pPr>
        <w:spacing w:after="0"/>
        <w:jc w:val="right"/>
        <w:rPr>
          <w:rFonts w:cstheme="minorHAnsi"/>
          <w:sz w:val="28"/>
          <w:szCs w:val="28"/>
        </w:rPr>
      </w:pPr>
      <w:r w:rsidRPr="005E1103">
        <w:rPr>
          <w:rFonts w:cstheme="minorHAnsi"/>
          <w:sz w:val="28"/>
          <w:szCs w:val="28"/>
        </w:rPr>
        <w:t>Profesora Titular de Ciencias Psicosociales</w:t>
      </w:r>
    </w:p>
    <w:p w:rsidR="00664415" w:rsidRPr="005E1103" w:rsidRDefault="00664415" w:rsidP="00664415">
      <w:pPr>
        <w:spacing w:after="0"/>
        <w:jc w:val="right"/>
        <w:rPr>
          <w:rFonts w:cstheme="minorHAnsi"/>
          <w:sz w:val="28"/>
          <w:szCs w:val="28"/>
        </w:rPr>
      </w:pPr>
      <w:r w:rsidRPr="005E1103">
        <w:rPr>
          <w:rFonts w:cstheme="minorHAnsi"/>
          <w:sz w:val="28"/>
          <w:szCs w:val="28"/>
        </w:rPr>
        <w:t>Universidad de Barcelona</w:t>
      </w:r>
    </w:p>
    <w:p w:rsidR="00664415" w:rsidRPr="005E1103" w:rsidRDefault="00664415" w:rsidP="00664415">
      <w:pPr>
        <w:spacing w:after="0"/>
        <w:jc w:val="right"/>
        <w:rPr>
          <w:rFonts w:cstheme="minorHAnsi"/>
          <w:sz w:val="28"/>
          <w:szCs w:val="28"/>
        </w:rPr>
      </w:pPr>
      <w:r w:rsidRPr="005E1103">
        <w:rPr>
          <w:rFonts w:cstheme="minorHAnsi"/>
          <w:sz w:val="28"/>
          <w:szCs w:val="28"/>
        </w:rPr>
        <w:t>Asociación Nacional de Salud Sexual y Discapacidad (ANSSYD)</w:t>
      </w:r>
    </w:p>
    <w:p w:rsidR="00664415" w:rsidRPr="005E1103" w:rsidRDefault="00664415" w:rsidP="00664415">
      <w:pPr>
        <w:spacing w:after="0"/>
        <w:jc w:val="right"/>
        <w:rPr>
          <w:rFonts w:cstheme="minorHAnsi"/>
          <w:sz w:val="28"/>
          <w:szCs w:val="28"/>
        </w:rPr>
      </w:pPr>
    </w:p>
    <w:p w:rsidR="00664415" w:rsidRPr="005E1103" w:rsidRDefault="00664415" w:rsidP="00664415">
      <w:pPr>
        <w:spacing w:after="0"/>
        <w:jc w:val="right"/>
        <w:rPr>
          <w:rFonts w:cstheme="minorHAnsi"/>
          <w:sz w:val="28"/>
          <w:szCs w:val="28"/>
        </w:rPr>
      </w:pPr>
      <w:r w:rsidRPr="005E1103">
        <w:rPr>
          <w:rFonts w:cstheme="minorHAnsi"/>
          <w:sz w:val="28"/>
          <w:szCs w:val="28"/>
        </w:rPr>
        <w:t>Esther Sánchez Raja</w:t>
      </w:r>
    </w:p>
    <w:p w:rsidR="00664415" w:rsidRPr="005E1103" w:rsidRDefault="00664415" w:rsidP="00664415">
      <w:pPr>
        <w:spacing w:after="0"/>
        <w:jc w:val="right"/>
        <w:rPr>
          <w:rFonts w:cstheme="minorHAnsi"/>
          <w:sz w:val="28"/>
          <w:szCs w:val="28"/>
        </w:rPr>
      </w:pPr>
      <w:r w:rsidRPr="005E1103">
        <w:rPr>
          <w:rFonts w:cstheme="minorHAnsi"/>
          <w:sz w:val="28"/>
          <w:szCs w:val="28"/>
        </w:rPr>
        <w:t>Servicios Sociosanitarios ASAD</w:t>
      </w:r>
    </w:p>
    <w:p w:rsidR="00664415" w:rsidRPr="005E1103" w:rsidRDefault="00664415" w:rsidP="00664415">
      <w:pPr>
        <w:spacing w:after="0"/>
        <w:jc w:val="right"/>
        <w:rPr>
          <w:rFonts w:cstheme="minorHAnsi"/>
          <w:sz w:val="28"/>
          <w:szCs w:val="28"/>
        </w:rPr>
      </w:pPr>
      <w:r w:rsidRPr="005E1103">
        <w:rPr>
          <w:rFonts w:cstheme="minorHAnsi"/>
          <w:sz w:val="28"/>
          <w:szCs w:val="28"/>
        </w:rPr>
        <w:t>Asociación Nacional de Salud Sexual y Discapacidad (ANSSYD)</w:t>
      </w:r>
    </w:p>
    <w:p w:rsidR="00664415" w:rsidRPr="005E1103" w:rsidRDefault="00664415" w:rsidP="00664415">
      <w:pPr>
        <w:spacing w:after="0"/>
        <w:jc w:val="right"/>
        <w:rPr>
          <w:rFonts w:cstheme="minorHAnsi"/>
          <w:sz w:val="28"/>
          <w:szCs w:val="28"/>
        </w:rPr>
      </w:pPr>
      <w:r w:rsidRPr="005E1103">
        <w:rPr>
          <w:rFonts w:cstheme="minorHAnsi"/>
          <w:sz w:val="28"/>
          <w:szCs w:val="28"/>
        </w:rPr>
        <w:t>Presidenta</w:t>
      </w:r>
    </w:p>
    <w:p w:rsidR="00664415" w:rsidRPr="005E1103" w:rsidRDefault="00664415" w:rsidP="00664415">
      <w:pPr>
        <w:spacing w:after="0"/>
        <w:jc w:val="right"/>
        <w:rPr>
          <w:rFonts w:cstheme="minorHAnsi"/>
          <w:sz w:val="28"/>
          <w:szCs w:val="28"/>
        </w:rPr>
      </w:pPr>
      <w:r w:rsidRPr="005E1103">
        <w:rPr>
          <w:rFonts w:cstheme="minorHAnsi"/>
          <w:sz w:val="28"/>
          <w:szCs w:val="28"/>
        </w:rPr>
        <w:t>Barcelona</w:t>
      </w:r>
    </w:p>
    <w:p w:rsidR="00664415" w:rsidRPr="005E1103" w:rsidRDefault="00664415" w:rsidP="00664415">
      <w:pPr>
        <w:spacing w:after="0"/>
        <w:jc w:val="both"/>
        <w:rPr>
          <w:rFonts w:cstheme="minorHAnsi"/>
          <w:b/>
          <w:sz w:val="28"/>
          <w:szCs w:val="28"/>
        </w:rPr>
      </w:pPr>
    </w:p>
    <w:p w:rsidR="00664415" w:rsidRPr="005E1103" w:rsidRDefault="00664415" w:rsidP="00664415">
      <w:pPr>
        <w:spacing w:after="0"/>
        <w:jc w:val="both"/>
        <w:rPr>
          <w:rFonts w:cstheme="minorHAnsi"/>
          <w:b/>
          <w:sz w:val="28"/>
          <w:szCs w:val="28"/>
        </w:rPr>
      </w:pPr>
    </w:p>
    <w:p w:rsidR="00664415" w:rsidRPr="005E1103" w:rsidRDefault="00664415" w:rsidP="00664415">
      <w:pPr>
        <w:spacing w:after="0"/>
        <w:jc w:val="both"/>
        <w:rPr>
          <w:rFonts w:cstheme="minorHAnsi"/>
          <w:b/>
          <w:sz w:val="28"/>
          <w:szCs w:val="28"/>
        </w:rPr>
      </w:pPr>
    </w:p>
    <w:p w:rsidR="00664415" w:rsidRPr="005E1103" w:rsidRDefault="00664415" w:rsidP="00664415">
      <w:pPr>
        <w:spacing w:after="0"/>
        <w:jc w:val="both"/>
        <w:rPr>
          <w:rFonts w:cstheme="minorHAnsi"/>
          <w:b/>
          <w:sz w:val="28"/>
          <w:szCs w:val="28"/>
        </w:rPr>
      </w:pPr>
    </w:p>
    <w:p w:rsidR="00664415" w:rsidRPr="005E1103" w:rsidRDefault="00664415" w:rsidP="00664415">
      <w:pPr>
        <w:autoSpaceDE w:val="0"/>
        <w:autoSpaceDN w:val="0"/>
        <w:adjustRightInd w:val="0"/>
        <w:spacing w:after="0" w:line="240" w:lineRule="auto"/>
        <w:ind w:left="3686"/>
        <w:jc w:val="right"/>
        <w:rPr>
          <w:rFonts w:cstheme="minorHAnsi"/>
          <w:sz w:val="28"/>
          <w:szCs w:val="28"/>
        </w:rPr>
      </w:pPr>
      <w:r w:rsidRPr="005E1103">
        <w:rPr>
          <w:rFonts w:cstheme="minorHAnsi"/>
          <w:sz w:val="28"/>
          <w:szCs w:val="28"/>
        </w:rPr>
        <w:t xml:space="preserve">“… el éxito o fracaso de las innovaciones educativas depende, en gran parte, de la forma en que los diferentes actores educativos interpretan, redefinen, filtran y dan forma a los cambios propuestos”. </w:t>
      </w:r>
    </w:p>
    <w:p w:rsidR="00664415" w:rsidRPr="005E1103" w:rsidRDefault="00664415" w:rsidP="00664415">
      <w:pPr>
        <w:autoSpaceDE w:val="0"/>
        <w:autoSpaceDN w:val="0"/>
        <w:adjustRightInd w:val="0"/>
        <w:spacing w:after="0" w:line="240" w:lineRule="auto"/>
        <w:ind w:left="5664" w:firstLine="708"/>
        <w:rPr>
          <w:rFonts w:cstheme="minorHAnsi"/>
          <w:sz w:val="28"/>
          <w:szCs w:val="28"/>
        </w:rPr>
      </w:pPr>
      <w:r w:rsidRPr="005E1103">
        <w:rPr>
          <w:rFonts w:cstheme="minorHAnsi"/>
          <w:sz w:val="28"/>
          <w:szCs w:val="28"/>
        </w:rPr>
        <w:t xml:space="preserve">   (Rodríguez, 2009: 158)</w:t>
      </w:r>
    </w:p>
    <w:p w:rsidR="00664415" w:rsidRPr="005E1103" w:rsidRDefault="00664415" w:rsidP="00664415">
      <w:pPr>
        <w:autoSpaceDE w:val="0"/>
        <w:autoSpaceDN w:val="0"/>
        <w:adjustRightInd w:val="0"/>
        <w:spacing w:after="0" w:line="240" w:lineRule="auto"/>
        <w:rPr>
          <w:rFonts w:cstheme="minorHAnsi"/>
          <w:sz w:val="28"/>
          <w:szCs w:val="28"/>
        </w:rPr>
      </w:pPr>
    </w:p>
    <w:p w:rsidR="00664415" w:rsidRPr="005E1103" w:rsidRDefault="00664415" w:rsidP="00664415">
      <w:pPr>
        <w:autoSpaceDE w:val="0"/>
        <w:autoSpaceDN w:val="0"/>
        <w:adjustRightInd w:val="0"/>
        <w:spacing w:after="0" w:line="240" w:lineRule="auto"/>
        <w:jc w:val="right"/>
        <w:rPr>
          <w:rFonts w:cstheme="minorHAnsi"/>
          <w:sz w:val="28"/>
          <w:szCs w:val="28"/>
        </w:rPr>
      </w:pPr>
    </w:p>
    <w:p w:rsidR="00664415" w:rsidRPr="005E1103" w:rsidRDefault="00664415" w:rsidP="00664415">
      <w:pPr>
        <w:autoSpaceDE w:val="0"/>
        <w:autoSpaceDN w:val="0"/>
        <w:adjustRightInd w:val="0"/>
        <w:spacing w:after="0" w:line="240" w:lineRule="auto"/>
        <w:jc w:val="right"/>
        <w:rPr>
          <w:rFonts w:cstheme="minorHAnsi"/>
          <w:sz w:val="28"/>
          <w:szCs w:val="28"/>
        </w:rPr>
      </w:pPr>
      <w:r w:rsidRPr="005E1103">
        <w:rPr>
          <w:rFonts w:cstheme="minorHAnsi"/>
          <w:sz w:val="28"/>
          <w:szCs w:val="28"/>
        </w:rPr>
        <w:t>Se ha de conseguir que estos futuros profesionales en</w:t>
      </w:r>
    </w:p>
    <w:p w:rsidR="00664415" w:rsidRPr="005E1103" w:rsidRDefault="00664415" w:rsidP="00664415">
      <w:pPr>
        <w:autoSpaceDE w:val="0"/>
        <w:autoSpaceDN w:val="0"/>
        <w:adjustRightInd w:val="0"/>
        <w:spacing w:after="0" w:line="240" w:lineRule="auto"/>
        <w:ind w:left="2832" w:firstLine="708"/>
        <w:jc w:val="right"/>
        <w:rPr>
          <w:rFonts w:cstheme="minorHAnsi"/>
          <w:sz w:val="28"/>
          <w:szCs w:val="28"/>
        </w:rPr>
      </w:pPr>
      <w:r w:rsidRPr="005E1103">
        <w:rPr>
          <w:rFonts w:cstheme="minorHAnsi"/>
          <w:sz w:val="28"/>
          <w:szCs w:val="28"/>
        </w:rPr>
        <w:t>formación pasen en mayor medida de ser meros usuarios  de la universidad a convertirse en agentes involucrados en las instituciones de educación superior</w:t>
      </w:r>
    </w:p>
    <w:p w:rsidR="00664415" w:rsidRPr="005E1103" w:rsidRDefault="00664415" w:rsidP="00664415">
      <w:pPr>
        <w:spacing w:after="0"/>
        <w:jc w:val="center"/>
        <w:rPr>
          <w:rFonts w:cstheme="minorHAnsi"/>
          <w:sz w:val="28"/>
          <w:szCs w:val="28"/>
        </w:rPr>
      </w:pPr>
      <w:r w:rsidRPr="005E1103">
        <w:rPr>
          <w:rFonts w:cstheme="minorHAnsi"/>
          <w:sz w:val="28"/>
          <w:szCs w:val="28"/>
        </w:rPr>
        <w:t xml:space="preserve">                                                                                                         (Galán, 2010:96)</w:t>
      </w:r>
    </w:p>
    <w:p w:rsidR="00664415" w:rsidRPr="005E1103" w:rsidRDefault="00664415" w:rsidP="00664415">
      <w:pPr>
        <w:spacing w:after="0"/>
        <w:jc w:val="both"/>
        <w:rPr>
          <w:rFonts w:cstheme="minorHAnsi"/>
          <w:b/>
          <w:sz w:val="28"/>
          <w:szCs w:val="28"/>
        </w:rPr>
      </w:pPr>
    </w:p>
    <w:p w:rsidR="00664415" w:rsidRPr="005E1103" w:rsidRDefault="00664415" w:rsidP="00664415">
      <w:pPr>
        <w:spacing w:after="0"/>
        <w:jc w:val="both"/>
        <w:rPr>
          <w:rFonts w:cstheme="minorHAnsi"/>
          <w:b/>
          <w:sz w:val="28"/>
          <w:szCs w:val="28"/>
        </w:rPr>
      </w:pPr>
    </w:p>
    <w:p w:rsidR="00664415" w:rsidRPr="005E1103" w:rsidRDefault="00664415" w:rsidP="00664415">
      <w:pPr>
        <w:spacing w:after="0"/>
        <w:jc w:val="both"/>
        <w:rPr>
          <w:rFonts w:cstheme="minorHAnsi"/>
          <w:b/>
          <w:sz w:val="28"/>
          <w:szCs w:val="28"/>
        </w:rPr>
      </w:pPr>
      <w:r w:rsidRPr="005E1103">
        <w:rPr>
          <w:rFonts w:cstheme="minorHAnsi"/>
          <w:b/>
          <w:sz w:val="28"/>
          <w:szCs w:val="28"/>
        </w:rPr>
        <w:t>Introducción</w:t>
      </w:r>
    </w:p>
    <w:p w:rsidR="00664415" w:rsidRPr="005E1103" w:rsidRDefault="00664415" w:rsidP="00664415">
      <w:pPr>
        <w:spacing w:after="0"/>
        <w:jc w:val="both"/>
        <w:rPr>
          <w:rFonts w:cstheme="minorHAnsi"/>
          <w:sz w:val="28"/>
          <w:szCs w:val="28"/>
        </w:rPr>
      </w:pPr>
    </w:p>
    <w:p w:rsidR="00664415" w:rsidRPr="005E1103" w:rsidRDefault="00664415" w:rsidP="00664415">
      <w:pPr>
        <w:autoSpaceDE w:val="0"/>
        <w:autoSpaceDN w:val="0"/>
        <w:adjustRightInd w:val="0"/>
        <w:spacing w:after="0" w:line="360" w:lineRule="auto"/>
        <w:jc w:val="both"/>
        <w:rPr>
          <w:rFonts w:cstheme="minorHAnsi"/>
          <w:sz w:val="28"/>
          <w:szCs w:val="28"/>
        </w:rPr>
      </w:pPr>
      <w:r w:rsidRPr="005E1103">
        <w:rPr>
          <w:rFonts w:cstheme="minorHAnsi"/>
          <w:iCs/>
          <w:sz w:val="28"/>
          <w:szCs w:val="28"/>
        </w:rPr>
        <w:t xml:space="preserve">Los comienzos del siglo XXI en referencia a la Educación Superior  en España, se caracterizan por un cambio sustancial, a raíz de los acuerdos dela Declaración de Bolonia, que </w:t>
      </w:r>
      <w:r w:rsidRPr="005E1103">
        <w:rPr>
          <w:rFonts w:cstheme="minorHAnsi"/>
          <w:sz w:val="28"/>
          <w:szCs w:val="28"/>
        </w:rPr>
        <w:t xml:space="preserve">planteó como objetivo para el año 2010 conseguir el llamado Espacio Europeo de Educación Superior (EEES), con la consiguiente creación de titulaciones universitarias equivalentes para la libre circulación de estudiantes y profesionales, (Ministros Europeos de Educación, 1999). En este </w:t>
      </w:r>
      <w:r w:rsidRPr="005E1103">
        <w:rPr>
          <w:rFonts w:cstheme="minorHAnsi"/>
          <w:iCs/>
          <w:sz w:val="28"/>
          <w:szCs w:val="28"/>
        </w:rPr>
        <w:t>marco se ha realizado la reforma de la educación universitaria en España, adecuándose al Espacio Europeo, cuya entrada en vigor plenamente se lleva a cabo en el año 2010, (</w:t>
      </w:r>
      <w:r w:rsidRPr="005E1103">
        <w:rPr>
          <w:rFonts w:cstheme="minorHAnsi"/>
          <w:sz w:val="28"/>
          <w:szCs w:val="28"/>
        </w:rPr>
        <w:t>Real Decreto30/10/2007), que establece la ordenación de las Enseñanzas Universitarias.</w:t>
      </w:r>
    </w:p>
    <w:p w:rsidR="00664415" w:rsidRPr="005E1103" w:rsidRDefault="00664415" w:rsidP="00664415">
      <w:pPr>
        <w:autoSpaceDE w:val="0"/>
        <w:autoSpaceDN w:val="0"/>
        <w:adjustRightInd w:val="0"/>
        <w:spacing w:after="0" w:line="360" w:lineRule="auto"/>
        <w:jc w:val="both"/>
        <w:rPr>
          <w:rFonts w:cstheme="minorHAnsi"/>
          <w:sz w:val="28"/>
          <w:szCs w:val="28"/>
        </w:rPr>
      </w:pPr>
      <w:r w:rsidRPr="005E1103">
        <w:rPr>
          <w:rFonts w:cstheme="minorHAnsi"/>
          <w:iCs/>
          <w:sz w:val="28"/>
          <w:szCs w:val="28"/>
        </w:rPr>
        <w:t xml:space="preserve">La enseñanza universitaria, experimenta un cambio sustancial, al secuenciar la formación en tres niveles: Grado, Máster y Doctorado y la </w:t>
      </w:r>
      <w:r w:rsidRPr="005E1103">
        <w:rPr>
          <w:rFonts w:cstheme="minorHAnsi"/>
          <w:sz w:val="28"/>
          <w:szCs w:val="28"/>
        </w:rPr>
        <w:t xml:space="preserve">docencia deja de definirse como una actividad centrada en el profesorado para concebirse centrada en el papel activo del alumno a fin de que asuma las competencias necesarias para su futuro desempeño profesional (Ministerio de Educación, Cultura y Deporte, 2003). Este proceso de convergencia europea implica una diversificación de la metodología docente con la incorporación, por ejemplo, de nuevas formas de aprendizaje colaborativo (Font-Mayolas, 2005; Menéndez, de Paco y Parrón, 2009; Pascual, 2004), la incorporación de avances en cuanto a las nuevas tecnologías de la información y de la comunicación (TICs) como las Webquest (Fernández, 2008). Los títulos de licenciatura se cambian por los de Grado y surge una nueva forma de evaluación de los conocimientos </w:t>
      </w:r>
      <w:r w:rsidRPr="005E1103">
        <w:rPr>
          <w:rFonts w:cstheme="minorHAnsi"/>
          <w:sz w:val="28"/>
          <w:szCs w:val="28"/>
        </w:rPr>
        <w:lastRenderedPageBreak/>
        <w:t xml:space="preserve">y competencias adquiridos durante los 4 años de formación universitaria básica, en la figura del Trabajo Fin de Grado (TFG), actividad necesaria de ser realizada para la obtención del título que capacita para el mundo laboral y que se encuentra en la línea de las formas de aprendizaje de los nuevos estudiantes universitarios. </w:t>
      </w:r>
      <w:r w:rsidRPr="005E1103">
        <w:rPr>
          <w:rFonts w:cstheme="minorHAnsi"/>
          <w:iCs/>
          <w:sz w:val="28"/>
          <w:szCs w:val="28"/>
        </w:rPr>
        <w:t>Los estudios post básicos de Máster y Doctorado ya existían como tales, pero ahora se les da una impronta diferente al considerar la formación post básica casi imprescindible para la entrada en el mundo laboral, de tal forma, que en algunas carreras es condición necesaria tener un Máster para el ejercicio profesional y culminan de la misma forma que los Grados, con un Trabajo Fin de Máster (TFM).  Los estudios de Doctorado que han tenido también una gran reestructuración a través de las Escuelas de Doctorado creadas por las Universidades, en las que se crean programas específicos encaminados a la investigación en el marco académico, finalizan con la lectura y defensa de la tesis doctoral, tal y como venía haciéndose con anterioridad a Bolonia.</w:t>
      </w:r>
    </w:p>
    <w:p w:rsidR="00664415" w:rsidRPr="005E1103" w:rsidRDefault="00664415" w:rsidP="00664415">
      <w:pPr>
        <w:autoSpaceDE w:val="0"/>
        <w:autoSpaceDN w:val="0"/>
        <w:adjustRightInd w:val="0"/>
        <w:spacing w:after="0" w:line="360" w:lineRule="auto"/>
        <w:jc w:val="both"/>
        <w:rPr>
          <w:rFonts w:cstheme="minorHAnsi"/>
          <w:iCs/>
          <w:sz w:val="28"/>
          <w:szCs w:val="28"/>
        </w:rPr>
      </w:pPr>
      <w:r w:rsidRPr="005E1103">
        <w:rPr>
          <w:rFonts w:cstheme="minorHAnsi"/>
          <w:iCs/>
          <w:sz w:val="28"/>
          <w:szCs w:val="28"/>
        </w:rPr>
        <w:t xml:space="preserve">Una de las innovaciones más relevantes ha sido la figura académica del tutor y las tutorías institucionalizadas y regladas dentro de los tres niveles de estudios universitarios comentados, al llevar a cabo la de forma obligatoria la integración plena del profesorado en esta actividad hasta entonces voluntaria y solo a propuesta de las facultades que lo solicitaban. Esta nueva actividad del profesorado, </w:t>
      </w:r>
      <w:r w:rsidRPr="005E1103">
        <w:rPr>
          <w:rFonts w:cstheme="minorHAnsi"/>
          <w:sz w:val="28"/>
          <w:szCs w:val="28"/>
        </w:rPr>
        <w:t xml:space="preserve">implica iniciar la construcción de una cultura en la que el uso regular de las tutorías, la participación en el aula y la vinculación con las actividades académicas complementarias son el elemento clave para un desarrollo académico satisfactorio. Esta activación en los distintos contextos de desarrollo académico es, de hecho, el valor añadido que se une a una docencia diversificada y a una </w:t>
      </w:r>
      <w:r w:rsidRPr="005E1103">
        <w:rPr>
          <w:rFonts w:cstheme="minorHAnsi"/>
          <w:sz w:val="28"/>
          <w:szCs w:val="28"/>
        </w:rPr>
        <w:lastRenderedPageBreak/>
        <w:t xml:space="preserve">concepción del trabajo del estudiante distinto a la tradicional. (Martínez, M., 2009:84). </w:t>
      </w:r>
    </w:p>
    <w:p w:rsidR="00664415" w:rsidRPr="005E1103" w:rsidRDefault="00664415" w:rsidP="00664415">
      <w:pPr>
        <w:spacing w:line="360" w:lineRule="auto"/>
        <w:jc w:val="both"/>
        <w:rPr>
          <w:rFonts w:cstheme="minorHAnsi"/>
          <w:b/>
          <w:bCs/>
          <w:sz w:val="28"/>
          <w:szCs w:val="28"/>
        </w:rPr>
      </w:pPr>
      <w:r w:rsidRPr="005E1103">
        <w:rPr>
          <w:rFonts w:cstheme="minorHAnsi"/>
          <w:sz w:val="28"/>
          <w:szCs w:val="28"/>
        </w:rPr>
        <w:t xml:space="preserve">En el tema concreto que nos ocupa de la formación universitaria en sexualidad de los futuros profesionales de Ciencias de la Salud y de las Ciencias Sociales y de la Educación, todavía es considerada materia tangencial y su impartición se realiza con carácter optativo en algunas facultades, aunque existe legislación sobre la obligación de formación reglada a los profesionales y el derecho a la atención, </w:t>
      </w:r>
      <w:r w:rsidRPr="005E1103">
        <w:rPr>
          <w:rFonts w:cstheme="minorHAnsi"/>
          <w:bCs/>
          <w:sz w:val="28"/>
          <w:szCs w:val="28"/>
        </w:rPr>
        <w:t xml:space="preserve">(Ley Orgánica 3/2010) de Salud sexual y Reproductiva e Interrupción Voluntaria del Embarazo. (Arts. 3, 5, 6, 7, 8, 9, 11) y el </w:t>
      </w:r>
      <w:r w:rsidRPr="005E1103">
        <w:rPr>
          <w:rFonts w:cstheme="minorHAnsi"/>
          <w:bCs/>
          <w:sz w:val="28"/>
          <w:szCs w:val="28"/>
          <w:lang w:val="es-ES_tradnl"/>
        </w:rPr>
        <w:t xml:space="preserve">Real Decreto Legislativo 1/2013, de 29 de noviembre, por el que se aprueba el Texto Refundido de la Ley General de derechos de las personas con discapacidad y de su inclusión social, en el que se </w:t>
      </w:r>
      <w:r w:rsidRPr="005E1103">
        <w:rPr>
          <w:rFonts w:cstheme="minorHAnsi"/>
          <w:b/>
          <w:bCs/>
          <w:sz w:val="28"/>
          <w:szCs w:val="28"/>
          <w:lang w:val="es-ES_tradnl"/>
        </w:rPr>
        <w:t>encomienda</w:t>
      </w:r>
      <w:r w:rsidRPr="005E1103">
        <w:rPr>
          <w:rFonts w:cstheme="minorHAnsi"/>
          <w:bCs/>
          <w:sz w:val="28"/>
          <w:szCs w:val="28"/>
          <w:lang w:val="es-ES_tradnl"/>
        </w:rPr>
        <w:t xml:space="preserve"> a las Administraciones Públicas la labor de </w:t>
      </w:r>
      <w:r w:rsidRPr="005E1103">
        <w:rPr>
          <w:rFonts w:cstheme="minorHAnsi"/>
          <w:b/>
          <w:bCs/>
          <w:sz w:val="28"/>
          <w:szCs w:val="28"/>
          <w:lang w:val="es-ES_tradnl"/>
        </w:rPr>
        <w:t xml:space="preserve">fomentarla innovación e investigación </w:t>
      </w:r>
      <w:r w:rsidRPr="005E1103">
        <w:rPr>
          <w:rFonts w:cstheme="minorHAnsi"/>
          <w:bCs/>
          <w:sz w:val="28"/>
          <w:szCs w:val="28"/>
          <w:lang w:val="es-ES_tradnl"/>
        </w:rPr>
        <w:t xml:space="preserve">aplicada al desarrollo de entornos, productos, servicios y prestaciones que garanticen los principios de inclusión, Accesibilidad Universal, diseño para todas las personas y vida independiente </w:t>
      </w:r>
      <w:r w:rsidRPr="005E1103">
        <w:rPr>
          <w:rFonts w:cstheme="minorHAnsi"/>
          <w:b/>
          <w:bCs/>
          <w:sz w:val="28"/>
          <w:szCs w:val="28"/>
          <w:lang w:val="es-ES_tradnl"/>
        </w:rPr>
        <w:t>en favor de las personas con discapacidad y /o situaciones especiales.</w:t>
      </w:r>
    </w:p>
    <w:p w:rsidR="00664415" w:rsidRPr="005E1103" w:rsidRDefault="00664415" w:rsidP="00664415">
      <w:pPr>
        <w:tabs>
          <w:tab w:val="left" w:pos="8789"/>
        </w:tabs>
        <w:autoSpaceDE w:val="0"/>
        <w:autoSpaceDN w:val="0"/>
        <w:adjustRightInd w:val="0"/>
        <w:spacing w:after="140" w:line="360" w:lineRule="auto"/>
        <w:jc w:val="both"/>
        <w:rPr>
          <w:rFonts w:cstheme="minorHAnsi"/>
          <w:b/>
          <w:bCs/>
          <w:iCs/>
          <w:color w:val="000000"/>
          <w:sz w:val="28"/>
          <w:szCs w:val="28"/>
        </w:rPr>
      </w:pPr>
      <w:r w:rsidRPr="005E1103">
        <w:rPr>
          <w:rFonts w:cstheme="minorHAnsi"/>
          <w:color w:val="000000"/>
          <w:sz w:val="28"/>
          <w:szCs w:val="28"/>
        </w:rPr>
        <w:t xml:space="preserve">Desde la vertiente orientadora que ha de tener el profesorado universitario inmerso en el EEES, la acción orientadora se convierte en un recurso esencial para la respuesta asertiva en la promoción de la salud, en general, y en salud sexual, en particular, dentro del marco que siempre ha caracterizado la orientación: el derecho de las personas a su autorrealización y, en este caso, el derecho de los seres humanos –sin importar la orientación del deseo, su condición civil, discapacidad y etapa evolutiva– al disfrute de la vivencia afectiva y sexual como parte de su bienestar integral. Haciéndonos eco de las palaras del Dr. Félix López: </w:t>
      </w:r>
      <w:r w:rsidRPr="005E1103">
        <w:rPr>
          <w:rFonts w:cstheme="minorHAnsi"/>
          <w:i/>
          <w:color w:val="000000"/>
          <w:sz w:val="28"/>
          <w:szCs w:val="28"/>
        </w:rPr>
        <w:t xml:space="preserve">“… </w:t>
      </w:r>
      <w:r w:rsidRPr="005E1103">
        <w:rPr>
          <w:rFonts w:cstheme="minorHAnsi"/>
          <w:i/>
          <w:color w:val="000000"/>
          <w:sz w:val="28"/>
          <w:szCs w:val="28"/>
        </w:rPr>
        <w:lastRenderedPageBreak/>
        <w:t xml:space="preserve">Es así, compañeros y compañeras orientadores/as que en nuestras manos, en las de las autoridades universitarias y gubernamentales está realizar los cambios necesarios y las actuaciones precisas para que la sexualidad y su educación en nuestro país sean y pertenezcan, al </w:t>
      </w:r>
      <w:r w:rsidRPr="005E1103">
        <w:rPr>
          <w:rFonts w:cstheme="minorHAnsi"/>
          <w:b/>
          <w:bCs/>
          <w:i/>
          <w:iCs/>
          <w:color w:val="000000"/>
          <w:sz w:val="28"/>
          <w:szCs w:val="28"/>
        </w:rPr>
        <w:t>“reino de la libertad”.</w:t>
      </w:r>
      <w:r w:rsidRPr="005E1103">
        <w:rPr>
          <w:rFonts w:cstheme="minorHAnsi"/>
          <w:bCs/>
          <w:iCs/>
          <w:color w:val="000000"/>
          <w:sz w:val="28"/>
          <w:szCs w:val="28"/>
        </w:rPr>
        <w:t>(López,</w:t>
      </w:r>
      <w:r w:rsidRPr="005E1103">
        <w:rPr>
          <w:rFonts w:cstheme="minorHAnsi"/>
          <w:color w:val="000000"/>
          <w:sz w:val="28"/>
          <w:szCs w:val="28"/>
        </w:rPr>
        <w:t xml:space="preserve">F. (2005:91) y </w:t>
      </w:r>
      <w:r w:rsidRPr="005E1103">
        <w:rPr>
          <w:rFonts w:cstheme="minorHAnsi"/>
          <w:bCs/>
          <w:iCs/>
          <w:color w:val="000000"/>
          <w:sz w:val="28"/>
          <w:szCs w:val="28"/>
        </w:rPr>
        <w:t>(Fallas, M. et al, 2012:68)</w:t>
      </w:r>
    </w:p>
    <w:p w:rsidR="00664415" w:rsidRPr="005E1103" w:rsidRDefault="00664415" w:rsidP="00664415">
      <w:pPr>
        <w:spacing w:after="0" w:line="360" w:lineRule="auto"/>
        <w:jc w:val="both"/>
        <w:rPr>
          <w:rFonts w:cstheme="minorHAnsi"/>
          <w:sz w:val="28"/>
          <w:szCs w:val="28"/>
        </w:rPr>
      </w:pPr>
      <w:r w:rsidRPr="005E1103">
        <w:rPr>
          <w:rFonts w:cstheme="minorHAnsi"/>
          <w:sz w:val="28"/>
          <w:szCs w:val="28"/>
        </w:rPr>
        <w:t>La Asociación Nacional de Salud Sexual y Discapacidad (ANSSYD)constituida y registrada en el Censo Nacional de Asociaciones, como entidad sin ánimo de lucro, que abarca los entornos social, sanitario y educativo a los que tienen acceso las personas con discapacidad/Diversidad Funcional (PDF), Fundada y dirigida por profesionales especializados en Sexualidad y Diversidad Funcional interesados en la promoción y defensa de sus Derechos Sexuales y Reproductivos, para el fomento de la Calidad de Vida.</w:t>
      </w:r>
    </w:p>
    <w:p w:rsidR="00664415" w:rsidRPr="005E1103" w:rsidRDefault="00664415" w:rsidP="00664415">
      <w:pPr>
        <w:spacing w:after="0" w:line="360" w:lineRule="auto"/>
        <w:jc w:val="both"/>
        <w:rPr>
          <w:rFonts w:cstheme="minorHAnsi"/>
          <w:sz w:val="28"/>
          <w:szCs w:val="28"/>
        </w:rPr>
      </w:pPr>
    </w:p>
    <w:p w:rsidR="00664415" w:rsidRPr="005E1103" w:rsidRDefault="00664415" w:rsidP="00664415">
      <w:pPr>
        <w:spacing w:after="0" w:line="360" w:lineRule="auto"/>
        <w:jc w:val="both"/>
        <w:rPr>
          <w:rFonts w:eastAsia="Calibri" w:cstheme="minorHAnsi"/>
          <w:sz w:val="28"/>
          <w:szCs w:val="28"/>
        </w:rPr>
      </w:pPr>
      <w:r w:rsidRPr="005E1103">
        <w:rPr>
          <w:rFonts w:cstheme="minorHAnsi"/>
          <w:sz w:val="28"/>
          <w:szCs w:val="28"/>
        </w:rPr>
        <w:t xml:space="preserve">ANSSYD, sensible a estas necesidades y derechos, trabaja activamente </w:t>
      </w:r>
      <w:r w:rsidRPr="005E1103">
        <w:rPr>
          <w:rFonts w:eastAsia="Calibri" w:cstheme="minorHAnsi"/>
          <w:sz w:val="28"/>
          <w:szCs w:val="28"/>
        </w:rPr>
        <w:t>en la salud sexual con perspectiva interdisciplinar, desde cuatro ejes: Formación, Investigación, Asesoría en sexualidad y Divulgación informativa a la sociedad, además de tener presencia activa en las campañas sobre derechos, en la universalización de los métodos anticonceptivos, la educación sexual, la expresión de la sexualidad en la diversidad y la mejora de los servicios de atención a esta población.</w:t>
      </w:r>
    </w:p>
    <w:p w:rsidR="00664415" w:rsidRPr="005E1103" w:rsidRDefault="00664415" w:rsidP="00664415">
      <w:pPr>
        <w:autoSpaceDE w:val="0"/>
        <w:autoSpaceDN w:val="0"/>
        <w:adjustRightInd w:val="0"/>
        <w:spacing w:line="360" w:lineRule="auto"/>
        <w:jc w:val="both"/>
        <w:rPr>
          <w:rFonts w:cstheme="minorHAnsi"/>
          <w:sz w:val="28"/>
          <w:szCs w:val="28"/>
        </w:rPr>
      </w:pPr>
      <w:r w:rsidRPr="005E1103">
        <w:rPr>
          <w:rFonts w:cstheme="minorHAnsi"/>
          <w:sz w:val="28"/>
          <w:szCs w:val="28"/>
        </w:rPr>
        <w:t xml:space="preserve">Los marcos teóricos de referencia en los que se fundamenta la actividad desarrollada por ANSSYD, son </w:t>
      </w:r>
      <w:r w:rsidRPr="005E1103">
        <w:rPr>
          <w:rFonts w:cstheme="minorHAnsi"/>
          <w:b/>
          <w:sz w:val="28"/>
          <w:szCs w:val="28"/>
        </w:rPr>
        <w:t>el Modelo Social</w:t>
      </w:r>
      <w:r w:rsidRPr="005E1103">
        <w:rPr>
          <w:rFonts w:cstheme="minorHAnsi"/>
          <w:sz w:val="28"/>
          <w:szCs w:val="28"/>
        </w:rPr>
        <w:t xml:space="preserve"> (Oliver, 1998.) y </w:t>
      </w:r>
      <w:r w:rsidRPr="005E1103">
        <w:rPr>
          <w:rFonts w:cstheme="minorHAnsi"/>
          <w:b/>
          <w:sz w:val="28"/>
          <w:szCs w:val="28"/>
        </w:rPr>
        <w:t>el Modelo Biográfico Profesional</w:t>
      </w:r>
      <w:r w:rsidRPr="005E1103">
        <w:rPr>
          <w:rFonts w:cstheme="minorHAnsi"/>
          <w:sz w:val="28"/>
          <w:szCs w:val="28"/>
        </w:rPr>
        <w:t xml:space="preserve"> (Fallas, M. 2009; López, F. 2005), a partir de la Convención de Derechos de las Personas con Discapacidad, que se celebró en el marco de la Organización de Naciones Unidas, en New York en el año 2006 y fue ratificado por el Gobierno Español en el año 2007. </w:t>
      </w:r>
    </w:p>
    <w:p w:rsidR="00664415" w:rsidRPr="005E1103" w:rsidRDefault="00664415" w:rsidP="00664415">
      <w:pPr>
        <w:autoSpaceDE w:val="0"/>
        <w:autoSpaceDN w:val="0"/>
        <w:adjustRightInd w:val="0"/>
        <w:spacing w:line="360" w:lineRule="auto"/>
        <w:jc w:val="both"/>
        <w:rPr>
          <w:rFonts w:cstheme="minorHAnsi"/>
          <w:sz w:val="28"/>
          <w:szCs w:val="28"/>
        </w:rPr>
      </w:pPr>
      <w:r w:rsidRPr="005E1103">
        <w:rPr>
          <w:rFonts w:cstheme="minorHAnsi"/>
          <w:sz w:val="28"/>
          <w:szCs w:val="28"/>
        </w:rPr>
        <w:lastRenderedPageBreak/>
        <w:t xml:space="preserve">El Modelo Social sobre la discapacidad, que se enmarca en los principios generales declarados por los Derechos Humanos, se origina en la segunda mitad del siglo pasado, dentro de la disciplina de las ciencias sociales, del análisis de las políticas sociales y la lucha por los derechos civiles relacionados con los derechos de las PDF. Para este Modelo, las causas que originan la Diversidad funcional no son ni religiosas, científicas, sino sociales y las PDF pueden aportar a la sociedad en igual medida que el resto de la población, pero siempre desde la valoración y el respeto de la diferencia. </w:t>
      </w:r>
    </w:p>
    <w:p w:rsidR="00664415" w:rsidRPr="005E1103" w:rsidRDefault="00664415" w:rsidP="00664415">
      <w:pPr>
        <w:autoSpaceDE w:val="0"/>
        <w:autoSpaceDN w:val="0"/>
        <w:adjustRightInd w:val="0"/>
        <w:spacing w:line="360" w:lineRule="auto"/>
        <w:jc w:val="both"/>
        <w:rPr>
          <w:rFonts w:cstheme="minorHAnsi"/>
          <w:sz w:val="28"/>
          <w:szCs w:val="28"/>
        </w:rPr>
      </w:pPr>
      <w:r w:rsidRPr="005E1103">
        <w:rPr>
          <w:rFonts w:cstheme="minorHAnsi"/>
          <w:sz w:val="28"/>
          <w:szCs w:val="28"/>
        </w:rPr>
        <w:t>Este modelo aspira a potenciar el respeto por la dignidad humana, la igualdad y la libertad personal, propiciando la inclusión social, y asentándose sobre la base de determinados principios: autonomía personal, no discriminación, accesibilidad universal, normalización del entorno o dialogo civil, entre otros. De igual manera, apunta a la autonomía de la persona con discapacidad para decidir respecto de su propio proyecto de vida. (Oliver, M, 1998: 34-54)</w:t>
      </w:r>
    </w:p>
    <w:p w:rsidR="00664415" w:rsidRPr="005E1103" w:rsidRDefault="00664415" w:rsidP="00664415">
      <w:pPr>
        <w:pStyle w:val="Pa9"/>
        <w:spacing w:after="140" w:line="360" w:lineRule="auto"/>
        <w:jc w:val="both"/>
        <w:rPr>
          <w:rFonts w:asciiTheme="minorHAnsi" w:hAnsiTheme="minorHAnsi" w:cstheme="minorHAnsi"/>
          <w:color w:val="000000"/>
          <w:sz w:val="28"/>
          <w:szCs w:val="28"/>
          <w:lang w:val="es-ES"/>
        </w:rPr>
      </w:pPr>
      <w:r w:rsidRPr="005E1103">
        <w:rPr>
          <w:rFonts w:asciiTheme="minorHAnsi" w:hAnsiTheme="minorHAnsi" w:cstheme="minorHAnsi"/>
          <w:color w:val="000000"/>
          <w:sz w:val="28"/>
          <w:szCs w:val="28"/>
          <w:lang w:val="es-ES"/>
        </w:rPr>
        <w:t xml:space="preserve">En referencia a la educación sexual, remarcar que constantemente ha sido un tema polémico y complejo de emprender; sin embargo, hoy este tipo de educación se reconoce como fundamental y de interés prioritario de las naciones (Organización de las Naciones Unidas para la Educación la Ciencia y la Cultura, 2010; Organización Panamericana de la Salud [OPS], Organización Mundial de la Salud [OMS] y Asociación Mundial de Sexología [WAS], 2000; entre otros. (Fallas, M., 2012:56).  </w:t>
      </w:r>
    </w:p>
    <w:p w:rsidR="00664415" w:rsidRPr="005E1103" w:rsidRDefault="00664415" w:rsidP="00664415">
      <w:pPr>
        <w:pStyle w:val="Pa9"/>
        <w:spacing w:after="140" w:line="360" w:lineRule="auto"/>
        <w:jc w:val="both"/>
        <w:rPr>
          <w:rFonts w:asciiTheme="minorHAnsi" w:eastAsia="Times New Roman" w:hAnsiTheme="minorHAnsi" w:cstheme="minorHAnsi"/>
          <w:color w:val="000000"/>
          <w:sz w:val="28"/>
          <w:szCs w:val="28"/>
          <w:lang w:val="es-ES" w:eastAsia="es-ES"/>
        </w:rPr>
      </w:pPr>
      <w:r w:rsidRPr="005E1103">
        <w:rPr>
          <w:rFonts w:asciiTheme="minorHAnsi" w:hAnsiTheme="minorHAnsi" w:cstheme="minorHAnsi"/>
          <w:sz w:val="28"/>
          <w:szCs w:val="28"/>
          <w:lang w:val="es-ES"/>
        </w:rPr>
        <w:t xml:space="preserve">El Modelo Biográfico profesional en el que nos basamos para trabajar la educación sexual en ANSSYD, nace en Suiza a medidos de los años 50 del siglo pasado, </w:t>
      </w:r>
      <w:r w:rsidRPr="005E1103">
        <w:rPr>
          <w:rFonts w:asciiTheme="minorHAnsi" w:eastAsia="Times New Roman" w:hAnsiTheme="minorHAnsi" w:cstheme="minorHAnsi"/>
          <w:color w:val="000000"/>
          <w:sz w:val="28"/>
          <w:szCs w:val="28"/>
          <w:lang w:val="es-ES" w:eastAsia="es-ES"/>
        </w:rPr>
        <w:t xml:space="preserve">(Fallas, 2009; López, 2005; Programa Harimaguada, 2008), es </w:t>
      </w:r>
      <w:r w:rsidRPr="005E1103">
        <w:rPr>
          <w:rFonts w:asciiTheme="minorHAnsi" w:eastAsia="Times New Roman" w:hAnsiTheme="minorHAnsi" w:cstheme="minorHAnsi"/>
          <w:color w:val="000000"/>
          <w:sz w:val="28"/>
          <w:szCs w:val="28"/>
          <w:lang w:val="es-ES" w:eastAsia="es-ES"/>
        </w:rPr>
        <w:lastRenderedPageBreak/>
        <w:t xml:space="preserve">la que subyace en los planteamientos recogidos en las diversas normativas nacionales e internacionales sobre la educación sexual. Su carácter democrático viene dado por el profundo respeto que, desde la práctica, se tiene a la biografía de las personas, al defender la sexualidad como una construcción personal que debe estar basada en el conocimiento científico, la formación no sesgada y la libre elección. La educación sexual, entendida desde este modelo educativo, </w:t>
      </w:r>
      <w:r w:rsidRPr="005E1103">
        <w:rPr>
          <w:rFonts w:asciiTheme="minorHAnsi" w:hAnsiTheme="minorHAnsi" w:cstheme="minorHAnsi"/>
          <w:color w:val="000000"/>
          <w:sz w:val="28"/>
          <w:szCs w:val="28"/>
          <w:lang w:val="es-ES"/>
        </w:rPr>
        <w:t xml:space="preserve">se fundamenta en el bagaje científico y profesional, en una actitud positiva ante la sexualidad y la educación sexual, así como en el cultivo de una ética relacional. Pretende que las personas (en cualquiera de sus etapas evolutivas) vivan de manera responsable y saludable las diversas posibilidades de la sexualidad. Su fin último es que las personas a las que se imparte la educación sexual, se asuman como seres sexuados de una forma positiva, vivan su sexualidad de manera saludable y establezcan relaciones interpersonales gratificantes y no discriminatorias. (López, 2005:34). </w:t>
      </w:r>
    </w:p>
    <w:p w:rsidR="00664415" w:rsidRPr="005E1103" w:rsidRDefault="00664415" w:rsidP="00664415">
      <w:pPr>
        <w:autoSpaceDE w:val="0"/>
        <w:autoSpaceDN w:val="0"/>
        <w:adjustRightInd w:val="0"/>
        <w:spacing w:line="360" w:lineRule="auto"/>
        <w:jc w:val="both"/>
        <w:rPr>
          <w:rFonts w:cstheme="minorHAnsi"/>
          <w:sz w:val="28"/>
          <w:szCs w:val="28"/>
        </w:rPr>
      </w:pPr>
      <w:r w:rsidRPr="005E1103">
        <w:rPr>
          <w:rFonts w:cstheme="minorHAnsi"/>
          <w:sz w:val="28"/>
          <w:szCs w:val="28"/>
        </w:rPr>
        <w:t>Tal como se ha comentado, uno de los cuatro pilares que sustentan la actividad en ANSSYD es la investigación, a partir de estudios encargados de generar conocimiento, recopilar evidencia científica e intervenir desde la realidad, con datos empíricos actualizados y contrastados, en los aspectos que tienen que ver con la sexualidad de las personas con discapacidad.</w:t>
      </w:r>
    </w:p>
    <w:p w:rsidR="00664415" w:rsidRPr="005E1103" w:rsidRDefault="00664415" w:rsidP="00664415">
      <w:pPr>
        <w:autoSpaceDE w:val="0"/>
        <w:autoSpaceDN w:val="0"/>
        <w:adjustRightInd w:val="0"/>
        <w:spacing w:line="360" w:lineRule="auto"/>
        <w:jc w:val="both"/>
        <w:rPr>
          <w:rFonts w:cstheme="minorHAnsi"/>
          <w:sz w:val="28"/>
          <w:szCs w:val="28"/>
        </w:rPr>
      </w:pPr>
      <w:r w:rsidRPr="005E1103">
        <w:rPr>
          <w:rFonts w:cstheme="minorHAnsi"/>
          <w:sz w:val="28"/>
          <w:szCs w:val="28"/>
        </w:rPr>
        <w:t xml:space="preserve">Se toma como referencia La Ley Orgánica 3/2010 y el Real Decreto Legislativo 1/2013, de 29 de noviembre, por el que se aprueba el Texto Refundido de la Ley General de derechos de las personas con discapacidad y de su inclusión social, en el que se encomienda entre otras cosas, fomentar la investigación para generar conocimiento que beneficie a la sociedad. </w:t>
      </w:r>
    </w:p>
    <w:p w:rsidR="00664415" w:rsidRPr="005E1103" w:rsidRDefault="00664415" w:rsidP="00664415">
      <w:pPr>
        <w:autoSpaceDE w:val="0"/>
        <w:autoSpaceDN w:val="0"/>
        <w:adjustRightInd w:val="0"/>
        <w:spacing w:line="360" w:lineRule="auto"/>
        <w:jc w:val="both"/>
        <w:rPr>
          <w:rFonts w:eastAsia="Calibri" w:cstheme="minorHAnsi"/>
          <w:sz w:val="28"/>
          <w:szCs w:val="28"/>
        </w:rPr>
      </w:pPr>
      <w:r w:rsidRPr="005E1103">
        <w:rPr>
          <w:rFonts w:eastAsia="Calibri" w:cstheme="minorHAnsi"/>
          <w:sz w:val="28"/>
          <w:szCs w:val="28"/>
        </w:rPr>
        <w:lastRenderedPageBreak/>
        <w:t>Desde el curso 2001/12 se han venido registrando por parte de estudiantes de Grado, Máster y Doctorado solicitudes para ser  asesorados y/o tutorizados en sus trabajos de fin de estudios, por profesionales de la comunidad científica con formación específica en sexualidad y discapacidad de nuestra Asociación.</w:t>
      </w:r>
    </w:p>
    <w:p w:rsidR="00664415" w:rsidRPr="005E1103" w:rsidRDefault="00664415" w:rsidP="00664415">
      <w:pPr>
        <w:autoSpaceDE w:val="0"/>
        <w:autoSpaceDN w:val="0"/>
        <w:adjustRightInd w:val="0"/>
        <w:spacing w:line="360" w:lineRule="auto"/>
        <w:jc w:val="both"/>
        <w:rPr>
          <w:rFonts w:eastAsia="Calibri" w:cstheme="minorHAnsi"/>
          <w:sz w:val="28"/>
          <w:szCs w:val="28"/>
        </w:rPr>
      </w:pPr>
      <w:r w:rsidRPr="005E1103">
        <w:rPr>
          <w:rFonts w:eastAsia="Calibri" w:cstheme="minorHAnsi"/>
          <w:sz w:val="28"/>
          <w:szCs w:val="28"/>
        </w:rPr>
        <w:t xml:space="preserve">Sobre los resultados que esta actividad concreta ha generado en los últimos cinco años, versará el presente escrito y los datos estadísticos que se pasan a exponer, al considerar </w:t>
      </w:r>
      <w:r w:rsidRPr="005E1103">
        <w:rPr>
          <w:rFonts w:cstheme="minorHAnsi"/>
          <w:sz w:val="28"/>
          <w:szCs w:val="28"/>
        </w:rPr>
        <w:t>la Universidad como el ámbito idóneo para llevar a cabo esta actividad investigadora y como profesionales dela Junta Directiva y docentes universitarias, se promueve y facilita la integración de investigaciones en el seno de la Universidad, materializadas en las siguientes actividades:</w:t>
      </w:r>
    </w:p>
    <w:p w:rsidR="00664415" w:rsidRPr="005E1103" w:rsidRDefault="00664415" w:rsidP="00664415">
      <w:pPr>
        <w:pStyle w:val="Pa9"/>
        <w:numPr>
          <w:ilvl w:val="0"/>
          <w:numId w:val="88"/>
        </w:numPr>
        <w:spacing w:line="360" w:lineRule="auto"/>
        <w:jc w:val="both"/>
        <w:rPr>
          <w:rFonts w:asciiTheme="minorHAnsi" w:hAnsiTheme="minorHAnsi" w:cstheme="minorHAnsi"/>
          <w:sz w:val="28"/>
          <w:szCs w:val="28"/>
          <w:lang w:val="es-ES"/>
        </w:rPr>
      </w:pPr>
      <w:r w:rsidRPr="005E1103">
        <w:rPr>
          <w:rFonts w:asciiTheme="minorHAnsi" w:hAnsiTheme="minorHAnsi" w:cstheme="minorHAnsi"/>
          <w:sz w:val="28"/>
          <w:szCs w:val="28"/>
          <w:lang w:val="es-ES"/>
        </w:rPr>
        <w:t xml:space="preserve"> Tesis doctorales una de ellas leída y defendida en 2015 y otras dos en proceso de realización. </w:t>
      </w:r>
    </w:p>
    <w:p w:rsidR="00664415" w:rsidRPr="005E1103" w:rsidRDefault="00664415" w:rsidP="00664415">
      <w:pPr>
        <w:pStyle w:val="Prrafodelista"/>
        <w:numPr>
          <w:ilvl w:val="0"/>
          <w:numId w:val="88"/>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Convenio de colaboración con la Facultad de Derecho de la Universidad de Barcelona, través del Proyecto Interuniversitario, “Dret al Dret” (Derecho al Derecho), en una de las clínicas jurídicas denominada Derecho en la Discapacidad, para trabajar conjuntamente, el derecho a la sexualidad de las personas con discapacidad.</w:t>
      </w:r>
    </w:p>
    <w:p w:rsidR="00664415" w:rsidRPr="005E1103" w:rsidRDefault="00664415" w:rsidP="00664415">
      <w:pPr>
        <w:pStyle w:val="Prrafodelista"/>
        <w:numPr>
          <w:ilvl w:val="0"/>
          <w:numId w:val="88"/>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 xml:space="preserve">Convenio de colaboración con la Facultad de Medicina y Ciencias de la Salud desde la Escuela de Enfermería para participar en el Programa AprenentatgeServei (Aprendizaje-Servicio) que la Universidad de Barcelona desde su vertiente de servicio a la sociedad ha puesto en marcha en diferentes facultades para que los estudiantes realicen sus trabajos de final de Grado (TFG) y Máster (TFM) en Entidades y Asociaciones del 3r. Sector, desde la </w:t>
      </w:r>
      <w:r w:rsidRPr="005E1103">
        <w:rPr>
          <w:rFonts w:asciiTheme="minorHAnsi" w:hAnsiTheme="minorHAnsi" w:cstheme="minorHAnsi"/>
          <w:sz w:val="28"/>
          <w:szCs w:val="28"/>
        </w:rPr>
        <w:lastRenderedPageBreak/>
        <w:t xml:space="preserve">formación reglada, con objetivos competenciales redactados, con un número de créditos ETCs adjudicados y con evaluación de las mismas características que otro TFG/TFM. </w:t>
      </w:r>
    </w:p>
    <w:p w:rsidR="00664415" w:rsidRPr="005E1103" w:rsidRDefault="00664415" w:rsidP="00664415">
      <w:pPr>
        <w:pStyle w:val="Prrafodelista"/>
        <w:numPr>
          <w:ilvl w:val="0"/>
          <w:numId w:val="88"/>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 xml:space="preserve">Recogida de información referente a las orientaciones y tutorizaciones de trabajos universitarios, solicitados a la Asociación desde el curso 2011/12 a la actualidad. Los trabajos han sido tanto de fin de Grado y/o Master en distintas carreras universitarias, como de asignaturas relacionadas con la Diversidad Funcional, a demanda de las/os estudiantes, que han entrado en contacto con ANSSYD para realizar sus investigaciones. </w:t>
      </w:r>
    </w:p>
    <w:p w:rsidR="00664415" w:rsidRPr="005E1103" w:rsidRDefault="00664415" w:rsidP="00664415">
      <w:pPr>
        <w:spacing w:after="0" w:line="360" w:lineRule="auto"/>
        <w:jc w:val="both"/>
        <w:rPr>
          <w:rFonts w:cstheme="minorHAnsi"/>
          <w:b/>
          <w:sz w:val="28"/>
          <w:szCs w:val="28"/>
        </w:rPr>
      </w:pPr>
      <w:r w:rsidRPr="005E1103">
        <w:rPr>
          <w:rFonts w:cstheme="minorHAnsi"/>
          <w:b/>
          <w:sz w:val="28"/>
          <w:szCs w:val="28"/>
        </w:rPr>
        <w:t>Objetivos</w:t>
      </w:r>
    </w:p>
    <w:p w:rsidR="00664415" w:rsidRPr="005E1103" w:rsidRDefault="00664415" w:rsidP="00664415">
      <w:pPr>
        <w:spacing w:after="0" w:line="360" w:lineRule="auto"/>
        <w:jc w:val="both"/>
        <w:rPr>
          <w:rFonts w:cstheme="minorHAnsi"/>
          <w:b/>
          <w:sz w:val="28"/>
          <w:szCs w:val="28"/>
        </w:rPr>
      </w:pPr>
      <w:r w:rsidRPr="005E1103">
        <w:rPr>
          <w:rFonts w:cstheme="minorHAnsi"/>
          <w:sz w:val="28"/>
          <w:szCs w:val="28"/>
        </w:rPr>
        <w:t>1.Registrar las solicitudes de tutorías para tener información de la naturaleza de los trabajos y la implicación a la población universitaria.</w:t>
      </w:r>
    </w:p>
    <w:p w:rsidR="00664415" w:rsidRPr="005E1103" w:rsidRDefault="00664415" w:rsidP="00664415">
      <w:pPr>
        <w:spacing w:after="0" w:line="360" w:lineRule="auto"/>
        <w:jc w:val="both"/>
        <w:rPr>
          <w:rFonts w:cstheme="minorHAnsi"/>
          <w:sz w:val="28"/>
          <w:szCs w:val="28"/>
        </w:rPr>
      </w:pPr>
      <w:r w:rsidRPr="005E1103">
        <w:rPr>
          <w:rFonts w:cstheme="minorHAnsi"/>
          <w:sz w:val="28"/>
          <w:szCs w:val="28"/>
        </w:rPr>
        <w:t>2. Describir las carreras donde los estudiantes realizan trabajos de finalización de estudios de Grado, Máster y Doctorado sobre sexualidad y Diversidad Funcional</w:t>
      </w:r>
    </w:p>
    <w:p w:rsidR="00664415" w:rsidRPr="005E1103" w:rsidRDefault="00664415" w:rsidP="00664415">
      <w:pPr>
        <w:spacing w:after="0" w:line="360" w:lineRule="auto"/>
        <w:jc w:val="both"/>
        <w:rPr>
          <w:rFonts w:cstheme="minorHAnsi"/>
          <w:sz w:val="28"/>
          <w:szCs w:val="28"/>
        </w:rPr>
      </w:pPr>
      <w:r w:rsidRPr="005E1103">
        <w:rPr>
          <w:rFonts w:cstheme="minorHAnsi"/>
          <w:sz w:val="28"/>
          <w:szCs w:val="28"/>
        </w:rPr>
        <w:t>3. Presentar una relación de trabajos sobre sexualidad y DF en los estudios universitarios durante estos años.</w:t>
      </w:r>
    </w:p>
    <w:p w:rsidR="00664415" w:rsidRPr="005E1103" w:rsidRDefault="00664415" w:rsidP="00664415">
      <w:pPr>
        <w:spacing w:after="0" w:line="360" w:lineRule="auto"/>
        <w:jc w:val="both"/>
        <w:rPr>
          <w:rFonts w:cstheme="minorHAnsi"/>
          <w:b/>
          <w:sz w:val="28"/>
          <w:szCs w:val="28"/>
        </w:rPr>
      </w:pPr>
      <w:r w:rsidRPr="005E1103">
        <w:rPr>
          <w:rFonts w:cstheme="minorHAnsi"/>
          <w:sz w:val="28"/>
          <w:szCs w:val="28"/>
        </w:rPr>
        <w:t>4. Dejar constancia de la realización de trabajos sobre sexualidad y DF por estudiantes universitarios con diversidades funcionales.</w:t>
      </w:r>
    </w:p>
    <w:p w:rsidR="00664415" w:rsidRPr="005E1103" w:rsidRDefault="00664415" w:rsidP="00664415">
      <w:pPr>
        <w:spacing w:after="0" w:line="360" w:lineRule="auto"/>
        <w:jc w:val="both"/>
        <w:rPr>
          <w:rFonts w:cstheme="minorHAnsi"/>
          <w:b/>
          <w:sz w:val="28"/>
          <w:szCs w:val="28"/>
        </w:rPr>
      </w:pPr>
      <w:r w:rsidRPr="005E1103">
        <w:rPr>
          <w:rFonts w:cstheme="minorHAnsi"/>
          <w:b/>
          <w:sz w:val="28"/>
          <w:szCs w:val="28"/>
        </w:rPr>
        <w:t>Material y Método</w:t>
      </w:r>
    </w:p>
    <w:p w:rsidR="00664415" w:rsidRPr="005E1103" w:rsidRDefault="00664415" w:rsidP="00664415">
      <w:pPr>
        <w:spacing w:line="360" w:lineRule="auto"/>
        <w:jc w:val="both"/>
        <w:rPr>
          <w:rFonts w:cstheme="minorHAnsi"/>
          <w:sz w:val="28"/>
          <w:szCs w:val="28"/>
        </w:rPr>
      </w:pPr>
      <w:r w:rsidRPr="005E1103">
        <w:rPr>
          <w:rFonts w:cstheme="minorHAnsi"/>
          <w:sz w:val="28"/>
          <w:szCs w:val="28"/>
        </w:rPr>
        <w:t xml:space="preserve">Los datos que se presentan a continuación son resultado de la investigación realizada de los cinco cursos académicos de 2011/12 a 2015/16 .En los últimos dos cursos se ha registrado la demanda de asesoramiento por parte  de  estudiantes con diversidad funcional, para realizar trabajos sobre cómo afecta a su sexualidad la diversidad funcional </w:t>
      </w:r>
      <w:r w:rsidRPr="005E1103">
        <w:rPr>
          <w:rFonts w:cstheme="minorHAnsi"/>
          <w:sz w:val="28"/>
          <w:szCs w:val="28"/>
        </w:rPr>
        <w:lastRenderedPageBreak/>
        <w:t xml:space="preserve">que padecen. Este asesoramiento se ha realizado a estudiantes de diferentes Universidades del Estado. </w:t>
      </w:r>
    </w:p>
    <w:p w:rsidR="00664415" w:rsidRPr="005E1103" w:rsidRDefault="00664415" w:rsidP="00664415">
      <w:pPr>
        <w:spacing w:line="360" w:lineRule="auto"/>
        <w:jc w:val="both"/>
        <w:rPr>
          <w:rFonts w:cstheme="minorHAnsi"/>
          <w:sz w:val="28"/>
          <w:szCs w:val="28"/>
        </w:rPr>
      </w:pPr>
      <w:r w:rsidRPr="005E1103">
        <w:rPr>
          <w:rFonts w:cstheme="minorHAnsi"/>
          <w:sz w:val="28"/>
          <w:szCs w:val="28"/>
        </w:rPr>
        <w:t>Este curso académico 2016/17  se ha registrado, la demanda deuna doctoranda de México.</w:t>
      </w:r>
    </w:p>
    <w:p w:rsidR="00664415" w:rsidRPr="005E1103" w:rsidRDefault="00664415" w:rsidP="00664415">
      <w:pPr>
        <w:spacing w:line="360" w:lineRule="auto"/>
        <w:jc w:val="both"/>
        <w:rPr>
          <w:rFonts w:cstheme="minorHAnsi"/>
          <w:b/>
          <w:sz w:val="28"/>
          <w:szCs w:val="28"/>
        </w:rPr>
      </w:pPr>
      <w:r w:rsidRPr="005E1103">
        <w:rPr>
          <w:rFonts w:cstheme="minorHAnsi"/>
          <w:b/>
          <w:sz w:val="28"/>
          <w:szCs w:val="28"/>
        </w:rPr>
        <w:t>Diseño</w:t>
      </w:r>
    </w:p>
    <w:p w:rsidR="00664415" w:rsidRPr="005E1103" w:rsidRDefault="00664415" w:rsidP="00664415">
      <w:pPr>
        <w:spacing w:after="0" w:line="360" w:lineRule="auto"/>
        <w:jc w:val="both"/>
        <w:rPr>
          <w:rFonts w:cstheme="minorHAnsi"/>
          <w:b/>
          <w:sz w:val="28"/>
          <w:szCs w:val="28"/>
        </w:rPr>
      </w:pPr>
      <w:r w:rsidRPr="005E1103">
        <w:rPr>
          <w:rFonts w:cstheme="minorHAnsi"/>
          <w:sz w:val="28"/>
          <w:szCs w:val="28"/>
        </w:rPr>
        <w:t xml:space="preserve">Estudio Descriptivo Transversal sobre las tutorías realizadas por ANSSYD a estudiantes universitarios </w:t>
      </w:r>
    </w:p>
    <w:p w:rsidR="00664415" w:rsidRPr="005E1103" w:rsidRDefault="00664415" w:rsidP="00664415">
      <w:pPr>
        <w:spacing w:after="0" w:line="360" w:lineRule="auto"/>
        <w:jc w:val="both"/>
        <w:rPr>
          <w:rFonts w:cstheme="minorHAnsi"/>
          <w:b/>
          <w:sz w:val="28"/>
          <w:szCs w:val="28"/>
        </w:rPr>
      </w:pPr>
      <w:r w:rsidRPr="005E1103">
        <w:rPr>
          <w:rFonts w:cstheme="minorHAnsi"/>
          <w:b/>
          <w:sz w:val="28"/>
          <w:szCs w:val="28"/>
        </w:rPr>
        <w:t>Sujetos de estudio</w:t>
      </w:r>
    </w:p>
    <w:p w:rsidR="00664415" w:rsidRPr="005E1103" w:rsidRDefault="00664415" w:rsidP="00664415">
      <w:pPr>
        <w:spacing w:after="0" w:line="360" w:lineRule="auto"/>
        <w:jc w:val="both"/>
        <w:rPr>
          <w:rFonts w:cstheme="minorHAnsi"/>
          <w:sz w:val="28"/>
          <w:szCs w:val="28"/>
        </w:rPr>
      </w:pPr>
      <w:r w:rsidRPr="005E1103">
        <w:rPr>
          <w:rFonts w:cstheme="minorHAnsi"/>
          <w:sz w:val="28"/>
          <w:szCs w:val="28"/>
        </w:rPr>
        <w:t>Alumnos de diversas carrera universitarias repartidas por todo el territorio Nacional que están realizando su TFG, TFM, TFP, Asignatura, Doctorado</w:t>
      </w:r>
    </w:p>
    <w:p w:rsidR="00664415" w:rsidRPr="005E1103" w:rsidRDefault="00664415" w:rsidP="00664415">
      <w:pPr>
        <w:spacing w:after="0" w:line="360" w:lineRule="auto"/>
        <w:jc w:val="both"/>
        <w:rPr>
          <w:rFonts w:cstheme="minorHAnsi"/>
          <w:b/>
          <w:sz w:val="28"/>
          <w:szCs w:val="28"/>
        </w:rPr>
      </w:pPr>
      <w:r w:rsidRPr="005E1103">
        <w:rPr>
          <w:rFonts w:cstheme="minorHAnsi"/>
          <w:b/>
          <w:sz w:val="28"/>
          <w:szCs w:val="28"/>
        </w:rPr>
        <w:t>Variable de inclusión.</w:t>
      </w:r>
    </w:p>
    <w:p w:rsidR="00664415" w:rsidRPr="005E1103" w:rsidRDefault="00664415" w:rsidP="00664415">
      <w:pPr>
        <w:spacing w:after="0" w:line="360" w:lineRule="auto"/>
        <w:jc w:val="both"/>
        <w:rPr>
          <w:rFonts w:cstheme="minorHAnsi"/>
          <w:sz w:val="28"/>
          <w:szCs w:val="28"/>
        </w:rPr>
      </w:pPr>
      <w:r w:rsidRPr="005E1103">
        <w:rPr>
          <w:rFonts w:cstheme="minorHAnsi"/>
          <w:sz w:val="28"/>
          <w:szCs w:val="28"/>
        </w:rPr>
        <w:t>Alumnos en último año de carrera, Master, postgrado o que realice alguna asignatura en su formación básica relacionada con la Diversidad Funcional.</w:t>
      </w:r>
    </w:p>
    <w:p w:rsidR="00664415" w:rsidRPr="005E1103" w:rsidRDefault="00664415" w:rsidP="00664415">
      <w:pPr>
        <w:spacing w:after="0" w:line="360" w:lineRule="auto"/>
        <w:jc w:val="both"/>
        <w:rPr>
          <w:rFonts w:cstheme="minorHAnsi"/>
          <w:b/>
          <w:sz w:val="28"/>
          <w:szCs w:val="28"/>
        </w:rPr>
      </w:pPr>
      <w:r w:rsidRPr="005E1103">
        <w:rPr>
          <w:rFonts w:cstheme="minorHAnsi"/>
          <w:b/>
          <w:sz w:val="28"/>
          <w:szCs w:val="28"/>
        </w:rPr>
        <w:t>Variables de análisis</w:t>
      </w:r>
    </w:p>
    <w:p w:rsidR="00664415" w:rsidRPr="005E1103" w:rsidRDefault="00664415" w:rsidP="00664415">
      <w:pPr>
        <w:pStyle w:val="Prrafodelista"/>
        <w:numPr>
          <w:ilvl w:val="0"/>
          <w:numId w:val="89"/>
        </w:numPr>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Total de alumnos y tutorías</w:t>
      </w:r>
    </w:p>
    <w:p w:rsidR="00664415" w:rsidRPr="005E1103" w:rsidRDefault="00664415" w:rsidP="00664415">
      <w:pPr>
        <w:pStyle w:val="Prrafodelista"/>
        <w:numPr>
          <w:ilvl w:val="0"/>
          <w:numId w:val="89"/>
        </w:numPr>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 xml:space="preserve">Alumnos con DF </w:t>
      </w:r>
    </w:p>
    <w:p w:rsidR="00664415" w:rsidRPr="005E1103" w:rsidRDefault="00664415" w:rsidP="00664415">
      <w:pPr>
        <w:pStyle w:val="Prrafodelista"/>
        <w:numPr>
          <w:ilvl w:val="0"/>
          <w:numId w:val="89"/>
        </w:numPr>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Diversidad funcional que padecen</w:t>
      </w:r>
    </w:p>
    <w:p w:rsidR="00664415" w:rsidRPr="005E1103" w:rsidRDefault="00664415" w:rsidP="00664415">
      <w:pPr>
        <w:pStyle w:val="Prrafodelista"/>
        <w:numPr>
          <w:ilvl w:val="0"/>
          <w:numId w:val="89"/>
        </w:numPr>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Categoría TFG, TFM, TFP, asignatura</w:t>
      </w:r>
    </w:p>
    <w:p w:rsidR="00664415" w:rsidRPr="005E1103" w:rsidRDefault="00664415" w:rsidP="00664415">
      <w:pPr>
        <w:pStyle w:val="Prrafodelista"/>
        <w:numPr>
          <w:ilvl w:val="0"/>
          <w:numId w:val="89"/>
        </w:numPr>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 xml:space="preserve">Estudios que cursan </w:t>
      </w:r>
    </w:p>
    <w:p w:rsidR="00664415" w:rsidRPr="005E1103" w:rsidRDefault="00664415" w:rsidP="00664415">
      <w:pPr>
        <w:pStyle w:val="Prrafodelista"/>
        <w:numPr>
          <w:ilvl w:val="0"/>
          <w:numId w:val="89"/>
        </w:numPr>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El tema estudiado.</w:t>
      </w:r>
    </w:p>
    <w:p w:rsidR="00664415" w:rsidRPr="005E1103" w:rsidRDefault="00664415" w:rsidP="00664415">
      <w:pPr>
        <w:spacing w:after="0" w:line="360" w:lineRule="auto"/>
        <w:jc w:val="both"/>
        <w:rPr>
          <w:rFonts w:cstheme="minorHAnsi"/>
          <w:b/>
          <w:sz w:val="28"/>
          <w:szCs w:val="28"/>
        </w:rPr>
      </w:pPr>
      <w:r w:rsidRPr="005E1103">
        <w:rPr>
          <w:rFonts w:cstheme="minorHAnsi"/>
          <w:b/>
          <w:sz w:val="28"/>
          <w:szCs w:val="28"/>
        </w:rPr>
        <w:t>Procedimiento de recolección de datos</w:t>
      </w:r>
    </w:p>
    <w:p w:rsidR="00664415" w:rsidRPr="005E1103" w:rsidRDefault="00664415" w:rsidP="00664415">
      <w:pPr>
        <w:spacing w:after="0" w:line="360" w:lineRule="auto"/>
        <w:jc w:val="both"/>
        <w:rPr>
          <w:rFonts w:cstheme="minorHAnsi"/>
          <w:sz w:val="28"/>
          <w:szCs w:val="28"/>
        </w:rPr>
      </w:pPr>
      <w:r w:rsidRPr="005E1103">
        <w:rPr>
          <w:rFonts w:cstheme="minorHAnsi"/>
          <w:sz w:val="28"/>
          <w:szCs w:val="28"/>
        </w:rPr>
        <w:t xml:space="preserve">La vía del primer contacto de los estudiantes con la Asociación es online o telefónica. Si los alumnos son de la provincia de Barcelona donde está ubicada la Asociación, posterior al primer contacto, la primera Asesoría del trabajo se realiza presencialmente, posteriormente dependiendo de la magnitud del mismo puede realizarse vía Skype, online, y telefónica. Los </w:t>
      </w:r>
      <w:r w:rsidRPr="005E1103">
        <w:rPr>
          <w:rFonts w:cstheme="minorHAnsi"/>
          <w:sz w:val="28"/>
          <w:szCs w:val="28"/>
        </w:rPr>
        <w:lastRenderedPageBreak/>
        <w:t xml:space="preserve">alumnos de otras comunidades las Asesoría son realizadas vía Skype, online y telefónica, </w:t>
      </w:r>
    </w:p>
    <w:p w:rsidR="00664415" w:rsidRPr="005E1103" w:rsidRDefault="00664415" w:rsidP="00664415">
      <w:pPr>
        <w:spacing w:after="0" w:line="360" w:lineRule="auto"/>
        <w:jc w:val="both"/>
        <w:rPr>
          <w:rFonts w:cstheme="minorHAnsi"/>
          <w:sz w:val="28"/>
          <w:szCs w:val="28"/>
        </w:rPr>
      </w:pPr>
      <w:r w:rsidRPr="005E1103">
        <w:rPr>
          <w:rFonts w:cstheme="minorHAnsi"/>
          <w:sz w:val="28"/>
          <w:szCs w:val="28"/>
        </w:rPr>
        <w:t xml:space="preserve">Desde ANSSYD, después del primer contacto con las estudiantes se ha solicitado a los tutores de la Facultad a la que pertenecen, un documento escrito y firmado por la institución donde se refleje el reconocimiento de la realización de esta tarea. </w:t>
      </w:r>
    </w:p>
    <w:p w:rsidR="00664415" w:rsidRPr="005E1103" w:rsidRDefault="00664415" w:rsidP="00664415">
      <w:pPr>
        <w:spacing w:after="0" w:line="360" w:lineRule="auto"/>
        <w:jc w:val="both"/>
        <w:rPr>
          <w:rFonts w:cstheme="minorHAnsi"/>
          <w:sz w:val="28"/>
          <w:szCs w:val="28"/>
        </w:rPr>
      </w:pPr>
      <w:r w:rsidRPr="005E1103">
        <w:rPr>
          <w:rFonts w:cstheme="minorHAnsi"/>
          <w:sz w:val="28"/>
          <w:szCs w:val="28"/>
        </w:rPr>
        <w:t>En la consultas se ha trabajado tanto la metodología a seguir en un trabajo o proyecto de investigación como el proceso de delimitación del objeto de estudio, desde que perspectiva se iba a realizar: educativa, clínica o descriptiva y la información sobre las bases de datos específicas y las características particulares de la disfuncionalidad a estudiar.</w:t>
      </w:r>
    </w:p>
    <w:p w:rsidR="00664415" w:rsidRPr="005E1103" w:rsidRDefault="00664415" w:rsidP="00664415">
      <w:pPr>
        <w:spacing w:after="0"/>
        <w:jc w:val="both"/>
        <w:rPr>
          <w:rFonts w:cstheme="minorHAnsi"/>
          <w:sz w:val="28"/>
          <w:szCs w:val="28"/>
        </w:rPr>
      </w:pPr>
      <w:r w:rsidRPr="005E1103">
        <w:rPr>
          <w:rFonts w:cstheme="minorHAnsi"/>
          <w:b/>
          <w:sz w:val="28"/>
          <w:szCs w:val="28"/>
        </w:rPr>
        <w:t>Análisis de los datos</w:t>
      </w:r>
      <w:r w:rsidRPr="005E1103">
        <w:rPr>
          <w:rFonts w:cstheme="minorHAnsi"/>
          <w:sz w:val="28"/>
          <w:szCs w:val="28"/>
        </w:rPr>
        <w:t xml:space="preserve">. </w:t>
      </w:r>
    </w:p>
    <w:p w:rsidR="00664415" w:rsidRPr="005E1103" w:rsidRDefault="00664415" w:rsidP="00664415">
      <w:pPr>
        <w:spacing w:after="0"/>
        <w:jc w:val="both"/>
        <w:rPr>
          <w:rFonts w:cstheme="minorHAnsi"/>
          <w:sz w:val="28"/>
          <w:szCs w:val="28"/>
        </w:rPr>
      </w:pPr>
      <w:r w:rsidRPr="005E1103">
        <w:rPr>
          <w:rFonts w:cstheme="minorHAnsi"/>
          <w:sz w:val="28"/>
          <w:szCs w:val="28"/>
        </w:rPr>
        <w:t>Para el análisis de los datos se ha utilizado el paquete Microsoft Office 2010</w:t>
      </w:r>
    </w:p>
    <w:p w:rsidR="00664415" w:rsidRPr="005E1103" w:rsidRDefault="00664415" w:rsidP="00664415">
      <w:pPr>
        <w:spacing w:after="0" w:line="360" w:lineRule="auto"/>
        <w:jc w:val="both"/>
        <w:rPr>
          <w:rFonts w:cstheme="minorHAnsi"/>
          <w:b/>
          <w:sz w:val="28"/>
          <w:szCs w:val="28"/>
        </w:rPr>
      </w:pPr>
      <w:r w:rsidRPr="005E1103">
        <w:rPr>
          <w:rFonts w:cstheme="minorHAnsi"/>
          <w:b/>
          <w:sz w:val="28"/>
          <w:szCs w:val="28"/>
        </w:rPr>
        <w:t>Resultados</w:t>
      </w:r>
    </w:p>
    <w:p w:rsidR="00664415" w:rsidRPr="005E1103" w:rsidRDefault="00664415" w:rsidP="00664415">
      <w:pPr>
        <w:spacing w:after="0" w:line="360" w:lineRule="auto"/>
        <w:jc w:val="both"/>
        <w:rPr>
          <w:rFonts w:cstheme="minorHAnsi"/>
          <w:sz w:val="28"/>
          <w:szCs w:val="28"/>
        </w:rPr>
      </w:pPr>
      <w:r w:rsidRPr="005E1103">
        <w:rPr>
          <w:rFonts w:cstheme="minorHAnsi"/>
          <w:sz w:val="28"/>
          <w:szCs w:val="28"/>
        </w:rPr>
        <w:t>La muestra final del estudio fue de 221 estudiantes pertenecientes a diversas universidades españolas. De los 221 alumnos 8 tenían una diversidad funcional tal como se refleja en el gráfico 1</w:t>
      </w:r>
    </w:p>
    <w:p w:rsidR="00664415" w:rsidRPr="005E1103" w:rsidRDefault="00664415" w:rsidP="00664415">
      <w:pPr>
        <w:spacing w:after="0" w:line="360" w:lineRule="auto"/>
        <w:jc w:val="both"/>
        <w:rPr>
          <w:rFonts w:cstheme="minorHAnsi"/>
          <w:sz w:val="28"/>
          <w:szCs w:val="28"/>
        </w:rPr>
      </w:pPr>
    </w:p>
    <w:p w:rsidR="00664415" w:rsidRPr="005E1103" w:rsidRDefault="00664415" w:rsidP="00664415">
      <w:pPr>
        <w:spacing w:after="0" w:line="360" w:lineRule="auto"/>
        <w:jc w:val="both"/>
        <w:rPr>
          <w:rFonts w:cstheme="minorHAnsi"/>
          <w:sz w:val="28"/>
          <w:szCs w:val="28"/>
        </w:rPr>
      </w:pPr>
    </w:p>
    <w:p w:rsidR="00664415" w:rsidRPr="005E1103" w:rsidRDefault="00664415" w:rsidP="00664415">
      <w:pPr>
        <w:rPr>
          <w:rFonts w:cstheme="minorHAnsi"/>
          <w:sz w:val="28"/>
          <w:szCs w:val="28"/>
        </w:rPr>
      </w:pPr>
      <w:r w:rsidRPr="005E1103">
        <w:rPr>
          <w:rFonts w:cstheme="minorHAnsi"/>
          <w:sz w:val="28"/>
          <w:szCs w:val="28"/>
        </w:rPr>
        <w:t xml:space="preserve">                                                                     Gráfico 1: Total alumnos</w:t>
      </w:r>
    </w:p>
    <w:p w:rsidR="00664415" w:rsidRPr="005E1103" w:rsidRDefault="00664415" w:rsidP="00664415">
      <w:pPr>
        <w:spacing w:after="0" w:line="360" w:lineRule="auto"/>
        <w:jc w:val="center"/>
        <w:rPr>
          <w:rFonts w:cstheme="minorHAnsi"/>
          <w:color w:val="FF0000"/>
          <w:sz w:val="28"/>
          <w:szCs w:val="28"/>
        </w:rPr>
      </w:pPr>
      <w:r w:rsidRPr="005E1103">
        <w:rPr>
          <w:rFonts w:cstheme="minorHAnsi"/>
          <w:noProof/>
          <w:sz w:val="28"/>
          <w:szCs w:val="28"/>
          <w:lang w:eastAsia="es-ES"/>
        </w:rPr>
        <w:lastRenderedPageBreak/>
        <w:drawing>
          <wp:inline distT="0" distB="0" distL="0" distR="0" wp14:anchorId="208B2AAF" wp14:editId="15F147C7">
            <wp:extent cx="4423558" cy="2422567"/>
            <wp:effectExtent l="19050" t="0" r="15092" b="0"/>
            <wp:docPr id="31" name="Gráfico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rsidR="00664415" w:rsidRPr="005E1103" w:rsidRDefault="00664415" w:rsidP="00664415">
      <w:pPr>
        <w:spacing w:after="0" w:line="360" w:lineRule="auto"/>
        <w:jc w:val="both"/>
        <w:rPr>
          <w:rFonts w:cstheme="minorHAnsi"/>
          <w:sz w:val="28"/>
          <w:szCs w:val="28"/>
        </w:rPr>
      </w:pPr>
      <w:r w:rsidRPr="005E1103">
        <w:rPr>
          <w:rFonts w:cstheme="minorHAnsi"/>
          <w:sz w:val="28"/>
          <w:szCs w:val="28"/>
        </w:rPr>
        <w:t>Los estudiantes que padecían alguna diversidad funcional se agrupan en Diversidad sensorial, Intelectual y física como se ve reflejado en el gráfico 2. Su tema de estudio se relaciona con la misma.</w:t>
      </w:r>
    </w:p>
    <w:p w:rsidR="00664415" w:rsidRPr="005E1103" w:rsidRDefault="00664415" w:rsidP="00664415">
      <w:pPr>
        <w:spacing w:after="0" w:line="360" w:lineRule="auto"/>
        <w:jc w:val="both"/>
        <w:rPr>
          <w:rFonts w:cstheme="minorHAnsi"/>
          <w:sz w:val="28"/>
          <w:szCs w:val="28"/>
        </w:rPr>
      </w:pPr>
    </w:p>
    <w:p w:rsidR="00664415" w:rsidRPr="005E1103" w:rsidRDefault="00664415" w:rsidP="00664415">
      <w:pPr>
        <w:jc w:val="center"/>
        <w:rPr>
          <w:rFonts w:cstheme="minorHAnsi"/>
          <w:sz w:val="28"/>
          <w:szCs w:val="28"/>
        </w:rPr>
      </w:pPr>
      <w:r w:rsidRPr="005E1103">
        <w:rPr>
          <w:rFonts w:cstheme="minorHAnsi"/>
          <w:sz w:val="28"/>
          <w:szCs w:val="28"/>
        </w:rPr>
        <w:t>Gráfico 2 : Alumnos con PDF</w:t>
      </w:r>
    </w:p>
    <w:p w:rsidR="00664415" w:rsidRPr="005E1103" w:rsidRDefault="00664415" w:rsidP="00664415">
      <w:pPr>
        <w:spacing w:after="0" w:line="360" w:lineRule="auto"/>
        <w:jc w:val="center"/>
        <w:rPr>
          <w:rFonts w:cstheme="minorHAnsi"/>
          <w:color w:val="FF0000"/>
          <w:sz w:val="28"/>
          <w:szCs w:val="28"/>
        </w:rPr>
      </w:pPr>
      <w:r w:rsidRPr="005E1103">
        <w:rPr>
          <w:rFonts w:cstheme="minorHAnsi"/>
          <w:noProof/>
          <w:sz w:val="28"/>
          <w:szCs w:val="28"/>
          <w:lang w:eastAsia="es-ES"/>
        </w:rPr>
        <w:drawing>
          <wp:inline distT="0" distB="0" distL="0" distR="0" wp14:anchorId="645B6CB7" wp14:editId="22669700">
            <wp:extent cx="4298868" cy="2885704"/>
            <wp:effectExtent l="19050" t="0" r="25482" b="0"/>
            <wp:docPr id="66" name="Gráfico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rsidR="00664415" w:rsidRPr="005E1103" w:rsidRDefault="00664415" w:rsidP="00664415">
      <w:pPr>
        <w:spacing w:after="0" w:line="360" w:lineRule="auto"/>
        <w:jc w:val="both"/>
        <w:rPr>
          <w:rFonts w:cstheme="minorHAnsi"/>
          <w:sz w:val="28"/>
          <w:szCs w:val="28"/>
        </w:rPr>
      </w:pPr>
      <w:r w:rsidRPr="005E1103">
        <w:rPr>
          <w:rFonts w:cstheme="minorHAnsi"/>
          <w:sz w:val="28"/>
          <w:szCs w:val="28"/>
        </w:rPr>
        <w:t>El interés por investigar sobre la sexualidad de las PDF se ha dado en diferentes carreras universitarias, siendo enfermería  la primera seguida de otras carreras sociales y sanitarias tal como se refleja en la tabla 1.</w:t>
      </w:r>
    </w:p>
    <w:p w:rsidR="00664415" w:rsidRPr="005E1103" w:rsidRDefault="00664415" w:rsidP="00664415">
      <w:pPr>
        <w:spacing w:after="0" w:line="360" w:lineRule="auto"/>
        <w:jc w:val="center"/>
        <w:rPr>
          <w:rFonts w:cstheme="minorHAnsi"/>
          <w:sz w:val="28"/>
          <w:szCs w:val="28"/>
        </w:rPr>
      </w:pPr>
    </w:p>
    <w:p w:rsidR="00664415" w:rsidRPr="005E1103" w:rsidRDefault="00664415" w:rsidP="00664415">
      <w:pPr>
        <w:spacing w:after="0" w:line="360" w:lineRule="auto"/>
        <w:jc w:val="center"/>
        <w:rPr>
          <w:rFonts w:cstheme="minorHAnsi"/>
          <w:sz w:val="28"/>
          <w:szCs w:val="28"/>
        </w:rPr>
      </w:pPr>
    </w:p>
    <w:p w:rsidR="00664415" w:rsidRPr="005E1103" w:rsidRDefault="00664415" w:rsidP="00664415">
      <w:pPr>
        <w:spacing w:after="0" w:line="360" w:lineRule="auto"/>
        <w:jc w:val="center"/>
        <w:rPr>
          <w:rFonts w:cstheme="minorHAnsi"/>
          <w:sz w:val="28"/>
          <w:szCs w:val="28"/>
        </w:rPr>
      </w:pPr>
      <w:r w:rsidRPr="005E1103">
        <w:rPr>
          <w:rFonts w:cstheme="minorHAnsi"/>
          <w:sz w:val="28"/>
          <w:szCs w:val="28"/>
        </w:rPr>
        <w:lastRenderedPageBreak/>
        <w:t>Tabla 1: Demanda de tutorías por Carreras</w:t>
      </w:r>
    </w:p>
    <w:p w:rsidR="00664415" w:rsidRPr="005E1103" w:rsidRDefault="00664415" w:rsidP="00664415">
      <w:pPr>
        <w:spacing w:after="0" w:line="360" w:lineRule="auto"/>
        <w:jc w:val="center"/>
        <w:rPr>
          <w:rFonts w:cstheme="minorHAnsi"/>
          <w:sz w:val="28"/>
          <w:szCs w:val="28"/>
        </w:rPr>
      </w:pPr>
    </w:p>
    <w:p w:rsidR="00664415" w:rsidRPr="005E1103" w:rsidRDefault="00664415" w:rsidP="00664415">
      <w:pPr>
        <w:spacing w:after="0" w:line="360" w:lineRule="auto"/>
        <w:jc w:val="center"/>
        <w:rPr>
          <w:rFonts w:cstheme="minorHAnsi"/>
          <w:sz w:val="28"/>
          <w:szCs w:val="28"/>
        </w:rPr>
      </w:pPr>
      <w:r w:rsidRPr="005E1103">
        <w:rPr>
          <w:rFonts w:cstheme="minorHAnsi"/>
          <w:sz w:val="28"/>
          <w:szCs w:val="28"/>
        </w:rPr>
        <w:t>Trabajos Fin de Máster y Postgrados (TFM,TFP), y asignaturas de la carrera. (Tabla 2)</w:t>
      </w:r>
      <w:r w:rsidRPr="005E1103">
        <w:rPr>
          <w:rFonts w:cstheme="minorHAnsi"/>
          <w:b/>
          <w:sz w:val="28"/>
          <w:szCs w:val="28"/>
        </w:rPr>
        <w:t xml:space="preserve"> </w:t>
      </w:r>
    </w:p>
    <w:tbl>
      <w:tblPr>
        <w:tblpPr w:leftFromText="141" w:rightFromText="141" w:vertAnchor="text" w:horzAnchor="page" w:tblpXSpec="center" w:tblpY="178"/>
        <w:tblW w:w="6135" w:type="dxa"/>
        <w:tblCellMar>
          <w:left w:w="70" w:type="dxa"/>
          <w:right w:w="70" w:type="dxa"/>
        </w:tblCellMar>
        <w:tblLook w:val="04A0" w:firstRow="1" w:lastRow="0" w:firstColumn="1" w:lastColumn="0" w:noHBand="0" w:noVBand="1"/>
      </w:tblPr>
      <w:tblGrid>
        <w:gridCol w:w="1399"/>
        <w:gridCol w:w="1260"/>
        <w:gridCol w:w="2180"/>
        <w:gridCol w:w="1509"/>
      </w:tblGrid>
      <w:tr w:rsidR="00664415" w:rsidRPr="005E1103" w:rsidTr="0046263B">
        <w:trPr>
          <w:trHeight w:val="300"/>
        </w:trPr>
        <w:tc>
          <w:tcPr>
            <w:tcW w:w="1399"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rsidR="00664415" w:rsidRPr="005E1103" w:rsidRDefault="00664415" w:rsidP="0046263B">
            <w:pPr>
              <w:spacing w:after="0" w:line="240" w:lineRule="auto"/>
              <w:rPr>
                <w:rFonts w:eastAsia="Times New Roman" w:cstheme="minorHAnsi"/>
                <w:b/>
                <w:color w:val="000000"/>
                <w:sz w:val="28"/>
                <w:szCs w:val="28"/>
                <w:lang w:eastAsia="es-ES"/>
              </w:rPr>
            </w:pPr>
            <w:r w:rsidRPr="005E1103">
              <w:rPr>
                <w:rFonts w:eastAsia="Times New Roman" w:cstheme="minorHAnsi"/>
                <w:b/>
                <w:color w:val="000000"/>
                <w:sz w:val="28"/>
                <w:szCs w:val="28"/>
                <w:lang w:eastAsia="es-ES"/>
              </w:rPr>
              <w:t>Total Consultas</w:t>
            </w:r>
          </w:p>
        </w:tc>
        <w:tc>
          <w:tcPr>
            <w:tcW w:w="1260" w:type="dxa"/>
            <w:tcBorders>
              <w:top w:val="single" w:sz="4" w:space="0" w:color="4F81BD"/>
              <w:left w:val="single" w:sz="4" w:space="0" w:color="4F81BD"/>
              <w:bottom w:val="single" w:sz="4" w:space="0" w:color="4F81BD"/>
              <w:right w:val="single" w:sz="4" w:space="0" w:color="4F81BD"/>
            </w:tcBorders>
            <w:shd w:val="clear" w:color="auto" w:fill="8496B0" w:themeFill="text2" w:themeFillTint="99"/>
            <w:noWrap/>
            <w:vAlign w:val="bottom"/>
            <w:hideMark/>
          </w:tcPr>
          <w:p w:rsidR="00664415" w:rsidRPr="005E1103" w:rsidRDefault="00664415" w:rsidP="0046263B">
            <w:pPr>
              <w:spacing w:after="0" w:line="240" w:lineRule="auto"/>
              <w:rPr>
                <w:rFonts w:eastAsia="Times New Roman" w:cstheme="minorHAnsi"/>
                <w:b/>
                <w:bCs/>
                <w:color w:val="000000"/>
                <w:sz w:val="28"/>
                <w:szCs w:val="28"/>
                <w:lang w:eastAsia="es-ES"/>
              </w:rPr>
            </w:pPr>
            <w:r w:rsidRPr="005E1103">
              <w:rPr>
                <w:rFonts w:eastAsia="Times New Roman" w:cstheme="minorHAnsi"/>
                <w:b/>
                <w:bCs/>
                <w:color w:val="000000"/>
                <w:sz w:val="28"/>
                <w:szCs w:val="28"/>
                <w:lang w:eastAsia="es-ES"/>
              </w:rPr>
              <w:t>GRADO</w:t>
            </w:r>
          </w:p>
        </w:tc>
        <w:tc>
          <w:tcPr>
            <w:tcW w:w="2180" w:type="dxa"/>
            <w:tcBorders>
              <w:top w:val="single" w:sz="4" w:space="0" w:color="4F81BD"/>
              <w:left w:val="single" w:sz="4" w:space="0" w:color="4F81BD"/>
              <w:bottom w:val="single" w:sz="4" w:space="0" w:color="4F81BD"/>
              <w:right w:val="single" w:sz="4" w:space="0" w:color="4F81BD"/>
            </w:tcBorders>
            <w:shd w:val="clear" w:color="auto" w:fill="ED7D31" w:themeFill="accent2"/>
            <w:noWrap/>
            <w:vAlign w:val="bottom"/>
            <w:hideMark/>
          </w:tcPr>
          <w:p w:rsidR="00664415" w:rsidRPr="005E1103" w:rsidRDefault="00664415" w:rsidP="0046263B">
            <w:pPr>
              <w:spacing w:after="0" w:line="240" w:lineRule="auto"/>
              <w:rPr>
                <w:rFonts w:eastAsia="Times New Roman" w:cstheme="minorHAnsi"/>
                <w:b/>
                <w:bCs/>
                <w:color w:val="000000"/>
                <w:sz w:val="28"/>
                <w:szCs w:val="28"/>
                <w:lang w:eastAsia="es-ES"/>
              </w:rPr>
            </w:pPr>
            <w:r w:rsidRPr="005E1103">
              <w:rPr>
                <w:rFonts w:eastAsia="Times New Roman" w:cstheme="minorHAnsi"/>
                <w:b/>
                <w:bCs/>
                <w:color w:val="000000"/>
                <w:sz w:val="28"/>
                <w:szCs w:val="28"/>
                <w:lang w:eastAsia="es-ES"/>
              </w:rPr>
              <w:t>Master; Postgrado</w:t>
            </w:r>
          </w:p>
        </w:tc>
        <w:tc>
          <w:tcPr>
            <w:tcW w:w="1296" w:type="dxa"/>
            <w:tcBorders>
              <w:top w:val="single" w:sz="4" w:space="0" w:color="4F81BD"/>
              <w:left w:val="single" w:sz="4" w:space="0" w:color="4F81BD"/>
              <w:bottom w:val="single" w:sz="4" w:space="0" w:color="4F81BD"/>
              <w:right w:val="single" w:sz="4" w:space="0" w:color="4F81BD"/>
            </w:tcBorders>
            <w:shd w:val="clear" w:color="auto" w:fill="7CBF33"/>
            <w:noWrap/>
            <w:vAlign w:val="bottom"/>
            <w:hideMark/>
          </w:tcPr>
          <w:p w:rsidR="00664415" w:rsidRPr="005E1103" w:rsidRDefault="00664415" w:rsidP="0046263B">
            <w:pPr>
              <w:spacing w:after="0" w:line="240" w:lineRule="auto"/>
              <w:rPr>
                <w:rFonts w:eastAsia="Times New Roman" w:cstheme="minorHAnsi"/>
                <w:b/>
                <w:color w:val="000000"/>
                <w:sz w:val="28"/>
                <w:szCs w:val="28"/>
                <w:lang w:eastAsia="es-ES"/>
              </w:rPr>
            </w:pPr>
            <w:r w:rsidRPr="005E1103">
              <w:rPr>
                <w:rFonts w:eastAsia="Times New Roman" w:cstheme="minorHAnsi"/>
                <w:b/>
                <w:color w:val="000000"/>
                <w:sz w:val="28"/>
                <w:szCs w:val="28"/>
                <w:lang w:eastAsia="es-ES"/>
              </w:rPr>
              <w:t xml:space="preserve">Asignaturas </w:t>
            </w:r>
          </w:p>
        </w:tc>
      </w:tr>
      <w:tr w:rsidR="00664415" w:rsidRPr="005E1103" w:rsidTr="0046263B">
        <w:trPr>
          <w:trHeight w:val="300"/>
        </w:trPr>
        <w:tc>
          <w:tcPr>
            <w:tcW w:w="1399"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rsidR="00664415" w:rsidRPr="005E1103" w:rsidRDefault="00664415" w:rsidP="0046263B">
            <w:pPr>
              <w:spacing w:after="0" w:line="240" w:lineRule="auto"/>
              <w:jc w:val="center"/>
              <w:rPr>
                <w:rFonts w:eastAsia="Times New Roman" w:cstheme="minorHAnsi"/>
                <w:b/>
                <w:bCs/>
                <w:color w:val="000000"/>
                <w:sz w:val="28"/>
                <w:szCs w:val="28"/>
                <w:lang w:eastAsia="es-ES"/>
              </w:rPr>
            </w:pPr>
            <w:r w:rsidRPr="005E1103">
              <w:rPr>
                <w:rFonts w:eastAsia="Times New Roman" w:cstheme="minorHAnsi"/>
                <w:b/>
                <w:bCs/>
                <w:color w:val="000000"/>
                <w:sz w:val="28"/>
                <w:szCs w:val="28"/>
                <w:lang w:eastAsia="es-ES"/>
              </w:rPr>
              <w:t>221</w:t>
            </w:r>
          </w:p>
        </w:tc>
        <w:tc>
          <w:tcPr>
            <w:tcW w:w="1260"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rsidR="00664415" w:rsidRPr="005E1103" w:rsidRDefault="00664415" w:rsidP="0046263B">
            <w:pPr>
              <w:spacing w:after="0" w:line="240" w:lineRule="auto"/>
              <w:jc w:val="right"/>
              <w:rPr>
                <w:rFonts w:eastAsia="Times New Roman" w:cstheme="minorHAnsi"/>
                <w:color w:val="000000"/>
                <w:sz w:val="28"/>
                <w:szCs w:val="28"/>
                <w:lang w:eastAsia="es-ES"/>
              </w:rPr>
            </w:pPr>
            <w:r w:rsidRPr="005E1103">
              <w:rPr>
                <w:rFonts w:eastAsia="Times New Roman" w:cstheme="minorHAnsi"/>
                <w:color w:val="000000"/>
                <w:sz w:val="28"/>
                <w:szCs w:val="28"/>
                <w:lang w:eastAsia="es-ES"/>
              </w:rPr>
              <w:t>167</w:t>
            </w:r>
          </w:p>
        </w:tc>
        <w:tc>
          <w:tcPr>
            <w:tcW w:w="2180"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rsidR="00664415" w:rsidRPr="005E1103" w:rsidRDefault="00664415" w:rsidP="0046263B">
            <w:pPr>
              <w:spacing w:after="0" w:line="240" w:lineRule="auto"/>
              <w:jc w:val="right"/>
              <w:rPr>
                <w:rFonts w:eastAsia="Times New Roman" w:cstheme="minorHAnsi"/>
                <w:color w:val="000000"/>
                <w:sz w:val="28"/>
                <w:szCs w:val="28"/>
                <w:lang w:eastAsia="es-ES"/>
              </w:rPr>
            </w:pPr>
            <w:r w:rsidRPr="005E1103">
              <w:rPr>
                <w:rFonts w:eastAsia="Times New Roman" w:cstheme="minorHAnsi"/>
                <w:color w:val="000000"/>
                <w:sz w:val="28"/>
                <w:szCs w:val="28"/>
                <w:lang w:eastAsia="es-ES"/>
              </w:rPr>
              <w:t>34</w:t>
            </w:r>
          </w:p>
        </w:tc>
        <w:tc>
          <w:tcPr>
            <w:tcW w:w="1296"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rsidR="00664415" w:rsidRPr="005E1103" w:rsidRDefault="00664415" w:rsidP="0046263B">
            <w:pPr>
              <w:spacing w:after="0" w:line="240" w:lineRule="auto"/>
              <w:jc w:val="right"/>
              <w:rPr>
                <w:rFonts w:eastAsia="Times New Roman" w:cstheme="minorHAnsi"/>
                <w:color w:val="000000"/>
                <w:sz w:val="28"/>
                <w:szCs w:val="28"/>
                <w:lang w:eastAsia="es-ES"/>
              </w:rPr>
            </w:pPr>
            <w:r w:rsidRPr="005E1103">
              <w:rPr>
                <w:rFonts w:eastAsia="Times New Roman" w:cstheme="minorHAnsi"/>
                <w:color w:val="000000"/>
                <w:sz w:val="28"/>
                <w:szCs w:val="28"/>
                <w:lang w:eastAsia="es-ES"/>
              </w:rPr>
              <w:t>20</w:t>
            </w:r>
          </w:p>
        </w:tc>
      </w:tr>
    </w:tbl>
    <w:p w:rsidR="00664415" w:rsidRPr="005E1103" w:rsidRDefault="00664415" w:rsidP="00664415">
      <w:pPr>
        <w:rPr>
          <w:rFonts w:cstheme="minorHAnsi"/>
          <w:sz w:val="28"/>
          <w:szCs w:val="28"/>
        </w:rPr>
      </w:pPr>
    </w:p>
    <w:p w:rsidR="00664415" w:rsidRPr="005E1103" w:rsidRDefault="00664415" w:rsidP="00664415">
      <w:pPr>
        <w:rPr>
          <w:rFonts w:cstheme="minorHAnsi"/>
          <w:sz w:val="28"/>
          <w:szCs w:val="28"/>
        </w:rPr>
      </w:pPr>
    </w:p>
    <w:p w:rsidR="00664415" w:rsidRPr="005E1103" w:rsidRDefault="00664415" w:rsidP="00664415">
      <w:pPr>
        <w:spacing w:after="0" w:line="360" w:lineRule="auto"/>
        <w:jc w:val="both"/>
        <w:rPr>
          <w:rFonts w:cstheme="minorHAnsi"/>
          <w:sz w:val="28"/>
          <w:szCs w:val="28"/>
        </w:rPr>
      </w:pPr>
      <w:r w:rsidRPr="005E1103">
        <w:rPr>
          <w:rFonts w:cstheme="minorHAnsi"/>
          <w:sz w:val="28"/>
          <w:szCs w:val="28"/>
        </w:rPr>
        <w:t xml:space="preserve">                                                      Tabla 2: Consultas por categorías</w:t>
      </w:r>
    </w:p>
    <w:p w:rsidR="00664415" w:rsidRPr="005E1103" w:rsidRDefault="00664415" w:rsidP="00664415">
      <w:pPr>
        <w:spacing w:after="0" w:line="360" w:lineRule="auto"/>
        <w:jc w:val="both"/>
        <w:rPr>
          <w:rFonts w:cstheme="minorHAnsi"/>
          <w:color w:val="FF0000"/>
          <w:sz w:val="28"/>
          <w:szCs w:val="28"/>
        </w:rPr>
      </w:pPr>
    </w:p>
    <w:p w:rsidR="00664415" w:rsidRPr="005E1103" w:rsidRDefault="00664415" w:rsidP="00664415">
      <w:pPr>
        <w:spacing w:after="0" w:line="360" w:lineRule="auto"/>
        <w:jc w:val="both"/>
        <w:rPr>
          <w:rFonts w:cstheme="minorHAnsi"/>
          <w:sz w:val="28"/>
          <w:szCs w:val="28"/>
        </w:rPr>
      </w:pPr>
      <w:r w:rsidRPr="005E1103">
        <w:rPr>
          <w:rFonts w:cstheme="minorHAnsi"/>
          <w:sz w:val="28"/>
          <w:szCs w:val="28"/>
        </w:rPr>
        <w:t>En relación a los temas de estudio ha existido una gran variabilidad. Cabe destacar que los alumnos con alguna diversidad funcional han optado por realizar estudios que profundicen la sexualidad de la diversidad que padecen, en otros casos el interés venía por contar con algún familiar con diversidad funcional, haber vivido en el periodo de prácticas algún caso en el que nadie sabía dar respuesta y en otros como en carreras de periodismo y</w:t>
      </w:r>
      <w:r w:rsidRPr="005E1103">
        <w:rPr>
          <w:rFonts w:cstheme="minorHAnsi"/>
          <w:color w:val="FF0000"/>
          <w:sz w:val="28"/>
          <w:szCs w:val="28"/>
        </w:rPr>
        <w:t xml:space="preserve"> </w:t>
      </w:r>
      <w:r w:rsidRPr="005E1103">
        <w:rPr>
          <w:rFonts w:cstheme="minorHAnsi"/>
          <w:sz w:val="28"/>
          <w:szCs w:val="28"/>
        </w:rPr>
        <w:t xml:space="preserve">audiovisuales, simplemente el visualizar una necesidad latente en nuestra sociedad. En la tabla 3 podemos ver la relación de los temas asesorados. </w:t>
      </w:r>
    </w:p>
    <w:p w:rsidR="00664415" w:rsidRPr="005E1103" w:rsidRDefault="00664415" w:rsidP="00664415">
      <w:pPr>
        <w:spacing w:after="0" w:line="360" w:lineRule="auto"/>
        <w:jc w:val="center"/>
        <w:rPr>
          <w:rFonts w:cstheme="minorHAnsi"/>
          <w:sz w:val="28"/>
          <w:szCs w:val="28"/>
        </w:rPr>
      </w:pPr>
    </w:p>
    <w:p w:rsidR="00664415" w:rsidRPr="005E1103" w:rsidRDefault="00664415" w:rsidP="00664415">
      <w:pPr>
        <w:spacing w:after="0" w:line="360" w:lineRule="auto"/>
        <w:jc w:val="center"/>
        <w:rPr>
          <w:rFonts w:cstheme="minorHAnsi"/>
          <w:sz w:val="28"/>
          <w:szCs w:val="28"/>
        </w:rPr>
      </w:pPr>
    </w:p>
    <w:p w:rsidR="00664415" w:rsidRPr="005E1103" w:rsidRDefault="00664415" w:rsidP="00664415">
      <w:pPr>
        <w:spacing w:after="0" w:line="360" w:lineRule="auto"/>
        <w:jc w:val="center"/>
        <w:rPr>
          <w:rFonts w:cstheme="minorHAnsi"/>
          <w:sz w:val="28"/>
          <w:szCs w:val="28"/>
        </w:rPr>
      </w:pPr>
    </w:p>
    <w:p w:rsidR="00664415" w:rsidRPr="005E1103" w:rsidRDefault="00664415" w:rsidP="00664415">
      <w:pPr>
        <w:spacing w:after="0" w:line="360" w:lineRule="auto"/>
        <w:jc w:val="center"/>
        <w:rPr>
          <w:rFonts w:cstheme="minorHAnsi"/>
          <w:sz w:val="28"/>
          <w:szCs w:val="28"/>
        </w:rPr>
      </w:pPr>
      <w:r w:rsidRPr="005E1103">
        <w:rPr>
          <w:rFonts w:cstheme="minorHAnsi"/>
          <w:sz w:val="28"/>
          <w:szCs w:val="28"/>
        </w:rPr>
        <w:t xml:space="preserve">Tabla 3: </w:t>
      </w:r>
    </w:p>
    <w:p w:rsidR="00664415" w:rsidRPr="005E1103" w:rsidRDefault="00664415" w:rsidP="00664415">
      <w:pPr>
        <w:spacing w:after="0" w:line="360" w:lineRule="auto"/>
        <w:jc w:val="center"/>
        <w:rPr>
          <w:rFonts w:cstheme="minorHAnsi"/>
          <w:sz w:val="28"/>
          <w:szCs w:val="28"/>
        </w:rPr>
      </w:pPr>
      <w:r w:rsidRPr="005E1103">
        <w:rPr>
          <w:rFonts w:cstheme="minorHAnsi"/>
          <w:b/>
          <w:noProof/>
          <w:sz w:val="28"/>
          <w:szCs w:val="28"/>
          <w:lang w:eastAsia="es-ES"/>
        </w:rPr>
        <w:lastRenderedPageBreak/>
        <w:drawing>
          <wp:anchor distT="0" distB="0" distL="114300" distR="114300" simplePos="0" relativeHeight="251674624" behindDoc="0" locked="0" layoutInCell="1" allowOverlap="1" wp14:anchorId="54BBB1C4" wp14:editId="3F9F9314">
            <wp:simplePos x="0" y="0"/>
            <wp:positionH relativeFrom="column">
              <wp:posOffset>-199390</wp:posOffset>
            </wp:positionH>
            <wp:positionV relativeFrom="paragraph">
              <wp:posOffset>133350</wp:posOffset>
            </wp:positionV>
            <wp:extent cx="5689600" cy="3491230"/>
            <wp:effectExtent l="0" t="0" r="6350" b="0"/>
            <wp:wrapTopAndBottom/>
            <wp:docPr id="6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a estudio mama.png"/>
                    <pic:cNvPicPr/>
                  </pic:nvPicPr>
                  <pic:blipFill>
                    <a:blip r:embed="rId129">
                      <a:extLst>
                        <a:ext uri="{28A0092B-C50C-407E-A947-70E740481C1C}">
                          <a14:useLocalDpi xmlns:a14="http://schemas.microsoft.com/office/drawing/2010/main" val="0"/>
                        </a:ext>
                      </a:extLst>
                    </a:blip>
                    <a:stretch>
                      <a:fillRect/>
                    </a:stretch>
                  </pic:blipFill>
                  <pic:spPr>
                    <a:xfrm>
                      <a:off x="0" y="0"/>
                      <a:ext cx="5689600" cy="3491230"/>
                    </a:xfrm>
                    <a:prstGeom prst="rect">
                      <a:avLst/>
                    </a:prstGeom>
                  </pic:spPr>
                </pic:pic>
              </a:graphicData>
            </a:graphic>
          </wp:anchor>
        </w:drawing>
      </w:r>
    </w:p>
    <w:p w:rsidR="00664415" w:rsidRPr="005E1103" w:rsidRDefault="00664415" w:rsidP="00664415">
      <w:pPr>
        <w:spacing w:after="0" w:line="360" w:lineRule="auto"/>
        <w:jc w:val="center"/>
        <w:rPr>
          <w:rFonts w:cstheme="minorHAnsi"/>
          <w:sz w:val="28"/>
          <w:szCs w:val="28"/>
        </w:rPr>
      </w:pPr>
    </w:p>
    <w:p w:rsidR="00664415" w:rsidRPr="005E1103" w:rsidRDefault="00664415" w:rsidP="00664415">
      <w:pPr>
        <w:spacing w:after="0" w:line="360" w:lineRule="auto"/>
        <w:jc w:val="center"/>
        <w:rPr>
          <w:rFonts w:cstheme="minorHAnsi"/>
          <w:sz w:val="28"/>
          <w:szCs w:val="28"/>
        </w:rPr>
      </w:pPr>
      <w:r w:rsidRPr="005E1103">
        <w:rPr>
          <w:rFonts w:cstheme="minorHAnsi"/>
          <w:sz w:val="28"/>
          <w:szCs w:val="28"/>
        </w:rPr>
        <w:t>Relación de temas Asesorados y tutorizados</w:t>
      </w:r>
      <w:r w:rsidRPr="005E1103">
        <w:rPr>
          <w:rFonts w:cstheme="minorHAnsi"/>
          <w:noProof/>
          <w:sz w:val="28"/>
          <w:szCs w:val="28"/>
          <w:lang w:eastAsia="es-ES"/>
        </w:rPr>
        <mc:AlternateContent>
          <mc:Choice Requires="wps">
            <w:drawing>
              <wp:anchor distT="0" distB="0" distL="114300" distR="114300" simplePos="0" relativeHeight="251672576" behindDoc="0" locked="0" layoutInCell="1" allowOverlap="1" wp14:anchorId="67DA4F2A" wp14:editId="3D1BE37D">
                <wp:simplePos x="0" y="0"/>
                <wp:positionH relativeFrom="column">
                  <wp:posOffset>7593965</wp:posOffset>
                </wp:positionH>
                <wp:positionV relativeFrom="paragraph">
                  <wp:posOffset>4342130</wp:posOffset>
                </wp:positionV>
                <wp:extent cx="1388110" cy="283210"/>
                <wp:effectExtent l="247650" t="0" r="231140" b="0"/>
                <wp:wrapNone/>
                <wp:docPr id="27" name="Cuadro de texto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8128905">
                          <a:off x="0" y="0"/>
                          <a:ext cx="1388110" cy="283210"/>
                        </a:xfrm>
                        <a:prstGeom prst="rect">
                          <a:avLst/>
                        </a:prstGeom>
                        <a:noFill/>
                        <a:ln w="9525">
                          <a:noFill/>
                          <a:miter lim="800000"/>
                          <a:headEnd/>
                          <a:tailEnd/>
                        </a:ln>
                      </wps:spPr>
                      <wps:txbx>
                        <w:txbxContent>
                          <w:p w:rsidR="005E1103" w:rsidRPr="00237B52" w:rsidRDefault="005E1103" w:rsidP="00664415">
                            <w:r>
                              <w:t>Asistencia Sexual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type w14:anchorId="67DA4F2A" id="_x0000_t202" coordsize="21600,21600" o:spt="202" path="m,l,21600r21600,l21600,xe">
                <v:stroke joinstyle="miter"/>
                <v:path gradientshapeok="t" o:connecttype="rect"/>
              </v:shapetype>
              <v:shape id="Cuadro de texto 27" o:spid="_x0000_s1026" type="#_x0000_t202" style="position:absolute;left:0;text-align:left;margin-left:597.95pt;margin-top:341.9pt;width:109.3pt;height:22.3pt;rotation:-3791361fd;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" filled="f" stroked="f">
                <v:textbox>
                  <w:txbxContent>
                    <w:p w:rsidR="005E1103" w:rsidRPr="00237B52" w:rsidRDefault="005E1103" w:rsidP="00664415">
                      <w:r>
                        <w:t>Asistencia Sexual</w:t>
                      </w:r>
                    </w:p>
                  </w:txbxContent>
                </v:textbox>
              </v:shape>
            </w:pict>
          </mc:Fallback>
        </mc:AlternateContent>
      </w:r>
      <w:r w:rsidRPr="005E1103">
        <w:rPr>
          <w:rFonts w:cstheme="minorHAnsi"/>
          <w:noProof/>
          <w:sz w:val="28"/>
          <w:szCs w:val="28"/>
          <w:lang w:eastAsia="es-ES"/>
        </w:rPr>
        <mc:AlternateContent>
          <mc:Choice Requires="wps">
            <w:drawing>
              <wp:anchor distT="0" distB="0" distL="114300" distR="114300" simplePos="0" relativeHeight="251671552" behindDoc="0" locked="0" layoutInCell="1" allowOverlap="1" wp14:anchorId="71F2F518" wp14:editId="10B18CE3">
                <wp:simplePos x="0" y="0"/>
                <wp:positionH relativeFrom="column">
                  <wp:posOffset>7593965</wp:posOffset>
                </wp:positionH>
                <wp:positionV relativeFrom="paragraph">
                  <wp:posOffset>4342130</wp:posOffset>
                </wp:positionV>
                <wp:extent cx="1388110" cy="283210"/>
                <wp:effectExtent l="247650" t="0" r="231140" b="0"/>
                <wp:wrapNone/>
                <wp:docPr id="29" name="Cuadro de texto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8128905">
                          <a:off x="0" y="0"/>
                          <a:ext cx="1388110" cy="283210"/>
                        </a:xfrm>
                        <a:prstGeom prst="rect">
                          <a:avLst/>
                        </a:prstGeom>
                        <a:noFill/>
                        <a:ln w="9525">
                          <a:noFill/>
                          <a:miter lim="800000"/>
                          <a:headEnd/>
                          <a:tailEnd/>
                        </a:ln>
                      </wps:spPr>
                      <wps:txbx>
                        <w:txbxContent>
                          <w:p w:rsidR="005E1103" w:rsidRPr="00237B52" w:rsidRDefault="005E1103" w:rsidP="00664415">
                            <w:r>
                              <w:t>Asistencia Sexual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71F2F518" id="Cuadro de texto 29" o:spid="_x0000_s1027" type="#_x0000_t202" style="position:absolute;left:0;text-align:left;margin-left:597.95pt;margin-top:341.9pt;width:109.3pt;height:22.3pt;rotation:-3791361fd;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" filled="f" stroked="f">
                <v:textbox>
                  <w:txbxContent>
                    <w:p w:rsidR="005E1103" w:rsidRPr="00237B52" w:rsidRDefault="005E1103" w:rsidP="00664415">
                      <w:r>
                        <w:t>Asistencia Sexual</w:t>
                      </w:r>
                    </w:p>
                  </w:txbxContent>
                </v:textbox>
              </v:shape>
            </w:pict>
          </mc:Fallback>
        </mc:AlternateContent>
      </w:r>
      <w:r w:rsidRPr="005E1103">
        <w:rPr>
          <w:rFonts w:cstheme="minorHAnsi"/>
          <w:noProof/>
          <w:sz w:val="28"/>
          <w:szCs w:val="28"/>
          <w:lang w:eastAsia="es-ES"/>
        </w:rPr>
        <mc:AlternateContent>
          <mc:Choice Requires="wps">
            <w:drawing>
              <wp:anchor distT="0" distB="0" distL="114300" distR="114300" simplePos="0" relativeHeight="251673600" behindDoc="0" locked="0" layoutInCell="1" allowOverlap="1" wp14:anchorId="06769AFD" wp14:editId="0F248A12">
                <wp:simplePos x="0" y="0"/>
                <wp:positionH relativeFrom="column">
                  <wp:posOffset>7593965</wp:posOffset>
                </wp:positionH>
                <wp:positionV relativeFrom="paragraph">
                  <wp:posOffset>4342130</wp:posOffset>
                </wp:positionV>
                <wp:extent cx="1388110" cy="283210"/>
                <wp:effectExtent l="247650" t="0" r="231140" b="0"/>
                <wp:wrapNone/>
                <wp:docPr id="30" name="Cuadro de texto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8128905">
                          <a:off x="0" y="0"/>
                          <a:ext cx="1388110" cy="283210"/>
                        </a:xfrm>
                        <a:prstGeom prst="rect">
                          <a:avLst/>
                        </a:prstGeom>
                        <a:noFill/>
                        <a:ln w="9525">
                          <a:noFill/>
                          <a:miter lim="800000"/>
                          <a:headEnd/>
                          <a:tailEnd/>
                        </a:ln>
                      </wps:spPr>
                      <wps:txbx>
                        <w:txbxContent>
                          <w:p w:rsidR="005E1103" w:rsidRPr="00237B52" w:rsidRDefault="005E1103" w:rsidP="00664415">
                            <w:r>
                              <w:t>Asistencia Sexual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06769AFD" id="Cuadro de texto 30" o:spid="_x0000_s1028" type="#_x0000_t202" style="position:absolute;left:0;text-align:left;margin-left:597.95pt;margin-top:341.9pt;width:109.3pt;height:22.3pt;rotation:-3791361fd;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" filled="f" stroked="f">
                <v:textbox>
                  <w:txbxContent>
                    <w:p w:rsidR="005E1103" w:rsidRPr="00237B52" w:rsidRDefault="005E1103" w:rsidP="00664415">
                      <w:r>
                        <w:t>Asistencia Sexual</w:t>
                      </w:r>
                    </w:p>
                  </w:txbxContent>
                </v:textbox>
              </v:shape>
            </w:pict>
          </mc:Fallback>
        </mc:AlternateContent>
      </w:r>
    </w:p>
    <w:p w:rsidR="00664415" w:rsidRPr="005E1103" w:rsidRDefault="00664415" w:rsidP="00664415">
      <w:pPr>
        <w:spacing w:after="0" w:line="360" w:lineRule="auto"/>
        <w:jc w:val="both"/>
        <w:rPr>
          <w:rFonts w:cstheme="minorHAnsi"/>
          <w:b/>
          <w:sz w:val="28"/>
          <w:szCs w:val="28"/>
        </w:rPr>
      </w:pPr>
      <w:r w:rsidRPr="005E1103">
        <w:rPr>
          <w:rFonts w:cstheme="minorHAnsi"/>
          <w:b/>
          <w:sz w:val="28"/>
          <w:szCs w:val="28"/>
        </w:rPr>
        <w:t>Conclusiones</w:t>
      </w:r>
    </w:p>
    <w:p w:rsidR="00664415" w:rsidRPr="005E1103" w:rsidRDefault="00664415" w:rsidP="00664415">
      <w:pPr>
        <w:pStyle w:val="Prrafodelista"/>
        <w:numPr>
          <w:ilvl w:val="0"/>
          <w:numId w:val="90"/>
        </w:numPr>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El número de trabajos asesorados ha ido creciendo anualmente, de los 14 trabajos durante el curso 2011/ 2012  se ha pasado a 65 en 2015/2016, contabilizándose un total de 221  intervenciones.</w:t>
      </w:r>
    </w:p>
    <w:p w:rsidR="00664415" w:rsidRPr="005E1103" w:rsidRDefault="00664415" w:rsidP="00664415">
      <w:pPr>
        <w:pStyle w:val="Prrafodelista"/>
        <w:numPr>
          <w:ilvl w:val="0"/>
          <w:numId w:val="90"/>
        </w:numPr>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El incremento de interés por el tema a investigar denota una carencia de información y formación del mismo, tanto por parte de los profesionales, familiares como de la sociedad en general.</w:t>
      </w:r>
    </w:p>
    <w:p w:rsidR="00664415" w:rsidRPr="005E1103" w:rsidRDefault="00664415" w:rsidP="00664415">
      <w:pPr>
        <w:pStyle w:val="Prrafodelista"/>
        <w:numPr>
          <w:ilvl w:val="0"/>
          <w:numId w:val="90"/>
        </w:numPr>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Las Facultades no tienen profesorado tutor formado en sexualidad y DF que responda a  las demandas de tutoríassobre este tema  de los estudiantes.</w:t>
      </w:r>
    </w:p>
    <w:p w:rsidR="00664415" w:rsidRPr="005E1103" w:rsidRDefault="00664415" w:rsidP="00664415">
      <w:pPr>
        <w:pStyle w:val="Prrafodelista"/>
        <w:numPr>
          <w:ilvl w:val="0"/>
          <w:numId w:val="90"/>
        </w:numPr>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 xml:space="preserve">Ninguna de las carreras a las que se les ha asesorado tienen una asignatura en sexualidad y diversidad funcional a pesar que el campo de acción de algunas como por ejemplo Educación Social, </w:t>
      </w:r>
      <w:r w:rsidRPr="005E1103">
        <w:rPr>
          <w:rFonts w:asciiTheme="minorHAnsi" w:hAnsiTheme="minorHAnsi" w:cstheme="minorHAnsi"/>
          <w:sz w:val="28"/>
          <w:szCs w:val="28"/>
        </w:rPr>
        <w:lastRenderedPageBreak/>
        <w:t>Educación Especial, etc…,tienen una amplia actuación con estas personas ( Pisos tutelados, talleres, Escuelas…)</w:t>
      </w:r>
    </w:p>
    <w:p w:rsidR="00664415" w:rsidRPr="005E1103" w:rsidRDefault="00664415" w:rsidP="00664415">
      <w:pPr>
        <w:autoSpaceDE w:val="0"/>
        <w:autoSpaceDN w:val="0"/>
        <w:adjustRightInd w:val="0"/>
        <w:spacing w:after="140" w:line="360" w:lineRule="auto"/>
        <w:ind w:right="708"/>
        <w:jc w:val="both"/>
        <w:rPr>
          <w:rFonts w:cstheme="minorHAnsi"/>
          <w:b/>
          <w:sz w:val="28"/>
          <w:szCs w:val="28"/>
        </w:rPr>
      </w:pPr>
    </w:p>
    <w:p w:rsidR="00664415" w:rsidRPr="005E1103" w:rsidRDefault="00664415" w:rsidP="00664415">
      <w:pPr>
        <w:autoSpaceDE w:val="0"/>
        <w:autoSpaceDN w:val="0"/>
        <w:adjustRightInd w:val="0"/>
        <w:spacing w:after="140" w:line="360" w:lineRule="auto"/>
        <w:ind w:right="708"/>
        <w:jc w:val="both"/>
        <w:rPr>
          <w:rFonts w:cstheme="minorHAnsi"/>
          <w:b/>
          <w:sz w:val="28"/>
          <w:szCs w:val="28"/>
        </w:rPr>
      </w:pPr>
    </w:p>
    <w:p w:rsidR="00664415" w:rsidRPr="005E1103" w:rsidRDefault="00664415" w:rsidP="00664415">
      <w:pPr>
        <w:autoSpaceDE w:val="0"/>
        <w:autoSpaceDN w:val="0"/>
        <w:adjustRightInd w:val="0"/>
        <w:spacing w:after="140" w:line="360" w:lineRule="auto"/>
        <w:ind w:right="708"/>
        <w:jc w:val="both"/>
        <w:rPr>
          <w:rFonts w:cstheme="minorHAnsi"/>
          <w:b/>
          <w:sz w:val="28"/>
          <w:szCs w:val="28"/>
        </w:rPr>
      </w:pPr>
    </w:p>
    <w:p w:rsidR="00664415" w:rsidRPr="005E1103" w:rsidRDefault="00664415" w:rsidP="00664415">
      <w:pPr>
        <w:autoSpaceDE w:val="0"/>
        <w:autoSpaceDN w:val="0"/>
        <w:adjustRightInd w:val="0"/>
        <w:spacing w:after="140" w:line="360" w:lineRule="auto"/>
        <w:ind w:right="708"/>
        <w:jc w:val="both"/>
        <w:rPr>
          <w:rFonts w:cstheme="minorHAnsi"/>
          <w:b/>
          <w:sz w:val="28"/>
          <w:szCs w:val="28"/>
        </w:rPr>
      </w:pPr>
      <w:r w:rsidRPr="005E1103">
        <w:rPr>
          <w:rFonts w:cstheme="minorHAnsi"/>
          <w:b/>
          <w:sz w:val="28"/>
          <w:szCs w:val="28"/>
        </w:rPr>
        <w:t>BIBLIOGRAFIA</w:t>
      </w:r>
    </w:p>
    <w:p w:rsidR="00664415" w:rsidRPr="005E1103" w:rsidRDefault="00664415" w:rsidP="00664415">
      <w:pPr>
        <w:autoSpaceDE w:val="0"/>
        <w:autoSpaceDN w:val="0"/>
        <w:adjustRightInd w:val="0"/>
        <w:spacing w:after="0" w:line="240" w:lineRule="auto"/>
        <w:jc w:val="both"/>
        <w:rPr>
          <w:rFonts w:cstheme="minorHAnsi"/>
          <w:color w:val="000000"/>
          <w:sz w:val="28"/>
          <w:szCs w:val="28"/>
        </w:rPr>
      </w:pPr>
      <w:r w:rsidRPr="005E1103">
        <w:rPr>
          <w:rFonts w:cstheme="minorHAnsi"/>
          <w:i/>
          <w:color w:val="000000"/>
          <w:sz w:val="28"/>
          <w:szCs w:val="28"/>
        </w:rPr>
        <w:t>-Boletín Oficial del Estado (BOE) (2007). Real Decreto 1393/2007, de 29 de Octubre, Ordenación de las enseñanzas universitarias oficiales</w:t>
      </w:r>
      <w:r w:rsidRPr="005E1103">
        <w:rPr>
          <w:rFonts w:cstheme="minorHAnsi"/>
          <w:color w:val="000000"/>
          <w:sz w:val="28"/>
          <w:szCs w:val="28"/>
        </w:rPr>
        <w:t>. 30 Octubre 2007, 260, págs. 44037-44048.</w:t>
      </w:r>
    </w:p>
    <w:p w:rsidR="00664415" w:rsidRPr="005E1103" w:rsidRDefault="00664415" w:rsidP="00664415">
      <w:pPr>
        <w:autoSpaceDE w:val="0"/>
        <w:autoSpaceDN w:val="0"/>
        <w:adjustRightInd w:val="0"/>
        <w:spacing w:after="0" w:line="240" w:lineRule="auto"/>
        <w:jc w:val="both"/>
        <w:rPr>
          <w:rFonts w:cstheme="minorHAnsi"/>
          <w:sz w:val="28"/>
          <w:szCs w:val="28"/>
        </w:rPr>
      </w:pPr>
      <w:r w:rsidRPr="005E1103">
        <w:rPr>
          <w:rFonts w:cstheme="minorHAnsi"/>
          <w:sz w:val="28"/>
          <w:szCs w:val="28"/>
        </w:rPr>
        <w:t xml:space="preserve">- Campoy, Ignacio. (2004), </w:t>
      </w:r>
      <w:r w:rsidRPr="005E1103">
        <w:rPr>
          <w:rFonts w:cstheme="minorHAnsi"/>
          <w:i/>
          <w:iCs/>
          <w:sz w:val="28"/>
          <w:szCs w:val="28"/>
        </w:rPr>
        <w:t>Los derechos de las personas con discapacidad. Perspectivas sociales, políticas, jurídicas y filosóficas</w:t>
      </w:r>
      <w:r w:rsidRPr="005E1103">
        <w:rPr>
          <w:rFonts w:cstheme="minorHAnsi"/>
          <w:sz w:val="28"/>
          <w:szCs w:val="28"/>
        </w:rPr>
        <w:t xml:space="preserve">, Madrid, Carlos III-Dykinson. </w:t>
      </w:r>
    </w:p>
    <w:p w:rsidR="00664415" w:rsidRPr="005E1103" w:rsidRDefault="00664415" w:rsidP="00664415">
      <w:pPr>
        <w:autoSpaceDE w:val="0"/>
        <w:autoSpaceDN w:val="0"/>
        <w:adjustRightInd w:val="0"/>
        <w:spacing w:after="0" w:line="240" w:lineRule="auto"/>
        <w:jc w:val="both"/>
        <w:rPr>
          <w:rFonts w:cstheme="minorHAnsi"/>
          <w:sz w:val="28"/>
          <w:szCs w:val="28"/>
        </w:rPr>
      </w:pPr>
      <w:r w:rsidRPr="005E1103">
        <w:rPr>
          <w:rFonts w:cstheme="minorHAnsi"/>
          <w:sz w:val="28"/>
          <w:szCs w:val="28"/>
        </w:rPr>
        <w:t xml:space="preserve">- De Asís, Rafael. y Palacios, Adelaida. (2007),  </w:t>
      </w:r>
      <w:r w:rsidRPr="005E1103">
        <w:rPr>
          <w:rFonts w:cstheme="minorHAnsi"/>
          <w:i/>
          <w:iCs/>
          <w:sz w:val="28"/>
          <w:szCs w:val="28"/>
        </w:rPr>
        <w:t>Derechos humanos y situaciones de dependencia</w:t>
      </w:r>
      <w:r w:rsidRPr="005E1103">
        <w:rPr>
          <w:rFonts w:cstheme="minorHAnsi"/>
          <w:sz w:val="28"/>
          <w:szCs w:val="28"/>
        </w:rPr>
        <w:t>, Madrid, Universidad Carlos III-Dykinson.</w:t>
      </w:r>
    </w:p>
    <w:p w:rsidR="00664415" w:rsidRPr="005E1103" w:rsidRDefault="00664415" w:rsidP="00664415">
      <w:pPr>
        <w:spacing w:after="0" w:line="240" w:lineRule="auto"/>
        <w:jc w:val="both"/>
        <w:rPr>
          <w:rFonts w:cstheme="minorHAnsi"/>
          <w:color w:val="000000"/>
          <w:sz w:val="28"/>
          <w:szCs w:val="28"/>
        </w:rPr>
      </w:pPr>
      <w:r w:rsidRPr="005E1103">
        <w:rPr>
          <w:rFonts w:cstheme="minorHAnsi"/>
          <w:color w:val="000000"/>
          <w:sz w:val="28"/>
          <w:szCs w:val="28"/>
        </w:rPr>
        <w:t xml:space="preserve">- España, Dirección General de Ordenación e Innovación Educativa. (2008). </w:t>
      </w:r>
      <w:r w:rsidRPr="005E1103">
        <w:rPr>
          <w:rFonts w:cstheme="minorHAnsi"/>
          <w:i/>
          <w:color w:val="000000"/>
          <w:sz w:val="28"/>
          <w:szCs w:val="28"/>
        </w:rPr>
        <w:t>Programa Harimaguada</w:t>
      </w:r>
      <w:r w:rsidRPr="005E1103">
        <w:rPr>
          <w:rFonts w:cstheme="minorHAnsi"/>
          <w:color w:val="000000"/>
          <w:sz w:val="28"/>
          <w:szCs w:val="28"/>
        </w:rPr>
        <w:t xml:space="preserve">, </w:t>
      </w:r>
      <w:r w:rsidRPr="005E1103">
        <w:rPr>
          <w:rFonts w:cstheme="minorHAnsi"/>
          <w:i/>
          <w:iCs/>
          <w:color w:val="000000"/>
          <w:sz w:val="28"/>
          <w:szCs w:val="28"/>
        </w:rPr>
        <w:t xml:space="preserve">Multimedia para la educación sexual, </w:t>
      </w:r>
      <w:r w:rsidRPr="005E1103">
        <w:rPr>
          <w:rFonts w:cstheme="minorHAnsi"/>
          <w:color w:val="000000"/>
          <w:sz w:val="28"/>
          <w:szCs w:val="28"/>
        </w:rPr>
        <w:t>[</w:t>
      </w:r>
      <w:r w:rsidRPr="005E1103">
        <w:rPr>
          <w:rFonts w:cstheme="minorHAnsi"/>
          <w:i/>
          <w:iCs/>
          <w:color w:val="000000"/>
          <w:sz w:val="28"/>
          <w:szCs w:val="28"/>
        </w:rPr>
        <w:t>Disco compacto</w:t>
      </w:r>
      <w:r w:rsidRPr="005E1103">
        <w:rPr>
          <w:rFonts w:cstheme="minorHAnsi"/>
          <w:color w:val="000000"/>
          <w:sz w:val="28"/>
          <w:szCs w:val="28"/>
        </w:rPr>
        <w:t>]. Gobierno de Canarias. Consejera de Educación, Cultura y Deporte.</w:t>
      </w:r>
    </w:p>
    <w:p w:rsidR="00664415" w:rsidRPr="005E1103" w:rsidRDefault="00664415" w:rsidP="00664415">
      <w:pPr>
        <w:autoSpaceDE w:val="0"/>
        <w:autoSpaceDN w:val="0"/>
        <w:adjustRightInd w:val="0"/>
        <w:spacing w:after="0" w:line="240" w:lineRule="auto"/>
        <w:jc w:val="both"/>
        <w:rPr>
          <w:rFonts w:cstheme="minorHAnsi"/>
          <w:i/>
          <w:iCs/>
          <w:color w:val="000000"/>
          <w:sz w:val="28"/>
          <w:szCs w:val="28"/>
        </w:rPr>
      </w:pPr>
      <w:r w:rsidRPr="005E1103">
        <w:rPr>
          <w:rFonts w:cstheme="minorHAnsi"/>
          <w:color w:val="000000"/>
          <w:sz w:val="28"/>
          <w:szCs w:val="28"/>
        </w:rPr>
        <w:t>- España, Ministerio de Educación, Cultura y Deporte (2003</w:t>
      </w:r>
      <w:r w:rsidRPr="005E1103">
        <w:rPr>
          <w:rFonts w:cstheme="minorHAnsi"/>
          <w:i/>
          <w:iCs/>
          <w:color w:val="000000"/>
          <w:sz w:val="28"/>
          <w:szCs w:val="28"/>
        </w:rPr>
        <w:t xml:space="preserve">). La integración del sistema Universitario Español en el Espacio Europeo deEnseñanza Superior, Documento-Marco. </w:t>
      </w:r>
      <w:r w:rsidRPr="005E1103">
        <w:rPr>
          <w:rFonts w:cstheme="minorHAnsi"/>
          <w:color w:val="000000"/>
          <w:sz w:val="28"/>
          <w:szCs w:val="28"/>
        </w:rPr>
        <w:t>Madrid: Ministerio de Educación, Cultura y Deporte.</w:t>
      </w:r>
    </w:p>
    <w:p w:rsidR="00664415" w:rsidRPr="005E1103" w:rsidRDefault="00664415" w:rsidP="00664415">
      <w:pPr>
        <w:autoSpaceDE w:val="0"/>
        <w:autoSpaceDN w:val="0"/>
        <w:adjustRightInd w:val="0"/>
        <w:spacing w:after="0" w:line="240" w:lineRule="auto"/>
        <w:jc w:val="both"/>
        <w:rPr>
          <w:rFonts w:cstheme="minorHAnsi"/>
          <w:color w:val="000000"/>
          <w:sz w:val="28"/>
          <w:szCs w:val="28"/>
        </w:rPr>
      </w:pPr>
      <w:r w:rsidRPr="005E1103">
        <w:rPr>
          <w:rFonts w:cstheme="minorHAnsi"/>
          <w:color w:val="000000"/>
          <w:sz w:val="28"/>
          <w:szCs w:val="28"/>
        </w:rPr>
        <w:t xml:space="preserve">- España, Ministros Europeos de Educación (1999). </w:t>
      </w:r>
      <w:r w:rsidRPr="005E1103">
        <w:rPr>
          <w:rFonts w:cstheme="minorHAnsi"/>
          <w:i/>
          <w:iCs/>
          <w:color w:val="000000"/>
          <w:sz w:val="28"/>
          <w:szCs w:val="28"/>
        </w:rPr>
        <w:t>Declaración de Bolonia</w:t>
      </w:r>
      <w:r w:rsidRPr="005E1103">
        <w:rPr>
          <w:rFonts w:cstheme="minorHAnsi"/>
          <w:color w:val="000000"/>
          <w:sz w:val="28"/>
          <w:szCs w:val="28"/>
        </w:rPr>
        <w:t>. Disponible en:</w:t>
      </w:r>
    </w:p>
    <w:p w:rsidR="00664415" w:rsidRPr="005E1103" w:rsidRDefault="00BF6455" w:rsidP="00664415">
      <w:pPr>
        <w:spacing w:after="0" w:line="240" w:lineRule="auto"/>
        <w:jc w:val="both"/>
        <w:rPr>
          <w:rFonts w:cstheme="minorHAnsi"/>
          <w:color w:val="000000"/>
          <w:sz w:val="28"/>
          <w:szCs w:val="28"/>
        </w:rPr>
      </w:pPr>
      <w:hyperlink r:id="rId130" w:history="1">
        <w:r w:rsidR="00664415" w:rsidRPr="005E1103">
          <w:rPr>
            <w:rStyle w:val="Hipervnculo"/>
            <w:rFonts w:cstheme="minorHAnsi"/>
            <w:sz w:val="28"/>
            <w:szCs w:val="28"/>
          </w:rPr>
          <w:t>http://www.udg.edu/EEES/Docencia2010/ProcesdeBolonya/tabid/7189/language/ca-ES/Default.aspx. Consultado el 15-9-2016</w:t>
        </w:r>
      </w:hyperlink>
    </w:p>
    <w:p w:rsidR="00664415" w:rsidRPr="005E1103" w:rsidRDefault="00664415" w:rsidP="00664415">
      <w:pPr>
        <w:spacing w:after="0" w:line="240" w:lineRule="auto"/>
        <w:jc w:val="both"/>
        <w:rPr>
          <w:rFonts w:cstheme="minorHAnsi"/>
          <w:sz w:val="28"/>
          <w:szCs w:val="28"/>
        </w:rPr>
      </w:pPr>
      <w:r w:rsidRPr="005E1103">
        <w:rPr>
          <w:rFonts w:cstheme="minorHAnsi"/>
          <w:color w:val="000000"/>
          <w:sz w:val="28"/>
          <w:szCs w:val="28"/>
        </w:rPr>
        <w:t xml:space="preserve">- Fallas, Manuel. (2009), </w:t>
      </w:r>
      <w:r w:rsidRPr="005E1103">
        <w:rPr>
          <w:rFonts w:cstheme="minorHAnsi"/>
          <w:i/>
          <w:iCs/>
          <w:color w:val="000000"/>
          <w:sz w:val="28"/>
          <w:szCs w:val="28"/>
        </w:rPr>
        <w:t>Educación afectiva y sexual. Programa de formación docente de secundaria</w:t>
      </w:r>
      <w:r w:rsidRPr="005E1103">
        <w:rPr>
          <w:rFonts w:cstheme="minorHAnsi"/>
          <w:color w:val="000000"/>
          <w:sz w:val="28"/>
          <w:szCs w:val="28"/>
        </w:rPr>
        <w:t>, (Tesis doctoral), Salamanca, Universidad de Salamanca.</w:t>
      </w:r>
    </w:p>
    <w:p w:rsidR="00664415" w:rsidRPr="005E1103" w:rsidRDefault="00664415" w:rsidP="00664415">
      <w:pPr>
        <w:spacing w:after="0" w:line="240" w:lineRule="auto"/>
        <w:jc w:val="both"/>
        <w:rPr>
          <w:rFonts w:cstheme="minorHAnsi"/>
          <w:sz w:val="28"/>
          <w:szCs w:val="28"/>
        </w:rPr>
      </w:pPr>
      <w:r w:rsidRPr="005E1103">
        <w:rPr>
          <w:rFonts w:cstheme="minorHAnsi"/>
          <w:color w:val="000000"/>
          <w:sz w:val="28"/>
          <w:szCs w:val="28"/>
        </w:rPr>
        <w:t xml:space="preserve">-Fallas, Manuel, Artavia, Cindy. y Gamboa, Alejandra. </w:t>
      </w:r>
      <w:r w:rsidRPr="005E1103">
        <w:rPr>
          <w:rFonts w:cstheme="minorHAnsi"/>
          <w:i/>
          <w:color w:val="000000"/>
          <w:sz w:val="28"/>
          <w:szCs w:val="28"/>
        </w:rPr>
        <w:t>Educación sexual: Orientadores orientadoras desde el modelo biográfico y profesional</w:t>
      </w:r>
      <w:r w:rsidRPr="005E1103">
        <w:rPr>
          <w:rFonts w:cstheme="minorHAnsi"/>
          <w:color w:val="000000"/>
          <w:sz w:val="28"/>
          <w:szCs w:val="28"/>
        </w:rPr>
        <w:t xml:space="preserve">. </w:t>
      </w:r>
      <w:r w:rsidRPr="005E1103">
        <w:rPr>
          <w:rFonts w:cstheme="minorHAnsi"/>
          <w:iCs/>
          <w:color w:val="000000"/>
          <w:sz w:val="28"/>
          <w:szCs w:val="28"/>
        </w:rPr>
        <w:t>Revista</w:t>
      </w:r>
      <w:r w:rsidRPr="005E1103">
        <w:rPr>
          <w:rFonts w:cstheme="minorHAnsi"/>
          <w:sz w:val="28"/>
          <w:szCs w:val="28"/>
        </w:rPr>
        <w:t xml:space="preserve"> </w:t>
      </w:r>
      <w:r w:rsidRPr="005E1103">
        <w:rPr>
          <w:rFonts w:cstheme="minorHAnsi"/>
          <w:iCs/>
          <w:color w:val="000000"/>
          <w:sz w:val="28"/>
          <w:szCs w:val="28"/>
        </w:rPr>
        <w:t>Electrónica Educare</w:t>
      </w:r>
      <w:r w:rsidRPr="005E1103">
        <w:rPr>
          <w:rFonts w:cstheme="minorHAnsi"/>
          <w:color w:val="000000"/>
          <w:sz w:val="28"/>
          <w:szCs w:val="28"/>
        </w:rPr>
        <w:t xml:space="preserve">, </w:t>
      </w:r>
      <w:r w:rsidRPr="005E1103">
        <w:rPr>
          <w:rFonts w:cstheme="minorHAnsi"/>
          <w:iCs/>
          <w:color w:val="000000"/>
          <w:sz w:val="28"/>
          <w:szCs w:val="28"/>
        </w:rPr>
        <w:t>1</w:t>
      </w:r>
      <w:r w:rsidRPr="005E1103">
        <w:rPr>
          <w:rFonts w:cstheme="minorHAnsi"/>
          <w:color w:val="000000"/>
          <w:sz w:val="28"/>
          <w:szCs w:val="28"/>
        </w:rPr>
        <w:t>, 2012. Pags.53-71. Disponible en:</w:t>
      </w:r>
      <w:hyperlink r:id="rId131" w:history="1">
        <w:r w:rsidRPr="005E1103">
          <w:rPr>
            <w:rStyle w:val="Hipervnculo"/>
            <w:rFonts w:cstheme="minorHAnsi"/>
            <w:sz w:val="28"/>
            <w:szCs w:val="28"/>
          </w:rPr>
          <w:t>http://www.revistas.una.ac.cr/index.php/EDUCARE/issue/view/418</w:t>
        </w:r>
      </w:hyperlink>
    </w:p>
    <w:p w:rsidR="00664415" w:rsidRPr="005E1103" w:rsidRDefault="00664415" w:rsidP="00664415">
      <w:pPr>
        <w:autoSpaceDE w:val="0"/>
        <w:autoSpaceDN w:val="0"/>
        <w:adjustRightInd w:val="0"/>
        <w:spacing w:after="0" w:line="240" w:lineRule="auto"/>
        <w:jc w:val="both"/>
        <w:rPr>
          <w:rFonts w:cstheme="minorHAnsi"/>
          <w:i/>
          <w:iCs/>
          <w:color w:val="000000"/>
          <w:sz w:val="28"/>
          <w:szCs w:val="28"/>
        </w:rPr>
      </w:pPr>
      <w:r w:rsidRPr="005E1103">
        <w:rPr>
          <w:rFonts w:cstheme="minorHAnsi"/>
          <w:color w:val="000000"/>
          <w:sz w:val="28"/>
          <w:szCs w:val="28"/>
        </w:rPr>
        <w:t xml:space="preserve">- Fernández, Manuel. J. (2005). </w:t>
      </w:r>
      <w:r w:rsidRPr="005E1103">
        <w:rPr>
          <w:rFonts w:cstheme="minorHAnsi"/>
          <w:i/>
          <w:iCs/>
          <w:color w:val="000000"/>
          <w:sz w:val="28"/>
          <w:szCs w:val="28"/>
        </w:rPr>
        <w:t>¿Qué no es el Espacio Europeo de Educación Superior? Siete pifias del proceso de Bolonia</w:t>
      </w:r>
      <w:r w:rsidRPr="005E1103">
        <w:rPr>
          <w:rFonts w:cstheme="minorHAnsi"/>
          <w:color w:val="000000"/>
          <w:sz w:val="28"/>
          <w:szCs w:val="28"/>
        </w:rPr>
        <w:t>. Disponible en:</w:t>
      </w:r>
    </w:p>
    <w:p w:rsidR="00664415" w:rsidRPr="005E1103" w:rsidRDefault="00BF6455" w:rsidP="00664415">
      <w:pPr>
        <w:autoSpaceDE w:val="0"/>
        <w:autoSpaceDN w:val="0"/>
        <w:adjustRightInd w:val="0"/>
        <w:spacing w:after="0" w:line="240" w:lineRule="auto"/>
        <w:jc w:val="both"/>
        <w:rPr>
          <w:rFonts w:cstheme="minorHAnsi"/>
          <w:sz w:val="28"/>
          <w:szCs w:val="28"/>
        </w:rPr>
      </w:pPr>
      <w:hyperlink r:id="rId132" w:history="1">
        <w:r w:rsidR="00664415" w:rsidRPr="005E1103">
          <w:rPr>
            <w:rStyle w:val="Hipervnculo"/>
            <w:rFonts w:cstheme="minorHAnsi"/>
            <w:sz w:val="28"/>
            <w:szCs w:val="28"/>
          </w:rPr>
          <w:t>http://www.educaweb.com/EducaNews/interface/asp/web/NoticiesMostrar.asp?NoticiaID=408&amp;SeccioID=639</w:t>
        </w:r>
      </w:hyperlink>
      <w:r w:rsidR="00664415" w:rsidRPr="005E1103">
        <w:rPr>
          <w:rFonts w:cstheme="minorHAnsi"/>
          <w:color w:val="0000FF"/>
          <w:sz w:val="28"/>
          <w:szCs w:val="28"/>
        </w:rPr>
        <w:t xml:space="preserve">. </w:t>
      </w:r>
      <w:r w:rsidR="00664415" w:rsidRPr="005E1103">
        <w:rPr>
          <w:rFonts w:cstheme="minorHAnsi"/>
          <w:sz w:val="28"/>
          <w:szCs w:val="28"/>
        </w:rPr>
        <w:t>Consultado el 20-9-2016</w:t>
      </w:r>
    </w:p>
    <w:p w:rsidR="00664415" w:rsidRPr="005E1103" w:rsidRDefault="00664415" w:rsidP="00664415">
      <w:pPr>
        <w:autoSpaceDE w:val="0"/>
        <w:autoSpaceDN w:val="0"/>
        <w:adjustRightInd w:val="0"/>
        <w:spacing w:after="0" w:line="240" w:lineRule="auto"/>
        <w:jc w:val="both"/>
        <w:rPr>
          <w:rFonts w:cstheme="minorHAnsi"/>
          <w:sz w:val="28"/>
          <w:szCs w:val="28"/>
        </w:rPr>
      </w:pPr>
      <w:r w:rsidRPr="005E1103">
        <w:rPr>
          <w:rFonts w:cstheme="minorHAnsi"/>
          <w:color w:val="000000"/>
          <w:sz w:val="28"/>
          <w:szCs w:val="28"/>
        </w:rPr>
        <w:t xml:space="preserve">-Fernández, María Victoria. V. </w:t>
      </w:r>
      <w:r w:rsidRPr="005E1103">
        <w:rPr>
          <w:rFonts w:cstheme="minorHAnsi"/>
          <w:i/>
          <w:color w:val="000000"/>
          <w:sz w:val="28"/>
          <w:szCs w:val="28"/>
        </w:rPr>
        <w:t>Web quests: un modelo educativo basado en el uso de internet</w:t>
      </w:r>
      <w:r w:rsidRPr="005E1103">
        <w:rPr>
          <w:rFonts w:cstheme="minorHAnsi"/>
          <w:color w:val="000000"/>
          <w:sz w:val="28"/>
          <w:szCs w:val="28"/>
        </w:rPr>
        <w:t xml:space="preserve">. </w:t>
      </w:r>
      <w:r w:rsidRPr="005E1103">
        <w:rPr>
          <w:rFonts w:cstheme="minorHAnsi"/>
          <w:iCs/>
          <w:color w:val="000000"/>
          <w:sz w:val="28"/>
          <w:szCs w:val="28"/>
        </w:rPr>
        <w:t>Revista de Formación e Innovación Educativa Universitaria</w:t>
      </w:r>
      <w:r w:rsidRPr="005E1103">
        <w:rPr>
          <w:rFonts w:cstheme="minorHAnsi"/>
          <w:color w:val="000000"/>
          <w:sz w:val="28"/>
          <w:szCs w:val="28"/>
        </w:rPr>
        <w:t xml:space="preserve">, 2008, 1, (2). págs. 58-60. Disponible en: </w:t>
      </w:r>
      <w:hyperlink r:id="rId133" w:history="1">
        <w:r w:rsidRPr="005E1103">
          <w:rPr>
            <w:rStyle w:val="Hipervnculo"/>
            <w:rFonts w:cstheme="minorHAnsi"/>
            <w:sz w:val="28"/>
            <w:szCs w:val="28"/>
          </w:rPr>
          <w:t>http://webs.uvigo.es/refiedu/</w:t>
        </w:r>
      </w:hyperlink>
      <w:r w:rsidRPr="005E1103">
        <w:rPr>
          <w:rFonts w:cstheme="minorHAnsi"/>
          <w:color w:val="0000FF"/>
          <w:sz w:val="28"/>
          <w:szCs w:val="28"/>
        </w:rPr>
        <w:t xml:space="preserve">. </w:t>
      </w:r>
      <w:r w:rsidRPr="005E1103">
        <w:rPr>
          <w:rFonts w:cstheme="minorHAnsi"/>
          <w:sz w:val="28"/>
          <w:szCs w:val="28"/>
        </w:rPr>
        <w:t>Consultado el 20-9-2016.</w:t>
      </w:r>
    </w:p>
    <w:p w:rsidR="00664415" w:rsidRPr="005E1103" w:rsidRDefault="00664415" w:rsidP="00664415">
      <w:pPr>
        <w:autoSpaceDE w:val="0"/>
        <w:autoSpaceDN w:val="0"/>
        <w:adjustRightInd w:val="0"/>
        <w:spacing w:after="0" w:line="240" w:lineRule="auto"/>
        <w:jc w:val="both"/>
        <w:rPr>
          <w:rFonts w:cstheme="minorHAnsi"/>
          <w:i/>
          <w:color w:val="231F20"/>
          <w:sz w:val="28"/>
          <w:szCs w:val="28"/>
        </w:rPr>
      </w:pPr>
      <w:r w:rsidRPr="005E1103">
        <w:rPr>
          <w:rFonts w:cstheme="minorHAnsi"/>
          <w:color w:val="000000"/>
          <w:sz w:val="28"/>
          <w:szCs w:val="28"/>
        </w:rPr>
        <w:t xml:space="preserve">-Ferreira, Manuel. </w:t>
      </w:r>
      <w:r w:rsidRPr="005E1103">
        <w:rPr>
          <w:rFonts w:cstheme="minorHAnsi"/>
          <w:i/>
          <w:color w:val="231F20"/>
          <w:sz w:val="28"/>
          <w:szCs w:val="28"/>
        </w:rPr>
        <w:t>Una aproximación sociológica a la discapacidad desde el modelo social: apuntes caracterológicos</w:t>
      </w:r>
      <w:r w:rsidRPr="005E1103">
        <w:rPr>
          <w:rFonts w:cstheme="minorHAnsi"/>
          <w:color w:val="231F20"/>
          <w:sz w:val="28"/>
          <w:szCs w:val="28"/>
        </w:rPr>
        <w:t>,</w:t>
      </w:r>
      <w:r w:rsidRPr="005E1103">
        <w:rPr>
          <w:rFonts w:cstheme="minorHAnsi"/>
          <w:color w:val="000000"/>
          <w:sz w:val="28"/>
          <w:szCs w:val="28"/>
        </w:rPr>
        <w:t xml:space="preserve"> Revista Española </w:t>
      </w:r>
      <w:r w:rsidRPr="005E1103">
        <w:rPr>
          <w:rFonts w:cstheme="minorHAnsi"/>
          <w:bCs/>
          <w:sz w:val="28"/>
          <w:szCs w:val="28"/>
        </w:rPr>
        <w:t>de Investigaciones</w:t>
      </w:r>
      <w:r w:rsidRPr="005E1103">
        <w:rPr>
          <w:rFonts w:cstheme="minorHAnsi"/>
          <w:i/>
          <w:color w:val="231F20"/>
          <w:sz w:val="28"/>
          <w:szCs w:val="28"/>
        </w:rPr>
        <w:t xml:space="preserve"> </w:t>
      </w:r>
      <w:r w:rsidRPr="005E1103">
        <w:rPr>
          <w:rFonts w:cstheme="minorHAnsi"/>
          <w:bCs/>
          <w:sz w:val="28"/>
          <w:szCs w:val="28"/>
        </w:rPr>
        <w:t xml:space="preserve">Sociológicas (Reis),n.º 124, 2008. págs. 141-174 </w:t>
      </w:r>
    </w:p>
    <w:p w:rsidR="00664415" w:rsidRPr="005E1103" w:rsidRDefault="00664415" w:rsidP="00664415">
      <w:pPr>
        <w:autoSpaceDE w:val="0"/>
        <w:autoSpaceDN w:val="0"/>
        <w:adjustRightInd w:val="0"/>
        <w:spacing w:after="0" w:line="240" w:lineRule="auto"/>
        <w:jc w:val="both"/>
        <w:rPr>
          <w:rFonts w:cstheme="minorHAnsi"/>
          <w:color w:val="000000"/>
          <w:sz w:val="28"/>
          <w:szCs w:val="28"/>
        </w:rPr>
      </w:pPr>
      <w:r w:rsidRPr="005E1103">
        <w:rPr>
          <w:rFonts w:cstheme="minorHAnsi"/>
          <w:color w:val="000000"/>
          <w:sz w:val="28"/>
          <w:szCs w:val="28"/>
        </w:rPr>
        <w:t xml:space="preserve">-Font-Mayolas, Silvia. </w:t>
      </w:r>
      <w:r w:rsidRPr="005E1103">
        <w:rPr>
          <w:rFonts w:cstheme="minorHAnsi"/>
          <w:i/>
          <w:color w:val="000000"/>
          <w:sz w:val="28"/>
          <w:szCs w:val="28"/>
        </w:rPr>
        <w:t>Análisis del uso de la técnica de trabajo cooperativo del puzzle en alumnos de la Licenciatura de Psicología</w:t>
      </w:r>
      <w:r w:rsidRPr="005E1103">
        <w:rPr>
          <w:rFonts w:cstheme="minorHAnsi"/>
          <w:color w:val="000000"/>
          <w:sz w:val="28"/>
          <w:szCs w:val="28"/>
        </w:rPr>
        <w:t xml:space="preserve">. </w:t>
      </w:r>
      <w:r w:rsidRPr="005E1103">
        <w:rPr>
          <w:rFonts w:cstheme="minorHAnsi"/>
          <w:iCs/>
          <w:color w:val="000000"/>
          <w:sz w:val="28"/>
          <w:szCs w:val="28"/>
        </w:rPr>
        <w:t>Revista de Enseñanza de la Psicología: Teoría y Experiencia (REPTE)</w:t>
      </w:r>
      <w:r w:rsidRPr="005E1103">
        <w:rPr>
          <w:rFonts w:cstheme="minorHAnsi"/>
          <w:color w:val="000000"/>
          <w:sz w:val="28"/>
          <w:szCs w:val="28"/>
        </w:rPr>
        <w:t xml:space="preserve">, 2005, 1(1). págs. 9-17. Disponible en: </w:t>
      </w:r>
      <w:hyperlink r:id="rId134" w:history="1">
        <w:r w:rsidRPr="005E1103">
          <w:rPr>
            <w:rStyle w:val="Hipervnculo"/>
            <w:rFonts w:cstheme="minorHAnsi"/>
            <w:sz w:val="28"/>
            <w:szCs w:val="28"/>
          </w:rPr>
          <w:t>http://psicologia.udg.edu/Revista/default.htm</w:t>
        </w:r>
      </w:hyperlink>
      <w:r w:rsidRPr="005E1103">
        <w:rPr>
          <w:rFonts w:cstheme="minorHAnsi"/>
          <w:color w:val="0000FF"/>
          <w:sz w:val="28"/>
          <w:szCs w:val="28"/>
        </w:rPr>
        <w:t xml:space="preserve">. </w:t>
      </w:r>
      <w:r w:rsidRPr="005E1103">
        <w:rPr>
          <w:rFonts w:cstheme="minorHAnsi"/>
          <w:sz w:val="28"/>
          <w:szCs w:val="28"/>
        </w:rPr>
        <w:t>Consultado el 15-9-2016</w:t>
      </w:r>
    </w:p>
    <w:p w:rsidR="00664415" w:rsidRPr="005E1103" w:rsidRDefault="00664415" w:rsidP="00664415">
      <w:pPr>
        <w:autoSpaceDE w:val="0"/>
        <w:autoSpaceDN w:val="0"/>
        <w:adjustRightInd w:val="0"/>
        <w:spacing w:after="0" w:line="240" w:lineRule="auto"/>
        <w:jc w:val="both"/>
        <w:rPr>
          <w:rFonts w:cstheme="minorHAnsi"/>
          <w:iCs/>
          <w:color w:val="000000"/>
          <w:sz w:val="28"/>
          <w:szCs w:val="28"/>
        </w:rPr>
      </w:pPr>
      <w:r w:rsidRPr="005E1103">
        <w:rPr>
          <w:rFonts w:cstheme="minorHAnsi"/>
          <w:color w:val="000000"/>
          <w:sz w:val="28"/>
          <w:szCs w:val="28"/>
        </w:rPr>
        <w:t xml:space="preserve">- Galán, Fernando. (2010). </w:t>
      </w:r>
      <w:r w:rsidRPr="005E1103">
        <w:rPr>
          <w:rFonts w:cstheme="minorHAnsi"/>
          <w:i/>
          <w:color w:val="000000"/>
          <w:sz w:val="28"/>
          <w:szCs w:val="28"/>
        </w:rPr>
        <w:t>La participación estudiantil en los sistemas de garantía de la calidad, compromiso de mejora</w:t>
      </w:r>
      <w:r w:rsidRPr="005E1103">
        <w:rPr>
          <w:rFonts w:cstheme="minorHAnsi"/>
          <w:color w:val="000000"/>
          <w:sz w:val="28"/>
          <w:szCs w:val="28"/>
        </w:rPr>
        <w:t xml:space="preserve">. </w:t>
      </w:r>
      <w:r w:rsidRPr="005E1103">
        <w:rPr>
          <w:rFonts w:cstheme="minorHAnsi"/>
          <w:iCs/>
          <w:color w:val="000000"/>
          <w:sz w:val="28"/>
          <w:szCs w:val="28"/>
        </w:rPr>
        <w:t>Revista de Formación e Innovación Educativa Universitaria. 2010, Vol. 3, Nº 2, págs. 88-96.</w:t>
      </w:r>
    </w:p>
    <w:p w:rsidR="00664415" w:rsidRPr="005E1103" w:rsidRDefault="00664415" w:rsidP="00664415">
      <w:pPr>
        <w:spacing w:after="0" w:line="240" w:lineRule="auto"/>
        <w:jc w:val="both"/>
        <w:rPr>
          <w:rFonts w:cstheme="minorHAnsi"/>
          <w:color w:val="000000"/>
          <w:sz w:val="28"/>
          <w:szCs w:val="28"/>
        </w:rPr>
      </w:pPr>
      <w:r w:rsidRPr="005E1103">
        <w:rPr>
          <w:rFonts w:cstheme="minorHAnsi"/>
          <w:iCs/>
          <w:color w:val="000000"/>
          <w:sz w:val="28"/>
          <w:szCs w:val="28"/>
        </w:rPr>
        <w:t xml:space="preserve">- </w:t>
      </w:r>
      <w:r w:rsidRPr="005E1103">
        <w:rPr>
          <w:rFonts w:cstheme="minorHAnsi"/>
          <w:color w:val="000000"/>
          <w:sz w:val="28"/>
          <w:szCs w:val="28"/>
        </w:rPr>
        <w:t xml:space="preserve">Guatemala, Organización Panamericana de la Salud (OPS), Organización Mundial de la Salud (OMS) y Asociación Mundial de Sexología. (2000). </w:t>
      </w:r>
      <w:r w:rsidRPr="005E1103">
        <w:rPr>
          <w:rFonts w:cstheme="minorHAnsi"/>
          <w:i/>
          <w:iCs/>
          <w:color w:val="000000"/>
          <w:sz w:val="28"/>
          <w:szCs w:val="28"/>
        </w:rPr>
        <w:t>Promoción de la salud sexual: Recomendación para la acción</w:t>
      </w:r>
      <w:r w:rsidRPr="005E1103">
        <w:rPr>
          <w:rFonts w:cstheme="minorHAnsi"/>
          <w:color w:val="000000"/>
          <w:sz w:val="28"/>
          <w:szCs w:val="28"/>
        </w:rPr>
        <w:t xml:space="preserve">. Recuperada de </w:t>
      </w:r>
      <w:hyperlink r:id="rId135" w:history="1">
        <w:r w:rsidRPr="005E1103">
          <w:rPr>
            <w:rStyle w:val="Hipervnculo"/>
            <w:rFonts w:cstheme="minorHAnsi"/>
            <w:sz w:val="28"/>
            <w:szCs w:val="28"/>
          </w:rPr>
          <w:t>http://www2.hu-berlin</w:t>
        </w:r>
      </w:hyperlink>
      <w:r w:rsidRPr="005E1103">
        <w:rPr>
          <w:rFonts w:cstheme="minorHAnsi"/>
          <w:color w:val="000000"/>
          <w:sz w:val="28"/>
          <w:szCs w:val="28"/>
        </w:rPr>
        <w:t>.de/sexology/ GESUND/ ARCHIV/ SPANISCH/ SALUD.HTM.</w:t>
      </w:r>
    </w:p>
    <w:p w:rsidR="00664415" w:rsidRPr="005E1103" w:rsidRDefault="00664415" w:rsidP="00664415">
      <w:pPr>
        <w:spacing w:after="0" w:line="240" w:lineRule="auto"/>
        <w:jc w:val="both"/>
        <w:rPr>
          <w:rFonts w:cstheme="minorHAnsi"/>
          <w:color w:val="000000"/>
          <w:sz w:val="28"/>
          <w:szCs w:val="28"/>
        </w:rPr>
      </w:pPr>
      <w:r w:rsidRPr="005E1103">
        <w:rPr>
          <w:rFonts w:cstheme="minorHAnsi"/>
          <w:color w:val="000000"/>
          <w:sz w:val="28"/>
          <w:szCs w:val="28"/>
        </w:rPr>
        <w:t xml:space="preserve">- Hong Kong, Asociación Mundial para la Salud Sexual (WAS). (1999). </w:t>
      </w:r>
      <w:r w:rsidRPr="005E1103">
        <w:rPr>
          <w:rFonts w:cstheme="minorHAnsi"/>
          <w:i/>
          <w:iCs/>
          <w:color w:val="000000"/>
          <w:sz w:val="28"/>
          <w:szCs w:val="28"/>
        </w:rPr>
        <w:t>Declaración de los derechos sexuales</w:t>
      </w:r>
      <w:r w:rsidRPr="005E1103">
        <w:rPr>
          <w:rFonts w:cstheme="minorHAnsi"/>
          <w:color w:val="000000"/>
          <w:sz w:val="28"/>
          <w:szCs w:val="28"/>
        </w:rPr>
        <w:t>, Versión revisada y aprobada por la Asamblea General de la Asociación Mundial de Sexología. Disponible en: http://www.ctv.es/ USERS/sexpol/derechos_sexuales.htm.</w:t>
      </w:r>
    </w:p>
    <w:p w:rsidR="00664415" w:rsidRPr="005E1103" w:rsidRDefault="00664415" w:rsidP="00664415">
      <w:pPr>
        <w:autoSpaceDE w:val="0"/>
        <w:autoSpaceDN w:val="0"/>
        <w:adjustRightInd w:val="0"/>
        <w:spacing w:after="0" w:line="240" w:lineRule="auto"/>
        <w:jc w:val="both"/>
        <w:rPr>
          <w:rFonts w:cstheme="minorHAnsi"/>
          <w:bCs/>
          <w:sz w:val="28"/>
          <w:szCs w:val="28"/>
        </w:rPr>
      </w:pPr>
      <w:r w:rsidRPr="005E1103">
        <w:rPr>
          <w:rFonts w:cstheme="minorHAnsi"/>
          <w:color w:val="000000"/>
          <w:sz w:val="28"/>
          <w:szCs w:val="28"/>
        </w:rPr>
        <w:t xml:space="preserve">- Lameiras, María, Carrera, María Victoria y Rodríguez, Yolanda. </w:t>
      </w:r>
      <w:r w:rsidRPr="005E1103">
        <w:rPr>
          <w:rFonts w:cstheme="minorHAnsi"/>
          <w:i/>
          <w:color w:val="000000"/>
          <w:sz w:val="28"/>
          <w:szCs w:val="28"/>
        </w:rPr>
        <w:t xml:space="preserve">Nuevos retos para la educación sexual: hacia un modelo integral. </w:t>
      </w:r>
      <w:r w:rsidRPr="005E1103">
        <w:rPr>
          <w:rFonts w:cstheme="minorHAnsi"/>
          <w:iCs/>
          <w:color w:val="000000"/>
          <w:sz w:val="28"/>
          <w:szCs w:val="28"/>
        </w:rPr>
        <w:t>Sexología Integral</w:t>
      </w:r>
      <w:r w:rsidRPr="005E1103">
        <w:rPr>
          <w:rFonts w:cstheme="minorHAnsi"/>
          <w:color w:val="000000"/>
          <w:sz w:val="28"/>
          <w:szCs w:val="28"/>
        </w:rPr>
        <w:t xml:space="preserve">, 2008, nº </w:t>
      </w:r>
      <w:r w:rsidRPr="005E1103">
        <w:rPr>
          <w:rFonts w:cstheme="minorHAnsi"/>
          <w:i/>
          <w:iCs/>
          <w:color w:val="000000"/>
          <w:sz w:val="28"/>
          <w:szCs w:val="28"/>
        </w:rPr>
        <w:t>5</w:t>
      </w:r>
      <w:r w:rsidRPr="005E1103">
        <w:rPr>
          <w:rFonts w:cstheme="minorHAnsi"/>
          <w:color w:val="000000"/>
          <w:sz w:val="28"/>
          <w:szCs w:val="28"/>
        </w:rPr>
        <w:t xml:space="preserve">(1), págs. 35-38. </w:t>
      </w:r>
    </w:p>
    <w:p w:rsidR="00664415" w:rsidRPr="005E1103" w:rsidRDefault="00664415" w:rsidP="00664415">
      <w:pPr>
        <w:spacing w:after="0" w:line="240" w:lineRule="auto"/>
        <w:jc w:val="both"/>
        <w:rPr>
          <w:rFonts w:cstheme="minorHAnsi"/>
          <w:sz w:val="28"/>
          <w:szCs w:val="28"/>
        </w:rPr>
      </w:pPr>
      <w:r w:rsidRPr="005E1103">
        <w:rPr>
          <w:rFonts w:cstheme="minorHAnsi"/>
          <w:color w:val="000000"/>
          <w:sz w:val="28"/>
          <w:szCs w:val="28"/>
        </w:rPr>
        <w:t xml:space="preserve">- López, Félix. (2005), </w:t>
      </w:r>
      <w:r w:rsidRPr="005E1103">
        <w:rPr>
          <w:rFonts w:cstheme="minorHAnsi"/>
          <w:i/>
          <w:iCs/>
          <w:color w:val="000000"/>
          <w:sz w:val="28"/>
          <w:szCs w:val="28"/>
        </w:rPr>
        <w:t>La educación sexual</w:t>
      </w:r>
      <w:r w:rsidRPr="005E1103">
        <w:rPr>
          <w:rFonts w:cstheme="minorHAnsi"/>
          <w:color w:val="000000"/>
          <w:sz w:val="28"/>
          <w:szCs w:val="28"/>
        </w:rPr>
        <w:t>, Madrid, Biblioteca Nueva.</w:t>
      </w:r>
    </w:p>
    <w:p w:rsidR="00664415" w:rsidRPr="005E1103" w:rsidRDefault="00664415" w:rsidP="00664415">
      <w:pPr>
        <w:autoSpaceDE w:val="0"/>
        <w:autoSpaceDN w:val="0"/>
        <w:adjustRightInd w:val="0"/>
        <w:spacing w:after="0" w:line="240" w:lineRule="auto"/>
        <w:jc w:val="both"/>
        <w:rPr>
          <w:rFonts w:cstheme="minorHAnsi"/>
          <w:bCs/>
          <w:sz w:val="28"/>
          <w:szCs w:val="28"/>
        </w:rPr>
      </w:pPr>
      <w:r w:rsidRPr="005E1103">
        <w:rPr>
          <w:rFonts w:cstheme="minorHAnsi"/>
          <w:sz w:val="28"/>
          <w:szCs w:val="28"/>
        </w:rPr>
        <w:t xml:space="preserve">-Martínez, Manuel.  </w:t>
      </w:r>
      <w:r w:rsidRPr="005E1103">
        <w:rPr>
          <w:rFonts w:cstheme="minorHAnsi"/>
          <w:bCs/>
          <w:i/>
          <w:sz w:val="28"/>
          <w:szCs w:val="28"/>
        </w:rPr>
        <w:t>La orientación y la tutoría en la Universidad en el marco del Espacio Europeo de Educación Superior (EEES).</w:t>
      </w:r>
      <w:r w:rsidRPr="005E1103">
        <w:rPr>
          <w:rFonts w:cstheme="minorHAnsi"/>
          <w:bCs/>
          <w:sz w:val="28"/>
          <w:szCs w:val="28"/>
        </w:rPr>
        <w:t xml:space="preserve"> Revista Fuentes, 2009, 9, págs.78-97.</w:t>
      </w:r>
    </w:p>
    <w:p w:rsidR="00664415" w:rsidRPr="005E1103" w:rsidRDefault="00664415" w:rsidP="00664415">
      <w:pPr>
        <w:autoSpaceDE w:val="0"/>
        <w:autoSpaceDN w:val="0"/>
        <w:adjustRightInd w:val="0"/>
        <w:spacing w:after="0" w:line="240" w:lineRule="auto"/>
        <w:jc w:val="both"/>
        <w:rPr>
          <w:rFonts w:cstheme="minorHAnsi"/>
          <w:sz w:val="28"/>
          <w:szCs w:val="28"/>
        </w:rPr>
      </w:pPr>
      <w:r w:rsidRPr="005E1103">
        <w:rPr>
          <w:rFonts w:cstheme="minorHAnsi"/>
          <w:color w:val="000000"/>
          <w:sz w:val="28"/>
          <w:szCs w:val="28"/>
        </w:rPr>
        <w:t xml:space="preserve">-Menéndez, Oscar, de Paco, Pedro y Parrón, Josep. (2009). Aplicación de metodologías de enseñanza cooperativa en la titulación de Ingeniería Técnica deTelecomunicación. </w:t>
      </w:r>
      <w:r w:rsidRPr="005E1103">
        <w:rPr>
          <w:rFonts w:cstheme="minorHAnsi"/>
          <w:i/>
          <w:iCs/>
          <w:color w:val="000000"/>
          <w:sz w:val="28"/>
          <w:szCs w:val="28"/>
        </w:rPr>
        <w:t>Revista de Formación e Innovación Educativa Universitaria</w:t>
      </w:r>
      <w:r w:rsidRPr="005E1103">
        <w:rPr>
          <w:rFonts w:cstheme="minorHAnsi"/>
          <w:color w:val="000000"/>
          <w:sz w:val="28"/>
          <w:szCs w:val="28"/>
        </w:rPr>
        <w:t xml:space="preserve">, </w:t>
      </w:r>
      <w:r w:rsidRPr="005E1103">
        <w:rPr>
          <w:rFonts w:cstheme="minorHAnsi"/>
          <w:i/>
          <w:iCs/>
          <w:color w:val="000000"/>
          <w:sz w:val="28"/>
          <w:szCs w:val="28"/>
        </w:rPr>
        <w:t>2</w:t>
      </w:r>
      <w:r w:rsidRPr="005E1103">
        <w:rPr>
          <w:rFonts w:cstheme="minorHAnsi"/>
          <w:color w:val="000000"/>
          <w:sz w:val="28"/>
          <w:szCs w:val="28"/>
        </w:rPr>
        <w:t xml:space="preserve"> (1). págs. 31-37. Disponible en: </w:t>
      </w:r>
      <w:hyperlink r:id="rId136" w:history="1">
        <w:r w:rsidRPr="005E1103">
          <w:rPr>
            <w:rStyle w:val="Hipervnculo"/>
            <w:rFonts w:cstheme="minorHAnsi"/>
            <w:sz w:val="28"/>
            <w:szCs w:val="28"/>
          </w:rPr>
          <w:t>http://webs.uvigo.es/refiedu/</w:t>
        </w:r>
      </w:hyperlink>
      <w:r w:rsidRPr="005E1103">
        <w:rPr>
          <w:rFonts w:cstheme="minorHAnsi"/>
          <w:sz w:val="28"/>
          <w:szCs w:val="28"/>
        </w:rPr>
        <w:t xml:space="preserve"> Consultado el 15-9-2016</w:t>
      </w:r>
    </w:p>
    <w:p w:rsidR="00664415" w:rsidRPr="005E1103" w:rsidRDefault="00664415" w:rsidP="00664415">
      <w:pPr>
        <w:spacing w:after="0" w:line="240" w:lineRule="auto"/>
        <w:jc w:val="both"/>
        <w:rPr>
          <w:rFonts w:cstheme="minorHAnsi"/>
          <w:sz w:val="28"/>
          <w:szCs w:val="28"/>
        </w:rPr>
      </w:pPr>
      <w:r w:rsidRPr="005E1103">
        <w:rPr>
          <w:rFonts w:cstheme="minorHAnsi"/>
          <w:sz w:val="28"/>
          <w:szCs w:val="28"/>
        </w:rPr>
        <w:lastRenderedPageBreak/>
        <w:t xml:space="preserve">- Oliver, Manuel. (1998) </w:t>
      </w:r>
      <w:r w:rsidRPr="005E1103">
        <w:rPr>
          <w:rFonts w:cstheme="minorHAnsi"/>
          <w:i/>
          <w:sz w:val="28"/>
          <w:szCs w:val="28"/>
        </w:rPr>
        <w:t>¿Una sociología de la discapacidad o una sociología discapacitada?.</w:t>
      </w:r>
      <w:r w:rsidRPr="005E1103">
        <w:rPr>
          <w:rFonts w:cstheme="minorHAnsi"/>
          <w:sz w:val="28"/>
          <w:szCs w:val="28"/>
        </w:rPr>
        <w:t xml:space="preserve"> En Barton Len, (Comp.). </w:t>
      </w:r>
      <w:r w:rsidRPr="005E1103">
        <w:rPr>
          <w:rFonts w:cstheme="minorHAnsi"/>
          <w:i/>
          <w:iCs/>
          <w:sz w:val="28"/>
          <w:szCs w:val="28"/>
        </w:rPr>
        <w:t xml:space="preserve">Discapacidad y sociedad, </w:t>
      </w:r>
      <w:r w:rsidRPr="005E1103">
        <w:rPr>
          <w:rFonts w:cstheme="minorHAnsi"/>
          <w:iCs/>
          <w:sz w:val="28"/>
          <w:szCs w:val="28"/>
        </w:rPr>
        <w:t xml:space="preserve">Madrid, Morata. págs. </w:t>
      </w:r>
      <w:r w:rsidRPr="005E1103">
        <w:rPr>
          <w:rFonts w:cstheme="minorHAnsi"/>
          <w:sz w:val="28"/>
          <w:szCs w:val="28"/>
        </w:rPr>
        <w:t xml:space="preserve">34-58. </w:t>
      </w:r>
    </w:p>
    <w:p w:rsidR="00664415" w:rsidRPr="005E1103" w:rsidRDefault="00664415" w:rsidP="00664415">
      <w:pPr>
        <w:spacing w:after="0" w:line="240" w:lineRule="auto"/>
        <w:jc w:val="both"/>
        <w:rPr>
          <w:rFonts w:cstheme="minorHAnsi"/>
          <w:color w:val="000000"/>
          <w:sz w:val="28"/>
          <w:szCs w:val="28"/>
        </w:rPr>
      </w:pPr>
      <w:r w:rsidRPr="005E1103">
        <w:rPr>
          <w:rFonts w:cstheme="minorHAnsi"/>
          <w:sz w:val="28"/>
          <w:szCs w:val="28"/>
        </w:rPr>
        <w:t xml:space="preserve">-Palacios, Adelaida. (2008). </w:t>
      </w:r>
      <w:r w:rsidRPr="005E1103">
        <w:rPr>
          <w:rFonts w:cstheme="minorHAnsi"/>
          <w:i/>
          <w:iCs/>
          <w:sz w:val="28"/>
          <w:szCs w:val="28"/>
        </w:rPr>
        <w:t>El modelo social de discapacidad: orígenes, caracterización y plasmación en la Convención Internacional sobre los Derechos de las Personas con Discapacidad</w:t>
      </w:r>
      <w:r w:rsidRPr="005E1103">
        <w:rPr>
          <w:rFonts w:cstheme="minorHAnsi"/>
          <w:sz w:val="28"/>
          <w:szCs w:val="28"/>
        </w:rPr>
        <w:t xml:space="preserve">, Madrid: Ediciones Cinca.  </w:t>
      </w:r>
    </w:p>
    <w:p w:rsidR="00664415" w:rsidRPr="005E1103" w:rsidRDefault="00664415" w:rsidP="00664415">
      <w:pPr>
        <w:autoSpaceDE w:val="0"/>
        <w:autoSpaceDN w:val="0"/>
        <w:adjustRightInd w:val="0"/>
        <w:spacing w:after="0" w:line="240" w:lineRule="auto"/>
        <w:jc w:val="both"/>
        <w:rPr>
          <w:rFonts w:cstheme="minorHAnsi"/>
          <w:color w:val="000000"/>
          <w:sz w:val="28"/>
          <w:szCs w:val="28"/>
        </w:rPr>
      </w:pPr>
      <w:r w:rsidRPr="005E1103">
        <w:rPr>
          <w:rFonts w:cstheme="minorHAnsi"/>
          <w:color w:val="000000"/>
          <w:sz w:val="28"/>
          <w:szCs w:val="28"/>
        </w:rPr>
        <w:t xml:space="preserve">-Pascual, Miguel Angel. (2004). </w:t>
      </w:r>
      <w:r w:rsidRPr="005E1103">
        <w:rPr>
          <w:rFonts w:cstheme="minorHAnsi"/>
          <w:i/>
          <w:color w:val="000000"/>
          <w:sz w:val="28"/>
          <w:szCs w:val="28"/>
        </w:rPr>
        <w:t>Reserve tiempo para un aprendizaje cooperativo entre estudiantes.</w:t>
      </w:r>
      <w:r w:rsidRPr="005E1103">
        <w:rPr>
          <w:rFonts w:cstheme="minorHAnsi"/>
          <w:color w:val="000000"/>
          <w:sz w:val="28"/>
          <w:szCs w:val="28"/>
        </w:rPr>
        <w:t xml:space="preserve"> En L. M. Villar (Coord.), </w:t>
      </w:r>
      <w:r w:rsidRPr="005E1103">
        <w:rPr>
          <w:rFonts w:cstheme="minorHAnsi"/>
          <w:i/>
          <w:iCs/>
          <w:color w:val="000000"/>
          <w:sz w:val="28"/>
          <w:szCs w:val="28"/>
        </w:rPr>
        <w:t xml:space="preserve">Programa para la mejora de la docencia universitaria. </w:t>
      </w:r>
      <w:r w:rsidRPr="005E1103">
        <w:rPr>
          <w:rFonts w:cstheme="minorHAnsi"/>
          <w:color w:val="000000"/>
          <w:sz w:val="28"/>
          <w:szCs w:val="28"/>
        </w:rPr>
        <w:t>págs. 231-244. Madrid: Pearson.</w:t>
      </w:r>
    </w:p>
    <w:p w:rsidR="00664415" w:rsidRPr="005E1103" w:rsidRDefault="00664415" w:rsidP="00664415">
      <w:pPr>
        <w:autoSpaceDE w:val="0"/>
        <w:autoSpaceDN w:val="0"/>
        <w:adjustRightInd w:val="0"/>
        <w:spacing w:after="0" w:line="240" w:lineRule="auto"/>
        <w:jc w:val="both"/>
        <w:rPr>
          <w:rFonts w:cstheme="minorHAnsi"/>
          <w:sz w:val="28"/>
          <w:szCs w:val="28"/>
        </w:rPr>
      </w:pPr>
      <w:r w:rsidRPr="005E1103">
        <w:rPr>
          <w:rFonts w:cstheme="minorHAnsi"/>
          <w:color w:val="000000"/>
          <w:sz w:val="28"/>
          <w:szCs w:val="28"/>
        </w:rPr>
        <w:t xml:space="preserve">-Rodríguez, Rosa María. </w:t>
      </w:r>
      <w:r w:rsidRPr="005E1103">
        <w:rPr>
          <w:rFonts w:cstheme="minorHAnsi"/>
          <w:i/>
          <w:color w:val="000000"/>
          <w:sz w:val="28"/>
          <w:szCs w:val="28"/>
        </w:rPr>
        <w:t>El reto de la convergencia europea: necesidades y cambios</w:t>
      </w:r>
      <w:r w:rsidRPr="005E1103">
        <w:rPr>
          <w:rFonts w:cstheme="minorHAnsi"/>
          <w:color w:val="000000"/>
          <w:sz w:val="28"/>
          <w:szCs w:val="28"/>
        </w:rPr>
        <w:t xml:space="preserve">. </w:t>
      </w:r>
      <w:r w:rsidRPr="005E1103">
        <w:rPr>
          <w:rFonts w:cstheme="minorHAnsi"/>
          <w:iCs/>
          <w:color w:val="000000"/>
          <w:sz w:val="28"/>
          <w:szCs w:val="28"/>
        </w:rPr>
        <w:t>Revista de Formación e Innovación Educativa Universitaria</w:t>
      </w:r>
      <w:r w:rsidRPr="005E1103">
        <w:rPr>
          <w:rFonts w:cstheme="minorHAnsi"/>
          <w:color w:val="000000"/>
          <w:sz w:val="28"/>
          <w:szCs w:val="28"/>
        </w:rPr>
        <w:t>, 2009. 2 (1), págs. 20-30. Disponible en:</w:t>
      </w:r>
      <w:hyperlink r:id="rId137" w:history="1">
        <w:r w:rsidRPr="005E1103">
          <w:rPr>
            <w:rStyle w:val="Hipervnculo"/>
            <w:rFonts w:cstheme="minorHAnsi"/>
            <w:sz w:val="28"/>
            <w:szCs w:val="28"/>
          </w:rPr>
          <w:t>http://webs.uvigo.es/refiedu/</w:t>
        </w:r>
      </w:hyperlink>
      <w:r w:rsidRPr="005E1103">
        <w:rPr>
          <w:rFonts w:cstheme="minorHAnsi"/>
          <w:sz w:val="28"/>
          <w:szCs w:val="28"/>
        </w:rPr>
        <w:t xml:space="preserve"> Consultado el 15-9-2016</w:t>
      </w:r>
    </w:p>
    <w:p w:rsidR="00664415" w:rsidRPr="005E1103" w:rsidRDefault="00664415" w:rsidP="00664415">
      <w:pPr>
        <w:pStyle w:val="Pa35"/>
        <w:spacing w:line="240" w:lineRule="auto"/>
        <w:ind w:left="560" w:hanging="560"/>
        <w:jc w:val="both"/>
        <w:rPr>
          <w:rFonts w:asciiTheme="minorHAnsi" w:hAnsiTheme="minorHAnsi" w:cstheme="minorHAnsi"/>
          <w:color w:val="000000"/>
          <w:sz w:val="28"/>
          <w:szCs w:val="28"/>
          <w:lang w:val="es-ES"/>
        </w:rPr>
      </w:pPr>
      <w:r w:rsidRPr="005E1103">
        <w:rPr>
          <w:rFonts w:asciiTheme="minorHAnsi" w:hAnsiTheme="minorHAnsi" w:cstheme="minorHAnsi"/>
          <w:color w:val="000000"/>
          <w:sz w:val="28"/>
          <w:szCs w:val="28"/>
          <w:lang w:val="es-ES"/>
        </w:rPr>
        <w:t xml:space="preserve">- Santiago. Organización de las Naciones Unidas para la Educación la Ciencia y la Cultura (2010), </w:t>
      </w:r>
    </w:p>
    <w:p w:rsidR="00664415" w:rsidRPr="005E1103" w:rsidRDefault="00664415" w:rsidP="00664415">
      <w:pPr>
        <w:pStyle w:val="Pa35"/>
        <w:spacing w:line="240" w:lineRule="auto"/>
        <w:ind w:left="560" w:hanging="560"/>
        <w:jc w:val="both"/>
        <w:rPr>
          <w:rFonts w:asciiTheme="minorHAnsi" w:hAnsiTheme="minorHAnsi" w:cstheme="minorHAnsi"/>
          <w:color w:val="000000"/>
          <w:sz w:val="28"/>
          <w:szCs w:val="28"/>
          <w:lang w:val="es-ES"/>
        </w:rPr>
      </w:pPr>
      <w:r w:rsidRPr="005E1103">
        <w:rPr>
          <w:rFonts w:asciiTheme="minorHAnsi" w:hAnsiTheme="minorHAnsi" w:cstheme="minorHAnsi"/>
          <w:i/>
          <w:iCs/>
          <w:color w:val="000000"/>
          <w:sz w:val="28"/>
          <w:szCs w:val="28"/>
          <w:lang w:val="es-ES"/>
        </w:rPr>
        <w:t>Orientaciones técnicas internacionales sobre educación sexual. Un enfoque basado en la</w:t>
      </w:r>
    </w:p>
    <w:p w:rsidR="00664415" w:rsidRPr="005E1103" w:rsidRDefault="00664415" w:rsidP="00664415">
      <w:pPr>
        <w:pStyle w:val="Pa35"/>
        <w:spacing w:line="240" w:lineRule="auto"/>
        <w:ind w:left="560" w:hanging="560"/>
        <w:jc w:val="both"/>
        <w:rPr>
          <w:rFonts w:asciiTheme="minorHAnsi" w:hAnsiTheme="minorHAnsi" w:cstheme="minorHAnsi"/>
          <w:color w:val="000000"/>
          <w:sz w:val="28"/>
          <w:szCs w:val="28"/>
          <w:lang w:val="es-ES"/>
        </w:rPr>
      </w:pPr>
      <w:r w:rsidRPr="005E1103">
        <w:rPr>
          <w:rFonts w:asciiTheme="minorHAnsi" w:hAnsiTheme="minorHAnsi" w:cstheme="minorHAnsi"/>
          <w:i/>
          <w:iCs/>
          <w:color w:val="000000"/>
          <w:sz w:val="28"/>
          <w:szCs w:val="28"/>
          <w:lang w:val="es-ES"/>
        </w:rPr>
        <w:t>evidencia orientado a escuelas, docentes y educadores de la salud</w:t>
      </w:r>
      <w:r w:rsidRPr="005E1103">
        <w:rPr>
          <w:rFonts w:asciiTheme="minorHAnsi" w:hAnsiTheme="minorHAnsi" w:cstheme="minorHAnsi"/>
          <w:color w:val="000000"/>
          <w:sz w:val="28"/>
          <w:szCs w:val="28"/>
          <w:lang w:val="es-ES"/>
        </w:rPr>
        <w:t xml:space="preserve">, UNESCO, </w:t>
      </w:r>
    </w:p>
    <w:p w:rsidR="00664415" w:rsidRPr="005E1103" w:rsidRDefault="00664415" w:rsidP="00664415">
      <w:pPr>
        <w:pStyle w:val="Pa35"/>
        <w:spacing w:line="240" w:lineRule="auto"/>
        <w:ind w:left="560" w:hanging="560"/>
        <w:jc w:val="both"/>
        <w:rPr>
          <w:rFonts w:asciiTheme="minorHAnsi" w:hAnsiTheme="minorHAnsi" w:cstheme="minorHAnsi"/>
          <w:color w:val="000000"/>
          <w:sz w:val="28"/>
          <w:szCs w:val="28"/>
          <w:lang w:val="es-ES"/>
        </w:rPr>
      </w:pPr>
      <w:r w:rsidRPr="005E1103">
        <w:rPr>
          <w:rFonts w:asciiTheme="minorHAnsi" w:hAnsiTheme="minorHAnsi" w:cstheme="minorHAnsi"/>
          <w:color w:val="000000"/>
          <w:sz w:val="28"/>
          <w:szCs w:val="28"/>
          <w:lang w:val="es-ES"/>
        </w:rPr>
        <w:t xml:space="preserve">Recuperada de http://unesdoc.unesco.org/images/0018/001832/183281s.pdf </w:t>
      </w:r>
    </w:p>
    <w:p w:rsidR="00664415" w:rsidRPr="005E1103" w:rsidRDefault="00664415" w:rsidP="00664415">
      <w:pPr>
        <w:spacing w:after="0" w:line="240" w:lineRule="auto"/>
        <w:jc w:val="both"/>
        <w:rPr>
          <w:rFonts w:cstheme="minorHAnsi"/>
          <w:color w:val="000000"/>
          <w:sz w:val="28"/>
          <w:szCs w:val="28"/>
        </w:rPr>
      </w:pPr>
      <w:r w:rsidRPr="005E1103">
        <w:rPr>
          <w:rFonts w:cstheme="minorHAnsi"/>
          <w:sz w:val="28"/>
          <w:szCs w:val="28"/>
        </w:rPr>
        <w:t xml:space="preserve">- Victoria, Juan. Antonio. </w:t>
      </w:r>
      <w:r w:rsidRPr="005E1103">
        <w:rPr>
          <w:rFonts w:cstheme="minorHAnsi"/>
          <w:i/>
          <w:sz w:val="28"/>
          <w:szCs w:val="28"/>
        </w:rPr>
        <w:t>El modelo social de la discapacidad: hacia una nueva perspectiva basada en los derechos humanos</w:t>
      </w:r>
      <w:r w:rsidRPr="005E1103">
        <w:rPr>
          <w:rFonts w:cstheme="minorHAnsi"/>
          <w:sz w:val="28"/>
          <w:szCs w:val="28"/>
        </w:rPr>
        <w:t xml:space="preserve">, </w:t>
      </w:r>
      <w:r w:rsidRPr="005E1103">
        <w:rPr>
          <w:rFonts w:cstheme="minorHAnsi"/>
          <w:iCs/>
          <w:sz w:val="28"/>
          <w:szCs w:val="28"/>
        </w:rPr>
        <w:t>Revista In Jure Anáhuac Mayab</w:t>
      </w:r>
      <w:r w:rsidRPr="005E1103">
        <w:rPr>
          <w:rFonts w:cstheme="minorHAnsi"/>
          <w:sz w:val="28"/>
          <w:szCs w:val="28"/>
        </w:rPr>
        <w:t>[online], 2013, año 1, núm. 2 págs.143-158.</w:t>
      </w:r>
    </w:p>
    <w:p w:rsidR="00664415" w:rsidRPr="005E1103" w:rsidRDefault="00664415">
      <w:pPr>
        <w:rPr>
          <w:rFonts w:eastAsia="Times New Roman" w:cstheme="minorHAnsi"/>
          <w:sz w:val="28"/>
          <w:szCs w:val="28"/>
          <w:lang w:eastAsia="es-CO"/>
        </w:rPr>
      </w:pPr>
      <w:r w:rsidRPr="005E1103">
        <w:rPr>
          <w:rFonts w:eastAsia="Times New Roman" w:cstheme="minorHAnsi"/>
          <w:sz w:val="28"/>
          <w:szCs w:val="28"/>
          <w:lang w:eastAsia="es-CO"/>
        </w:rPr>
        <w:br w:type="page"/>
      </w:r>
    </w:p>
    <w:p w:rsidR="00664415" w:rsidRPr="005E1103" w:rsidRDefault="00664415" w:rsidP="00664415">
      <w:pPr>
        <w:spacing w:line="360" w:lineRule="auto"/>
        <w:jc w:val="center"/>
        <w:rPr>
          <w:rFonts w:cstheme="minorHAnsi"/>
          <w:b/>
          <w:sz w:val="28"/>
          <w:szCs w:val="28"/>
        </w:rPr>
      </w:pPr>
      <w:r w:rsidRPr="005E1103">
        <w:rPr>
          <w:rFonts w:cstheme="minorHAnsi"/>
          <w:b/>
          <w:sz w:val="28"/>
          <w:szCs w:val="28"/>
        </w:rPr>
        <w:lastRenderedPageBreak/>
        <w:t>COMUNICACIÓN 3</w:t>
      </w:r>
    </w:p>
    <w:p w:rsidR="00664415" w:rsidRPr="005E1103" w:rsidRDefault="00664415" w:rsidP="00664415">
      <w:pPr>
        <w:pStyle w:val="NormalWeb"/>
        <w:pBdr>
          <w:top w:val="single" w:sz="4" w:space="1" w:color="auto"/>
          <w:left w:val="single" w:sz="4" w:space="4" w:color="auto"/>
          <w:bottom w:val="single" w:sz="4" w:space="1" w:color="auto"/>
          <w:right w:val="single" w:sz="4" w:space="4" w:color="auto"/>
        </w:pBdr>
        <w:spacing w:before="0" w:beforeAutospacing="0" w:after="120" w:afterAutospacing="0" w:line="360" w:lineRule="auto"/>
        <w:jc w:val="center"/>
        <w:rPr>
          <w:rFonts w:asciiTheme="minorHAnsi" w:hAnsiTheme="minorHAnsi" w:cstheme="minorHAnsi"/>
          <w:sz w:val="28"/>
          <w:szCs w:val="28"/>
          <w:lang w:val="es-ES_tradnl"/>
        </w:rPr>
      </w:pPr>
      <w:r w:rsidRPr="005E1103">
        <w:rPr>
          <w:rFonts w:asciiTheme="minorHAnsi" w:hAnsiTheme="minorHAnsi" w:cstheme="minorHAnsi"/>
          <w:b/>
          <w:color w:val="44546A" w:themeColor="text2"/>
          <w:sz w:val="28"/>
          <w:szCs w:val="28"/>
        </w:rPr>
        <w:t xml:space="preserve"> </w:t>
      </w:r>
      <w:r w:rsidRPr="005E1103">
        <w:rPr>
          <w:rFonts w:asciiTheme="minorHAnsi" w:hAnsiTheme="minorHAnsi" w:cstheme="minorHAnsi"/>
          <w:b/>
          <w:sz w:val="28"/>
          <w:szCs w:val="28"/>
        </w:rPr>
        <w:t>Hacia una revisión del marco legislativo español para la promoción de una universidad más inclusiva</w:t>
      </w:r>
      <w:r w:rsidRPr="005E1103">
        <w:rPr>
          <w:rFonts w:asciiTheme="minorHAnsi" w:hAnsiTheme="minorHAnsi" w:cstheme="minorHAnsi"/>
          <w:sz w:val="28"/>
          <w:szCs w:val="28"/>
          <w:lang w:val="es-ES_tradnl"/>
        </w:rPr>
        <w:t xml:space="preserve"> </w:t>
      </w:r>
    </w:p>
    <w:p w:rsidR="00664415" w:rsidRPr="005E1103" w:rsidRDefault="00664415" w:rsidP="00664415">
      <w:pPr>
        <w:spacing w:line="360" w:lineRule="auto"/>
        <w:rPr>
          <w:rFonts w:cstheme="minorHAnsi"/>
          <w:b/>
          <w:sz w:val="28"/>
          <w:szCs w:val="28"/>
        </w:rPr>
      </w:pPr>
    </w:p>
    <w:p w:rsidR="00664415" w:rsidRPr="005E1103" w:rsidRDefault="00664415" w:rsidP="00664415">
      <w:pPr>
        <w:spacing w:line="360" w:lineRule="auto"/>
        <w:rPr>
          <w:rFonts w:cstheme="minorHAnsi"/>
          <w:b/>
          <w:sz w:val="28"/>
          <w:szCs w:val="28"/>
        </w:rPr>
      </w:pPr>
      <w:r w:rsidRPr="005E1103">
        <w:rPr>
          <w:rFonts w:cstheme="minorHAnsi"/>
          <w:b/>
          <w:sz w:val="28"/>
          <w:szCs w:val="28"/>
        </w:rPr>
        <w:t>Sra. Doña Gema Polonio Dios</w:t>
      </w:r>
    </w:p>
    <w:p w:rsidR="00664415" w:rsidRPr="005E1103" w:rsidRDefault="00664415" w:rsidP="00664415">
      <w:pPr>
        <w:spacing w:line="360" w:lineRule="auto"/>
        <w:rPr>
          <w:rFonts w:cstheme="minorHAnsi"/>
          <w:b/>
          <w:sz w:val="28"/>
          <w:szCs w:val="28"/>
        </w:rPr>
      </w:pPr>
      <w:r w:rsidRPr="005E1103">
        <w:rPr>
          <w:rFonts w:cstheme="minorHAnsi"/>
          <w:b/>
          <w:sz w:val="28"/>
          <w:szCs w:val="28"/>
        </w:rPr>
        <w:t>Colaboradora Honoraria Departamento Derecho Civil</w:t>
      </w:r>
    </w:p>
    <w:p w:rsidR="00664415" w:rsidRPr="005E1103" w:rsidRDefault="00664415" w:rsidP="00664415">
      <w:pPr>
        <w:spacing w:line="360" w:lineRule="auto"/>
        <w:rPr>
          <w:rFonts w:cstheme="minorHAnsi"/>
          <w:b/>
          <w:sz w:val="28"/>
          <w:szCs w:val="28"/>
        </w:rPr>
      </w:pPr>
      <w:r w:rsidRPr="005E1103">
        <w:rPr>
          <w:rFonts w:cstheme="minorHAnsi"/>
          <w:b/>
          <w:sz w:val="28"/>
          <w:szCs w:val="28"/>
        </w:rPr>
        <w:t>Co-Colaborador Sr. D. Francisco Alós Civico</w:t>
      </w:r>
    </w:p>
    <w:p w:rsidR="00664415" w:rsidRPr="005E1103" w:rsidRDefault="00664415" w:rsidP="00664415">
      <w:pPr>
        <w:pStyle w:val="Sinespaciado"/>
        <w:jc w:val="both"/>
        <w:rPr>
          <w:rFonts w:asciiTheme="minorHAnsi" w:eastAsiaTheme="minorHAnsi" w:hAnsiTheme="minorHAnsi" w:cstheme="minorHAnsi"/>
          <w:b/>
          <w:color w:val="auto"/>
          <w:sz w:val="28"/>
          <w:szCs w:val="28"/>
          <w:bdr w:val="none" w:sz="0" w:space="0" w:color="auto"/>
          <w:lang w:val="es-ES" w:eastAsia="en-US"/>
        </w:rPr>
      </w:pPr>
      <w:r w:rsidRPr="005E1103">
        <w:rPr>
          <w:rFonts w:asciiTheme="minorHAnsi" w:eastAsiaTheme="minorHAnsi" w:hAnsiTheme="minorHAnsi" w:cstheme="minorHAnsi"/>
          <w:b/>
          <w:color w:val="auto"/>
          <w:sz w:val="28"/>
          <w:szCs w:val="28"/>
          <w:bdr w:val="none" w:sz="0" w:space="0" w:color="auto"/>
          <w:lang w:val="es-ES" w:eastAsia="en-US"/>
        </w:rPr>
        <w:t>Coordinador del Servicio de atención a la Diversidad y Director de la Unidad de Atención Psicológica</w:t>
      </w:r>
    </w:p>
    <w:p w:rsidR="00664415" w:rsidRPr="005E1103" w:rsidRDefault="00664415" w:rsidP="00664415">
      <w:pPr>
        <w:spacing w:line="360" w:lineRule="auto"/>
        <w:rPr>
          <w:rFonts w:cstheme="minorHAnsi"/>
          <w:b/>
          <w:sz w:val="28"/>
          <w:szCs w:val="28"/>
          <w:lang w:val="es-ES_tradnl"/>
        </w:rPr>
      </w:pPr>
      <w:r w:rsidRPr="005E1103">
        <w:rPr>
          <w:rFonts w:cstheme="minorHAnsi"/>
          <w:b/>
          <w:sz w:val="28"/>
          <w:szCs w:val="28"/>
          <w:lang w:val="es-ES_tradnl"/>
        </w:rPr>
        <w:t>Universidad de Cordoba</w:t>
      </w:r>
    </w:p>
    <w:p w:rsidR="00664415" w:rsidRPr="005E1103" w:rsidRDefault="00664415" w:rsidP="00664415">
      <w:pPr>
        <w:rPr>
          <w:rFonts w:cstheme="minorHAnsi"/>
          <w:b/>
          <w:sz w:val="28"/>
          <w:szCs w:val="28"/>
        </w:rPr>
      </w:pPr>
      <w:r w:rsidRPr="005E1103">
        <w:rPr>
          <w:rFonts w:cstheme="minorHAnsi"/>
          <w:b/>
          <w:bCs/>
          <w:sz w:val="28"/>
          <w:szCs w:val="28"/>
        </w:rPr>
        <w:t>Introducción</w:t>
      </w:r>
    </w:p>
    <w:p w:rsidR="00664415" w:rsidRPr="005E1103" w:rsidRDefault="00664415" w:rsidP="00664415">
      <w:pPr>
        <w:autoSpaceDE w:val="0"/>
        <w:autoSpaceDN w:val="0"/>
        <w:adjustRightInd w:val="0"/>
        <w:spacing w:after="0" w:line="360" w:lineRule="auto"/>
        <w:ind w:firstLine="708"/>
        <w:jc w:val="both"/>
        <w:rPr>
          <w:rFonts w:cstheme="minorHAnsi"/>
          <w:sz w:val="28"/>
          <w:szCs w:val="28"/>
        </w:rPr>
      </w:pPr>
      <w:r w:rsidRPr="005E1103">
        <w:rPr>
          <w:rFonts w:cstheme="minorHAnsi"/>
          <w:sz w:val="28"/>
          <w:szCs w:val="28"/>
        </w:rPr>
        <w:t xml:space="preserve">El objetivo de la presente comunicación es hacer un estudio de los aspectos jurídicos más relevantes en el ámbito educativo partiendo de la enseñanza obligatoria como premisa para hacer realidad una universidad más inclusiva. A tal fin, examinaremos los diferentes textos jurídicos que reconocen el Derecho a la Educación, desde la esfera internacional hasta analizar las diferentes leyes que desarrollan este derecho y que actualmente regulan nuestro sistema educativo. Examinada toda la normativa legal, haremos referencia al conjunto de propuestas recogidas en los diferentes planes de actuación que, a su vez, pretenden dar cumplimiento a cuanto se establece en los distintos marcos legislativos. Por último, ofreceremos una serie de medidas, consideradas de vital importancia para el logro propuesto: </w:t>
      </w:r>
      <w:r w:rsidRPr="005E1103">
        <w:rPr>
          <w:rFonts w:cstheme="minorHAnsi"/>
          <w:i/>
          <w:sz w:val="28"/>
          <w:szCs w:val="28"/>
        </w:rPr>
        <w:t>una universidad inclusiva</w:t>
      </w:r>
      <w:r w:rsidRPr="005E1103">
        <w:rPr>
          <w:rFonts w:cstheme="minorHAnsi"/>
          <w:sz w:val="28"/>
          <w:szCs w:val="28"/>
        </w:rPr>
        <w:t xml:space="preserve">. Años atrás, hemos asistido, debido en parte a la crisis económica y la mala gestión y distribución de los recursos, al incumplimiento de muchas de las medidas </w:t>
      </w:r>
      <w:r w:rsidRPr="005E1103">
        <w:rPr>
          <w:rFonts w:cstheme="minorHAnsi"/>
          <w:sz w:val="28"/>
          <w:szCs w:val="28"/>
        </w:rPr>
        <w:lastRenderedPageBreak/>
        <w:t xml:space="preserve">existentes, las cuales responden a las verdaderas realidades y necesidades de las personas con discapacidad, elaboradas no solo por juristas y expertos sino por las propias personas con discapacidad, colectivos, asociaciones, fundaciones, etc. </w:t>
      </w:r>
    </w:p>
    <w:p w:rsidR="00664415" w:rsidRPr="005E1103" w:rsidRDefault="00664415" w:rsidP="00664415">
      <w:pPr>
        <w:spacing w:after="0" w:line="360" w:lineRule="auto"/>
        <w:jc w:val="both"/>
        <w:rPr>
          <w:rFonts w:cstheme="minorHAnsi"/>
          <w:sz w:val="28"/>
          <w:szCs w:val="28"/>
        </w:rPr>
      </w:pPr>
    </w:p>
    <w:p w:rsidR="00664415" w:rsidRPr="005E1103" w:rsidRDefault="00664415" w:rsidP="00664415">
      <w:pPr>
        <w:spacing w:after="0" w:line="360" w:lineRule="auto"/>
        <w:jc w:val="both"/>
        <w:rPr>
          <w:rFonts w:cstheme="minorHAnsi"/>
          <w:b/>
          <w:bCs/>
          <w:sz w:val="28"/>
          <w:szCs w:val="28"/>
        </w:rPr>
      </w:pPr>
      <w:r w:rsidRPr="005E1103">
        <w:rPr>
          <w:rFonts w:cstheme="minorHAnsi"/>
          <w:b/>
          <w:bCs/>
          <w:sz w:val="28"/>
          <w:szCs w:val="28"/>
        </w:rPr>
        <w:t>I.Una educación inclusiva para una Universidad inclusiva: ¿Qué es necesario hacer?</w:t>
      </w:r>
    </w:p>
    <w:p w:rsidR="00664415" w:rsidRPr="005E1103" w:rsidRDefault="00664415" w:rsidP="00664415">
      <w:pPr>
        <w:pStyle w:val="HTMLconformatoprevio"/>
        <w:shd w:val="clear" w:color="auto" w:fill="FFFFFF"/>
        <w:tabs>
          <w:tab w:val="clear" w:pos="916"/>
          <w:tab w:val="left" w:pos="709"/>
        </w:tabs>
        <w:spacing w:line="360" w:lineRule="auto"/>
        <w:jc w:val="both"/>
        <w:rPr>
          <w:rFonts w:asciiTheme="minorHAnsi" w:hAnsiTheme="minorHAnsi" w:cstheme="minorHAnsi"/>
          <w:bCs/>
          <w:sz w:val="28"/>
          <w:szCs w:val="28"/>
        </w:rPr>
      </w:pPr>
      <w:r w:rsidRPr="005E1103">
        <w:rPr>
          <w:rFonts w:asciiTheme="minorHAnsi" w:hAnsiTheme="minorHAnsi" w:cstheme="minorHAnsi"/>
          <w:bCs/>
          <w:sz w:val="28"/>
          <w:szCs w:val="28"/>
        </w:rPr>
        <w:tab/>
        <w:t>Para comenzar, planteemos la cuestión que da título a este epígrafe y que, en multitud de ocasiones, ha sido objeto de debate y no exenta de polémica: ¿Qué es necesario para hacer una universidad más inclusiva? Parece fácil dar respuesta a semejante pregunta señalando como primera premisa la necesidad de una educación inclusiva, valga la redundancia, desde la educación primaria o elemental. Pero si analizamos dicha cuestión con más profundidad y detenimiento, podríamos decir que sería necesario partir desde la educación infantil ya es</w:t>
      </w:r>
      <w:r w:rsidRPr="005E1103">
        <w:rPr>
          <w:rFonts w:asciiTheme="minorHAnsi" w:hAnsiTheme="minorHAnsi" w:cstheme="minorHAnsi"/>
          <w:sz w:val="28"/>
          <w:szCs w:val="28"/>
        </w:rPr>
        <w:t xml:space="preserve"> decisivo y así lo ha demostrado la práctica habitual que la atención temprana y detección de cualquier tipo de anomalías en los primeros años de vida (0-6 años) previene el desarrollo agravado de las mismas o incluso en algunos casos, su corrección y solución. </w:t>
      </w:r>
      <w:r w:rsidRPr="005E1103">
        <w:rPr>
          <w:rFonts w:asciiTheme="minorHAnsi" w:hAnsiTheme="minorHAnsi" w:cstheme="minorHAnsi"/>
          <w:bCs/>
          <w:sz w:val="28"/>
          <w:szCs w:val="28"/>
        </w:rPr>
        <w:t>Sin embargo, afirmar que la existencia de una universidad inclusiva pasa por la necesidad de una educación inclusiva tiene connotaciones mucho más complejas de lo que a simple vista parece. Examinar cada una de ellas sobrepasa el límite de lo permitido en esta breve comunicación pero trataremos, al menos, las más importantes.</w:t>
      </w:r>
    </w:p>
    <w:p w:rsidR="00664415" w:rsidRPr="005E1103" w:rsidRDefault="00664415" w:rsidP="00664415">
      <w:pPr>
        <w:pStyle w:val="HTMLconformatoprevio"/>
        <w:shd w:val="clear" w:color="auto" w:fill="FFFFFF"/>
        <w:tabs>
          <w:tab w:val="clear" w:pos="916"/>
          <w:tab w:val="left" w:pos="709"/>
        </w:tabs>
        <w:spacing w:line="360" w:lineRule="auto"/>
        <w:jc w:val="both"/>
        <w:rPr>
          <w:rFonts w:asciiTheme="minorHAnsi" w:hAnsiTheme="minorHAnsi" w:cstheme="minorHAnsi"/>
          <w:sz w:val="28"/>
          <w:szCs w:val="28"/>
        </w:rPr>
      </w:pPr>
      <w:r w:rsidRPr="005E1103">
        <w:rPr>
          <w:rFonts w:asciiTheme="minorHAnsi" w:hAnsiTheme="minorHAnsi" w:cstheme="minorHAnsi"/>
          <w:bCs/>
          <w:sz w:val="28"/>
          <w:szCs w:val="28"/>
        </w:rPr>
        <w:tab/>
        <w:t xml:space="preserve"> En el ámbito de la educación, el concepto de inclusión hace referencia al modo en el que la escuela, debe dar respuesta a la diversidad o heterogeneidad. La educación inclusiva es un término de reciente uso en la práctica educativa que trata de modificar el sistema escolar para que </w:t>
      </w:r>
      <w:r w:rsidRPr="005E1103">
        <w:rPr>
          <w:rFonts w:asciiTheme="minorHAnsi" w:hAnsiTheme="minorHAnsi" w:cstheme="minorHAnsi"/>
          <w:bCs/>
          <w:sz w:val="28"/>
          <w:szCs w:val="28"/>
        </w:rPr>
        <w:lastRenderedPageBreak/>
        <w:t xml:space="preserve">este responda a las necesidades de aquellos estudiantes que, con discapacidad o no, </w:t>
      </w:r>
      <w:r w:rsidRPr="005E1103">
        <w:rPr>
          <w:rFonts w:asciiTheme="minorHAnsi" w:hAnsiTheme="minorHAnsi" w:cstheme="minorHAnsi"/>
          <w:sz w:val="28"/>
          <w:szCs w:val="28"/>
        </w:rPr>
        <w:t xml:space="preserve">encuentren dificultad en su proceso de integración o adaptación en la escuela, y por tanto </w:t>
      </w:r>
      <w:r w:rsidRPr="005E1103">
        <w:rPr>
          <w:rFonts w:asciiTheme="minorHAnsi" w:hAnsiTheme="minorHAnsi" w:cstheme="minorHAnsi"/>
          <w:bCs/>
          <w:sz w:val="28"/>
          <w:szCs w:val="28"/>
        </w:rPr>
        <w:t>requieren de una atención distinta al resto de alumnos.</w:t>
      </w:r>
      <w:r w:rsidRPr="005E1103">
        <w:rPr>
          <w:rFonts w:asciiTheme="minorHAnsi" w:hAnsiTheme="minorHAnsi" w:cstheme="minorHAnsi"/>
          <w:sz w:val="28"/>
          <w:szCs w:val="28"/>
        </w:rPr>
        <w:t xml:space="preserve"> </w:t>
      </w:r>
      <w:r w:rsidRPr="005E1103">
        <w:rPr>
          <w:rFonts w:asciiTheme="minorHAnsi" w:hAnsiTheme="minorHAnsi" w:cstheme="minorHAnsi"/>
          <w:bCs/>
          <w:sz w:val="28"/>
          <w:szCs w:val="28"/>
        </w:rPr>
        <w:t xml:space="preserve">Siguiendo esta línea, conviene resaltar las aportaciones que Villalobos y Zalakain (2010:32) realizan sobre la educación inclusiva. Dichos autores señalan que </w:t>
      </w:r>
      <w:r w:rsidRPr="005E1103">
        <w:rPr>
          <w:rFonts w:asciiTheme="minorHAnsi" w:hAnsiTheme="minorHAnsi" w:cstheme="minorHAnsi"/>
          <w:sz w:val="28"/>
          <w:szCs w:val="28"/>
        </w:rPr>
        <w:t>la inclusión plantea el reconocimiento y valoración de la diversidad como una realidad. Por esta razón, el centro educativo y la comunidad escolar han de estar fuertemente implicados en la atención a la diversidad, lo que conduce a la mejora de la calidad educativa en su conjunto y, en general, para todo el alumnado. La inclusión supone un sistema único para todos, lo que implica que el diseño curricular, las metodologías empleadas, los sistemas de enseñanza, las infraestructuras, así como la estructura organizativa del sistema educacional se adapten a la diversidad de la totalidad de la población escolar que el sistema atiende. En definitiva, se trata de que cada alumno no aprenda cosas diferentes, sino más bien, que las aprenda de diferente manera.</w:t>
      </w:r>
    </w:p>
    <w:p w:rsidR="00664415" w:rsidRPr="005E1103" w:rsidRDefault="00664415" w:rsidP="00664415">
      <w:pPr>
        <w:pStyle w:val="HTMLconformatoprevio"/>
        <w:shd w:val="clear" w:color="auto" w:fill="FFFFFF"/>
        <w:tabs>
          <w:tab w:val="clear" w:pos="916"/>
          <w:tab w:val="left" w:pos="709"/>
        </w:tabs>
        <w:spacing w:line="360" w:lineRule="auto"/>
        <w:jc w:val="both"/>
        <w:rPr>
          <w:rFonts w:asciiTheme="minorHAnsi" w:hAnsiTheme="minorHAnsi" w:cstheme="minorHAnsi"/>
          <w:bCs/>
          <w:sz w:val="28"/>
          <w:szCs w:val="28"/>
        </w:rPr>
      </w:pPr>
      <w:r w:rsidRPr="005E1103">
        <w:rPr>
          <w:rFonts w:asciiTheme="minorHAnsi" w:hAnsiTheme="minorHAnsi" w:cstheme="minorHAnsi"/>
          <w:sz w:val="28"/>
          <w:szCs w:val="28"/>
        </w:rPr>
        <w:tab/>
      </w:r>
      <w:r w:rsidRPr="005E1103">
        <w:rPr>
          <w:rFonts w:asciiTheme="minorHAnsi" w:hAnsiTheme="minorHAnsi" w:cstheme="minorHAnsi"/>
          <w:bCs/>
          <w:sz w:val="28"/>
          <w:szCs w:val="28"/>
        </w:rPr>
        <w:t>Tales apreciaciones nos llevan a afirmar que tratar educativamente las diferencias abre el camino hacia la igualdad para las personas con discapacidad, normaliza su situación, se erradican problemas de discriminación y se construye así una sociedad más incluyente, cuyo instrumento fundamental resulta ser la EDUCACION. Por tanto será necesario la adopción de medidas de acción tanto</w:t>
      </w:r>
      <w:r w:rsidRPr="005E1103">
        <w:rPr>
          <w:rFonts w:asciiTheme="minorHAnsi" w:hAnsiTheme="minorHAnsi" w:cstheme="minorHAnsi"/>
          <w:sz w:val="28"/>
          <w:szCs w:val="28"/>
        </w:rPr>
        <w:t xml:space="preserve"> positivas como preventivas que solventen cualquier situación adversa que provoque que muchos alumnos abandonen sus estudios como consecuencia de encontrarse con un sistema inoperativo y poco flexible. Si conseguimos un sistema educativo inclusivo desde su origen e inicio será posible por tanto, </w:t>
      </w:r>
      <w:r w:rsidRPr="005E1103">
        <w:rPr>
          <w:rFonts w:asciiTheme="minorHAnsi" w:hAnsiTheme="minorHAnsi" w:cstheme="minorHAnsi"/>
          <w:sz w:val="28"/>
          <w:szCs w:val="28"/>
        </w:rPr>
        <w:lastRenderedPageBreak/>
        <w:t xml:space="preserve">construir una universidad más inclusiva. No puede entenderse una universidad inclusiva si no existe una educación obligatoria y un Bachillerato de semejantes características ya que son las premisas esenciales y eslabones necesarios para la consecución de tan ambicioso fin. </w:t>
      </w:r>
      <w:r w:rsidRPr="005E1103">
        <w:rPr>
          <w:rFonts w:asciiTheme="minorHAnsi" w:hAnsiTheme="minorHAnsi" w:cstheme="minorHAnsi"/>
          <w:bCs/>
          <w:sz w:val="28"/>
          <w:szCs w:val="28"/>
        </w:rPr>
        <w:t>Veamos a continuación donde aparece contemplado desde el punto de vista jurídico este sistema educativo inclusivo que nos conduce a una universidad inclusiva.</w:t>
      </w:r>
    </w:p>
    <w:p w:rsidR="00664415" w:rsidRPr="005E1103" w:rsidRDefault="00664415" w:rsidP="00664415">
      <w:pPr>
        <w:pStyle w:val="HTMLconformatoprevio"/>
        <w:shd w:val="clear" w:color="auto" w:fill="FFFFFF"/>
        <w:tabs>
          <w:tab w:val="clear" w:pos="916"/>
          <w:tab w:val="left" w:pos="709"/>
        </w:tabs>
        <w:spacing w:line="360" w:lineRule="auto"/>
        <w:jc w:val="both"/>
        <w:rPr>
          <w:rFonts w:asciiTheme="minorHAnsi" w:hAnsiTheme="minorHAnsi" w:cstheme="minorHAnsi"/>
          <w:sz w:val="28"/>
          <w:szCs w:val="28"/>
        </w:rPr>
      </w:pPr>
    </w:p>
    <w:p w:rsidR="00664415" w:rsidRPr="005E1103" w:rsidRDefault="00664415" w:rsidP="00664415">
      <w:pPr>
        <w:rPr>
          <w:rFonts w:eastAsia="Times New Roman" w:cstheme="minorHAnsi"/>
          <w:b/>
          <w:sz w:val="28"/>
          <w:szCs w:val="28"/>
          <w:lang w:eastAsia="es-ES"/>
        </w:rPr>
      </w:pPr>
      <w:r w:rsidRPr="005E1103">
        <w:rPr>
          <w:rFonts w:cstheme="minorHAnsi"/>
          <w:b/>
          <w:sz w:val="28"/>
          <w:szCs w:val="28"/>
        </w:rPr>
        <w:t>II.Marco Normativo en materia de Educación: situación actual</w:t>
      </w:r>
    </w:p>
    <w:p w:rsidR="00664415" w:rsidRPr="005E1103" w:rsidRDefault="00664415" w:rsidP="00664415">
      <w:pPr>
        <w:pStyle w:val="HTMLconformatoprevio"/>
        <w:shd w:val="clear" w:color="auto" w:fill="FFFFFF"/>
        <w:tabs>
          <w:tab w:val="clear" w:pos="916"/>
          <w:tab w:val="left" w:pos="709"/>
        </w:tabs>
        <w:spacing w:line="360" w:lineRule="auto"/>
        <w:jc w:val="both"/>
        <w:rPr>
          <w:rFonts w:asciiTheme="minorHAnsi" w:hAnsiTheme="minorHAnsi" w:cstheme="minorHAnsi"/>
          <w:sz w:val="28"/>
          <w:szCs w:val="28"/>
        </w:rPr>
      </w:pPr>
      <w:r w:rsidRPr="005E1103">
        <w:rPr>
          <w:rFonts w:asciiTheme="minorHAnsi" w:hAnsiTheme="minorHAnsi" w:cstheme="minorHAnsi"/>
          <w:sz w:val="28"/>
          <w:szCs w:val="28"/>
        </w:rPr>
        <w:tab/>
        <w:t>El marco jurídico que regula el Derecho a la Educación como derecho fundamental aparece reconocido legalmente en todos los ámbitos: A nivel internacional, y con motivo de la celebración de su X aniversario, debemos referir en primer lugar, la Convención Internacional de los Derechos de las Personas con Discapacidad, la cual , en virtud de su artículo 24 apartado 2 (a) establece:</w:t>
      </w:r>
      <w:r w:rsidRPr="005E1103">
        <w:rPr>
          <w:rFonts w:asciiTheme="minorHAnsi" w:hAnsiTheme="minorHAnsi" w:cstheme="minorHAnsi"/>
          <w:i/>
          <w:sz w:val="28"/>
          <w:szCs w:val="28"/>
        </w:rPr>
        <w:t xml:space="preserve"> “Los Estados Partes asegurarán que las personas con discapacidad no queden excluidas del sistema general de educación por motivos de discapacidad, y que los niños y las niñas con discapacidad no queden excluidos de la enseñanza primaria gratuita y obligatoria ni de la enseñanza secundaria por motivos de discapacidad”. </w:t>
      </w:r>
      <w:r w:rsidRPr="005E1103">
        <w:rPr>
          <w:rFonts w:asciiTheme="minorHAnsi" w:hAnsiTheme="minorHAnsi" w:cstheme="minorHAnsi"/>
          <w:sz w:val="28"/>
          <w:szCs w:val="28"/>
        </w:rPr>
        <w:t>Continúa su apartado 2 (b) señalando que “</w:t>
      </w:r>
      <w:r w:rsidRPr="005E1103">
        <w:rPr>
          <w:rFonts w:asciiTheme="minorHAnsi" w:hAnsiTheme="minorHAnsi" w:cstheme="minorHAnsi"/>
          <w:i/>
          <w:sz w:val="28"/>
          <w:szCs w:val="28"/>
        </w:rPr>
        <w:t>Las personas con discapacidad puedan acceder a una educación primaria y secundaria inclusiva, de calidad y gratuita, en igualdad de condiciones con las demás, en la comunidad en que vivan”</w:t>
      </w:r>
      <w:r w:rsidRPr="005E1103">
        <w:rPr>
          <w:rFonts w:asciiTheme="minorHAnsi" w:hAnsiTheme="minorHAnsi" w:cstheme="minorHAnsi"/>
          <w:sz w:val="28"/>
          <w:szCs w:val="28"/>
        </w:rPr>
        <w:t>. Dicho precepto, en su apartado 5, recoge que “</w:t>
      </w:r>
      <w:r w:rsidRPr="005E1103">
        <w:rPr>
          <w:rFonts w:asciiTheme="minorHAnsi" w:hAnsiTheme="minorHAnsi" w:cstheme="minorHAnsi"/>
          <w:i/>
          <w:sz w:val="28"/>
          <w:szCs w:val="28"/>
        </w:rPr>
        <w:t>Los Estados Partes asegurarán que las personas con discapacidad tengan acceso general a la educación superior…</w:t>
      </w:r>
      <w:r w:rsidRPr="005E1103">
        <w:rPr>
          <w:rFonts w:asciiTheme="minorHAnsi" w:hAnsiTheme="minorHAnsi" w:cstheme="minorHAnsi"/>
          <w:sz w:val="28"/>
          <w:szCs w:val="28"/>
        </w:rPr>
        <w:t xml:space="preserve">Analizando dicho texto, resulta procedente hacer la siguiente apreciación en cuanto que, habla de educación primaria y secundaria y en último lugar de “acceso a la </w:t>
      </w:r>
      <w:r w:rsidRPr="005E1103">
        <w:rPr>
          <w:rFonts w:asciiTheme="minorHAnsi" w:hAnsiTheme="minorHAnsi" w:cstheme="minorHAnsi"/>
          <w:sz w:val="28"/>
          <w:szCs w:val="28"/>
        </w:rPr>
        <w:lastRenderedPageBreak/>
        <w:t>educación superior” lo que viene a confirmar la reflexión aportada en el anterior epígrafe.</w:t>
      </w:r>
    </w:p>
    <w:p w:rsidR="00664415" w:rsidRPr="005E1103" w:rsidRDefault="00664415" w:rsidP="00664415">
      <w:pPr>
        <w:pStyle w:val="parrafo"/>
        <w:shd w:val="clear" w:color="auto" w:fill="FFFFFF"/>
        <w:spacing w:before="0" w:beforeAutospacing="0" w:after="0" w:afterAutospacing="0" w:line="360" w:lineRule="auto"/>
        <w:ind w:firstLine="708"/>
        <w:jc w:val="both"/>
        <w:rPr>
          <w:rFonts w:asciiTheme="minorHAnsi" w:hAnsiTheme="minorHAnsi" w:cstheme="minorHAnsi"/>
          <w:i/>
          <w:sz w:val="28"/>
          <w:szCs w:val="28"/>
        </w:rPr>
      </w:pPr>
      <w:r w:rsidRPr="005E1103">
        <w:rPr>
          <w:rFonts w:asciiTheme="minorHAnsi" w:hAnsiTheme="minorHAnsi" w:cstheme="minorHAnsi"/>
          <w:sz w:val="28"/>
          <w:szCs w:val="28"/>
        </w:rPr>
        <w:t>A nivel estatal, hay que distinguir: en primer lugar, con carácter general, nuestra Carta Magna, según la cual, el reconocimiento de este derecho, se establece en su artículo. 27.1 señalando que:</w:t>
      </w:r>
      <w:r w:rsidRPr="005E1103">
        <w:rPr>
          <w:rFonts w:asciiTheme="minorHAnsi" w:hAnsiTheme="minorHAnsi" w:cstheme="minorHAnsi"/>
          <w:i/>
          <w:sz w:val="28"/>
          <w:szCs w:val="28"/>
        </w:rPr>
        <w:t xml:space="preserve"> “Todos tienen derecho a la educación”.</w:t>
      </w:r>
      <w:r w:rsidRPr="005E1103">
        <w:rPr>
          <w:rFonts w:asciiTheme="minorHAnsi" w:hAnsiTheme="minorHAnsi" w:cstheme="minorHAnsi"/>
          <w:sz w:val="28"/>
          <w:szCs w:val="28"/>
        </w:rPr>
        <w:t xml:space="preserve"> Será la Ley Orgánica 8/1985, de 3 de julio, reguladora del Derecho a la Educación (LODE), la que, en cumplimiento de lo dispuesto en el artículo 53.1 en relación con el 81 de la propia Constitución, desarrolle con precisión el ejercicio de este derecho constitucional. En segundo lugar, centrándonos en el ámbito de la discapacidad, tampoco podemos olvidar el artículo 49 de nuestra Carta Magna junto con su principal norma de desarrollo, el </w:t>
      </w:r>
      <w:r w:rsidRPr="005E1103">
        <w:rPr>
          <w:rFonts w:asciiTheme="minorHAnsi" w:hAnsiTheme="minorHAnsi" w:cstheme="minorHAnsi"/>
          <w:color w:val="000000"/>
          <w:sz w:val="28"/>
          <w:szCs w:val="28"/>
          <w:shd w:val="clear" w:color="auto" w:fill="F8F8F8"/>
        </w:rPr>
        <w:t xml:space="preserve">Real Decreto Legislativo 1/2013, de 29 de noviembre, por el que se aprueba el Texto Refundido de la Ley General de Derechos de las Personas con Discapacidad y de su Inclusión Social, el cual recoge en su Capítulo Cuarto (arts. 18-21), el derecho de las personas con discapacidad a una educación inclusiva así como las </w:t>
      </w:r>
      <w:r w:rsidRPr="005E1103">
        <w:rPr>
          <w:rFonts w:asciiTheme="minorHAnsi" w:hAnsiTheme="minorHAnsi" w:cstheme="minorHAnsi"/>
          <w:sz w:val="28"/>
          <w:szCs w:val="28"/>
        </w:rPr>
        <w:t xml:space="preserve">garantías adicionales necesarias para su cumplimiento. </w:t>
      </w:r>
    </w:p>
    <w:p w:rsidR="00664415" w:rsidRPr="005E1103" w:rsidRDefault="00664415" w:rsidP="00664415">
      <w:pPr>
        <w:pStyle w:val="parrafo"/>
        <w:shd w:val="clear" w:color="auto" w:fill="FFFFFF"/>
        <w:spacing w:before="0" w:beforeAutospacing="0" w:after="0" w:afterAutospacing="0" w:line="360" w:lineRule="auto"/>
        <w:ind w:firstLine="708"/>
        <w:jc w:val="both"/>
        <w:rPr>
          <w:rFonts w:asciiTheme="minorHAnsi" w:hAnsiTheme="minorHAnsi" w:cstheme="minorHAnsi"/>
          <w:sz w:val="28"/>
          <w:szCs w:val="28"/>
        </w:rPr>
      </w:pPr>
      <w:r w:rsidRPr="005E1103">
        <w:rPr>
          <w:rFonts w:asciiTheme="minorHAnsi" w:hAnsiTheme="minorHAnsi" w:cstheme="minorHAnsi"/>
          <w:sz w:val="28"/>
          <w:szCs w:val="28"/>
        </w:rPr>
        <w:t>Llegados a este punto, es necesario resaltar del análisis de este Real Decreto legislativo los siguientes aspectos: por un lado, el artículo 16, nos remite a la Ley</w:t>
      </w:r>
      <w:r w:rsidRPr="005E1103">
        <w:rPr>
          <w:rFonts w:asciiTheme="minorHAnsi" w:hAnsiTheme="minorHAnsi" w:cstheme="minorHAnsi"/>
          <w:color w:val="333333"/>
          <w:sz w:val="28"/>
          <w:szCs w:val="28"/>
          <w:shd w:val="clear" w:color="auto" w:fill="FFFFFF"/>
        </w:rPr>
        <w:t xml:space="preserve"> </w:t>
      </w:r>
      <w:r w:rsidRPr="005E1103">
        <w:rPr>
          <w:rFonts w:asciiTheme="minorHAnsi" w:hAnsiTheme="minorHAnsi" w:cstheme="minorHAnsi"/>
          <w:sz w:val="28"/>
          <w:szCs w:val="28"/>
          <w:shd w:val="clear" w:color="auto" w:fill="FFFFFF"/>
        </w:rPr>
        <w:t xml:space="preserve">Orgánica 2/2006, de 3 de mayo, </w:t>
      </w:r>
      <w:r w:rsidRPr="005E1103">
        <w:rPr>
          <w:rFonts w:asciiTheme="minorHAnsi" w:hAnsiTheme="minorHAnsi" w:cstheme="minorHAnsi"/>
          <w:sz w:val="28"/>
          <w:szCs w:val="28"/>
        </w:rPr>
        <w:t xml:space="preserve">de Educación (LOE), como guía jurídica a seguir en la impartición de la educación inclusiva </w:t>
      </w:r>
      <w:r w:rsidRPr="005E1103">
        <w:rPr>
          <w:rFonts w:asciiTheme="minorHAnsi" w:hAnsiTheme="minorHAnsi" w:cstheme="minorHAnsi"/>
          <w:sz w:val="28"/>
          <w:szCs w:val="28"/>
          <w:shd w:val="clear" w:color="auto" w:fill="FFFFFF"/>
        </w:rPr>
        <w:t>mediante los apoyos y ajustes que se reconocen</w:t>
      </w:r>
      <w:r w:rsidRPr="005E1103">
        <w:rPr>
          <w:rFonts w:asciiTheme="minorHAnsi" w:hAnsiTheme="minorHAnsi" w:cstheme="minorHAnsi"/>
          <w:sz w:val="28"/>
          <w:szCs w:val="28"/>
        </w:rPr>
        <w:t xml:space="preserve"> en la misma. Por otro lado, solo se hace mención expresa a la Universidad, en el artículo 20 letra (c) que establece que “</w:t>
      </w:r>
      <w:r w:rsidRPr="005E1103">
        <w:rPr>
          <w:rFonts w:asciiTheme="minorHAnsi" w:hAnsiTheme="minorHAnsi" w:cstheme="minorHAnsi"/>
          <w:i/>
          <w:sz w:val="28"/>
          <w:szCs w:val="28"/>
          <w:shd w:val="clear" w:color="auto" w:fill="FFFFFF"/>
        </w:rPr>
        <w:t xml:space="preserve">Las personas que cursen estudios universitarios, cuya discapacidad les dificulte gravemente la adaptación al régimen de convocatorias establecido con carácter general, podrán solicitar y las </w:t>
      </w:r>
      <w:r w:rsidRPr="005E1103">
        <w:rPr>
          <w:rFonts w:asciiTheme="minorHAnsi" w:hAnsiTheme="minorHAnsi" w:cstheme="minorHAnsi"/>
          <w:i/>
          <w:sz w:val="28"/>
          <w:szCs w:val="28"/>
          <w:shd w:val="clear" w:color="auto" w:fill="FFFFFF"/>
        </w:rPr>
        <w:lastRenderedPageBreak/>
        <w:t>universidades habrán de conceder, de acuerdo con lo que dispongan sus correspondientes normas de permanencia</w:t>
      </w:r>
      <w:r w:rsidRPr="005E1103">
        <w:rPr>
          <w:rFonts w:asciiTheme="minorHAnsi" w:hAnsiTheme="minorHAnsi" w:cstheme="minorHAnsi"/>
          <w:color w:val="333333"/>
          <w:sz w:val="28"/>
          <w:szCs w:val="28"/>
          <w:shd w:val="clear" w:color="auto" w:fill="FFFFFF"/>
        </w:rPr>
        <w:t>…”</w:t>
      </w:r>
      <w:r w:rsidRPr="005E1103">
        <w:rPr>
          <w:rFonts w:asciiTheme="minorHAnsi" w:hAnsiTheme="minorHAnsi" w:cstheme="minorHAnsi"/>
          <w:sz w:val="28"/>
          <w:szCs w:val="28"/>
        </w:rPr>
        <w:t xml:space="preserve"> y en la Disposición Final Segunda la cual señala que “</w:t>
      </w:r>
      <w:r w:rsidRPr="005E1103">
        <w:rPr>
          <w:rFonts w:asciiTheme="minorHAnsi" w:hAnsiTheme="minorHAnsi" w:cstheme="minorHAnsi"/>
          <w:i/>
          <w:sz w:val="28"/>
          <w:szCs w:val="28"/>
          <w:shd w:val="clear" w:color="auto" w:fill="FFFFFF"/>
        </w:rPr>
        <w:t>en el caso de las enseñanzas universitarias, el Gobierno fomentará que las universidades contemplen medidas semejantes en el diseño de sus titulaciones</w:t>
      </w:r>
      <w:r w:rsidRPr="005E1103">
        <w:rPr>
          <w:rFonts w:asciiTheme="minorHAnsi" w:hAnsiTheme="minorHAnsi" w:cstheme="minorHAnsi"/>
          <w:i/>
          <w:color w:val="333333"/>
          <w:sz w:val="28"/>
          <w:szCs w:val="28"/>
          <w:shd w:val="clear" w:color="auto" w:fill="FFFFFF"/>
        </w:rPr>
        <w:t>”</w:t>
      </w:r>
      <w:r w:rsidRPr="005E1103">
        <w:rPr>
          <w:rFonts w:asciiTheme="minorHAnsi" w:hAnsiTheme="minorHAnsi" w:cstheme="minorHAnsi"/>
          <w:color w:val="333333"/>
          <w:sz w:val="28"/>
          <w:szCs w:val="28"/>
          <w:shd w:val="clear" w:color="auto" w:fill="FFFFFF"/>
        </w:rPr>
        <w:t xml:space="preserve"> </w:t>
      </w:r>
      <w:r w:rsidRPr="005E1103">
        <w:rPr>
          <w:rFonts w:asciiTheme="minorHAnsi" w:hAnsiTheme="minorHAnsi" w:cstheme="minorHAnsi"/>
          <w:sz w:val="28"/>
          <w:szCs w:val="28"/>
          <w:shd w:val="clear" w:color="auto" w:fill="FFFFFF"/>
        </w:rPr>
        <w:t>pero en ningún momento, en este texto jurídico, se define en qué consisten estas medidas, remitiéndonos igualmente, (de la misma manera que hace la letra c) del antedicho artículo 20) a la Ley Orgánica 6/2001, de 21 de diciembre, de Universidades y/o en su defecto, a los Estatutos por los que cada universidad se rige, constituyendo ambos instrumentos una manifestación de la autonomía universitaria consagrada en el artículo 27.10 de la Constitución Española.</w:t>
      </w:r>
    </w:p>
    <w:p w:rsidR="00664415" w:rsidRPr="005E1103" w:rsidRDefault="00664415" w:rsidP="00664415">
      <w:pPr>
        <w:spacing w:after="0" w:line="360" w:lineRule="auto"/>
        <w:jc w:val="both"/>
        <w:rPr>
          <w:rFonts w:cstheme="minorHAnsi"/>
          <w:sz w:val="28"/>
          <w:szCs w:val="28"/>
        </w:rPr>
      </w:pPr>
      <w:r w:rsidRPr="005E1103">
        <w:rPr>
          <w:rFonts w:cstheme="minorHAnsi"/>
          <w:sz w:val="28"/>
          <w:szCs w:val="28"/>
        </w:rPr>
        <w:t xml:space="preserve">Hasta aquí, hemos podido comprobar el reconocimiento de este derecho, tanto a nivel internacional, como en nuestra Constitución y legislación sectorial en materia de discapacidad, pero ¿qué señala la Ley de Educación y la Ley de Universidades como normativa específica de referencia? </w:t>
      </w:r>
    </w:p>
    <w:p w:rsidR="00664415" w:rsidRPr="005E1103" w:rsidRDefault="00664415" w:rsidP="00664415">
      <w:pPr>
        <w:spacing w:after="0" w:line="360" w:lineRule="auto"/>
        <w:ind w:firstLine="708"/>
        <w:jc w:val="both"/>
        <w:rPr>
          <w:rFonts w:cstheme="minorHAnsi"/>
          <w:sz w:val="28"/>
          <w:szCs w:val="28"/>
        </w:rPr>
      </w:pPr>
      <w:r w:rsidRPr="005E1103">
        <w:rPr>
          <w:rFonts w:cstheme="minorHAnsi"/>
          <w:sz w:val="28"/>
          <w:szCs w:val="28"/>
        </w:rPr>
        <w:t>Desde finales de los años ochenta, el movimiento materializado por padres, profesores, y las propias personas con discapacidad, luchan por el cambio de una educación especial en aras de una educación inclusiva. Este movimiento partía de la idea de una educación diversa del alumnado comprometida en crear nuevas formas. En este sentido, y haciendo valer tal propuesta, la misma se convirtió en realidad práctica, con la Ley Orgánica 1/1990, de 3 de octubre, de Ordenación General del Sistema Educativo (LOGSE). Si bien esta ley no hablaba de forma específica a lo largo de su articulado del alumnado con discapacidad ni hace referencia a la misma, si incorporó el Capítulo V bajo la denominación “</w:t>
      </w:r>
      <w:r w:rsidRPr="005E1103">
        <w:rPr>
          <w:rFonts w:cstheme="minorHAnsi"/>
          <w:i/>
          <w:sz w:val="28"/>
          <w:szCs w:val="28"/>
        </w:rPr>
        <w:t xml:space="preserve">De la educación </w:t>
      </w:r>
      <w:r w:rsidRPr="005E1103">
        <w:rPr>
          <w:rFonts w:cstheme="minorHAnsi"/>
          <w:i/>
          <w:sz w:val="28"/>
          <w:szCs w:val="28"/>
        </w:rPr>
        <w:lastRenderedPageBreak/>
        <w:t>especial”</w:t>
      </w:r>
      <w:r w:rsidRPr="005E1103">
        <w:rPr>
          <w:rFonts w:cstheme="minorHAnsi"/>
          <w:sz w:val="28"/>
          <w:szCs w:val="28"/>
        </w:rPr>
        <w:t xml:space="preserve"> regulando la integración de las personas con </w:t>
      </w:r>
      <w:r w:rsidRPr="005E1103">
        <w:rPr>
          <w:rFonts w:cstheme="minorHAnsi"/>
          <w:b/>
          <w:sz w:val="28"/>
          <w:szCs w:val="28"/>
        </w:rPr>
        <w:t>necesidades educativas especiales</w:t>
      </w:r>
      <w:r w:rsidRPr="005E1103">
        <w:rPr>
          <w:rFonts w:cstheme="minorHAnsi"/>
          <w:sz w:val="28"/>
          <w:szCs w:val="28"/>
        </w:rPr>
        <w:t xml:space="preserve"> temporales o permanentes en el sistema educativo de forma normalizada y bajo la atención de profesionales especializados y medidas que garantice su proceso de aprendizaje.</w:t>
      </w:r>
    </w:p>
    <w:p w:rsidR="00664415" w:rsidRPr="005E1103" w:rsidRDefault="00664415" w:rsidP="00664415">
      <w:pPr>
        <w:spacing w:after="0" w:line="360" w:lineRule="auto"/>
        <w:ind w:firstLine="708"/>
        <w:jc w:val="both"/>
        <w:rPr>
          <w:rFonts w:cstheme="minorHAnsi"/>
          <w:sz w:val="28"/>
          <w:szCs w:val="28"/>
        </w:rPr>
      </w:pPr>
      <w:r w:rsidRPr="005E1103">
        <w:rPr>
          <w:rFonts w:cstheme="minorHAnsi"/>
          <w:sz w:val="28"/>
          <w:szCs w:val="28"/>
        </w:rPr>
        <w:t>Posteriormente, siguiendo la línea trazada y en un paso más hacia adelante, la Ley Orgánica 2/2006, de 3 mayo, de Educación (LOE), recoge ya de forma expresa el término discapacidad abordando principios fundamentales como, la igualdad de oportunidades, la accesibilidad universal y la educación inclusiva con especial atención a las personas con discapacidad</w:t>
      </w:r>
      <w:r w:rsidRPr="005E1103">
        <w:rPr>
          <w:rFonts w:cstheme="minorHAnsi"/>
          <w:sz w:val="28"/>
          <w:szCs w:val="28"/>
          <w:shd w:val="clear" w:color="auto" w:fill="FFFFFF"/>
        </w:rPr>
        <w:t xml:space="preserve">. </w:t>
      </w:r>
      <w:r w:rsidRPr="005E1103">
        <w:rPr>
          <w:rFonts w:cstheme="minorHAnsi"/>
          <w:sz w:val="28"/>
          <w:szCs w:val="28"/>
        </w:rPr>
        <w:t xml:space="preserve">Dentro del Título II, Capítulo I se habla de alumnado con </w:t>
      </w:r>
      <w:r w:rsidRPr="005E1103">
        <w:rPr>
          <w:rFonts w:cstheme="minorHAnsi"/>
          <w:b/>
          <w:sz w:val="28"/>
          <w:szCs w:val="28"/>
        </w:rPr>
        <w:t>necesidad específica de apoyo educativo</w:t>
      </w:r>
      <w:r w:rsidRPr="005E1103">
        <w:rPr>
          <w:rFonts w:cstheme="minorHAnsi"/>
          <w:sz w:val="28"/>
          <w:szCs w:val="28"/>
        </w:rPr>
        <w:t xml:space="preserve"> ampliando el concepto referido y abarcando, a lo largo de sus tres secciones, al alumnado con necesidades educativas especiales, con altas capacidades e integración tardía en el sistema educativo. Como bien señala Martínez Abellán</w:t>
      </w:r>
      <w:r w:rsidRPr="005E1103">
        <w:rPr>
          <w:rFonts w:cstheme="minorHAnsi"/>
          <w:smallCaps/>
          <w:sz w:val="28"/>
          <w:szCs w:val="28"/>
        </w:rPr>
        <w:t xml:space="preserve"> (2010:152</w:t>
      </w:r>
      <w:r w:rsidRPr="005E1103">
        <w:rPr>
          <w:rFonts w:cstheme="minorHAnsi"/>
          <w:sz w:val="28"/>
          <w:szCs w:val="28"/>
        </w:rPr>
        <w:t>), de la misma se desprende un compromiso social de los centros con la educación, desde el principio de autonomía de los mismos, a realizar una escolarización sin exclusiones, respondiendo a los principios de calidad, equidad e inclusión mediante la planificación y ejecución de medidas que responda a las necesidades de todo el alumnado.</w:t>
      </w:r>
    </w:p>
    <w:p w:rsidR="00664415" w:rsidRPr="005E1103" w:rsidRDefault="00664415" w:rsidP="00664415">
      <w:pPr>
        <w:spacing w:after="0" w:line="360" w:lineRule="auto"/>
        <w:ind w:firstLine="708"/>
        <w:jc w:val="both"/>
        <w:rPr>
          <w:rFonts w:cstheme="minorHAnsi"/>
          <w:sz w:val="28"/>
          <w:szCs w:val="28"/>
        </w:rPr>
      </w:pPr>
      <w:r w:rsidRPr="005E1103">
        <w:rPr>
          <w:rFonts w:cstheme="minorHAnsi"/>
          <w:sz w:val="28"/>
          <w:szCs w:val="28"/>
        </w:rPr>
        <w:t xml:space="preserve">Recientemente, solo siete años más tarde, la Ley de Educación ha sido modificada considerablemente en algunos de su preceptos por la Ley Orgánica 8/2013, de 9 de diciembre, para la mejora de la calidad educativa (LOMCE) y, en vigor desde el curso escolar 2015/2016, la cual acarrea importantes novedades legislativas en materia de discapacidad entre las que podemos destacar: </w:t>
      </w:r>
    </w:p>
    <w:p w:rsidR="00664415" w:rsidRPr="005E1103" w:rsidRDefault="00664415" w:rsidP="00664415">
      <w:pPr>
        <w:spacing w:after="0" w:line="360" w:lineRule="auto"/>
        <w:ind w:firstLine="708"/>
        <w:jc w:val="both"/>
        <w:rPr>
          <w:rFonts w:cstheme="minorHAnsi"/>
          <w:bCs/>
          <w:sz w:val="28"/>
          <w:szCs w:val="28"/>
          <w:shd w:val="clear" w:color="auto" w:fill="FFFFFF"/>
        </w:rPr>
      </w:pPr>
      <w:r w:rsidRPr="005E1103">
        <w:rPr>
          <w:rFonts w:cstheme="minorHAnsi"/>
          <w:sz w:val="28"/>
          <w:szCs w:val="28"/>
          <w:shd w:val="clear" w:color="auto" w:fill="FFFFFF"/>
        </w:rPr>
        <w:t>a) Añade al</w:t>
      </w:r>
      <w:r w:rsidRPr="005E1103">
        <w:rPr>
          <w:rFonts w:cstheme="minorHAnsi"/>
          <w:sz w:val="28"/>
          <w:szCs w:val="28"/>
        </w:rPr>
        <w:t xml:space="preserve"> Título II, Capítulo I </w:t>
      </w:r>
      <w:r w:rsidRPr="005E1103">
        <w:rPr>
          <w:rFonts w:cstheme="minorHAnsi"/>
          <w:bCs/>
          <w:sz w:val="28"/>
          <w:szCs w:val="28"/>
          <w:shd w:val="clear" w:color="auto" w:fill="FFFFFF"/>
        </w:rPr>
        <w:t xml:space="preserve">(arts. 71-79) de la LOE, ya referido, una cuarta sección, denominada “alumnado </w:t>
      </w:r>
      <w:r w:rsidRPr="005E1103">
        <w:rPr>
          <w:rFonts w:cstheme="minorHAnsi"/>
          <w:bCs/>
          <w:i/>
          <w:sz w:val="28"/>
          <w:szCs w:val="28"/>
          <w:shd w:val="clear" w:color="auto" w:fill="FFFFFF"/>
        </w:rPr>
        <w:t xml:space="preserve">con dificultades especificas en </w:t>
      </w:r>
      <w:r w:rsidRPr="005E1103">
        <w:rPr>
          <w:rFonts w:cstheme="minorHAnsi"/>
          <w:bCs/>
          <w:i/>
          <w:sz w:val="28"/>
          <w:szCs w:val="28"/>
          <w:shd w:val="clear" w:color="auto" w:fill="FFFFFF"/>
        </w:rPr>
        <w:lastRenderedPageBreak/>
        <w:t>el aprendizaje</w:t>
      </w:r>
      <w:r w:rsidRPr="005E1103">
        <w:rPr>
          <w:rFonts w:cstheme="minorHAnsi"/>
          <w:bCs/>
          <w:sz w:val="28"/>
          <w:szCs w:val="28"/>
          <w:shd w:val="clear" w:color="auto" w:fill="FFFFFF"/>
        </w:rPr>
        <w:t xml:space="preserve">”, una medida más que viene a completar al resto de las que ya aparecían recogidas en este Título. </w:t>
      </w:r>
    </w:p>
    <w:p w:rsidR="00664415" w:rsidRPr="005E1103" w:rsidRDefault="00664415" w:rsidP="00664415">
      <w:pPr>
        <w:spacing w:after="0" w:line="360" w:lineRule="auto"/>
        <w:ind w:firstLine="708"/>
        <w:jc w:val="both"/>
        <w:rPr>
          <w:rFonts w:cstheme="minorHAnsi"/>
          <w:bCs/>
          <w:sz w:val="28"/>
          <w:szCs w:val="28"/>
          <w:shd w:val="clear" w:color="auto" w:fill="FFFFFF"/>
        </w:rPr>
      </w:pPr>
      <w:r w:rsidRPr="005E1103">
        <w:rPr>
          <w:rFonts w:cstheme="minorHAnsi"/>
          <w:bCs/>
          <w:sz w:val="28"/>
          <w:szCs w:val="28"/>
          <w:shd w:val="clear" w:color="auto" w:fill="FFFFFF"/>
        </w:rPr>
        <w:t>b) Incorpora la participación del alumnado con discapacidad en los Programas de Mejora del Aprendizaje y del Rendimiento (art. 27 LOE denominado anteriormente Programas de Diversificación Curricular y modificado por el art 19 LOMCE).</w:t>
      </w:r>
    </w:p>
    <w:p w:rsidR="00664415" w:rsidRPr="005E1103" w:rsidRDefault="00664415" w:rsidP="00664415">
      <w:pPr>
        <w:spacing w:after="0" w:line="360" w:lineRule="auto"/>
        <w:ind w:firstLine="708"/>
        <w:jc w:val="both"/>
        <w:rPr>
          <w:rFonts w:cstheme="minorHAnsi"/>
          <w:bCs/>
          <w:sz w:val="28"/>
          <w:szCs w:val="28"/>
          <w:shd w:val="clear" w:color="auto" w:fill="FFFFFF"/>
        </w:rPr>
      </w:pPr>
      <w:r w:rsidRPr="005E1103">
        <w:rPr>
          <w:rFonts w:cstheme="minorHAnsi"/>
          <w:sz w:val="28"/>
          <w:szCs w:val="28"/>
          <w:shd w:val="clear" w:color="auto" w:fill="FFFFFF"/>
        </w:rPr>
        <w:t>c) Se establecerán medidas de flexibilización y alternativas metodológicas en la enseñanza y evaluación de la lengua extranjera para el alumnado con discapacidad (art. 34 LOE modificado por el art. 24 de la LOMCE).</w:t>
      </w:r>
    </w:p>
    <w:p w:rsidR="00664415" w:rsidRPr="005E1103" w:rsidRDefault="00664415" w:rsidP="00664415">
      <w:pPr>
        <w:spacing w:after="0" w:line="360" w:lineRule="auto"/>
        <w:ind w:firstLine="708"/>
        <w:jc w:val="both"/>
        <w:rPr>
          <w:rFonts w:cstheme="minorHAnsi"/>
          <w:sz w:val="28"/>
          <w:szCs w:val="28"/>
          <w:shd w:val="clear" w:color="auto" w:fill="FFFFFF"/>
        </w:rPr>
      </w:pPr>
      <w:r w:rsidRPr="005E1103">
        <w:rPr>
          <w:rFonts w:cstheme="minorHAnsi"/>
          <w:sz w:val="28"/>
          <w:szCs w:val="28"/>
          <w:shd w:val="clear" w:color="auto" w:fill="FFFFFF"/>
        </w:rPr>
        <w:t>d) Fomentar la igualdad efectiva de oportunidades entre hombres y mujeres, así como de las personas con discapacidad, para acceder a una formación que permita todo tipo de opciones profesionales y el ejercicio de las mismas (art. 40 LOE modificado por art. 33 LOMCE).</w:t>
      </w:r>
    </w:p>
    <w:p w:rsidR="00664415" w:rsidRPr="005E1103" w:rsidRDefault="00664415" w:rsidP="00664415">
      <w:pPr>
        <w:spacing w:after="0" w:line="360" w:lineRule="auto"/>
        <w:ind w:firstLine="708"/>
        <w:jc w:val="both"/>
        <w:rPr>
          <w:rFonts w:cstheme="minorHAnsi"/>
          <w:sz w:val="28"/>
          <w:szCs w:val="28"/>
          <w:shd w:val="clear" w:color="auto" w:fill="FFFFFF"/>
        </w:rPr>
      </w:pPr>
      <w:r w:rsidRPr="005E1103">
        <w:rPr>
          <w:rFonts w:cstheme="minorHAnsi"/>
          <w:sz w:val="28"/>
          <w:szCs w:val="28"/>
          <w:shd w:val="clear" w:color="auto" w:fill="FFFFFF"/>
        </w:rPr>
        <w:t>e) Acceso a la enseñanza obligatoria para las personas adultas en cuyo caso las Administraciones educativas velarán por que se adopten las medidas necesarias para asegurar la igualdad de oportunidades, no discriminación y accesibilidad universal de las personas con discapacidad que se presenten a dichas pruebas (art.68 LOE modificado por el art.54 LOMCE). De igual manera lo reconoce el art. 69 LOE (modificado por los apartados 4 y 5 de los artículos 55 y 56 de la LOMCE) para las enseñanzas postobligatorias, bachillerato y formación profesional.</w:t>
      </w:r>
    </w:p>
    <w:p w:rsidR="00664415" w:rsidRPr="005E1103" w:rsidRDefault="00664415" w:rsidP="00664415">
      <w:pPr>
        <w:spacing w:after="0" w:line="360" w:lineRule="auto"/>
        <w:ind w:firstLine="708"/>
        <w:jc w:val="both"/>
        <w:rPr>
          <w:rFonts w:cstheme="minorHAnsi"/>
          <w:sz w:val="28"/>
          <w:szCs w:val="28"/>
          <w:shd w:val="clear" w:color="auto" w:fill="FFFFFF"/>
        </w:rPr>
      </w:pPr>
      <w:r w:rsidRPr="005E1103">
        <w:rPr>
          <w:rFonts w:cstheme="minorHAnsi"/>
          <w:sz w:val="28"/>
          <w:szCs w:val="28"/>
          <w:shd w:val="clear" w:color="auto" w:fill="FFFFFF"/>
        </w:rPr>
        <w:t xml:space="preserve">f) En cuanto a las normas de organización, funcionamiento y convivencia (art. 124.2 LOE modificado art.78 LOMCE) se establece que las medidas correctoras deberán ser proporcionadas a las faltas cometidas, considerándose muy graves aquellas conductas que atenten contra la dignidad personal de otros miembros de la comunidad educativa, que </w:t>
      </w:r>
      <w:r w:rsidRPr="005E1103">
        <w:rPr>
          <w:rFonts w:cstheme="minorHAnsi"/>
          <w:sz w:val="28"/>
          <w:szCs w:val="28"/>
          <w:shd w:val="clear" w:color="auto" w:fill="FFFFFF"/>
        </w:rPr>
        <w:lastRenderedPageBreak/>
        <w:t>tengan como origen o consecuencia una discriminación de discapacidad, entre otras (raza, genero, orientación sexual, creencia religiosa).</w:t>
      </w:r>
    </w:p>
    <w:p w:rsidR="00664415" w:rsidRPr="005E1103" w:rsidRDefault="00664415" w:rsidP="00664415">
      <w:pPr>
        <w:spacing w:after="0" w:line="360" w:lineRule="auto"/>
        <w:ind w:firstLine="708"/>
        <w:jc w:val="both"/>
        <w:rPr>
          <w:rFonts w:cstheme="minorHAnsi"/>
          <w:bCs/>
          <w:sz w:val="28"/>
          <w:szCs w:val="28"/>
          <w:shd w:val="clear" w:color="auto" w:fill="FFFFFF"/>
        </w:rPr>
      </w:pPr>
      <w:r w:rsidRPr="005E1103">
        <w:rPr>
          <w:rFonts w:cstheme="minorHAnsi"/>
          <w:sz w:val="28"/>
          <w:szCs w:val="28"/>
          <w:shd w:val="clear" w:color="auto" w:fill="FFFFFF"/>
        </w:rPr>
        <w:t>Por último, con respecto al tema que da contenido a esta ponencia, en materia de</w:t>
      </w:r>
      <w:r w:rsidRPr="005E1103">
        <w:rPr>
          <w:rFonts w:cstheme="minorHAnsi"/>
          <w:b/>
          <w:sz w:val="28"/>
          <w:szCs w:val="28"/>
          <w:shd w:val="clear" w:color="auto" w:fill="FFFFFF"/>
        </w:rPr>
        <w:t xml:space="preserve"> Universidad </w:t>
      </w:r>
      <w:r w:rsidRPr="005E1103">
        <w:rPr>
          <w:rFonts w:cstheme="minorHAnsi"/>
          <w:sz w:val="28"/>
          <w:szCs w:val="28"/>
          <w:shd w:val="clear" w:color="auto" w:fill="FFFFFF"/>
        </w:rPr>
        <w:t>(art. 38 LOE modificado por art. 31 de la LOMCE), la ley señala que los procedimientos de admisión a la universidad deberán realizarse en condiciones de accesibilidad para los alumnos y alumnas con discapacidad</w:t>
      </w:r>
      <w:r w:rsidRPr="005E1103">
        <w:rPr>
          <w:rFonts w:cstheme="minorHAnsi"/>
          <w:bCs/>
          <w:sz w:val="28"/>
          <w:szCs w:val="28"/>
          <w:shd w:val="clear" w:color="auto" w:fill="FFFFFF"/>
        </w:rPr>
        <w:t xml:space="preserve">. A tal respecto y </w:t>
      </w:r>
      <w:r w:rsidRPr="005E1103">
        <w:rPr>
          <w:rFonts w:cstheme="minorHAnsi"/>
          <w:sz w:val="28"/>
          <w:szCs w:val="28"/>
          <w:shd w:val="clear" w:color="auto" w:fill="FFFFFF"/>
        </w:rPr>
        <w:t xml:space="preserve">como ya hemos avanzado, existe una norma que nos ha de servir de referencia para el análisis que nos ocupa. Se trata de la Ley Orgánica 6/2001, de 21 de diciembre, de Universidades, que si bien recoge en su </w:t>
      </w:r>
      <w:r w:rsidRPr="005E1103">
        <w:rPr>
          <w:rFonts w:cstheme="minorHAnsi"/>
          <w:bCs/>
          <w:sz w:val="28"/>
          <w:szCs w:val="28"/>
          <w:shd w:val="clear" w:color="auto" w:fill="FFFFFF"/>
        </w:rPr>
        <w:t>Disposición adicional vigésima cuarta, denominada “</w:t>
      </w:r>
      <w:r w:rsidRPr="005E1103">
        <w:rPr>
          <w:rFonts w:cstheme="minorHAnsi"/>
          <w:bCs/>
          <w:i/>
          <w:sz w:val="28"/>
          <w:szCs w:val="28"/>
          <w:shd w:val="clear" w:color="auto" w:fill="FFFFFF"/>
        </w:rPr>
        <w:t>De la inclusión de las personas con discapacidad</w:t>
      </w:r>
      <w:r w:rsidRPr="005E1103">
        <w:rPr>
          <w:rFonts w:cstheme="minorHAnsi"/>
          <w:bCs/>
          <w:sz w:val="28"/>
          <w:szCs w:val="28"/>
          <w:shd w:val="clear" w:color="auto" w:fill="FFFFFF"/>
        </w:rPr>
        <w:t xml:space="preserve"> </w:t>
      </w:r>
      <w:r w:rsidRPr="005E1103">
        <w:rPr>
          <w:rFonts w:cstheme="minorHAnsi"/>
          <w:bCs/>
          <w:i/>
          <w:sz w:val="28"/>
          <w:szCs w:val="28"/>
          <w:shd w:val="clear" w:color="auto" w:fill="FFFFFF"/>
        </w:rPr>
        <w:t>en las universidades</w:t>
      </w:r>
      <w:r w:rsidRPr="005E1103">
        <w:rPr>
          <w:rFonts w:cstheme="minorHAnsi"/>
          <w:bCs/>
          <w:sz w:val="28"/>
          <w:szCs w:val="28"/>
          <w:shd w:val="clear" w:color="auto" w:fill="FFFFFF"/>
        </w:rPr>
        <w:t>·”, remite a la legislación de cada universidad, para que sean ellas, en virtud de su autonomía, las que recojan en sus Estatutos propios, un plan de acción que favorezcan los medios, recursos y apoyos necesarios que atiendan las necesidades de las personas con discapacidad.</w:t>
      </w:r>
    </w:p>
    <w:p w:rsidR="00664415" w:rsidRPr="005E1103" w:rsidRDefault="00664415" w:rsidP="00664415">
      <w:pPr>
        <w:spacing w:after="0" w:line="360" w:lineRule="auto"/>
        <w:ind w:firstLine="708"/>
        <w:jc w:val="both"/>
        <w:rPr>
          <w:rFonts w:cstheme="minorHAnsi"/>
          <w:sz w:val="28"/>
          <w:szCs w:val="28"/>
        </w:rPr>
      </w:pPr>
      <w:r w:rsidRPr="005E1103">
        <w:rPr>
          <w:rFonts w:cstheme="minorHAnsi"/>
          <w:sz w:val="28"/>
          <w:szCs w:val="28"/>
          <w:shd w:val="clear" w:color="auto" w:fill="FFFFFF"/>
        </w:rPr>
        <w:t>Por último, como breve referencia, a</w:t>
      </w:r>
      <w:r w:rsidRPr="005E1103">
        <w:rPr>
          <w:rFonts w:cstheme="minorHAnsi"/>
          <w:sz w:val="28"/>
          <w:szCs w:val="28"/>
        </w:rPr>
        <w:t xml:space="preserve"> nivel autonómico, puesto que las competencias en materia de Educación están transferidas, en el caso de Andalucía destacan, el Decreto Legislativo 1/2013, de 8 de enero, por el que se aprueba el Texto Refundido de la Ley Andaluza de Universidades como la Ley 1/1999, de 31de marzo, de Atención a las Personas con Discapacidad de Andalucía, las cuales hacen mención expresa a este derecho. </w:t>
      </w:r>
    </w:p>
    <w:p w:rsidR="00664415" w:rsidRPr="005E1103" w:rsidRDefault="00664415" w:rsidP="00664415">
      <w:pPr>
        <w:spacing w:after="0" w:line="360" w:lineRule="auto"/>
        <w:jc w:val="both"/>
        <w:rPr>
          <w:rFonts w:cstheme="minorHAnsi"/>
          <w:b/>
          <w:sz w:val="28"/>
          <w:szCs w:val="28"/>
        </w:rPr>
      </w:pPr>
    </w:p>
    <w:p w:rsidR="00664415" w:rsidRPr="005E1103" w:rsidRDefault="00664415" w:rsidP="00664415">
      <w:pPr>
        <w:spacing w:after="0" w:line="360" w:lineRule="auto"/>
        <w:jc w:val="both"/>
        <w:rPr>
          <w:rFonts w:cstheme="minorHAnsi"/>
          <w:b/>
          <w:sz w:val="28"/>
          <w:szCs w:val="28"/>
        </w:rPr>
      </w:pPr>
      <w:r w:rsidRPr="005E1103">
        <w:rPr>
          <w:rFonts w:cstheme="minorHAnsi"/>
          <w:b/>
          <w:sz w:val="28"/>
          <w:szCs w:val="28"/>
        </w:rPr>
        <w:t>III. Propuestas y mejoras para el logro de una Universidad incluyente</w:t>
      </w:r>
    </w:p>
    <w:p w:rsidR="00664415" w:rsidRPr="005E1103" w:rsidRDefault="00664415" w:rsidP="00664415">
      <w:pPr>
        <w:spacing w:after="0" w:line="360" w:lineRule="auto"/>
        <w:ind w:firstLine="708"/>
        <w:jc w:val="both"/>
        <w:rPr>
          <w:rFonts w:cstheme="minorHAnsi"/>
          <w:sz w:val="28"/>
          <w:szCs w:val="28"/>
          <w:shd w:val="clear" w:color="auto" w:fill="FFFFFF"/>
        </w:rPr>
      </w:pPr>
      <w:r w:rsidRPr="005E1103">
        <w:rPr>
          <w:rFonts w:cstheme="minorHAnsi"/>
          <w:sz w:val="28"/>
          <w:szCs w:val="28"/>
        </w:rPr>
        <w:t xml:space="preserve">Analizado el marco legal educativo, resta solo referirnos a las distintas estrategias que recogen un sinfín de medidas cuyo objetivo principal es cumplir todo cuanto se establece en los distintos textos </w:t>
      </w:r>
      <w:r w:rsidRPr="005E1103">
        <w:rPr>
          <w:rFonts w:cstheme="minorHAnsi"/>
          <w:sz w:val="28"/>
          <w:szCs w:val="28"/>
        </w:rPr>
        <w:lastRenderedPageBreak/>
        <w:t>normativos. A tal respecto, la Estrategia Española sobre Discapacidad 2012-2020</w:t>
      </w:r>
      <w:r w:rsidRPr="005E1103">
        <w:rPr>
          <w:rStyle w:val="Refdenotaalpie"/>
          <w:rFonts w:cstheme="minorHAnsi"/>
          <w:sz w:val="28"/>
          <w:szCs w:val="28"/>
        </w:rPr>
        <w:footnoteReference w:id="44"/>
      </w:r>
      <w:r w:rsidRPr="005E1103">
        <w:rPr>
          <w:rFonts w:cstheme="minorHAnsi"/>
          <w:sz w:val="28"/>
          <w:szCs w:val="28"/>
          <w:shd w:val="clear" w:color="auto" w:fill="FFFFFF"/>
        </w:rPr>
        <w:t xml:space="preserve"> engloba en su primera parte, el diagnóstico de la situación actual de las personas con discapacidad y la definición de los principios inspiradores. En la segunda parte de la misma, se desarrollan, siguiendo los objetivos de la Estrategia Europea sobre Discapacidad 2010-2020</w:t>
      </w:r>
      <w:r w:rsidRPr="005E1103">
        <w:rPr>
          <w:rStyle w:val="Refdenotaalpie"/>
          <w:rFonts w:cstheme="minorHAnsi"/>
          <w:sz w:val="28"/>
          <w:szCs w:val="28"/>
          <w:shd w:val="clear" w:color="auto" w:fill="FFFFFF"/>
        </w:rPr>
        <w:footnoteReference w:id="45"/>
      </w:r>
      <w:r w:rsidRPr="005E1103">
        <w:rPr>
          <w:rFonts w:cstheme="minorHAnsi"/>
          <w:sz w:val="28"/>
          <w:szCs w:val="28"/>
          <w:shd w:val="clear" w:color="auto" w:fill="FFFFFF"/>
        </w:rPr>
        <w:t xml:space="preserve">, las medidas que constituyen el plan de acción propiamente dicho y que se concretan en el ámbito educativo entre otros (accesibilidad, empleo, pobreza y exclusión social, participación…). Para este propósito, se contempla que </w:t>
      </w:r>
      <w:r w:rsidRPr="005E1103">
        <w:rPr>
          <w:rFonts w:cstheme="minorHAnsi"/>
          <w:sz w:val="28"/>
          <w:szCs w:val="28"/>
        </w:rPr>
        <w:t>la carencia educativa y de formación limitará de manera decisiva el progreso individual de la persona, así como su integración social. Por ello se requiere de una actuación que garantice la verdadera inclusión en el sistema educativo de las personas con discapacidad, sobre todo, desde niños y en los niños, por ser el sector más vulnerable. Igualmente resulta de vital importancia, un apoyo individual en beneficio e interés de la persona. Las medidas estratégicas adoptadas en este ámbito son:</w:t>
      </w:r>
    </w:p>
    <w:p w:rsidR="00664415" w:rsidRPr="005E1103" w:rsidRDefault="00664415" w:rsidP="00664415">
      <w:pPr>
        <w:pStyle w:val="Default"/>
        <w:spacing w:line="360" w:lineRule="auto"/>
        <w:ind w:firstLine="708"/>
        <w:jc w:val="both"/>
        <w:rPr>
          <w:rFonts w:asciiTheme="minorHAnsi" w:hAnsiTheme="minorHAnsi" w:cstheme="minorHAnsi"/>
          <w:color w:val="auto"/>
          <w:sz w:val="28"/>
          <w:szCs w:val="28"/>
        </w:rPr>
      </w:pPr>
      <w:r w:rsidRPr="005E1103">
        <w:rPr>
          <w:rFonts w:asciiTheme="minorHAnsi" w:hAnsiTheme="minorHAnsi" w:cstheme="minorHAnsi"/>
          <w:color w:val="auto"/>
          <w:sz w:val="28"/>
          <w:szCs w:val="28"/>
        </w:rPr>
        <w:t>1. Respaldar a la Unión Europea en su objetivo de lograr una educación y formación inclusivas y de calidad en el marco de la iniciativa “Juventud en movimiento”. 2. Impulsar la detección precoz de las necesidades educativas especiales.</w:t>
      </w:r>
    </w:p>
    <w:p w:rsidR="00664415" w:rsidRPr="005E1103" w:rsidRDefault="00664415" w:rsidP="00664415">
      <w:pPr>
        <w:pStyle w:val="Default"/>
        <w:spacing w:line="360" w:lineRule="auto"/>
        <w:jc w:val="both"/>
        <w:rPr>
          <w:rFonts w:asciiTheme="minorHAnsi" w:hAnsiTheme="minorHAnsi" w:cstheme="minorHAnsi"/>
          <w:color w:val="auto"/>
          <w:sz w:val="28"/>
          <w:szCs w:val="28"/>
        </w:rPr>
      </w:pPr>
      <w:r w:rsidRPr="005E1103">
        <w:rPr>
          <w:rFonts w:asciiTheme="minorHAnsi" w:hAnsiTheme="minorHAnsi" w:cstheme="minorHAnsi"/>
          <w:color w:val="auto"/>
          <w:sz w:val="28"/>
          <w:szCs w:val="28"/>
        </w:rPr>
        <w:t xml:space="preserve">3. Promover una educación inclusiva en todas las etapas educativas empleando los medios y recursos que sean necesarios. 4. Potenciar la formación continuada de todo el profesorado. 5. Avanzar en la inclusión de asignaturas que coadyuven a garantizar los derechos de las personas </w:t>
      </w:r>
      <w:r w:rsidRPr="005E1103">
        <w:rPr>
          <w:rFonts w:asciiTheme="minorHAnsi" w:hAnsiTheme="minorHAnsi" w:cstheme="minorHAnsi"/>
          <w:color w:val="auto"/>
          <w:sz w:val="28"/>
          <w:szCs w:val="28"/>
        </w:rPr>
        <w:lastRenderedPageBreak/>
        <w:t>con discapacidad. 6. Formación de los trabajadores con discapacidad para facilitar el mantenimiento y la progresión en la carrera laboral.</w:t>
      </w:r>
    </w:p>
    <w:p w:rsidR="00664415" w:rsidRPr="005E1103" w:rsidRDefault="00664415" w:rsidP="00664415">
      <w:pPr>
        <w:spacing w:after="0" w:line="360" w:lineRule="auto"/>
        <w:ind w:firstLine="708"/>
        <w:jc w:val="both"/>
        <w:rPr>
          <w:rFonts w:cstheme="minorHAnsi"/>
          <w:color w:val="000000"/>
          <w:sz w:val="28"/>
          <w:szCs w:val="28"/>
          <w:shd w:val="clear" w:color="auto" w:fill="FFFFFF"/>
        </w:rPr>
      </w:pPr>
      <w:r w:rsidRPr="005E1103">
        <w:rPr>
          <w:rFonts w:cstheme="minorHAnsi"/>
          <w:bCs/>
          <w:sz w:val="28"/>
          <w:szCs w:val="28"/>
          <w:shd w:val="clear" w:color="auto" w:fill="FFFFFF"/>
        </w:rPr>
        <w:t>Del elenco de medidas propuestas en materia de educación, puede comprobarse y así se plasma tanto en la Estrategia Española sobre Discapacidad 2012-2020 como en el Plan de Acción de la Estrategia Española sobre Discapacidad 2014-2020</w:t>
      </w:r>
      <w:r w:rsidRPr="005E1103">
        <w:rPr>
          <w:rStyle w:val="Refdenotaalpie"/>
          <w:rFonts w:cstheme="minorHAnsi"/>
          <w:bCs/>
          <w:sz w:val="28"/>
          <w:szCs w:val="28"/>
          <w:shd w:val="clear" w:color="auto" w:fill="FFFFFF"/>
        </w:rPr>
        <w:footnoteReference w:id="46"/>
      </w:r>
      <w:r w:rsidRPr="005E1103">
        <w:rPr>
          <w:rFonts w:cstheme="minorHAnsi"/>
          <w:bCs/>
          <w:sz w:val="28"/>
          <w:szCs w:val="28"/>
          <w:shd w:val="clear" w:color="auto" w:fill="FFFFFF"/>
        </w:rPr>
        <w:t xml:space="preserve">, que la gran olvidada sigue siendo </w:t>
      </w:r>
      <w:r w:rsidRPr="005E1103">
        <w:rPr>
          <w:rFonts w:cstheme="minorHAnsi"/>
          <w:b/>
          <w:bCs/>
          <w:sz w:val="28"/>
          <w:szCs w:val="28"/>
          <w:shd w:val="clear" w:color="auto" w:fill="FFFFFF"/>
        </w:rPr>
        <w:t>la universidad</w:t>
      </w:r>
      <w:r w:rsidRPr="005E1103">
        <w:rPr>
          <w:rFonts w:cstheme="minorHAnsi"/>
          <w:bCs/>
          <w:sz w:val="28"/>
          <w:szCs w:val="28"/>
          <w:shd w:val="clear" w:color="auto" w:fill="FFFFFF"/>
        </w:rPr>
        <w:t xml:space="preserve">. Ello obedece a que muchas de las personas que padecen algún tipo de discapacidad, se ven obligadas a salir del ámbito escolar o en incluso en ocasiones, ni siquiera llegan al Universitario, ante la imposibilidad de continuar debido a la escasez de recursos que los mismos centros destinan a las personas con discapacidad. Como consecuencia, nos encontrarnos ante un sistema educativo rígido con una accesibilidad e igualdad formal reconocida pero materialmente poco efectiva. </w:t>
      </w:r>
      <w:r w:rsidRPr="005E1103">
        <w:rPr>
          <w:rFonts w:cstheme="minorHAnsi"/>
          <w:color w:val="000000"/>
          <w:sz w:val="28"/>
          <w:szCs w:val="28"/>
          <w:shd w:val="clear" w:color="auto" w:fill="FFFFFF"/>
        </w:rPr>
        <w:t>Según la Fundación Universia</w:t>
      </w:r>
      <w:r w:rsidRPr="005E1103">
        <w:rPr>
          <w:rFonts w:cstheme="minorHAnsi"/>
          <w:b/>
          <w:color w:val="000000"/>
          <w:sz w:val="28"/>
          <w:szCs w:val="28"/>
          <w:shd w:val="clear" w:color="auto" w:fill="FFFFFF"/>
        </w:rPr>
        <w:t xml:space="preserve">, </w:t>
      </w:r>
      <w:r w:rsidRPr="005E1103">
        <w:rPr>
          <w:rFonts w:cstheme="minorHAnsi"/>
          <w:color w:val="000000"/>
          <w:sz w:val="28"/>
          <w:szCs w:val="28"/>
          <w:shd w:val="clear" w:color="auto" w:fill="FFFFFF"/>
        </w:rPr>
        <w:t>el número de estudiantes con discapacidad matriculados en las universidades españolas durante el curso académico 2015-2016 ha disminuido hasta las 20.695 personas, lo que supone un descenso del 4%, con respecto al total de estudiantes con discapacidad matriculados en el año anterior, que eran 21.577</w:t>
      </w:r>
      <w:r w:rsidRPr="005E1103">
        <w:rPr>
          <w:rStyle w:val="Refdenotaalpie"/>
          <w:rFonts w:cstheme="minorHAnsi"/>
          <w:color w:val="000000"/>
          <w:sz w:val="28"/>
          <w:szCs w:val="28"/>
          <w:shd w:val="clear" w:color="auto" w:fill="FFFFFF"/>
        </w:rPr>
        <w:footnoteReference w:id="47"/>
      </w:r>
      <w:r w:rsidRPr="005E1103">
        <w:rPr>
          <w:rFonts w:cstheme="minorHAnsi"/>
          <w:color w:val="000000"/>
          <w:sz w:val="28"/>
          <w:szCs w:val="28"/>
          <w:shd w:val="clear" w:color="auto" w:fill="FFFFFF"/>
        </w:rPr>
        <w:t xml:space="preserve">. </w:t>
      </w:r>
      <w:r w:rsidRPr="005E1103">
        <w:rPr>
          <w:rFonts w:cstheme="minorHAnsi"/>
          <w:bCs/>
          <w:sz w:val="28"/>
          <w:szCs w:val="28"/>
          <w:shd w:val="clear" w:color="auto" w:fill="FFFFFF"/>
        </w:rPr>
        <w:t>Es vital que la plasmación formal del derecho a la educación tal como acabamos de analizar, esté acompañada de una plasmación material, que en ocasiones, brilla por su ausencia. Apostar por una universidad inclusiva supone:</w:t>
      </w:r>
    </w:p>
    <w:p w:rsidR="00664415" w:rsidRPr="005E1103" w:rsidRDefault="00664415" w:rsidP="00664415">
      <w:pPr>
        <w:spacing w:after="0" w:line="360" w:lineRule="auto"/>
        <w:ind w:firstLine="708"/>
        <w:jc w:val="both"/>
        <w:rPr>
          <w:rFonts w:cstheme="minorHAnsi"/>
          <w:bCs/>
          <w:sz w:val="28"/>
          <w:szCs w:val="28"/>
          <w:shd w:val="clear" w:color="auto" w:fill="FFFFFF"/>
        </w:rPr>
      </w:pPr>
      <w:r w:rsidRPr="005E1103">
        <w:rPr>
          <w:rFonts w:cstheme="minorHAnsi"/>
          <w:bCs/>
          <w:sz w:val="28"/>
          <w:szCs w:val="28"/>
          <w:shd w:val="clear" w:color="auto" w:fill="FFFFFF"/>
        </w:rPr>
        <w:lastRenderedPageBreak/>
        <w:t>1- Que las personas con discapacidad no encuentren dificultad para acceder a titulaciones superiores y continuar con la formación deseada. Ha de ser la legislación sectorial la que regule de manera más precisa, las medidas que garanticen una universidad inclusiva pues la propia ley de discapacidad no hace referencia a ningún tipo de media concreta (solo generalidades). Con ello, se evitaría que la adopción de dichas medidas quedara expuesta a la libre iniciativa del gobierno de turno. Una vez recogidas e implantadas, serían de obligado cumplimiento para toda la comunidad universitaria.</w:t>
      </w:r>
    </w:p>
    <w:p w:rsidR="00664415" w:rsidRPr="005E1103" w:rsidRDefault="00664415" w:rsidP="00664415">
      <w:pPr>
        <w:spacing w:after="0" w:line="360" w:lineRule="auto"/>
        <w:ind w:firstLine="708"/>
        <w:jc w:val="both"/>
        <w:rPr>
          <w:rFonts w:cstheme="minorHAnsi"/>
          <w:bCs/>
          <w:sz w:val="28"/>
          <w:szCs w:val="28"/>
          <w:shd w:val="clear" w:color="auto" w:fill="FFFFFF"/>
        </w:rPr>
      </w:pPr>
      <w:r w:rsidRPr="005E1103">
        <w:rPr>
          <w:rFonts w:cstheme="minorHAnsi"/>
          <w:bCs/>
          <w:sz w:val="28"/>
          <w:szCs w:val="28"/>
          <w:shd w:val="clear" w:color="auto" w:fill="FFFFFF"/>
        </w:rPr>
        <w:t>2-Habilitar/adaptar las universidades a la demanda de las necesidades solicitadas según lo establecido en la legislación.</w:t>
      </w:r>
    </w:p>
    <w:p w:rsidR="00664415" w:rsidRPr="005E1103" w:rsidRDefault="00664415" w:rsidP="00664415">
      <w:pPr>
        <w:spacing w:after="0" w:line="360" w:lineRule="auto"/>
        <w:ind w:firstLine="708"/>
        <w:jc w:val="both"/>
        <w:rPr>
          <w:rFonts w:cstheme="minorHAnsi"/>
          <w:bCs/>
          <w:sz w:val="28"/>
          <w:szCs w:val="28"/>
          <w:shd w:val="clear" w:color="auto" w:fill="FFFFFF"/>
        </w:rPr>
      </w:pPr>
      <w:r w:rsidRPr="005E1103">
        <w:rPr>
          <w:rFonts w:cstheme="minorHAnsi"/>
          <w:bCs/>
          <w:sz w:val="28"/>
          <w:szCs w:val="28"/>
          <w:shd w:val="clear" w:color="auto" w:fill="FFFFFF"/>
        </w:rPr>
        <w:t>3-Potenciar las universidades de calidad como medio en la formación para personas con discapacidad.</w:t>
      </w:r>
    </w:p>
    <w:p w:rsidR="00664415" w:rsidRPr="005E1103" w:rsidRDefault="00664415" w:rsidP="00664415">
      <w:pPr>
        <w:spacing w:after="0" w:line="360" w:lineRule="auto"/>
        <w:ind w:firstLine="708"/>
        <w:jc w:val="both"/>
        <w:rPr>
          <w:rFonts w:cstheme="minorHAnsi"/>
          <w:bCs/>
          <w:sz w:val="28"/>
          <w:szCs w:val="28"/>
          <w:shd w:val="clear" w:color="auto" w:fill="FFFFFF"/>
        </w:rPr>
      </w:pPr>
      <w:r w:rsidRPr="005E1103">
        <w:rPr>
          <w:rFonts w:cstheme="minorHAnsi"/>
          <w:bCs/>
          <w:sz w:val="28"/>
          <w:szCs w:val="28"/>
          <w:shd w:val="clear" w:color="auto" w:fill="FFFFFF"/>
        </w:rPr>
        <w:t>4-Dar mayor relevancia y protagonismo a las oficinas de atención a la discapacidad/diversidad que cada universidad, unilateralmente y en ejercicio de su autonomía, ante la inacción legal del legislador, han desarrollado, convirtiéndolas en verdaderos centros de información, atención y gestión de las necesidades de las personas con discapacidad/diversidad</w:t>
      </w:r>
      <w:r w:rsidRPr="005E1103">
        <w:rPr>
          <w:rStyle w:val="Refdenotaalpie"/>
          <w:rFonts w:cstheme="minorHAnsi"/>
          <w:bCs/>
          <w:sz w:val="28"/>
          <w:szCs w:val="28"/>
          <w:shd w:val="clear" w:color="auto" w:fill="FFFFFF"/>
        </w:rPr>
        <w:footnoteReference w:id="48"/>
      </w:r>
      <w:r w:rsidRPr="005E1103">
        <w:rPr>
          <w:rFonts w:cstheme="minorHAnsi"/>
          <w:bCs/>
          <w:sz w:val="28"/>
          <w:szCs w:val="28"/>
          <w:shd w:val="clear" w:color="auto" w:fill="FFFFFF"/>
        </w:rPr>
        <w:t>. Estas han de ser el órgano intermediador entre las personas con discapacidad y la Institución universitaria.</w:t>
      </w:r>
    </w:p>
    <w:p w:rsidR="00664415" w:rsidRPr="005E1103" w:rsidRDefault="00664415" w:rsidP="00664415">
      <w:pPr>
        <w:spacing w:after="0" w:line="360" w:lineRule="auto"/>
        <w:ind w:firstLine="708"/>
        <w:jc w:val="both"/>
        <w:rPr>
          <w:rFonts w:cstheme="minorHAnsi"/>
          <w:bCs/>
          <w:sz w:val="28"/>
          <w:szCs w:val="28"/>
          <w:shd w:val="clear" w:color="auto" w:fill="FFFFFF"/>
        </w:rPr>
      </w:pPr>
      <w:r w:rsidRPr="005E1103">
        <w:rPr>
          <w:rFonts w:cstheme="minorHAnsi"/>
          <w:bCs/>
          <w:sz w:val="28"/>
          <w:szCs w:val="28"/>
          <w:shd w:val="clear" w:color="auto" w:fill="FFFFFF"/>
        </w:rPr>
        <w:t xml:space="preserve">5- Implantar y fomentar la coordinación interadministrativa e interuniversitaria, mediante reuniones sectoriales entre las distintas oficinas de atención a la discapacidad/diversidad de las diferentes universidades, con el fin de compartir propuestas, medidas, objetivos, proyectos, dotación económica, y así homogeneizar la situación entre las </w:t>
      </w:r>
      <w:r w:rsidRPr="005E1103">
        <w:rPr>
          <w:rFonts w:cstheme="minorHAnsi"/>
          <w:bCs/>
          <w:sz w:val="28"/>
          <w:szCs w:val="28"/>
          <w:shd w:val="clear" w:color="auto" w:fill="FFFFFF"/>
        </w:rPr>
        <w:lastRenderedPageBreak/>
        <w:t>universidades para garantizar la situación de las personas con discapacidad. Con ello, se evitarían universidades de primera y segunda categoría en cuanto a la inclusión de las personas con discapacidad.</w:t>
      </w:r>
    </w:p>
    <w:p w:rsidR="00664415" w:rsidRPr="005E1103" w:rsidRDefault="00664415" w:rsidP="00664415">
      <w:pPr>
        <w:spacing w:after="0" w:line="360" w:lineRule="auto"/>
        <w:ind w:firstLine="708"/>
        <w:jc w:val="both"/>
        <w:rPr>
          <w:rFonts w:cstheme="minorHAnsi"/>
          <w:bCs/>
          <w:sz w:val="28"/>
          <w:szCs w:val="28"/>
          <w:shd w:val="clear" w:color="auto" w:fill="FFFFFF"/>
        </w:rPr>
      </w:pPr>
      <w:r w:rsidRPr="005E1103">
        <w:rPr>
          <w:rFonts w:cstheme="minorHAnsi"/>
          <w:bCs/>
          <w:sz w:val="28"/>
          <w:szCs w:val="28"/>
          <w:shd w:val="clear" w:color="auto" w:fill="FFFFFF"/>
        </w:rPr>
        <w:t>6- Derivación de recursos económicos, materiales y profesionales, suficientes, que satisfagan las obligaciones de las universidades con los estudiantes con discapacidad. Dichos recursos debería estar basados en criterios objetivos y no de disponibilidad presupuestaria según cada universidad. El panorama de las universidades españolas pone de manifiesto una gran variabilidad de recursos entre ellas</w:t>
      </w:r>
      <w:r w:rsidRPr="005E1103">
        <w:rPr>
          <w:rFonts w:cstheme="minorHAnsi"/>
          <w:bCs/>
          <w:color w:val="FF0000"/>
          <w:sz w:val="28"/>
          <w:szCs w:val="28"/>
          <w:shd w:val="clear" w:color="auto" w:fill="FFFFFF"/>
        </w:rPr>
        <w:t>.</w:t>
      </w:r>
    </w:p>
    <w:p w:rsidR="00664415" w:rsidRPr="005E1103" w:rsidRDefault="00664415" w:rsidP="00664415">
      <w:pPr>
        <w:spacing w:after="0" w:line="360" w:lineRule="auto"/>
        <w:ind w:firstLine="708"/>
        <w:jc w:val="both"/>
        <w:rPr>
          <w:rFonts w:cstheme="minorHAnsi"/>
          <w:bCs/>
          <w:sz w:val="28"/>
          <w:szCs w:val="28"/>
          <w:shd w:val="clear" w:color="auto" w:fill="FFFFFF"/>
        </w:rPr>
      </w:pPr>
    </w:p>
    <w:p w:rsidR="00664415" w:rsidRPr="005E1103" w:rsidRDefault="00664415" w:rsidP="00664415">
      <w:pPr>
        <w:spacing w:after="0" w:line="360" w:lineRule="auto"/>
        <w:ind w:firstLine="708"/>
        <w:jc w:val="both"/>
        <w:rPr>
          <w:rFonts w:cstheme="minorHAnsi"/>
          <w:sz w:val="28"/>
          <w:szCs w:val="28"/>
        </w:rPr>
      </w:pPr>
      <w:r w:rsidRPr="005E1103">
        <w:rPr>
          <w:rFonts w:cstheme="minorHAnsi"/>
          <w:sz w:val="28"/>
          <w:szCs w:val="28"/>
        </w:rPr>
        <w:t xml:space="preserve"> Para finalizar y como reflexión a esta breve revisión jurídica, parece acertado dar por concluida esta ponencia con esta frase: </w:t>
      </w:r>
      <w:r w:rsidRPr="005E1103">
        <w:rPr>
          <w:rFonts w:cstheme="minorHAnsi"/>
          <w:i/>
          <w:sz w:val="28"/>
          <w:szCs w:val="28"/>
        </w:rPr>
        <w:t>Educación y Derecho son las herramientas que hacen posible una universidad inclusiva.</w:t>
      </w:r>
      <w:r w:rsidRPr="005E1103">
        <w:rPr>
          <w:rFonts w:cstheme="minorHAnsi"/>
          <w:sz w:val="28"/>
          <w:szCs w:val="28"/>
        </w:rPr>
        <w:t xml:space="preserve"> Palabras como las de Arnaiz (2007:35-40), vienen a ratificar semejante aseveración, pues señala que “es imprescindible educar y legislar en el marco de un modelo social y diverso de la discapacidad”. Este nuevo modelo requiere de una educación de calidad, no discriminatoria, participativa y que asuma la heterogeneidad como factor de enriquecimiento. Hacer de la discapacidad una “normalización”, no una causa de distinción. Educar bajo el concepto de que las personas con discapacidad son diferentes/diversas pero no por ello, desiguales al resto. La educación contribuye a mejorar la vida y es una pieza clave para acabar con las desigualdades más arraigadas en la sociedad porque la educación promueve la libertad y la autonomía personal generando importantes beneficios para el desarrollo personal y social.</w:t>
      </w:r>
    </w:p>
    <w:p w:rsidR="00664415" w:rsidRPr="005E1103" w:rsidRDefault="00664415" w:rsidP="00664415">
      <w:pPr>
        <w:spacing w:after="0" w:line="360" w:lineRule="auto"/>
        <w:ind w:firstLine="708"/>
        <w:jc w:val="both"/>
        <w:rPr>
          <w:rFonts w:cstheme="minorHAnsi"/>
          <w:sz w:val="28"/>
          <w:szCs w:val="28"/>
        </w:rPr>
      </w:pPr>
    </w:p>
    <w:p w:rsidR="00664415" w:rsidRPr="005E1103" w:rsidRDefault="00664415" w:rsidP="00664415">
      <w:pPr>
        <w:rPr>
          <w:rFonts w:cstheme="minorHAnsi"/>
          <w:b/>
          <w:sz w:val="28"/>
          <w:szCs w:val="28"/>
        </w:rPr>
      </w:pPr>
      <w:r w:rsidRPr="005E1103">
        <w:rPr>
          <w:rFonts w:cstheme="minorHAnsi"/>
          <w:b/>
          <w:sz w:val="28"/>
          <w:szCs w:val="28"/>
        </w:rPr>
        <w:t xml:space="preserve">Bibliografía </w:t>
      </w:r>
    </w:p>
    <w:p w:rsidR="00664415" w:rsidRPr="005E1103" w:rsidRDefault="00664415" w:rsidP="00664415">
      <w:pPr>
        <w:spacing w:after="0" w:line="360" w:lineRule="auto"/>
        <w:ind w:left="709" w:hanging="709"/>
        <w:rPr>
          <w:rFonts w:cstheme="minorHAnsi"/>
          <w:smallCaps/>
          <w:sz w:val="28"/>
          <w:szCs w:val="28"/>
        </w:rPr>
      </w:pPr>
      <w:r w:rsidRPr="005E1103">
        <w:rPr>
          <w:rFonts w:cstheme="minorHAnsi"/>
          <w:smallCaps/>
          <w:sz w:val="28"/>
          <w:szCs w:val="28"/>
        </w:rPr>
        <w:lastRenderedPageBreak/>
        <w:t>Arnaiz, P</w:t>
      </w:r>
      <w:r w:rsidRPr="005E1103">
        <w:rPr>
          <w:rFonts w:cstheme="minorHAnsi"/>
          <w:sz w:val="28"/>
          <w:szCs w:val="28"/>
        </w:rPr>
        <w:t xml:space="preserve">. (2007) </w:t>
      </w:r>
      <w:r w:rsidRPr="005E1103">
        <w:rPr>
          <w:rFonts w:cstheme="minorHAnsi"/>
          <w:i/>
          <w:sz w:val="28"/>
          <w:szCs w:val="28"/>
        </w:rPr>
        <w:t>La atención a la diversidad: programación curricular</w:t>
      </w:r>
      <w:r w:rsidRPr="005E1103">
        <w:rPr>
          <w:rFonts w:cstheme="minorHAnsi"/>
          <w:sz w:val="28"/>
          <w:szCs w:val="28"/>
        </w:rPr>
        <w:t>, Madrid, Editorial de la Universidad Estatal a distancia (UNED).</w:t>
      </w:r>
      <w:r w:rsidRPr="005E1103">
        <w:rPr>
          <w:rFonts w:cstheme="minorHAnsi"/>
          <w:smallCaps/>
          <w:sz w:val="28"/>
          <w:szCs w:val="28"/>
        </w:rPr>
        <w:t xml:space="preserve"> </w:t>
      </w:r>
    </w:p>
    <w:p w:rsidR="00664415" w:rsidRPr="005E1103" w:rsidRDefault="00664415" w:rsidP="00664415">
      <w:pPr>
        <w:spacing w:after="0" w:line="360" w:lineRule="auto"/>
        <w:ind w:left="709" w:hanging="709"/>
        <w:rPr>
          <w:rFonts w:cstheme="minorHAnsi"/>
          <w:sz w:val="28"/>
          <w:szCs w:val="28"/>
        </w:rPr>
      </w:pPr>
      <w:r w:rsidRPr="005E1103">
        <w:rPr>
          <w:rFonts w:cstheme="minorHAnsi"/>
          <w:smallCaps/>
          <w:sz w:val="28"/>
          <w:szCs w:val="28"/>
        </w:rPr>
        <w:t>Martínez Abellán, R</w:t>
      </w:r>
      <w:r w:rsidRPr="005E1103">
        <w:rPr>
          <w:rFonts w:cstheme="minorHAnsi"/>
          <w:sz w:val="28"/>
          <w:szCs w:val="28"/>
        </w:rPr>
        <w:t xml:space="preserve">. (2010), “Una aproximación a la educación inclusiva en España”, </w:t>
      </w:r>
      <w:r w:rsidRPr="005E1103">
        <w:rPr>
          <w:rFonts w:cstheme="minorHAnsi"/>
          <w:i/>
          <w:sz w:val="28"/>
          <w:szCs w:val="28"/>
        </w:rPr>
        <w:t>Revista de Educación Incluida</w:t>
      </w:r>
      <w:r w:rsidRPr="005E1103">
        <w:rPr>
          <w:rFonts w:cstheme="minorHAnsi"/>
          <w:sz w:val="28"/>
          <w:szCs w:val="28"/>
        </w:rPr>
        <w:t>, vol.3, Murcia, pág. 152.</w:t>
      </w:r>
    </w:p>
    <w:p w:rsidR="00664415" w:rsidRPr="005E1103" w:rsidRDefault="00664415" w:rsidP="00664415">
      <w:pPr>
        <w:spacing w:after="0" w:line="360" w:lineRule="auto"/>
        <w:ind w:left="709" w:hanging="709"/>
        <w:jc w:val="both"/>
        <w:rPr>
          <w:rFonts w:cstheme="minorHAnsi"/>
          <w:sz w:val="28"/>
          <w:szCs w:val="28"/>
        </w:rPr>
      </w:pPr>
      <w:r w:rsidRPr="005E1103">
        <w:rPr>
          <w:rFonts w:cstheme="minorHAnsi"/>
          <w:bCs/>
          <w:smallCaps/>
          <w:sz w:val="28"/>
          <w:szCs w:val="28"/>
        </w:rPr>
        <w:t>Villalobos, e. y Zalakain, j. (2010) “</w:t>
      </w:r>
      <w:r w:rsidRPr="005E1103">
        <w:rPr>
          <w:rFonts w:cstheme="minorHAnsi"/>
          <w:i/>
          <w:sz w:val="28"/>
          <w:szCs w:val="28"/>
        </w:rPr>
        <w:t>Discapacidad, Inclusión y Tercer Sector</w:t>
      </w:r>
      <w:r w:rsidRPr="005E1103">
        <w:rPr>
          <w:rFonts w:cstheme="minorHAnsi"/>
          <w:sz w:val="28"/>
          <w:szCs w:val="28"/>
        </w:rPr>
        <w:t>, Madrid, Cermi.</w:t>
      </w:r>
    </w:p>
    <w:p w:rsidR="00664415" w:rsidRPr="005E1103" w:rsidRDefault="00664415" w:rsidP="00664415">
      <w:pPr>
        <w:spacing w:after="0" w:line="360" w:lineRule="auto"/>
        <w:ind w:left="709" w:hanging="709"/>
        <w:jc w:val="both"/>
        <w:rPr>
          <w:rFonts w:cstheme="minorHAnsi"/>
          <w:b/>
          <w:sz w:val="28"/>
          <w:szCs w:val="28"/>
        </w:rPr>
      </w:pPr>
      <w:r w:rsidRPr="005E1103">
        <w:rPr>
          <w:rFonts w:cstheme="minorHAnsi"/>
          <w:b/>
          <w:sz w:val="28"/>
          <w:szCs w:val="28"/>
        </w:rPr>
        <w:t xml:space="preserve">Webgrafía </w:t>
      </w:r>
    </w:p>
    <w:p w:rsidR="00664415" w:rsidRPr="005E1103" w:rsidRDefault="00BF6455" w:rsidP="00664415">
      <w:pPr>
        <w:spacing w:after="0" w:line="360" w:lineRule="auto"/>
        <w:ind w:left="709" w:hanging="709"/>
        <w:jc w:val="both"/>
        <w:rPr>
          <w:rFonts w:cstheme="minorHAnsi"/>
          <w:sz w:val="28"/>
          <w:szCs w:val="28"/>
        </w:rPr>
      </w:pPr>
      <w:hyperlink w:history="1">
        <w:r w:rsidR="00664415" w:rsidRPr="005E1103">
          <w:rPr>
            <w:rStyle w:val="Hipervnculo"/>
            <w:rFonts w:cstheme="minorHAnsi"/>
            <w:sz w:val="28"/>
            <w:szCs w:val="28"/>
          </w:rPr>
          <w:t>http://guia-de-atencion-a-la discapacidad2016.fundacion-universia</w:t>
        </w:r>
      </w:hyperlink>
      <w:r w:rsidR="00664415" w:rsidRPr="005E1103">
        <w:rPr>
          <w:rFonts w:cstheme="minorHAnsi"/>
          <w:sz w:val="28"/>
          <w:szCs w:val="28"/>
        </w:rPr>
        <w:t>. Consultada 29 de agosto 2016.</w:t>
      </w:r>
    </w:p>
    <w:p w:rsidR="00664415" w:rsidRPr="005E1103" w:rsidRDefault="00BF6455" w:rsidP="00664415">
      <w:pPr>
        <w:spacing w:after="0" w:line="360" w:lineRule="auto"/>
        <w:ind w:left="709" w:hanging="709"/>
        <w:jc w:val="both"/>
        <w:rPr>
          <w:rFonts w:cstheme="minorHAnsi"/>
          <w:sz w:val="28"/>
          <w:szCs w:val="28"/>
        </w:rPr>
      </w:pPr>
      <w:hyperlink r:id="rId138" w:history="1">
        <w:r w:rsidR="00664415" w:rsidRPr="005E1103">
          <w:rPr>
            <w:rStyle w:val="Hipervnculo"/>
            <w:rFonts w:cstheme="minorHAnsi"/>
            <w:sz w:val="28"/>
            <w:szCs w:val="28"/>
          </w:rPr>
          <w:t>http://www.msssi.gob.es/ssi/discapacidad/informacion/planAccionEstrategiaEspanolaDiscapacidad.htm</w:t>
        </w:r>
      </w:hyperlink>
      <w:r w:rsidR="00664415" w:rsidRPr="005E1103">
        <w:rPr>
          <w:rFonts w:cstheme="minorHAnsi"/>
          <w:sz w:val="28"/>
          <w:szCs w:val="28"/>
        </w:rPr>
        <w:t>. Consultada 29 de agosto 2016.</w:t>
      </w:r>
    </w:p>
    <w:p w:rsidR="00664415" w:rsidRPr="005E1103" w:rsidRDefault="00664415" w:rsidP="00664415">
      <w:pPr>
        <w:jc w:val="both"/>
        <w:rPr>
          <w:rFonts w:cstheme="minorHAnsi"/>
          <w:b/>
          <w:sz w:val="28"/>
          <w:szCs w:val="28"/>
        </w:rPr>
      </w:pPr>
      <w:r w:rsidRPr="005E1103">
        <w:rPr>
          <w:rFonts w:cstheme="minorHAnsi"/>
          <w:b/>
          <w:sz w:val="28"/>
          <w:szCs w:val="28"/>
        </w:rPr>
        <w:t>Legislación</w:t>
      </w:r>
    </w:p>
    <w:p w:rsidR="00664415" w:rsidRPr="005E1103" w:rsidRDefault="00664415" w:rsidP="00664415">
      <w:pPr>
        <w:spacing w:after="0" w:line="360" w:lineRule="auto"/>
        <w:jc w:val="both"/>
        <w:rPr>
          <w:rFonts w:cstheme="minorHAnsi"/>
          <w:sz w:val="28"/>
          <w:szCs w:val="28"/>
        </w:rPr>
      </w:pPr>
      <w:r w:rsidRPr="005E1103">
        <w:rPr>
          <w:rFonts w:cstheme="minorHAnsi"/>
          <w:sz w:val="28"/>
          <w:szCs w:val="28"/>
        </w:rPr>
        <w:t>España, Convención Internacional de los Derechos de las Personas con Discapacidad, Boletín Oficial del Estado, 21 de abril de 2008, núm. 96.</w:t>
      </w:r>
    </w:p>
    <w:p w:rsidR="00664415" w:rsidRPr="005E1103" w:rsidRDefault="00664415" w:rsidP="00664415">
      <w:pPr>
        <w:spacing w:after="0" w:line="360" w:lineRule="auto"/>
        <w:jc w:val="both"/>
        <w:rPr>
          <w:rFonts w:cstheme="minorHAnsi"/>
          <w:sz w:val="28"/>
          <w:szCs w:val="28"/>
        </w:rPr>
      </w:pPr>
      <w:r w:rsidRPr="005E1103">
        <w:rPr>
          <w:rFonts w:cstheme="minorHAnsi"/>
          <w:sz w:val="28"/>
          <w:szCs w:val="28"/>
        </w:rPr>
        <w:t>España, Constitución Española, Boletín Oficial del Estado, de 29 de diciembre de 1978, núm. 311.</w:t>
      </w:r>
    </w:p>
    <w:p w:rsidR="00664415" w:rsidRPr="005E1103" w:rsidRDefault="00664415" w:rsidP="00664415">
      <w:pPr>
        <w:spacing w:after="0" w:line="360" w:lineRule="auto"/>
        <w:jc w:val="both"/>
        <w:rPr>
          <w:rFonts w:cstheme="minorHAnsi"/>
          <w:sz w:val="28"/>
          <w:szCs w:val="28"/>
        </w:rPr>
      </w:pPr>
      <w:r w:rsidRPr="005E1103">
        <w:rPr>
          <w:rFonts w:cstheme="minorHAnsi"/>
          <w:sz w:val="28"/>
          <w:szCs w:val="28"/>
        </w:rPr>
        <w:t>España, Ley Orgánica 8/1985, de 3 de julio, reguladora del Derecho a la Educación (LODE), Boletín Oficial del Estado, de 4 de julio de 1985, núm. 159</w:t>
      </w:r>
    </w:p>
    <w:p w:rsidR="00664415" w:rsidRPr="005E1103" w:rsidRDefault="00664415" w:rsidP="00664415">
      <w:pPr>
        <w:spacing w:after="0" w:line="360" w:lineRule="auto"/>
        <w:jc w:val="both"/>
        <w:rPr>
          <w:rFonts w:cstheme="minorHAnsi"/>
          <w:sz w:val="28"/>
          <w:szCs w:val="28"/>
        </w:rPr>
      </w:pPr>
      <w:r w:rsidRPr="005E1103">
        <w:rPr>
          <w:rFonts w:cstheme="minorHAnsi"/>
          <w:sz w:val="28"/>
          <w:szCs w:val="28"/>
        </w:rPr>
        <w:t>España, Ley Orgánica 1/1990, de 3 de octubre, de Ordenación General del Sistema Educativo (LOGSE), Boletín Oficial del Estado, de 4 de octubre de 1990, núm. 238.</w:t>
      </w:r>
    </w:p>
    <w:p w:rsidR="00664415" w:rsidRPr="005E1103" w:rsidRDefault="00664415" w:rsidP="00664415">
      <w:pPr>
        <w:spacing w:after="0" w:line="360" w:lineRule="auto"/>
        <w:jc w:val="both"/>
        <w:rPr>
          <w:rFonts w:cstheme="minorHAnsi"/>
          <w:sz w:val="28"/>
          <w:szCs w:val="28"/>
        </w:rPr>
      </w:pPr>
      <w:r w:rsidRPr="005E1103">
        <w:rPr>
          <w:rFonts w:cstheme="minorHAnsi"/>
          <w:color w:val="000000"/>
          <w:sz w:val="28"/>
          <w:szCs w:val="28"/>
          <w:shd w:val="clear" w:color="auto" w:fill="F8F8F8"/>
        </w:rPr>
        <w:t>España,</w:t>
      </w:r>
      <w:r w:rsidRPr="005E1103">
        <w:rPr>
          <w:rFonts w:cstheme="minorHAnsi"/>
          <w:sz w:val="28"/>
          <w:szCs w:val="28"/>
        </w:rPr>
        <w:t xml:space="preserve"> Ley</w:t>
      </w:r>
      <w:r w:rsidRPr="005E1103">
        <w:rPr>
          <w:rFonts w:cstheme="minorHAnsi"/>
          <w:color w:val="333333"/>
          <w:sz w:val="28"/>
          <w:szCs w:val="28"/>
          <w:shd w:val="clear" w:color="auto" w:fill="FFFFFF"/>
        </w:rPr>
        <w:t xml:space="preserve"> </w:t>
      </w:r>
      <w:r w:rsidRPr="005E1103">
        <w:rPr>
          <w:rFonts w:cstheme="minorHAnsi"/>
          <w:sz w:val="28"/>
          <w:szCs w:val="28"/>
          <w:shd w:val="clear" w:color="auto" w:fill="FFFFFF"/>
        </w:rPr>
        <w:t xml:space="preserve">Orgánica 2/2006, de 3 de mayo, </w:t>
      </w:r>
      <w:r w:rsidRPr="005E1103">
        <w:rPr>
          <w:rFonts w:cstheme="minorHAnsi"/>
          <w:sz w:val="28"/>
          <w:szCs w:val="28"/>
        </w:rPr>
        <w:t xml:space="preserve">de Educación (LOE), Boletín Oficial del Estado, </w:t>
      </w:r>
      <w:r w:rsidRPr="005E1103">
        <w:rPr>
          <w:rFonts w:cstheme="minorHAnsi"/>
          <w:sz w:val="28"/>
          <w:szCs w:val="28"/>
          <w:shd w:val="clear" w:color="auto" w:fill="FFFFFF"/>
        </w:rPr>
        <w:t xml:space="preserve">de 4 de mayo de 2006, </w:t>
      </w:r>
      <w:r w:rsidRPr="005E1103">
        <w:rPr>
          <w:rFonts w:cstheme="minorHAnsi"/>
          <w:sz w:val="28"/>
          <w:szCs w:val="28"/>
        </w:rPr>
        <w:t>núm.</w:t>
      </w:r>
      <w:r w:rsidRPr="005E1103">
        <w:rPr>
          <w:rStyle w:val="apple-converted-space"/>
          <w:rFonts w:cstheme="minorHAnsi"/>
          <w:sz w:val="28"/>
          <w:szCs w:val="28"/>
          <w:shd w:val="clear" w:color="auto" w:fill="FFFFFF"/>
        </w:rPr>
        <w:t xml:space="preserve"> </w:t>
      </w:r>
      <w:r w:rsidRPr="005E1103">
        <w:rPr>
          <w:rFonts w:cstheme="minorHAnsi"/>
          <w:sz w:val="28"/>
          <w:szCs w:val="28"/>
          <w:shd w:val="clear" w:color="auto" w:fill="FFFFFF"/>
        </w:rPr>
        <w:t>106.</w:t>
      </w:r>
    </w:p>
    <w:p w:rsidR="00664415" w:rsidRPr="005E1103" w:rsidRDefault="00664415" w:rsidP="00664415">
      <w:pPr>
        <w:spacing w:after="0" w:line="360" w:lineRule="auto"/>
        <w:jc w:val="both"/>
        <w:rPr>
          <w:rFonts w:cstheme="minorHAnsi"/>
          <w:sz w:val="28"/>
          <w:szCs w:val="28"/>
        </w:rPr>
      </w:pPr>
      <w:r w:rsidRPr="005E1103">
        <w:rPr>
          <w:rFonts w:cstheme="minorHAnsi"/>
          <w:sz w:val="28"/>
          <w:szCs w:val="28"/>
        </w:rPr>
        <w:t>España, la Ley Orgánica 8/2013, de 9 de diciembre, para la mejora de la calidad educativa (LOMCE), Boletín Oficial del Estado, de 10 diciembre de 2013, núm. 295.</w:t>
      </w:r>
    </w:p>
    <w:p w:rsidR="00664415" w:rsidRPr="005E1103" w:rsidRDefault="00664415" w:rsidP="00664415">
      <w:pPr>
        <w:spacing w:after="0" w:line="360" w:lineRule="auto"/>
        <w:jc w:val="both"/>
        <w:rPr>
          <w:rFonts w:cstheme="minorHAnsi"/>
          <w:sz w:val="28"/>
          <w:szCs w:val="28"/>
          <w:shd w:val="clear" w:color="auto" w:fill="FFFFFF"/>
        </w:rPr>
      </w:pPr>
      <w:r w:rsidRPr="005E1103">
        <w:rPr>
          <w:rFonts w:cstheme="minorHAnsi"/>
          <w:color w:val="000000"/>
          <w:sz w:val="28"/>
          <w:szCs w:val="28"/>
          <w:shd w:val="clear" w:color="auto" w:fill="F8F8F8"/>
        </w:rPr>
        <w:lastRenderedPageBreak/>
        <w:t xml:space="preserve">España, </w:t>
      </w:r>
      <w:r w:rsidRPr="005E1103">
        <w:rPr>
          <w:rFonts w:cstheme="minorHAnsi"/>
          <w:sz w:val="28"/>
          <w:szCs w:val="28"/>
          <w:shd w:val="clear" w:color="auto" w:fill="FFFFFF"/>
        </w:rPr>
        <w:t>Ley Orgánica 6/2001, de 21 de diciembre, de Universidades, Boletín Oficial del Estado, 24 de diciembre de 2001, núm. 307.</w:t>
      </w:r>
    </w:p>
    <w:p w:rsidR="00664415" w:rsidRPr="005E1103" w:rsidRDefault="00664415" w:rsidP="00664415">
      <w:pPr>
        <w:spacing w:after="0" w:line="360" w:lineRule="auto"/>
        <w:jc w:val="both"/>
        <w:rPr>
          <w:rFonts w:cstheme="minorHAnsi"/>
          <w:sz w:val="28"/>
          <w:szCs w:val="28"/>
          <w:shd w:val="clear" w:color="auto" w:fill="FFFFFF"/>
        </w:rPr>
      </w:pPr>
      <w:r w:rsidRPr="005E1103">
        <w:rPr>
          <w:rFonts w:cstheme="minorHAnsi"/>
          <w:sz w:val="28"/>
          <w:szCs w:val="28"/>
        </w:rPr>
        <w:t xml:space="preserve">España, </w:t>
      </w:r>
      <w:r w:rsidRPr="005E1103">
        <w:rPr>
          <w:rFonts w:cstheme="minorHAnsi"/>
          <w:color w:val="000000"/>
          <w:sz w:val="28"/>
          <w:szCs w:val="28"/>
          <w:shd w:val="clear" w:color="auto" w:fill="F8F8F8"/>
        </w:rPr>
        <w:t>Real Decreto Legislativo 1/2013, de 29 de noviembre, por el que se aprueba el Texto Refundido de la Ley General de Derechos de las Personas con Discapacidad y de su Inclusión Social, Boletín Oficial del Estado, 3 de diciembre de 2013, núm. 289.</w:t>
      </w:r>
    </w:p>
    <w:p w:rsidR="00664415" w:rsidRPr="005E1103" w:rsidRDefault="00664415" w:rsidP="00664415">
      <w:pPr>
        <w:spacing w:after="0" w:line="360" w:lineRule="auto"/>
        <w:jc w:val="both"/>
        <w:rPr>
          <w:rFonts w:cstheme="minorHAnsi"/>
          <w:sz w:val="28"/>
          <w:szCs w:val="28"/>
        </w:rPr>
      </w:pPr>
      <w:r w:rsidRPr="005E1103">
        <w:rPr>
          <w:rFonts w:cstheme="minorHAnsi"/>
          <w:sz w:val="28"/>
          <w:szCs w:val="28"/>
          <w:shd w:val="clear" w:color="auto" w:fill="FFFFFF"/>
        </w:rPr>
        <w:t xml:space="preserve">España, Andalucía </w:t>
      </w:r>
      <w:r w:rsidRPr="005E1103">
        <w:rPr>
          <w:rFonts w:cstheme="minorHAnsi"/>
          <w:sz w:val="28"/>
          <w:szCs w:val="28"/>
        </w:rPr>
        <w:t xml:space="preserve">Decreto Legislativo 1/2013, de 8 de enero, por el que se aprueba el Texto Refundido de la Ley Andaluza de Universidades, Boletín de la Junta de Andalucía, 11 de enero de 2013, núm. 8. </w:t>
      </w:r>
    </w:p>
    <w:p w:rsidR="0046263B" w:rsidRPr="005E1103" w:rsidRDefault="00664415" w:rsidP="00664415">
      <w:pPr>
        <w:tabs>
          <w:tab w:val="left" w:pos="6960"/>
        </w:tabs>
        <w:rPr>
          <w:rFonts w:cstheme="minorHAnsi"/>
          <w:sz w:val="28"/>
          <w:szCs w:val="28"/>
        </w:rPr>
      </w:pPr>
      <w:r w:rsidRPr="005E1103">
        <w:rPr>
          <w:rFonts w:cstheme="minorHAnsi"/>
          <w:sz w:val="28"/>
          <w:szCs w:val="28"/>
        </w:rPr>
        <w:t>España, Andalucía, la Ley 1/1999, de 31 de marzo, de Atención a las Personas con Discapacidad de Andalucía, Boletín de la Junta de Andalucía, 17 de abril de 1999, núm.45.</w:t>
      </w:r>
    </w:p>
    <w:p w:rsidR="0046263B" w:rsidRPr="005E1103" w:rsidRDefault="0046263B">
      <w:pPr>
        <w:rPr>
          <w:rFonts w:cstheme="minorHAnsi"/>
          <w:sz w:val="28"/>
          <w:szCs w:val="28"/>
        </w:rPr>
      </w:pPr>
      <w:r w:rsidRPr="005E1103">
        <w:rPr>
          <w:rFonts w:cstheme="minorHAnsi"/>
          <w:sz w:val="28"/>
          <w:szCs w:val="28"/>
        </w:rPr>
        <w:br w:type="page"/>
      </w:r>
    </w:p>
    <w:p w:rsidR="0046263B" w:rsidRPr="005E1103" w:rsidRDefault="0046263B" w:rsidP="0046263B">
      <w:pPr>
        <w:spacing w:line="360" w:lineRule="auto"/>
        <w:jc w:val="center"/>
        <w:rPr>
          <w:rFonts w:cstheme="minorHAnsi"/>
          <w:b/>
          <w:sz w:val="28"/>
          <w:szCs w:val="28"/>
        </w:rPr>
      </w:pPr>
      <w:r w:rsidRPr="005E1103">
        <w:rPr>
          <w:rFonts w:cstheme="minorHAnsi"/>
          <w:b/>
          <w:sz w:val="28"/>
          <w:szCs w:val="28"/>
        </w:rPr>
        <w:lastRenderedPageBreak/>
        <w:t>COMUNICACIÓN 4</w:t>
      </w:r>
    </w:p>
    <w:tbl>
      <w:tblPr>
        <w:tblW w:w="9900" w:type="dxa"/>
        <w:tblInd w:w="-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900"/>
      </w:tblGrid>
      <w:tr w:rsidR="0046263B" w:rsidRPr="005E1103" w:rsidTr="0046263B">
        <w:trPr>
          <w:trHeight w:val="1692"/>
        </w:trPr>
        <w:tc>
          <w:tcPr>
            <w:tcW w:w="9900" w:type="dxa"/>
          </w:tcPr>
          <w:p w:rsidR="0046263B" w:rsidRPr="005E1103" w:rsidRDefault="0046263B" w:rsidP="0046263B">
            <w:pPr>
              <w:pStyle w:val="Ttulo1"/>
              <w:spacing w:line="360" w:lineRule="auto"/>
              <w:jc w:val="center"/>
              <w:rPr>
                <w:rFonts w:asciiTheme="minorHAnsi" w:hAnsiTheme="minorHAnsi" w:cstheme="minorHAnsi"/>
                <w:b w:val="0"/>
                <w:color w:val="auto"/>
              </w:rPr>
            </w:pPr>
            <w:r w:rsidRPr="005E1103">
              <w:rPr>
                <w:rFonts w:asciiTheme="minorHAnsi" w:hAnsiTheme="minorHAnsi" w:cstheme="minorHAnsi"/>
                <w:color w:val="auto"/>
              </w:rPr>
              <w:t>Aproximación al estado de la inclusión educativa universitaria en Colombia: tendencias y vacíos</w:t>
            </w:r>
          </w:p>
        </w:tc>
      </w:tr>
    </w:tbl>
    <w:p w:rsidR="0046263B" w:rsidRPr="005E1103" w:rsidRDefault="0046263B" w:rsidP="0046263B">
      <w:pPr>
        <w:rPr>
          <w:rFonts w:cstheme="minorHAnsi"/>
          <w:sz w:val="28"/>
          <w:szCs w:val="28"/>
        </w:rPr>
      </w:pPr>
    </w:p>
    <w:p w:rsidR="0046263B" w:rsidRPr="005E1103" w:rsidRDefault="0046263B" w:rsidP="0046263B">
      <w:pPr>
        <w:rPr>
          <w:rFonts w:cstheme="minorHAnsi"/>
          <w:sz w:val="28"/>
          <w:szCs w:val="28"/>
        </w:rPr>
      </w:pPr>
    </w:p>
    <w:p w:rsidR="0046263B" w:rsidRPr="005E1103" w:rsidRDefault="0046263B" w:rsidP="0046263B">
      <w:pPr>
        <w:rPr>
          <w:rFonts w:cstheme="minorHAnsi"/>
          <w:sz w:val="28"/>
          <w:szCs w:val="28"/>
        </w:rPr>
      </w:pPr>
    </w:p>
    <w:p w:rsidR="0046263B" w:rsidRPr="005E1103" w:rsidRDefault="0046263B" w:rsidP="0046263B">
      <w:pPr>
        <w:spacing w:line="360" w:lineRule="auto"/>
        <w:jc w:val="right"/>
        <w:rPr>
          <w:rFonts w:cstheme="minorHAnsi"/>
          <w:sz w:val="28"/>
          <w:szCs w:val="28"/>
        </w:rPr>
      </w:pPr>
      <w:r w:rsidRPr="005E1103">
        <w:rPr>
          <w:rFonts w:cstheme="minorHAnsi"/>
          <w:sz w:val="28"/>
          <w:szCs w:val="28"/>
        </w:rPr>
        <w:t>Jenny Estefany Valenzuela Rincón</w:t>
      </w:r>
    </w:p>
    <w:p w:rsidR="0046263B" w:rsidRPr="005E1103" w:rsidRDefault="0046263B" w:rsidP="0046263B">
      <w:pPr>
        <w:spacing w:line="360" w:lineRule="auto"/>
        <w:jc w:val="right"/>
        <w:rPr>
          <w:rFonts w:cstheme="minorHAnsi"/>
          <w:sz w:val="28"/>
          <w:szCs w:val="28"/>
        </w:rPr>
      </w:pPr>
      <w:r w:rsidRPr="005E1103">
        <w:rPr>
          <w:rFonts w:cstheme="minorHAnsi"/>
          <w:sz w:val="28"/>
          <w:szCs w:val="28"/>
        </w:rPr>
        <w:t>Estudiante de Trabajo Social</w:t>
      </w:r>
    </w:p>
    <w:p w:rsidR="0046263B" w:rsidRPr="005E1103" w:rsidRDefault="0046263B" w:rsidP="0046263B">
      <w:pPr>
        <w:spacing w:line="360" w:lineRule="auto"/>
        <w:jc w:val="right"/>
        <w:rPr>
          <w:rFonts w:cstheme="minorHAnsi"/>
          <w:sz w:val="28"/>
          <w:szCs w:val="28"/>
        </w:rPr>
      </w:pPr>
      <w:r w:rsidRPr="005E1103">
        <w:rPr>
          <w:rFonts w:cstheme="minorHAnsi"/>
          <w:sz w:val="28"/>
          <w:szCs w:val="28"/>
        </w:rPr>
        <w:t>Universidad Industral de Santander</w:t>
      </w:r>
    </w:p>
    <w:p w:rsidR="0046263B" w:rsidRPr="005E1103" w:rsidRDefault="0046263B" w:rsidP="0046263B">
      <w:pPr>
        <w:spacing w:line="360" w:lineRule="auto"/>
        <w:jc w:val="right"/>
        <w:rPr>
          <w:rFonts w:cstheme="minorHAnsi"/>
          <w:sz w:val="28"/>
          <w:szCs w:val="28"/>
        </w:rPr>
      </w:pPr>
      <w:r w:rsidRPr="005E1103">
        <w:rPr>
          <w:rFonts w:cstheme="minorHAnsi"/>
          <w:sz w:val="28"/>
          <w:szCs w:val="28"/>
        </w:rPr>
        <w:t>Investigadora de la Corporación Descontamina</w:t>
      </w:r>
    </w:p>
    <w:p w:rsidR="0046263B" w:rsidRPr="005E1103" w:rsidRDefault="0046263B" w:rsidP="0046263B">
      <w:pPr>
        <w:spacing w:line="360" w:lineRule="auto"/>
        <w:jc w:val="right"/>
        <w:rPr>
          <w:rFonts w:cstheme="minorHAnsi"/>
          <w:sz w:val="28"/>
          <w:szCs w:val="28"/>
        </w:rPr>
      </w:pPr>
      <w:r w:rsidRPr="005E1103">
        <w:rPr>
          <w:rFonts w:cstheme="minorHAnsi"/>
          <w:sz w:val="28"/>
          <w:szCs w:val="28"/>
        </w:rPr>
        <w:t xml:space="preserve">Investigadora del Grupo Población, Ambiente y Desarrollo GPAD. </w:t>
      </w:r>
    </w:p>
    <w:p w:rsidR="0046263B" w:rsidRPr="005E1103" w:rsidRDefault="0046263B" w:rsidP="0046263B">
      <w:pPr>
        <w:spacing w:line="360" w:lineRule="auto"/>
        <w:rPr>
          <w:rFonts w:cstheme="minorHAnsi"/>
          <w:b/>
          <w:sz w:val="28"/>
          <w:szCs w:val="28"/>
        </w:rPr>
      </w:pPr>
    </w:p>
    <w:p w:rsidR="0046263B" w:rsidRPr="005E1103" w:rsidRDefault="0046263B" w:rsidP="0046263B">
      <w:pPr>
        <w:spacing w:line="360" w:lineRule="auto"/>
        <w:rPr>
          <w:rFonts w:cstheme="minorHAnsi"/>
          <w:b/>
          <w:sz w:val="28"/>
          <w:szCs w:val="28"/>
        </w:rPr>
      </w:pPr>
    </w:p>
    <w:p w:rsidR="0046263B" w:rsidRPr="005E1103" w:rsidRDefault="0046263B" w:rsidP="0046263B">
      <w:pPr>
        <w:spacing w:line="360" w:lineRule="auto"/>
        <w:rPr>
          <w:rFonts w:cstheme="minorHAnsi"/>
          <w:sz w:val="28"/>
          <w:szCs w:val="28"/>
        </w:rPr>
      </w:pPr>
      <w:r w:rsidRPr="005E1103">
        <w:rPr>
          <w:rFonts w:cstheme="minorHAnsi"/>
          <w:b/>
          <w:sz w:val="28"/>
          <w:szCs w:val="28"/>
        </w:rPr>
        <w:t>Resumen:</w:t>
      </w:r>
      <w:r w:rsidRPr="005E1103">
        <w:rPr>
          <w:rFonts w:cstheme="minorHAnsi"/>
          <w:sz w:val="28"/>
          <w:szCs w:val="28"/>
        </w:rPr>
        <w:t xml:space="preserve"> el presente estudio es un acercamiento al estado la Inclusión Educativa universitaria en Colombia.  Para efectos del mismo, la discapacidad será abordada desde el modelo social y el enfoque de Diversidad funcional. En el área educativa el tema es complejo, debido a que la educación es una de las principales herramientas para llevar una vida digna y autónoma, y a pesar de encontrarse definida como un deber del Estado en el artículo 68 de la Constitución Política del país, esta no se cumple como se encuentra establecida en dicho documento.  El objetivo es develar el estado actual de la Inclusión Educativa universitaria en Colombia, para ello se realizará la búsqueda de artículos de estudio </w:t>
      </w:r>
      <w:r w:rsidRPr="005E1103">
        <w:rPr>
          <w:rFonts w:cstheme="minorHAnsi"/>
          <w:sz w:val="28"/>
          <w:szCs w:val="28"/>
        </w:rPr>
        <w:lastRenderedPageBreak/>
        <w:t>realizados en el país, en los cuales se analizará, ¿Cómo se aborda el tema? ¿Cómo se está llevando a cabo la inclusión? ¿Desde qué perspectiva? ¿Cuáles son los avances que se han logrado? Los resultados de este estudio son un paso importante para hacer seguimiento de cómo está el país en materia de inclusión educativa, además se darán aportes importantes para fortalecer este proceso y avanzar en la construcción de una sociedad más incluyente. La realización de estos estudios tiene especial relevancia, debido a que es importante generar espacios de reflexión, en donde se aborde el tema de diversidad funcional y las múltiples formas de aportar a mejorar su calidad de vida.</w:t>
      </w:r>
    </w:p>
    <w:p w:rsidR="0046263B" w:rsidRPr="005E1103" w:rsidRDefault="0046263B" w:rsidP="0046263B">
      <w:pPr>
        <w:spacing w:line="360" w:lineRule="auto"/>
        <w:jc w:val="both"/>
        <w:rPr>
          <w:rFonts w:cstheme="minorHAnsi"/>
          <w:sz w:val="28"/>
          <w:szCs w:val="28"/>
        </w:rPr>
      </w:pPr>
      <w:r w:rsidRPr="005E1103">
        <w:rPr>
          <w:rFonts w:cstheme="minorHAnsi"/>
          <w:b/>
          <w:sz w:val="28"/>
          <w:szCs w:val="28"/>
        </w:rPr>
        <w:t xml:space="preserve">Palabras claves: </w:t>
      </w:r>
      <w:r w:rsidRPr="005E1103">
        <w:rPr>
          <w:rFonts w:cstheme="minorHAnsi"/>
          <w:sz w:val="28"/>
          <w:szCs w:val="28"/>
        </w:rPr>
        <w:t>educación superior inclusiva, diversidad funcional, discapacidad.</w:t>
      </w:r>
    </w:p>
    <w:p w:rsidR="0046263B" w:rsidRPr="005E1103" w:rsidRDefault="0046263B" w:rsidP="0046263B">
      <w:pPr>
        <w:pStyle w:val="Ttulo2"/>
        <w:spacing w:line="360" w:lineRule="auto"/>
        <w:jc w:val="center"/>
        <w:rPr>
          <w:rFonts w:asciiTheme="minorHAnsi" w:hAnsiTheme="minorHAnsi" w:cstheme="minorHAnsi"/>
          <w:b w:val="0"/>
          <w:color w:val="auto"/>
          <w:sz w:val="28"/>
          <w:szCs w:val="28"/>
        </w:rPr>
      </w:pPr>
    </w:p>
    <w:p w:rsidR="0046263B" w:rsidRPr="005E1103" w:rsidRDefault="0046263B" w:rsidP="0046263B">
      <w:pPr>
        <w:pStyle w:val="Ttulo2"/>
        <w:spacing w:line="360" w:lineRule="auto"/>
        <w:jc w:val="center"/>
        <w:rPr>
          <w:rFonts w:asciiTheme="minorHAnsi" w:hAnsiTheme="minorHAnsi" w:cstheme="minorHAnsi"/>
          <w:b w:val="0"/>
          <w:color w:val="auto"/>
          <w:sz w:val="28"/>
          <w:szCs w:val="28"/>
        </w:rPr>
      </w:pPr>
      <w:r w:rsidRPr="005E1103">
        <w:rPr>
          <w:rFonts w:asciiTheme="minorHAnsi" w:hAnsiTheme="minorHAnsi" w:cstheme="minorHAnsi"/>
          <w:color w:val="auto"/>
          <w:sz w:val="28"/>
          <w:szCs w:val="28"/>
        </w:rPr>
        <w:t>Introducción</w:t>
      </w:r>
    </w:p>
    <w:p w:rsidR="0046263B" w:rsidRPr="005E1103" w:rsidRDefault="0046263B" w:rsidP="0046263B">
      <w:pPr>
        <w:spacing w:line="360" w:lineRule="auto"/>
        <w:jc w:val="both"/>
        <w:rPr>
          <w:rFonts w:cstheme="minorHAnsi"/>
          <w:sz w:val="28"/>
          <w:szCs w:val="28"/>
        </w:rPr>
      </w:pPr>
      <w:r w:rsidRPr="005E1103">
        <w:rPr>
          <w:rFonts w:cstheme="minorHAnsi"/>
          <w:sz w:val="28"/>
          <w:szCs w:val="28"/>
        </w:rPr>
        <w:t xml:space="preserve">El presente trabajo busca realizar un acercamiento al estado la Inclusión Educativa universitaria en Colombia. En primer momento, se encuentra el enfoque de diversidad funcional, expuesto desde el Foro de Vida Independiente y Divertad, Antonio Lañez, Susana Rodriguez y Miguel Ferreira, autores que han dado avances importantes en el tema. Es necesario reconocer que la discapacidad, se abordará desde las premisas de dicho enfoque, reconociendo al mismo como una herramienta valiosa para el desarrollo de la educación inclusiva. Posteriormente, se encuentra la consideración de la discapacidad en Colombia, para ello se toma como referente el término usado en la normatividad del país a través del tiempo, desde la década del 90 con la redacción de la Constitución Política aún vigente, hasta el año 2013 con la </w:t>
      </w:r>
      <w:r w:rsidRPr="005E1103">
        <w:rPr>
          <w:rFonts w:cstheme="minorHAnsi"/>
          <w:color w:val="000000"/>
          <w:sz w:val="28"/>
          <w:szCs w:val="28"/>
        </w:rPr>
        <w:t xml:space="preserve">Ley 1618, que tiene como objetivo </w:t>
      </w:r>
      <w:r w:rsidRPr="005E1103">
        <w:rPr>
          <w:rFonts w:cstheme="minorHAnsi"/>
          <w:color w:val="000000"/>
          <w:sz w:val="28"/>
          <w:szCs w:val="28"/>
        </w:rPr>
        <w:lastRenderedPageBreak/>
        <w:t>propender por el cumplimiento de los derechos de la población. A</w:t>
      </w:r>
      <w:r w:rsidRPr="005E1103">
        <w:rPr>
          <w:rFonts w:cstheme="minorHAnsi"/>
          <w:sz w:val="28"/>
          <w:szCs w:val="28"/>
        </w:rPr>
        <w:t xml:space="preserve"> continuación, el marco normativo de educación inclusiva, mencionando las leyes recientes respecto al tema y cómo desde estás se hace alusión al tratamiento de la discapacidad en Colombia. Siguiente, se encuentran algunas experiencias significativas de educación en varias universidades del país, las cuales ponen en contexto las acciones y tareas que se están llevando a cabo en el área.  Finalmente, se hace un análisis de acuerdo a la información expuesta, en el cual se devela cómo desde el tratamiento que se le está dando a la discapacidad, se planean las acciones que se están realizando en pro de la educación superior inclusiva y los resultados obtenidos de las mismas. En coherencia con los planteamientos de la diversidad funcional, ha sido incorporada la percepción de un estudiante universitario en esta situación, fortaleciendo la participación de la población diversa en estos estudios y dando valor a su postura. Finalmente, se exponen algunas propuestas y aportes para mejorar el proceso educativo en el país desde la opinión del estudiante.</w:t>
      </w:r>
    </w:p>
    <w:p w:rsidR="0046263B" w:rsidRPr="005E1103" w:rsidRDefault="0046263B" w:rsidP="0046263B">
      <w:pPr>
        <w:spacing w:line="360" w:lineRule="auto"/>
        <w:rPr>
          <w:rFonts w:cstheme="minorHAnsi"/>
          <w:sz w:val="28"/>
          <w:szCs w:val="28"/>
        </w:rPr>
      </w:pPr>
    </w:p>
    <w:p w:rsidR="0046263B" w:rsidRPr="005E1103" w:rsidRDefault="0046263B" w:rsidP="0046263B">
      <w:pPr>
        <w:pStyle w:val="Ttulo2"/>
        <w:spacing w:line="360" w:lineRule="auto"/>
        <w:jc w:val="center"/>
        <w:rPr>
          <w:rFonts w:asciiTheme="minorHAnsi" w:hAnsiTheme="minorHAnsi" w:cstheme="minorHAnsi"/>
          <w:b w:val="0"/>
          <w:color w:val="auto"/>
          <w:sz w:val="28"/>
          <w:szCs w:val="28"/>
        </w:rPr>
      </w:pPr>
      <w:r w:rsidRPr="005E1103">
        <w:rPr>
          <w:rFonts w:asciiTheme="minorHAnsi" w:hAnsiTheme="minorHAnsi" w:cstheme="minorHAnsi"/>
          <w:color w:val="auto"/>
          <w:sz w:val="28"/>
          <w:szCs w:val="28"/>
        </w:rPr>
        <w:t>Enfoque de diversidad funcional</w:t>
      </w:r>
    </w:p>
    <w:p w:rsidR="0046263B" w:rsidRPr="005E1103" w:rsidRDefault="0046263B" w:rsidP="0046263B">
      <w:pPr>
        <w:spacing w:line="360" w:lineRule="auto"/>
        <w:jc w:val="both"/>
        <w:rPr>
          <w:rFonts w:cstheme="minorHAnsi"/>
          <w:sz w:val="28"/>
          <w:szCs w:val="28"/>
        </w:rPr>
      </w:pPr>
      <w:r w:rsidRPr="005E1103">
        <w:rPr>
          <w:rFonts w:cstheme="minorHAnsi"/>
          <w:sz w:val="28"/>
          <w:szCs w:val="28"/>
        </w:rPr>
        <w:t xml:space="preserve">En primer momento, se abordará el enfoque de diversidad funcional, tomando como punto de partida el Foro de Vida Independiente y Divertad y algunos autores que hacen su respectivo aporte al tema. El nuevo concepto es una propuesta para dejar de lado las concepciones negativas asignadas a la discapacidad provenientes del modelo medico de tratamiento. Para la autora las premisas de este enfoque son fundamentales, puesto que, al trabajar por la inclusión, la diversidad </w:t>
      </w:r>
      <w:r w:rsidRPr="005E1103">
        <w:rPr>
          <w:rFonts w:cstheme="minorHAnsi"/>
          <w:sz w:val="28"/>
          <w:szCs w:val="28"/>
        </w:rPr>
        <w:lastRenderedPageBreak/>
        <w:t>funcional es una herramienta de análisis importante y coherente con el tema.</w:t>
      </w:r>
    </w:p>
    <w:p w:rsidR="0046263B" w:rsidRPr="005E1103" w:rsidRDefault="0046263B" w:rsidP="0046263B">
      <w:pPr>
        <w:spacing w:line="360" w:lineRule="auto"/>
        <w:jc w:val="both"/>
        <w:rPr>
          <w:rFonts w:cstheme="minorHAnsi"/>
          <w:sz w:val="28"/>
          <w:szCs w:val="28"/>
        </w:rPr>
      </w:pPr>
      <w:r w:rsidRPr="005E1103">
        <w:rPr>
          <w:rFonts w:cstheme="minorHAnsi"/>
          <w:sz w:val="28"/>
          <w:szCs w:val="28"/>
        </w:rPr>
        <w:t xml:space="preserve">En primer momento, se encuentra el Foro de Vida Independiente y Divertad: </w:t>
      </w:r>
    </w:p>
    <w:p w:rsidR="0046263B" w:rsidRPr="005E1103" w:rsidRDefault="0046263B" w:rsidP="0046263B">
      <w:pPr>
        <w:autoSpaceDE w:val="0"/>
        <w:autoSpaceDN w:val="0"/>
        <w:adjustRightInd w:val="0"/>
        <w:spacing w:after="0" w:line="360" w:lineRule="auto"/>
        <w:ind w:left="708"/>
        <w:jc w:val="both"/>
        <w:rPr>
          <w:rFonts w:cstheme="minorHAnsi"/>
          <w:sz w:val="28"/>
          <w:szCs w:val="28"/>
        </w:rPr>
      </w:pPr>
      <w:r w:rsidRPr="005E1103">
        <w:rPr>
          <w:rFonts w:cstheme="minorHAnsi"/>
          <w:sz w:val="28"/>
          <w:szCs w:val="28"/>
        </w:rPr>
        <w:t>Las mujeres y los hombres con diversidad funcional somos diferentes, desde el punto de vista biofísico, de la mayor parte de la población. Al tener características diferentes, y dadas las condiciones de entorno generadas por la sociedad, nos vemos obligados a realizar las mismas tareas o funciones de una manera diferente, algunas veces a través de terceras personas (Romañach y Lobato, 2005).</w:t>
      </w:r>
    </w:p>
    <w:p w:rsidR="0046263B" w:rsidRPr="005E1103" w:rsidRDefault="0046263B" w:rsidP="0046263B">
      <w:pPr>
        <w:spacing w:line="360" w:lineRule="auto"/>
        <w:jc w:val="both"/>
        <w:rPr>
          <w:rFonts w:cstheme="minorHAnsi"/>
          <w:sz w:val="28"/>
          <w:szCs w:val="28"/>
        </w:rPr>
      </w:pPr>
      <w:r w:rsidRPr="005E1103">
        <w:rPr>
          <w:rFonts w:cstheme="minorHAnsi"/>
          <w:sz w:val="28"/>
          <w:szCs w:val="28"/>
        </w:rPr>
        <w:t>A continuación, se encuentra Antonio Lañez, quien manifiesta que el término está dotado de validez, puesto que surgió del seno de su propia población, además propone el concepto como el más adecuado a la realidad, debido a que “es ante todo una sociedad diversa. En una sociedad cada día más plural, la diversidad es un valor por el que todos nos enriquecemos” (Lañez, s,f: 107)</w:t>
      </w:r>
    </w:p>
    <w:p w:rsidR="0046263B" w:rsidRPr="005E1103" w:rsidRDefault="0046263B" w:rsidP="0046263B">
      <w:pPr>
        <w:spacing w:line="360" w:lineRule="auto"/>
        <w:jc w:val="both"/>
        <w:rPr>
          <w:rFonts w:cstheme="minorHAnsi"/>
          <w:sz w:val="28"/>
          <w:szCs w:val="28"/>
        </w:rPr>
      </w:pPr>
      <w:r w:rsidRPr="005E1103">
        <w:rPr>
          <w:rFonts w:cstheme="minorHAnsi"/>
          <w:sz w:val="28"/>
          <w:szCs w:val="28"/>
        </w:rPr>
        <w:t>Finalmente, se encuentra el aporte de Susana Rodríguez y Miguel Ferreira, para ellos la propuesta de diversidad funcional es:</w:t>
      </w:r>
    </w:p>
    <w:p w:rsidR="0046263B" w:rsidRPr="005E1103" w:rsidRDefault="0046263B" w:rsidP="0046263B">
      <w:pPr>
        <w:spacing w:line="360" w:lineRule="auto"/>
        <w:ind w:left="708"/>
        <w:jc w:val="both"/>
        <w:rPr>
          <w:rFonts w:cstheme="minorHAnsi"/>
          <w:sz w:val="28"/>
          <w:szCs w:val="28"/>
        </w:rPr>
      </w:pPr>
      <w:r w:rsidRPr="005E1103">
        <w:rPr>
          <w:rFonts w:cstheme="minorHAnsi"/>
          <w:sz w:val="28"/>
          <w:szCs w:val="28"/>
        </w:rPr>
        <w:t xml:space="preserve">Un concepto que pretende ser la síntesis de un conjunto de ideas sistemáticamente organizado para la comprensión de una realidad social comúnmente denominada “discapacidad”; y lo hace con clara pretensión emancipadora. Pues tras esa transición conceptual, lo que hay en juego es la experiencia de unas personas condenadas a la marginación y a la exclusión social; lo que hay en juego es la transformación de su forma de existir en el mundo, su experiencia </w:t>
      </w:r>
      <w:r w:rsidRPr="005E1103">
        <w:rPr>
          <w:rFonts w:cstheme="minorHAnsi"/>
          <w:sz w:val="28"/>
          <w:szCs w:val="28"/>
        </w:rPr>
        <w:lastRenderedPageBreak/>
        <w:t>cotidiana como seres humanos (Rodríguez y Ferreira, 2009: 65). El concepto pretende suprimir las nomenclaturas negativas que se han aplicado tradicionalmente a las personas con discapacidad (siendo “discapacidad” un ejemplo de las mismas) (Rodríguez y Ferreira, 2009: 66)</w:t>
      </w:r>
    </w:p>
    <w:p w:rsidR="0046263B" w:rsidRPr="005E1103" w:rsidRDefault="0046263B" w:rsidP="0046263B">
      <w:pPr>
        <w:spacing w:line="360" w:lineRule="auto"/>
        <w:ind w:left="708"/>
        <w:jc w:val="both"/>
        <w:rPr>
          <w:rFonts w:cstheme="minorHAnsi"/>
          <w:sz w:val="28"/>
          <w:szCs w:val="28"/>
        </w:rPr>
      </w:pPr>
    </w:p>
    <w:p w:rsidR="0046263B" w:rsidRPr="005E1103" w:rsidRDefault="0046263B" w:rsidP="0046263B">
      <w:pPr>
        <w:pStyle w:val="Ttulo2"/>
        <w:spacing w:line="360" w:lineRule="auto"/>
        <w:jc w:val="center"/>
        <w:rPr>
          <w:rFonts w:asciiTheme="minorHAnsi" w:hAnsiTheme="minorHAnsi" w:cstheme="minorHAnsi"/>
          <w:b w:val="0"/>
          <w:color w:val="auto"/>
          <w:sz w:val="28"/>
          <w:szCs w:val="28"/>
        </w:rPr>
      </w:pPr>
      <w:r w:rsidRPr="005E1103">
        <w:rPr>
          <w:rFonts w:asciiTheme="minorHAnsi" w:hAnsiTheme="minorHAnsi" w:cstheme="minorHAnsi"/>
          <w:color w:val="auto"/>
          <w:sz w:val="28"/>
          <w:szCs w:val="28"/>
        </w:rPr>
        <w:t>Tratamiento y consideración de la discapacidad en Colombia</w:t>
      </w:r>
    </w:p>
    <w:p w:rsidR="0046263B" w:rsidRPr="005E1103" w:rsidRDefault="0046263B" w:rsidP="0046263B">
      <w:pPr>
        <w:spacing w:line="360" w:lineRule="auto"/>
        <w:jc w:val="both"/>
        <w:rPr>
          <w:rFonts w:cstheme="minorHAnsi"/>
          <w:sz w:val="28"/>
          <w:szCs w:val="28"/>
        </w:rPr>
      </w:pPr>
      <w:r w:rsidRPr="005E1103">
        <w:rPr>
          <w:rFonts w:cstheme="minorHAnsi"/>
          <w:sz w:val="28"/>
          <w:szCs w:val="28"/>
        </w:rPr>
        <w:t xml:space="preserve">La consideración de la discapacidad en Colombia se ha desarrollado con el pasar del tiempo, de forma simultánea a la evolución de los modelos de tratamiento de la discapacidad. Para este aparte se toman como referentes los términos usados para referirse a la discapacidad en las normas legales de Colombia. </w:t>
      </w:r>
    </w:p>
    <w:p w:rsidR="0046263B" w:rsidRPr="005E1103" w:rsidRDefault="0046263B" w:rsidP="0046263B">
      <w:pPr>
        <w:autoSpaceDE w:val="0"/>
        <w:autoSpaceDN w:val="0"/>
        <w:adjustRightInd w:val="0"/>
        <w:spacing w:after="0" w:line="360" w:lineRule="auto"/>
        <w:jc w:val="both"/>
        <w:rPr>
          <w:rFonts w:cstheme="minorHAnsi"/>
          <w:sz w:val="28"/>
          <w:szCs w:val="28"/>
        </w:rPr>
      </w:pPr>
      <w:r w:rsidRPr="005E1103">
        <w:rPr>
          <w:rFonts w:cstheme="minorHAnsi"/>
          <w:sz w:val="28"/>
          <w:szCs w:val="28"/>
        </w:rPr>
        <w:t>Inicialmente en el año 1991 en la Constitución Política de Colombia fueron considerados “</w:t>
      </w:r>
      <w:r w:rsidRPr="005E1103">
        <w:rPr>
          <w:rFonts w:cstheme="minorHAnsi"/>
          <w:i/>
          <w:sz w:val="28"/>
          <w:szCs w:val="28"/>
          <w:u w:val="single"/>
        </w:rPr>
        <w:t>disminuidos físicos, sensoriales y psíquicos”</w:t>
      </w:r>
      <w:r w:rsidRPr="005E1103">
        <w:rPr>
          <w:rFonts w:cstheme="minorHAnsi"/>
          <w:sz w:val="28"/>
          <w:szCs w:val="28"/>
        </w:rPr>
        <w:t xml:space="preserve"> </w:t>
      </w:r>
      <w:r w:rsidRPr="005E1103">
        <w:rPr>
          <w:rFonts w:cstheme="minorHAnsi"/>
          <w:color w:val="000000"/>
          <w:sz w:val="28"/>
          <w:szCs w:val="28"/>
        </w:rPr>
        <w:t>(Asamblea Nacional Constituyente, 1991: 10)</w:t>
      </w:r>
      <w:r w:rsidRPr="005E1103">
        <w:rPr>
          <w:rFonts w:cstheme="minorHAnsi"/>
          <w:sz w:val="28"/>
          <w:szCs w:val="28"/>
        </w:rPr>
        <w:t xml:space="preserve">. En 1994 en la ley 115, Ley General de Educación, eran </w:t>
      </w:r>
      <w:r w:rsidRPr="005E1103">
        <w:rPr>
          <w:rFonts w:cstheme="minorHAnsi"/>
          <w:i/>
          <w:sz w:val="28"/>
          <w:szCs w:val="28"/>
          <w:u w:val="single"/>
        </w:rPr>
        <w:t xml:space="preserve">personas con limitaciones o capacidades excepcionales </w:t>
      </w:r>
      <w:r w:rsidRPr="005E1103">
        <w:rPr>
          <w:rFonts w:cstheme="minorHAnsi"/>
          <w:color w:val="000000"/>
          <w:sz w:val="28"/>
          <w:szCs w:val="28"/>
        </w:rPr>
        <w:t>(Congreso de la República de Colombia, 1994: 1)</w:t>
      </w:r>
      <w:r w:rsidRPr="005E1103">
        <w:rPr>
          <w:rFonts w:cstheme="minorHAnsi"/>
          <w:sz w:val="28"/>
          <w:szCs w:val="28"/>
        </w:rPr>
        <w:t xml:space="preserve">. En el 2002, en la ley 762, la cual aprueba la Convención Interamericana para la Eliminación de Todas las Formas de Discriminación, fueron </w:t>
      </w:r>
      <w:r w:rsidRPr="005E1103">
        <w:rPr>
          <w:rFonts w:cstheme="minorHAnsi"/>
          <w:i/>
          <w:sz w:val="28"/>
          <w:szCs w:val="28"/>
          <w:u w:val="single"/>
        </w:rPr>
        <w:t xml:space="preserve">personas con discapacidad </w:t>
      </w:r>
      <w:r w:rsidRPr="005E1103">
        <w:rPr>
          <w:rFonts w:cstheme="minorHAnsi"/>
          <w:color w:val="000000"/>
          <w:sz w:val="28"/>
          <w:szCs w:val="28"/>
        </w:rPr>
        <w:t>(Congreso de la Republica de Colombia, 2002: 1).</w:t>
      </w:r>
      <w:r w:rsidRPr="005E1103">
        <w:rPr>
          <w:rFonts w:cstheme="minorHAnsi"/>
          <w:sz w:val="28"/>
          <w:szCs w:val="28"/>
        </w:rPr>
        <w:t xml:space="preserve"> En el 2004, en el CONPES social 80, el cual somete a consideración la política pública de discapacidad y los compromisos de su implementación, se consideraron </w:t>
      </w:r>
      <w:r w:rsidRPr="005E1103">
        <w:rPr>
          <w:rFonts w:cstheme="minorHAnsi"/>
          <w:i/>
          <w:sz w:val="28"/>
          <w:szCs w:val="28"/>
          <w:u w:val="single"/>
        </w:rPr>
        <w:t xml:space="preserve">personas con condición de discapacidad </w:t>
      </w:r>
      <w:r w:rsidRPr="005E1103">
        <w:rPr>
          <w:rFonts w:cstheme="minorHAnsi"/>
          <w:sz w:val="28"/>
          <w:szCs w:val="28"/>
        </w:rPr>
        <w:t xml:space="preserve">(Consejo Nacional de Política Económica y Social, 2004: 2).  En el 2007, en la ley 1145, mediante la cual se organiza el Sistema Nacional de Discapacidad son </w:t>
      </w:r>
      <w:r w:rsidRPr="005E1103">
        <w:rPr>
          <w:rFonts w:cstheme="minorHAnsi"/>
          <w:i/>
          <w:sz w:val="28"/>
          <w:szCs w:val="28"/>
          <w:u w:val="single"/>
        </w:rPr>
        <w:t xml:space="preserve">personas con situación de discapacidad </w:t>
      </w:r>
      <w:r w:rsidRPr="005E1103">
        <w:rPr>
          <w:rFonts w:cstheme="minorHAnsi"/>
          <w:sz w:val="28"/>
          <w:szCs w:val="28"/>
        </w:rPr>
        <w:t xml:space="preserve">(Congreso de la República de Colombia, 2007: </w:t>
      </w:r>
      <w:r w:rsidRPr="005E1103">
        <w:rPr>
          <w:rFonts w:cstheme="minorHAnsi"/>
          <w:sz w:val="28"/>
          <w:szCs w:val="28"/>
        </w:rPr>
        <w:lastRenderedPageBreak/>
        <w:t xml:space="preserve">1).  Posteriormente en el año 2009, en la ley 1346, donde se aprueba la Convención Sobre los Derechos de las Personas con Discapacidad se reconoce </w:t>
      </w:r>
      <w:r w:rsidRPr="005E1103">
        <w:rPr>
          <w:rFonts w:cstheme="minorHAnsi"/>
          <w:i/>
          <w:sz w:val="28"/>
          <w:szCs w:val="28"/>
          <w:u w:val="single"/>
        </w:rPr>
        <w:t xml:space="preserve">la diversidad de las personas con discapacidad </w:t>
      </w:r>
      <w:r w:rsidRPr="005E1103">
        <w:rPr>
          <w:rFonts w:cstheme="minorHAnsi"/>
          <w:sz w:val="28"/>
          <w:szCs w:val="28"/>
        </w:rPr>
        <w:t xml:space="preserve">(Congreso de la República de Colombia, 2009: 1). Y finalmente, la </w:t>
      </w:r>
      <w:r w:rsidRPr="005E1103">
        <w:rPr>
          <w:rFonts w:cstheme="minorHAnsi"/>
          <w:color w:val="000000"/>
          <w:sz w:val="28"/>
          <w:szCs w:val="28"/>
        </w:rPr>
        <w:t xml:space="preserve">Ley 1618 de 2013, en la cual se consideran </w:t>
      </w:r>
      <w:r w:rsidRPr="005E1103">
        <w:rPr>
          <w:rFonts w:cstheme="minorHAnsi"/>
          <w:i/>
          <w:color w:val="000000"/>
          <w:sz w:val="28"/>
          <w:szCs w:val="28"/>
          <w:u w:val="single"/>
        </w:rPr>
        <w:t xml:space="preserve">personas con discapacidad </w:t>
      </w:r>
      <w:r w:rsidRPr="005E1103">
        <w:rPr>
          <w:rFonts w:cstheme="minorHAnsi"/>
          <w:color w:val="000000"/>
          <w:sz w:val="28"/>
          <w:szCs w:val="28"/>
        </w:rPr>
        <w:t>(Congreso de la República de Colombia, 2013: 1).</w:t>
      </w:r>
    </w:p>
    <w:p w:rsidR="0046263B" w:rsidRPr="005E1103" w:rsidRDefault="0046263B" w:rsidP="0046263B">
      <w:pPr>
        <w:spacing w:line="360" w:lineRule="auto"/>
        <w:jc w:val="both"/>
        <w:rPr>
          <w:rFonts w:cstheme="minorHAnsi"/>
          <w:sz w:val="28"/>
          <w:szCs w:val="28"/>
        </w:rPr>
      </w:pPr>
      <w:r w:rsidRPr="005E1103">
        <w:rPr>
          <w:rFonts w:cstheme="minorHAnsi"/>
          <w:sz w:val="28"/>
          <w:szCs w:val="28"/>
        </w:rPr>
        <w:t xml:space="preserve">Lo expuesto anteriormente permite evidenciar la transformación que ha tenido la consideración de la discapacidad a través del tiempo en el país. Es posible observar, como el término usado hace referencia a cada modelo de tratamiento vigente en ese momento, inicialmente en la década del 90, el enfoque médico-rehabilitador, definiendo a la personas desde sus características médicas y posteriormente el año 2009, se habla del reconocimiento de la diversidad y de la importancia del lenguaje en los procesos de inclusión, lo anterior, coherente con el modelo social de la discapacidad, el cual propone dichas premisas de reconocimiento y respeto.   </w:t>
      </w:r>
    </w:p>
    <w:p w:rsidR="0046263B" w:rsidRPr="005E1103" w:rsidRDefault="0046263B" w:rsidP="0046263B">
      <w:pPr>
        <w:autoSpaceDE w:val="0"/>
        <w:autoSpaceDN w:val="0"/>
        <w:adjustRightInd w:val="0"/>
        <w:spacing w:after="0" w:line="360" w:lineRule="auto"/>
        <w:rPr>
          <w:rFonts w:cstheme="minorHAnsi"/>
          <w:sz w:val="28"/>
          <w:szCs w:val="28"/>
        </w:rPr>
      </w:pPr>
    </w:p>
    <w:p w:rsidR="0046263B" w:rsidRPr="005E1103" w:rsidRDefault="0046263B" w:rsidP="0046263B">
      <w:pPr>
        <w:pStyle w:val="Ttulo2"/>
        <w:spacing w:line="360" w:lineRule="auto"/>
        <w:jc w:val="center"/>
        <w:rPr>
          <w:rFonts w:asciiTheme="minorHAnsi" w:hAnsiTheme="minorHAnsi" w:cstheme="minorHAnsi"/>
          <w:b w:val="0"/>
          <w:color w:val="auto"/>
          <w:sz w:val="28"/>
          <w:szCs w:val="28"/>
        </w:rPr>
      </w:pPr>
      <w:r w:rsidRPr="005E1103">
        <w:rPr>
          <w:rFonts w:asciiTheme="minorHAnsi" w:hAnsiTheme="minorHAnsi" w:cstheme="minorHAnsi"/>
          <w:color w:val="auto"/>
          <w:sz w:val="28"/>
          <w:szCs w:val="28"/>
        </w:rPr>
        <w:t>Marco legal de la educación inclusiva en Colombia</w:t>
      </w:r>
    </w:p>
    <w:p w:rsidR="0046263B" w:rsidRPr="005E1103" w:rsidRDefault="0046263B" w:rsidP="0046263B">
      <w:pPr>
        <w:autoSpaceDE w:val="0"/>
        <w:autoSpaceDN w:val="0"/>
        <w:adjustRightInd w:val="0"/>
        <w:spacing w:after="0" w:line="360" w:lineRule="auto"/>
        <w:jc w:val="both"/>
        <w:rPr>
          <w:rFonts w:cstheme="minorHAnsi"/>
          <w:color w:val="000000"/>
          <w:sz w:val="28"/>
          <w:szCs w:val="28"/>
        </w:rPr>
      </w:pPr>
      <w:r w:rsidRPr="005E1103">
        <w:rPr>
          <w:rFonts w:cstheme="minorHAnsi"/>
          <w:color w:val="000000"/>
          <w:sz w:val="28"/>
          <w:szCs w:val="28"/>
        </w:rPr>
        <w:t>En el siguiente apartado se encuentran algunas de las principales normas de Colombia, referentes a la educación inclusiva y a la eliminación de las formas de discriminación en cuanto a “discapacidad”.</w:t>
      </w:r>
    </w:p>
    <w:p w:rsidR="0046263B" w:rsidRPr="005E1103" w:rsidRDefault="0046263B" w:rsidP="0046263B">
      <w:pPr>
        <w:autoSpaceDE w:val="0"/>
        <w:autoSpaceDN w:val="0"/>
        <w:adjustRightInd w:val="0"/>
        <w:spacing w:after="0" w:line="360" w:lineRule="auto"/>
        <w:jc w:val="both"/>
        <w:rPr>
          <w:rFonts w:cstheme="minorHAnsi"/>
          <w:color w:val="000000"/>
          <w:sz w:val="28"/>
          <w:szCs w:val="28"/>
        </w:rPr>
      </w:pPr>
    </w:p>
    <w:p w:rsidR="0046263B" w:rsidRPr="005E1103" w:rsidRDefault="0046263B" w:rsidP="0046263B">
      <w:pPr>
        <w:autoSpaceDE w:val="0"/>
        <w:autoSpaceDN w:val="0"/>
        <w:adjustRightInd w:val="0"/>
        <w:spacing w:after="0" w:line="360" w:lineRule="auto"/>
        <w:jc w:val="both"/>
        <w:rPr>
          <w:rFonts w:cstheme="minorHAnsi"/>
          <w:color w:val="000000"/>
          <w:sz w:val="28"/>
          <w:szCs w:val="28"/>
        </w:rPr>
      </w:pPr>
      <w:r w:rsidRPr="005E1103">
        <w:rPr>
          <w:rFonts w:cstheme="minorHAnsi"/>
          <w:color w:val="000000"/>
          <w:sz w:val="28"/>
          <w:szCs w:val="28"/>
        </w:rPr>
        <w:t xml:space="preserve">En primer momento se toma en consideración la Constitución Política de Colombia de 1991, en su artículo 68, el cual manifiesta: “…la educación de personas con limitaciones físicas o mentales, o con capacidades excepcionales, son obligaciones especiales del Estado” (Asamblea </w:t>
      </w:r>
      <w:r w:rsidRPr="005E1103">
        <w:rPr>
          <w:rFonts w:cstheme="minorHAnsi"/>
          <w:color w:val="000000"/>
          <w:sz w:val="28"/>
          <w:szCs w:val="28"/>
        </w:rPr>
        <w:lastRenderedPageBreak/>
        <w:t xml:space="preserve">Nacional Constituyente, 1991: 24). A continuación, la Ley General de educación 115 de 1994, en la cual se especifican los “criterios para la integración de las personas con discapacidad y/o capacidades o talentos excepcionales al servicio educativo”. Además, propone algunas acciones de inclusión entre ellas “el establecimiento de aulas especializadas, programas de reincorporación y rehabilitación social y adecuación de los procesos pedagógicos”. Lo anterior con el objetivo de apoyar y fomentar la inclusión educativa (Congreso de la República de Colombia, 1994). En el año 2002, es promulgada la Ley 762, la cual aprueba la “Convención Interamericana para la Eliminación de todas las formas de Discriminación contra las personas con Discapacidad” suscrita en la ciudad de Guatemala - Guatemala, el 7 de junio de 1999, cuyo objetivo es “la prevención y eliminación de todas las formas de discriminación contra las personas con discapacidad y propiciar su plena integración en la sociedad” (Congreso de la Republica de Colombia, 2002: 1). Finalmente se encuentra la Ley estatutaria 1618 de 2013, “Por medio de la cual se garantiza y asegurar el ejercicio efectivo de los derechos de las personas con discapacidad, mediante la adopción de medidas de inclusión” (Congreso de la República de Colombia, 2013: 1). </w:t>
      </w:r>
    </w:p>
    <w:p w:rsidR="0046263B" w:rsidRPr="005E1103" w:rsidRDefault="0046263B" w:rsidP="0046263B">
      <w:pPr>
        <w:spacing w:line="360" w:lineRule="auto"/>
        <w:rPr>
          <w:rFonts w:cstheme="minorHAnsi"/>
          <w:sz w:val="28"/>
          <w:szCs w:val="28"/>
        </w:rPr>
      </w:pPr>
    </w:p>
    <w:p w:rsidR="0046263B" w:rsidRPr="005E1103" w:rsidRDefault="0046263B" w:rsidP="0046263B">
      <w:pPr>
        <w:pStyle w:val="Ttulo2"/>
        <w:spacing w:line="360" w:lineRule="auto"/>
        <w:jc w:val="center"/>
        <w:rPr>
          <w:rFonts w:asciiTheme="minorHAnsi" w:hAnsiTheme="minorHAnsi" w:cstheme="minorHAnsi"/>
          <w:b w:val="0"/>
          <w:color w:val="auto"/>
          <w:sz w:val="28"/>
          <w:szCs w:val="28"/>
        </w:rPr>
      </w:pPr>
      <w:r w:rsidRPr="005E1103">
        <w:rPr>
          <w:rFonts w:asciiTheme="minorHAnsi" w:hAnsiTheme="minorHAnsi" w:cstheme="minorHAnsi"/>
          <w:color w:val="auto"/>
          <w:sz w:val="28"/>
          <w:szCs w:val="28"/>
        </w:rPr>
        <w:t>Experiencias de inclusión educativa universitaria en Colombia</w:t>
      </w:r>
    </w:p>
    <w:p w:rsidR="0046263B" w:rsidRPr="005E1103" w:rsidRDefault="0046263B" w:rsidP="0046263B">
      <w:pPr>
        <w:spacing w:line="360" w:lineRule="auto"/>
        <w:jc w:val="both"/>
        <w:rPr>
          <w:rFonts w:cstheme="minorHAnsi"/>
          <w:sz w:val="28"/>
          <w:szCs w:val="28"/>
        </w:rPr>
      </w:pPr>
      <w:r w:rsidRPr="005E1103">
        <w:rPr>
          <w:rFonts w:cstheme="minorHAnsi"/>
          <w:sz w:val="28"/>
          <w:szCs w:val="28"/>
        </w:rPr>
        <w:t>En Bogotá, en el año 2014, se realizó la investigación titulada “Educación superior y discapacidad: análisis desde la experiencia de algunas universidades colombianas”. Su objetivo era conocer cómo se están llevando a cabo los procesos de educación superior inclusiva. En los resultados se encontró:</w:t>
      </w:r>
    </w:p>
    <w:p w:rsidR="0046263B" w:rsidRPr="005E1103" w:rsidRDefault="0046263B" w:rsidP="0046263B">
      <w:pPr>
        <w:autoSpaceDE w:val="0"/>
        <w:autoSpaceDN w:val="0"/>
        <w:adjustRightInd w:val="0"/>
        <w:spacing w:after="0" w:line="360" w:lineRule="auto"/>
        <w:ind w:left="708"/>
        <w:jc w:val="both"/>
        <w:rPr>
          <w:rFonts w:cstheme="minorHAnsi"/>
          <w:color w:val="000000"/>
          <w:sz w:val="28"/>
          <w:szCs w:val="28"/>
        </w:rPr>
      </w:pPr>
      <w:r w:rsidRPr="005E1103">
        <w:rPr>
          <w:rFonts w:cstheme="minorHAnsi"/>
          <w:color w:val="000000"/>
          <w:sz w:val="28"/>
          <w:szCs w:val="28"/>
        </w:rPr>
        <w:lastRenderedPageBreak/>
        <w:t>Partiendo de las entrevistas realizadas a las cuatro instituciones, se observó que todas ellas forman o han formado estudiantes con discapacidad; a su vez tienen un programa, dependencia, oficina o proyecto específico para atender los procesos de educación inclusiva en la institución. Este programa, dependencia, oficina o proyecto lleva en tres de los cuatro casos una trayectoria igual o mayor a cinco años. Sin embargo, sólo una de las instituciones lleva estadísticas completas sobre el ciclo universitario y las características contextuales e individuales de los estudiantes con discapacidad. De igual manera todas de estas instituciones cuentan en su planta docente y administrativa con personas con discapacidad, lo que sugiere que no solo se adelantan procesos de educación inclusiva, sino también de inclusión laboral (Cobos &amp; Moreno, 2014: 90)</w:t>
      </w:r>
    </w:p>
    <w:p w:rsidR="0046263B" w:rsidRPr="005E1103" w:rsidRDefault="0046263B" w:rsidP="0046263B">
      <w:pPr>
        <w:autoSpaceDE w:val="0"/>
        <w:autoSpaceDN w:val="0"/>
        <w:adjustRightInd w:val="0"/>
        <w:spacing w:after="0" w:line="360" w:lineRule="auto"/>
        <w:ind w:left="708"/>
        <w:jc w:val="both"/>
        <w:rPr>
          <w:rFonts w:cstheme="minorHAnsi"/>
          <w:color w:val="000000"/>
          <w:sz w:val="28"/>
          <w:szCs w:val="28"/>
        </w:rPr>
      </w:pPr>
      <w:r w:rsidRPr="005E1103">
        <w:rPr>
          <w:rFonts w:cstheme="minorHAnsi"/>
          <w:color w:val="000000"/>
          <w:sz w:val="28"/>
          <w:szCs w:val="28"/>
        </w:rPr>
        <w:t>Aunque existen procesos de accesibilidad de la información relacionada con el proceso de admisión en las instituciones de educación superior, aún faltan esfuerzos para la difusión de información del programa, proyecto o dependencia de educación inclusiva- discapacidad para los estudiantes con discapacidad (Cobos &amp; Moreno, 2014: 91)</w:t>
      </w:r>
    </w:p>
    <w:p w:rsidR="0046263B" w:rsidRPr="005E1103" w:rsidRDefault="0046263B" w:rsidP="0046263B">
      <w:pPr>
        <w:autoSpaceDE w:val="0"/>
        <w:autoSpaceDN w:val="0"/>
        <w:adjustRightInd w:val="0"/>
        <w:spacing w:after="0" w:line="360" w:lineRule="auto"/>
        <w:jc w:val="both"/>
        <w:rPr>
          <w:rFonts w:cstheme="minorHAnsi"/>
          <w:color w:val="000000"/>
          <w:sz w:val="28"/>
          <w:szCs w:val="28"/>
        </w:rPr>
      </w:pPr>
    </w:p>
    <w:p w:rsidR="0046263B" w:rsidRPr="005E1103" w:rsidRDefault="0046263B" w:rsidP="0046263B">
      <w:pPr>
        <w:autoSpaceDE w:val="0"/>
        <w:autoSpaceDN w:val="0"/>
        <w:adjustRightInd w:val="0"/>
        <w:spacing w:after="0" w:line="360" w:lineRule="auto"/>
        <w:jc w:val="both"/>
        <w:rPr>
          <w:rFonts w:cstheme="minorHAnsi"/>
          <w:color w:val="000000"/>
          <w:sz w:val="28"/>
          <w:szCs w:val="28"/>
        </w:rPr>
      </w:pPr>
      <w:r w:rsidRPr="005E1103">
        <w:rPr>
          <w:rFonts w:cstheme="minorHAnsi"/>
          <w:color w:val="000000"/>
          <w:sz w:val="28"/>
          <w:szCs w:val="28"/>
        </w:rPr>
        <w:t xml:space="preserve">A continuación, el artículo “Educación superior para estudiantes con discapacidad” de Roció Molina Bejar. En este trabajo aborda la relación entre discapacidad, educación y política institucional. De la revisión documental es importante destacar que en el año 2004 la tasa de graduación de educación superior de estudiantes con discapacidad era de 1,9%, siendo este porcentaje el menor de los demás niveles educativos. En </w:t>
      </w:r>
      <w:r w:rsidRPr="005E1103">
        <w:rPr>
          <w:rFonts w:cstheme="minorHAnsi"/>
          <w:color w:val="000000"/>
          <w:sz w:val="28"/>
          <w:szCs w:val="28"/>
        </w:rPr>
        <w:lastRenderedPageBreak/>
        <w:t>cuestión de cifras, según el Departamento Adinistrativo Nacional de Estadistica -DANE- en el año 2008, sobre la población con discapacidad señalan que:</w:t>
      </w:r>
    </w:p>
    <w:p w:rsidR="0046263B" w:rsidRPr="005E1103" w:rsidRDefault="0046263B" w:rsidP="0046263B">
      <w:pPr>
        <w:autoSpaceDE w:val="0"/>
        <w:autoSpaceDN w:val="0"/>
        <w:adjustRightInd w:val="0"/>
        <w:spacing w:after="0" w:line="360" w:lineRule="auto"/>
        <w:ind w:left="708"/>
        <w:jc w:val="both"/>
        <w:rPr>
          <w:rFonts w:cstheme="minorHAnsi"/>
          <w:color w:val="000000"/>
          <w:sz w:val="28"/>
          <w:szCs w:val="28"/>
        </w:rPr>
      </w:pPr>
      <w:r w:rsidRPr="005E1103">
        <w:rPr>
          <w:rFonts w:cstheme="minorHAnsi"/>
          <w:color w:val="000000"/>
          <w:sz w:val="28"/>
          <w:szCs w:val="28"/>
        </w:rPr>
        <w:t>El 6,3% de la población colombiana presenta limitaciones permanentes, de este porcentaje, el 33,3% no tiene nivel educativo, el 29,1% tiene nivel de básica primaria incompleta; para el caso de la educación superior se encuentra que cerca del 2,34% tiene algún nivel (técnico, tecnológico o profesional, el 1% personas culmina sus estudios superiores y el 0,1%, han cursado postgrados). Los esfuerzos han estado concentrados en la inclusión a los niveles de educación básica y media (Molina, s,f: 5)</w:t>
      </w:r>
    </w:p>
    <w:p w:rsidR="0046263B" w:rsidRPr="005E1103" w:rsidRDefault="0046263B" w:rsidP="0046263B">
      <w:pPr>
        <w:autoSpaceDE w:val="0"/>
        <w:autoSpaceDN w:val="0"/>
        <w:adjustRightInd w:val="0"/>
        <w:spacing w:after="0" w:line="360" w:lineRule="auto"/>
        <w:jc w:val="both"/>
        <w:rPr>
          <w:rFonts w:cstheme="minorHAnsi"/>
          <w:color w:val="000000"/>
          <w:sz w:val="28"/>
          <w:szCs w:val="28"/>
        </w:rPr>
      </w:pPr>
      <w:r w:rsidRPr="005E1103">
        <w:rPr>
          <w:rFonts w:cstheme="minorHAnsi"/>
          <w:color w:val="000000"/>
          <w:sz w:val="28"/>
          <w:szCs w:val="28"/>
        </w:rPr>
        <w:t>En sus resultados se denota que, de las 11 universidades convocadas, 9 respondieron al estudio, de las cuales:</w:t>
      </w:r>
    </w:p>
    <w:p w:rsidR="0046263B" w:rsidRPr="005E1103" w:rsidRDefault="0046263B" w:rsidP="0046263B">
      <w:pPr>
        <w:pStyle w:val="Prrafodelista"/>
        <w:numPr>
          <w:ilvl w:val="0"/>
          <w:numId w:val="91"/>
        </w:numPr>
        <w:autoSpaceDE w:val="0"/>
        <w:autoSpaceDN w:val="0"/>
        <w:adjustRightInd w:val="0"/>
        <w:spacing w:before="0" w:line="360" w:lineRule="auto"/>
        <w:jc w:val="both"/>
        <w:rPr>
          <w:rFonts w:asciiTheme="minorHAnsi" w:hAnsiTheme="minorHAnsi" w:cstheme="minorHAnsi"/>
          <w:color w:val="000000"/>
          <w:sz w:val="28"/>
          <w:szCs w:val="28"/>
        </w:rPr>
      </w:pPr>
      <w:r w:rsidRPr="005E1103">
        <w:rPr>
          <w:rFonts w:asciiTheme="minorHAnsi" w:hAnsiTheme="minorHAnsi" w:cstheme="minorHAnsi"/>
          <w:color w:val="000000"/>
          <w:sz w:val="28"/>
          <w:szCs w:val="28"/>
        </w:rPr>
        <w:t>La Universidad Pedagógica Nacional desarrolla un proyecto a través del Departamento de Educación Especial, para la inclusión de personas sordas. Es el llamado “Semestre 0”, el cual es un espacio previo al ingreso de las carreras universitarias, donde se consolidan conocimientos, aprendizajes y sistemas de comunicación para dar paso a la selección de cualquiera de los programas que ofrece la Universidad. Las acciones de asesoramiento, apoyo y provisión de recursos tecnológicos continúan durante el proceso académico (Molina, s,f: 10)</w:t>
      </w:r>
    </w:p>
    <w:p w:rsidR="0046263B" w:rsidRPr="005E1103" w:rsidRDefault="0046263B" w:rsidP="0046263B">
      <w:pPr>
        <w:pStyle w:val="Prrafodelista"/>
        <w:numPr>
          <w:ilvl w:val="0"/>
          <w:numId w:val="91"/>
        </w:numPr>
        <w:autoSpaceDE w:val="0"/>
        <w:autoSpaceDN w:val="0"/>
        <w:adjustRightInd w:val="0"/>
        <w:spacing w:before="0" w:line="360" w:lineRule="auto"/>
        <w:jc w:val="both"/>
        <w:rPr>
          <w:rFonts w:asciiTheme="minorHAnsi" w:hAnsiTheme="minorHAnsi" w:cstheme="minorHAnsi"/>
          <w:color w:val="000000"/>
          <w:sz w:val="28"/>
          <w:szCs w:val="28"/>
        </w:rPr>
      </w:pPr>
      <w:r w:rsidRPr="005E1103">
        <w:rPr>
          <w:rFonts w:asciiTheme="minorHAnsi" w:hAnsiTheme="minorHAnsi" w:cstheme="minorHAnsi"/>
          <w:color w:val="000000"/>
          <w:sz w:val="28"/>
          <w:szCs w:val="28"/>
        </w:rPr>
        <w:t>la Universidad Colegio Mayor de Nuestra Señora del Rosario, específicamente en la Facultad de Rehabilitación y Desarrollo Humano, promovió la cátedra de Discapacidad y Sociedad dentro de los contenidos de un núcleo común en el plan básico de asignaturas (Molina, s,f: 10)</w:t>
      </w:r>
    </w:p>
    <w:p w:rsidR="0046263B" w:rsidRPr="005E1103" w:rsidRDefault="0046263B" w:rsidP="0046263B">
      <w:pPr>
        <w:pStyle w:val="Prrafodelista"/>
        <w:numPr>
          <w:ilvl w:val="0"/>
          <w:numId w:val="91"/>
        </w:numPr>
        <w:autoSpaceDE w:val="0"/>
        <w:autoSpaceDN w:val="0"/>
        <w:adjustRightInd w:val="0"/>
        <w:spacing w:before="0" w:line="360" w:lineRule="auto"/>
        <w:jc w:val="both"/>
        <w:rPr>
          <w:rFonts w:asciiTheme="minorHAnsi" w:hAnsiTheme="minorHAnsi" w:cstheme="minorHAnsi"/>
          <w:color w:val="000000"/>
          <w:sz w:val="28"/>
          <w:szCs w:val="28"/>
        </w:rPr>
      </w:pPr>
      <w:r w:rsidRPr="005E1103">
        <w:rPr>
          <w:rFonts w:asciiTheme="minorHAnsi" w:hAnsiTheme="minorHAnsi" w:cstheme="minorHAnsi"/>
          <w:color w:val="000000"/>
          <w:sz w:val="28"/>
          <w:szCs w:val="28"/>
        </w:rPr>
        <w:lastRenderedPageBreak/>
        <w:t>La Universidad Nacional de Colombia, propuso la primera Maestría en Discapacidad e Inclusión Social en el país, desarrolla diferentes líneas de investigación sobre esta temática. Cuenta con la cátedra de contexto “Discapacidad y Sociedad” liderada por la Facultad de Medicina; además, la creación del Instituto de Discapacidad y Desarrollo Humano (IDDH), la Oficina de Registro del Departamento de Admisiones, el Programa de intervención Temprana en Factores de Riesgo en los cuales se considera de manera especial la discapacidad y el avance respecto a la tecnología adoptada en la biblioteca para invidentes y sordos (Molina, s,f: 11)</w:t>
      </w:r>
    </w:p>
    <w:p w:rsidR="0046263B" w:rsidRPr="005E1103" w:rsidRDefault="0046263B" w:rsidP="0046263B">
      <w:pPr>
        <w:spacing w:line="360" w:lineRule="auto"/>
        <w:jc w:val="both"/>
        <w:rPr>
          <w:rFonts w:cstheme="minorHAnsi"/>
          <w:sz w:val="28"/>
          <w:szCs w:val="28"/>
        </w:rPr>
      </w:pPr>
    </w:p>
    <w:p w:rsidR="0046263B" w:rsidRPr="005E1103" w:rsidRDefault="0046263B" w:rsidP="0046263B">
      <w:pPr>
        <w:pStyle w:val="Ttulo2"/>
        <w:spacing w:line="360" w:lineRule="auto"/>
        <w:jc w:val="center"/>
        <w:rPr>
          <w:rFonts w:asciiTheme="minorHAnsi" w:hAnsiTheme="minorHAnsi" w:cstheme="minorHAnsi"/>
          <w:b w:val="0"/>
          <w:sz w:val="28"/>
          <w:szCs w:val="28"/>
        </w:rPr>
      </w:pPr>
      <w:r w:rsidRPr="005E1103">
        <w:rPr>
          <w:rFonts w:asciiTheme="minorHAnsi" w:hAnsiTheme="minorHAnsi" w:cstheme="minorHAnsi"/>
          <w:color w:val="auto"/>
          <w:sz w:val="28"/>
          <w:szCs w:val="28"/>
        </w:rPr>
        <w:t>Análisis y conclusiones del estado de la educación superior inclusiva</w:t>
      </w:r>
    </w:p>
    <w:p w:rsidR="0046263B" w:rsidRPr="005E1103" w:rsidRDefault="0046263B" w:rsidP="0046263B">
      <w:pPr>
        <w:spacing w:line="360" w:lineRule="auto"/>
        <w:jc w:val="both"/>
        <w:rPr>
          <w:rFonts w:eastAsiaTheme="majorEastAsia" w:cstheme="minorHAnsi"/>
          <w:sz w:val="28"/>
          <w:szCs w:val="28"/>
        </w:rPr>
      </w:pPr>
      <w:r w:rsidRPr="005E1103">
        <w:rPr>
          <w:rFonts w:eastAsiaTheme="majorEastAsia" w:cstheme="minorHAnsi"/>
          <w:sz w:val="28"/>
          <w:szCs w:val="28"/>
        </w:rPr>
        <w:t>La consideración de la “discapacidad” en Colombia, se ha visto influida a través de los años por el modelo de tratamiento vigente en ese momento. Desde el modelo social surge el concepto diversidad funcional, y para abordar y trabajar la “discapacidad” desde el mismo, queda un arduo camino por recorrer.</w:t>
      </w:r>
    </w:p>
    <w:p w:rsidR="0046263B" w:rsidRPr="005E1103" w:rsidRDefault="0046263B" w:rsidP="0046263B">
      <w:pPr>
        <w:spacing w:line="360" w:lineRule="auto"/>
        <w:jc w:val="both"/>
        <w:rPr>
          <w:rFonts w:eastAsiaTheme="majorEastAsia" w:cstheme="minorHAnsi"/>
          <w:sz w:val="28"/>
          <w:szCs w:val="28"/>
        </w:rPr>
      </w:pPr>
      <w:r w:rsidRPr="005E1103">
        <w:rPr>
          <w:rFonts w:eastAsiaTheme="majorEastAsia" w:cstheme="minorHAnsi"/>
          <w:sz w:val="28"/>
          <w:szCs w:val="28"/>
        </w:rPr>
        <w:t xml:space="preserve">Según lo observado, en las distintas experiencias de educación superior inclusiva, es posible afirmar que las instituciones educativas se encuentran trabajando el tema, sin embargo, las tareas que se están llevando a cabo, no están dando grandes resultados. Las labores que se están realizando son desde el área administrativas, la creación de programas o políticas dirigidas a abordar el tema, hasta acciones inmediatas como la contratación de docentes con habilidades especificas en la inclusión de la diversidad.  El trabajo realizado por las universidades es muy valioso y </w:t>
      </w:r>
      <w:r w:rsidRPr="005E1103">
        <w:rPr>
          <w:rFonts w:eastAsiaTheme="majorEastAsia" w:cstheme="minorHAnsi"/>
          <w:sz w:val="28"/>
          <w:szCs w:val="28"/>
        </w:rPr>
        <w:lastRenderedPageBreak/>
        <w:t xml:space="preserve">significativo, empero, lo anteriormente mencionado, se comprende como el primer paso necesario e importante en el proceso de la educación inclusiva superior. </w:t>
      </w:r>
    </w:p>
    <w:p w:rsidR="0046263B" w:rsidRPr="005E1103" w:rsidRDefault="0046263B" w:rsidP="0046263B">
      <w:pPr>
        <w:spacing w:line="360" w:lineRule="auto"/>
        <w:jc w:val="both"/>
        <w:rPr>
          <w:rFonts w:eastAsiaTheme="majorEastAsia" w:cstheme="minorHAnsi"/>
          <w:sz w:val="28"/>
          <w:szCs w:val="28"/>
        </w:rPr>
      </w:pPr>
      <w:r w:rsidRPr="005E1103">
        <w:rPr>
          <w:rFonts w:eastAsiaTheme="majorEastAsia" w:cstheme="minorHAnsi"/>
          <w:sz w:val="28"/>
          <w:szCs w:val="28"/>
        </w:rPr>
        <w:t xml:space="preserve">De acuerdo con la consideración que ha tenido la “discapacidad” en el país, y la normatividad que actualmente rige el tema es posible asentir, que el trabajo necesario para lograr la inclusión educativa de la diversidad funcional, debe abordarse desde la transformación de la consideración de la “discapacidad”. A pesar de la evolución del modelo de tratamiento de la misma y del enfoque de diversidad funcional, en Colombia, no se ha aplicado. Es preocupante, cómo siguen vigentes concepciones de enfermedad sobre la discapacidad, las cuales legitiman y fundamentan tratos desiguales y discriminativos hacia la población. En el país, la diversidad es un tema emergente, los trabajos realizados sobre el mismo son pocos, es común encontrar, que la propia población con “discapacidad” no reconoce el enfoque ni las ventajas que da el mismo.  Y desde las experiencias de inclusión en la educación superior, es posible observar, como las acciones que están desarrollando en este tema, tienen como fundamento dichas concepciones de “discapacidad”. </w:t>
      </w:r>
    </w:p>
    <w:p w:rsidR="0046263B" w:rsidRPr="005E1103" w:rsidRDefault="0046263B" w:rsidP="0046263B">
      <w:pPr>
        <w:spacing w:line="360" w:lineRule="auto"/>
        <w:jc w:val="both"/>
        <w:rPr>
          <w:rFonts w:eastAsiaTheme="majorEastAsia" w:cstheme="minorHAnsi"/>
          <w:sz w:val="28"/>
          <w:szCs w:val="28"/>
        </w:rPr>
      </w:pPr>
      <w:r w:rsidRPr="005E1103">
        <w:rPr>
          <w:rFonts w:eastAsiaTheme="majorEastAsia" w:cstheme="minorHAnsi"/>
          <w:sz w:val="28"/>
          <w:szCs w:val="28"/>
        </w:rPr>
        <w:t xml:space="preserve">Para que Colombia pueda realizar una inclusión educativa superior optima, es necesaria una transformación de pensamiento, la “discapacidad” debe transformarse a diversidad funcional. No debe hacerse énfasis en aspectos negativos, ni consideraciones de enfermedad, el tema debe ser observado y considerado desde las habilidades y capacidades específicas que tiene la población diversa. Debe prevalecer un criterio equitativo en la satisfacción de necesidades de la población, sin fomentar juicios de valor por la forma en que cada persona realiza las tareas de la vida cotidiana. Una herramienta muy valiosa para empezar a </w:t>
      </w:r>
      <w:r w:rsidRPr="005E1103">
        <w:rPr>
          <w:rFonts w:eastAsiaTheme="majorEastAsia" w:cstheme="minorHAnsi"/>
          <w:sz w:val="28"/>
          <w:szCs w:val="28"/>
        </w:rPr>
        <w:lastRenderedPageBreak/>
        <w:t xml:space="preserve">trabajar este tema en el país, son las cátedras que se están implementando en el tema desde algunas universidades, en ellas puede trasmitirse el nuevo conocimiento de la diversidad funcional, y promover el análisis y profundización del mismo, además de seguir construyendo conocimientos que aporten al fortalecimiento del enfoque desde el ámbito colombiano.        </w:t>
      </w:r>
    </w:p>
    <w:p w:rsidR="0046263B" w:rsidRPr="005E1103" w:rsidRDefault="0046263B" w:rsidP="0046263B">
      <w:pPr>
        <w:spacing w:line="360" w:lineRule="auto"/>
        <w:jc w:val="both"/>
        <w:rPr>
          <w:rFonts w:cstheme="minorHAnsi"/>
          <w:sz w:val="28"/>
          <w:szCs w:val="28"/>
        </w:rPr>
      </w:pPr>
      <w:r w:rsidRPr="005E1103">
        <w:rPr>
          <w:rFonts w:eastAsiaTheme="majorEastAsia" w:cstheme="minorHAnsi"/>
          <w:sz w:val="28"/>
          <w:szCs w:val="28"/>
        </w:rPr>
        <w:t xml:space="preserve">En palabras de Molina, la autora manifiesta que las acciones de educación superior inclusiva son relativamente nuevas, los esfuerzos siempre estuvieron orientados a los niveles de educación primaria y media, por esto se afirmó anteriormente que las acciones descritas en el apartado anterior se comprendían como un primer paso en el camino, sin embargo, es importante avanzar, los esfuerzos no deben parar, es necesario trabajar por el reconocimiento y aceptación de la diversidad funcional como el aprovechamiento y potencialización de las diversas características que tiene su población.  </w:t>
      </w:r>
    </w:p>
    <w:p w:rsidR="0046263B" w:rsidRPr="005E1103" w:rsidRDefault="0046263B" w:rsidP="0046263B">
      <w:pPr>
        <w:pStyle w:val="Ttulo1"/>
        <w:spacing w:line="360" w:lineRule="auto"/>
        <w:jc w:val="both"/>
        <w:rPr>
          <w:rFonts w:asciiTheme="minorHAnsi" w:hAnsiTheme="minorHAnsi" w:cstheme="minorHAnsi"/>
          <w:color w:val="auto"/>
        </w:rPr>
      </w:pPr>
      <w:r w:rsidRPr="005E1103">
        <w:rPr>
          <w:rFonts w:asciiTheme="minorHAnsi" w:hAnsiTheme="minorHAnsi" w:cstheme="minorHAnsi"/>
          <w:color w:val="auto"/>
        </w:rPr>
        <w:t>Para efectos de este trabajo, y de acuerdo al reconocimiento que debe hacerse de la voz de la población con diversidad funcional, en los temas que les involucran directamente a ellos, se realizó una entrevista con un estudiante de educación superior con diversidad funcional, en palabras de él afirma:</w:t>
      </w:r>
    </w:p>
    <w:p w:rsidR="0046263B" w:rsidRPr="005E1103" w:rsidRDefault="0046263B" w:rsidP="0046263B">
      <w:pPr>
        <w:autoSpaceDE w:val="0"/>
        <w:autoSpaceDN w:val="0"/>
        <w:adjustRightInd w:val="0"/>
        <w:spacing w:after="0" w:line="360" w:lineRule="auto"/>
        <w:jc w:val="both"/>
        <w:rPr>
          <w:rFonts w:cstheme="minorHAnsi"/>
          <w:sz w:val="28"/>
          <w:szCs w:val="28"/>
        </w:rPr>
      </w:pPr>
      <w:r w:rsidRPr="005E1103">
        <w:rPr>
          <w:rFonts w:cstheme="minorHAnsi"/>
          <w:sz w:val="28"/>
          <w:szCs w:val="28"/>
        </w:rPr>
        <w:t xml:space="preserve">“La Universidad hace un esfuerzo por abarcar las necesidades de las personas que ingresan con diversidad funcional, yo creo que se queda corta precisamente en la cobertura educativa a la población en general con algún tipo de diversidad funcional. Pero eso no es falla solo de la Universidad, también desde instancias que van de lo municipal, pasando por lo departamental y finalmente desde la cabeza mayor que es desde las </w:t>
      </w:r>
      <w:r w:rsidRPr="005E1103">
        <w:rPr>
          <w:rFonts w:cstheme="minorHAnsi"/>
          <w:sz w:val="28"/>
          <w:szCs w:val="28"/>
        </w:rPr>
        <w:lastRenderedPageBreak/>
        <w:t xml:space="preserve">políticas de Estado en cuanto al tema” (Aparte de la entrevista realizada a un estudiante de educación superior). </w:t>
      </w:r>
    </w:p>
    <w:p w:rsidR="0046263B" w:rsidRPr="005E1103" w:rsidRDefault="0046263B" w:rsidP="0046263B">
      <w:pPr>
        <w:autoSpaceDE w:val="0"/>
        <w:autoSpaceDN w:val="0"/>
        <w:adjustRightInd w:val="0"/>
        <w:spacing w:after="0" w:line="360" w:lineRule="auto"/>
        <w:ind w:left="708"/>
        <w:jc w:val="both"/>
        <w:rPr>
          <w:rFonts w:cstheme="minorHAnsi"/>
          <w:sz w:val="28"/>
          <w:szCs w:val="28"/>
        </w:rPr>
      </w:pPr>
    </w:p>
    <w:p w:rsidR="0046263B" w:rsidRPr="005E1103" w:rsidRDefault="0046263B" w:rsidP="0046263B">
      <w:pPr>
        <w:autoSpaceDE w:val="0"/>
        <w:autoSpaceDN w:val="0"/>
        <w:adjustRightInd w:val="0"/>
        <w:spacing w:after="0" w:line="360" w:lineRule="auto"/>
        <w:jc w:val="both"/>
        <w:rPr>
          <w:rFonts w:cstheme="minorHAnsi"/>
          <w:sz w:val="28"/>
          <w:szCs w:val="28"/>
        </w:rPr>
      </w:pPr>
      <w:r w:rsidRPr="005E1103">
        <w:rPr>
          <w:rFonts w:cstheme="minorHAnsi"/>
          <w:sz w:val="28"/>
          <w:szCs w:val="28"/>
        </w:rPr>
        <w:t>“Como aporte propongo sensibilizar mucho a los estudiantes respecto al tema y así dejar de ver a las personas con diversidad funcional como “diferentes”.  Otra profundización que se debe hacer es en cuanto a la infraestructura de las Universidades que en definitiva no ayudan. Y, por último, capacitar también a los profesores para que no les suponga un reto tener que educar una persona con diversidad funcional de cualquier tipo” (Aparte de la entrevista realizada a un estudiante de educación superior).</w:t>
      </w:r>
    </w:p>
    <w:p w:rsidR="0046263B" w:rsidRPr="005E1103" w:rsidRDefault="0046263B" w:rsidP="0046263B">
      <w:pPr>
        <w:autoSpaceDE w:val="0"/>
        <w:autoSpaceDN w:val="0"/>
        <w:adjustRightInd w:val="0"/>
        <w:spacing w:after="0" w:line="360" w:lineRule="auto"/>
        <w:jc w:val="both"/>
        <w:rPr>
          <w:rFonts w:cstheme="minorHAnsi"/>
          <w:sz w:val="28"/>
          <w:szCs w:val="28"/>
        </w:rPr>
      </w:pPr>
    </w:p>
    <w:p w:rsidR="0046263B" w:rsidRPr="005E1103" w:rsidRDefault="0046263B" w:rsidP="0046263B">
      <w:pPr>
        <w:autoSpaceDE w:val="0"/>
        <w:autoSpaceDN w:val="0"/>
        <w:adjustRightInd w:val="0"/>
        <w:spacing w:after="0" w:line="360" w:lineRule="auto"/>
        <w:jc w:val="both"/>
        <w:rPr>
          <w:rFonts w:cstheme="minorHAnsi"/>
          <w:sz w:val="28"/>
          <w:szCs w:val="28"/>
        </w:rPr>
      </w:pPr>
    </w:p>
    <w:p w:rsidR="0046263B" w:rsidRPr="005E1103" w:rsidRDefault="0046263B" w:rsidP="0046263B">
      <w:pPr>
        <w:pStyle w:val="Ttulo2"/>
        <w:spacing w:line="360" w:lineRule="auto"/>
        <w:jc w:val="center"/>
        <w:rPr>
          <w:rFonts w:asciiTheme="minorHAnsi" w:hAnsiTheme="minorHAnsi" w:cstheme="minorHAnsi"/>
          <w:b w:val="0"/>
          <w:color w:val="auto"/>
          <w:sz w:val="28"/>
          <w:szCs w:val="28"/>
        </w:rPr>
      </w:pPr>
      <w:r w:rsidRPr="005E1103">
        <w:rPr>
          <w:rFonts w:asciiTheme="minorHAnsi" w:hAnsiTheme="minorHAnsi" w:cstheme="minorHAnsi"/>
          <w:color w:val="auto"/>
          <w:sz w:val="28"/>
          <w:szCs w:val="28"/>
        </w:rPr>
        <w:t>Bibliografía</w:t>
      </w:r>
    </w:p>
    <w:p w:rsidR="0046263B" w:rsidRPr="005E1103" w:rsidRDefault="0046263B" w:rsidP="0046263B">
      <w:pPr>
        <w:autoSpaceDE w:val="0"/>
        <w:autoSpaceDN w:val="0"/>
        <w:adjustRightInd w:val="0"/>
        <w:spacing w:after="0" w:line="360" w:lineRule="auto"/>
        <w:jc w:val="both"/>
        <w:rPr>
          <w:rFonts w:cstheme="minorHAnsi"/>
          <w:iCs/>
          <w:sz w:val="28"/>
          <w:szCs w:val="28"/>
        </w:rPr>
      </w:pPr>
    </w:p>
    <w:p w:rsidR="0046263B" w:rsidRPr="005E1103" w:rsidRDefault="0046263B" w:rsidP="0046263B">
      <w:pPr>
        <w:autoSpaceDE w:val="0"/>
        <w:autoSpaceDN w:val="0"/>
        <w:adjustRightInd w:val="0"/>
        <w:spacing w:after="0" w:line="360" w:lineRule="auto"/>
        <w:jc w:val="both"/>
        <w:rPr>
          <w:rFonts w:cstheme="minorHAnsi"/>
          <w:iCs/>
          <w:sz w:val="28"/>
          <w:szCs w:val="28"/>
        </w:rPr>
      </w:pPr>
      <w:r w:rsidRPr="005E1103">
        <w:rPr>
          <w:rFonts w:cstheme="minorHAnsi"/>
          <w:iCs/>
          <w:sz w:val="28"/>
          <w:szCs w:val="28"/>
        </w:rPr>
        <w:t xml:space="preserve">Cobos Ricardo, Andrea. y Moreno Angarita, Marisol. </w:t>
      </w:r>
      <w:r w:rsidRPr="005E1103">
        <w:rPr>
          <w:rFonts w:cstheme="minorHAnsi"/>
          <w:sz w:val="28"/>
          <w:szCs w:val="28"/>
        </w:rPr>
        <w:t>«</w:t>
      </w:r>
      <w:r w:rsidRPr="005E1103">
        <w:rPr>
          <w:rFonts w:cstheme="minorHAnsi"/>
          <w:iCs/>
          <w:sz w:val="28"/>
          <w:szCs w:val="28"/>
        </w:rPr>
        <w:t>Educación superior y discapacidad: análisis desde la experiencia de algunas universidades colombianas</w:t>
      </w:r>
      <w:r w:rsidRPr="005E1103">
        <w:rPr>
          <w:rFonts w:cstheme="minorHAnsi"/>
          <w:sz w:val="28"/>
          <w:szCs w:val="28"/>
        </w:rPr>
        <w:t>»</w:t>
      </w:r>
      <w:r w:rsidRPr="005E1103">
        <w:rPr>
          <w:rFonts w:cstheme="minorHAnsi"/>
          <w:iCs/>
          <w:sz w:val="28"/>
          <w:szCs w:val="28"/>
        </w:rPr>
        <w:t xml:space="preserve">, </w:t>
      </w:r>
      <w:r w:rsidRPr="005E1103">
        <w:rPr>
          <w:rFonts w:cstheme="minorHAnsi"/>
          <w:i/>
          <w:iCs/>
          <w:sz w:val="28"/>
          <w:szCs w:val="28"/>
        </w:rPr>
        <w:t>Revista Española de Discapacidad</w:t>
      </w:r>
      <w:r w:rsidRPr="005E1103">
        <w:rPr>
          <w:rFonts w:cstheme="minorHAnsi"/>
          <w:iCs/>
          <w:sz w:val="28"/>
          <w:szCs w:val="28"/>
        </w:rPr>
        <w:t>, Vol. 2, 2014, págs. 83-101.</w:t>
      </w:r>
    </w:p>
    <w:p w:rsidR="0046263B" w:rsidRPr="005E1103" w:rsidRDefault="0046263B" w:rsidP="0046263B">
      <w:pPr>
        <w:autoSpaceDE w:val="0"/>
        <w:autoSpaceDN w:val="0"/>
        <w:adjustRightInd w:val="0"/>
        <w:spacing w:after="0" w:line="360" w:lineRule="auto"/>
        <w:jc w:val="both"/>
        <w:rPr>
          <w:rFonts w:cstheme="minorHAnsi"/>
          <w:sz w:val="28"/>
          <w:szCs w:val="28"/>
        </w:rPr>
      </w:pPr>
      <w:r w:rsidRPr="005E1103">
        <w:rPr>
          <w:rFonts w:cstheme="minorHAnsi"/>
          <w:sz w:val="28"/>
          <w:szCs w:val="28"/>
        </w:rPr>
        <w:t>Colombia, CONPES social 80 de 2004, de 26 de julio, págs. 1-36.</w:t>
      </w:r>
    </w:p>
    <w:p w:rsidR="0046263B" w:rsidRPr="005E1103" w:rsidRDefault="0046263B" w:rsidP="0046263B">
      <w:pPr>
        <w:autoSpaceDE w:val="0"/>
        <w:autoSpaceDN w:val="0"/>
        <w:adjustRightInd w:val="0"/>
        <w:spacing w:after="0" w:line="360" w:lineRule="auto"/>
        <w:jc w:val="both"/>
        <w:rPr>
          <w:rFonts w:cstheme="minorHAnsi"/>
          <w:sz w:val="28"/>
          <w:szCs w:val="28"/>
        </w:rPr>
      </w:pPr>
      <w:r w:rsidRPr="005E1103">
        <w:rPr>
          <w:rFonts w:cstheme="minorHAnsi"/>
          <w:sz w:val="28"/>
          <w:szCs w:val="28"/>
        </w:rPr>
        <w:t xml:space="preserve">Colombia, Constitución Política 1991, de 04 de julio, </w:t>
      </w:r>
      <w:r w:rsidRPr="005E1103">
        <w:rPr>
          <w:rFonts w:cstheme="minorHAnsi"/>
          <w:i/>
          <w:iCs/>
          <w:sz w:val="28"/>
          <w:szCs w:val="28"/>
        </w:rPr>
        <w:t xml:space="preserve">Gaceta Constitucional </w:t>
      </w:r>
      <w:r w:rsidRPr="005E1103">
        <w:rPr>
          <w:rFonts w:cstheme="minorHAnsi"/>
          <w:sz w:val="28"/>
          <w:szCs w:val="28"/>
        </w:rPr>
        <w:t>núm. 114, págs. 1-121.</w:t>
      </w:r>
    </w:p>
    <w:p w:rsidR="0046263B" w:rsidRPr="005E1103" w:rsidRDefault="0046263B" w:rsidP="0046263B">
      <w:pPr>
        <w:autoSpaceDE w:val="0"/>
        <w:autoSpaceDN w:val="0"/>
        <w:adjustRightInd w:val="0"/>
        <w:spacing w:after="0" w:line="360" w:lineRule="auto"/>
        <w:jc w:val="both"/>
        <w:rPr>
          <w:rFonts w:cstheme="minorHAnsi"/>
          <w:sz w:val="28"/>
          <w:szCs w:val="28"/>
        </w:rPr>
      </w:pPr>
      <w:r w:rsidRPr="005E1103">
        <w:rPr>
          <w:rFonts w:cstheme="minorHAnsi"/>
          <w:sz w:val="28"/>
          <w:szCs w:val="28"/>
        </w:rPr>
        <w:t xml:space="preserve">Colombia, Ley 1145 de 2007, de 10 de julio, </w:t>
      </w:r>
      <w:r w:rsidRPr="005E1103">
        <w:rPr>
          <w:rFonts w:cstheme="minorHAnsi"/>
          <w:i/>
          <w:sz w:val="28"/>
          <w:szCs w:val="28"/>
        </w:rPr>
        <w:t>Diario oficial</w:t>
      </w:r>
      <w:r w:rsidRPr="005E1103">
        <w:rPr>
          <w:rFonts w:cstheme="minorHAnsi"/>
          <w:sz w:val="28"/>
          <w:szCs w:val="28"/>
        </w:rPr>
        <w:t xml:space="preserve"> núm. 46685 10 de julio de 2007, págs. 1-8.</w:t>
      </w:r>
    </w:p>
    <w:p w:rsidR="0046263B" w:rsidRPr="005E1103" w:rsidRDefault="0046263B" w:rsidP="0046263B">
      <w:pPr>
        <w:autoSpaceDE w:val="0"/>
        <w:autoSpaceDN w:val="0"/>
        <w:adjustRightInd w:val="0"/>
        <w:spacing w:after="0" w:line="360" w:lineRule="auto"/>
        <w:jc w:val="both"/>
        <w:rPr>
          <w:rFonts w:cstheme="minorHAnsi"/>
          <w:sz w:val="28"/>
          <w:szCs w:val="28"/>
        </w:rPr>
      </w:pPr>
      <w:r w:rsidRPr="005E1103">
        <w:rPr>
          <w:rFonts w:cstheme="minorHAnsi"/>
          <w:sz w:val="28"/>
          <w:szCs w:val="28"/>
        </w:rPr>
        <w:t xml:space="preserve">Colombia, Ley 115 de 1994, de 08 de febrero, </w:t>
      </w:r>
      <w:r w:rsidRPr="005E1103">
        <w:rPr>
          <w:rFonts w:cstheme="minorHAnsi"/>
          <w:i/>
          <w:sz w:val="28"/>
          <w:szCs w:val="28"/>
        </w:rPr>
        <w:t>Diario oficial</w:t>
      </w:r>
      <w:r w:rsidRPr="005E1103">
        <w:rPr>
          <w:rFonts w:cstheme="minorHAnsi"/>
          <w:sz w:val="28"/>
          <w:szCs w:val="28"/>
        </w:rPr>
        <w:t xml:space="preserve"> núm. 41.214 08 de febrero de 1994, págs. 1-50.</w:t>
      </w:r>
    </w:p>
    <w:p w:rsidR="0046263B" w:rsidRPr="005E1103" w:rsidRDefault="0046263B" w:rsidP="0046263B">
      <w:pPr>
        <w:autoSpaceDE w:val="0"/>
        <w:autoSpaceDN w:val="0"/>
        <w:adjustRightInd w:val="0"/>
        <w:spacing w:after="0" w:line="360" w:lineRule="auto"/>
        <w:jc w:val="both"/>
        <w:rPr>
          <w:rFonts w:cstheme="minorHAnsi"/>
          <w:sz w:val="28"/>
          <w:szCs w:val="28"/>
        </w:rPr>
      </w:pPr>
      <w:r w:rsidRPr="005E1103">
        <w:rPr>
          <w:rFonts w:cstheme="minorHAnsi"/>
          <w:sz w:val="28"/>
          <w:szCs w:val="28"/>
        </w:rPr>
        <w:lastRenderedPageBreak/>
        <w:t xml:space="preserve">Colombia, Ley 1618 de 2013, de 27 de febrero, </w:t>
      </w:r>
      <w:r w:rsidRPr="005E1103">
        <w:rPr>
          <w:rFonts w:cstheme="minorHAnsi"/>
          <w:i/>
          <w:sz w:val="28"/>
          <w:szCs w:val="28"/>
        </w:rPr>
        <w:t>Diario oficial</w:t>
      </w:r>
      <w:r w:rsidRPr="005E1103">
        <w:rPr>
          <w:rFonts w:cstheme="minorHAnsi"/>
          <w:sz w:val="28"/>
          <w:szCs w:val="28"/>
        </w:rPr>
        <w:t xml:space="preserve"> núm. 48717 27 de febrero de 2013, págs. 1-24</w:t>
      </w:r>
    </w:p>
    <w:p w:rsidR="0046263B" w:rsidRPr="005E1103" w:rsidRDefault="0046263B" w:rsidP="0046263B">
      <w:pPr>
        <w:autoSpaceDE w:val="0"/>
        <w:autoSpaceDN w:val="0"/>
        <w:adjustRightInd w:val="0"/>
        <w:spacing w:after="0" w:line="360" w:lineRule="auto"/>
        <w:jc w:val="both"/>
        <w:rPr>
          <w:rFonts w:cstheme="minorHAnsi"/>
          <w:sz w:val="28"/>
          <w:szCs w:val="28"/>
        </w:rPr>
      </w:pPr>
      <w:r w:rsidRPr="005E1103">
        <w:rPr>
          <w:rFonts w:cstheme="minorHAnsi"/>
          <w:sz w:val="28"/>
          <w:szCs w:val="28"/>
        </w:rPr>
        <w:t xml:space="preserve">Colombia, Ley 762 de 2002, de 31 de julio, </w:t>
      </w:r>
      <w:r w:rsidRPr="005E1103">
        <w:rPr>
          <w:rFonts w:cstheme="minorHAnsi"/>
          <w:i/>
          <w:sz w:val="28"/>
          <w:szCs w:val="28"/>
        </w:rPr>
        <w:t>Diario oficial</w:t>
      </w:r>
      <w:r w:rsidRPr="005E1103">
        <w:rPr>
          <w:rFonts w:cstheme="minorHAnsi"/>
          <w:sz w:val="28"/>
          <w:szCs w:val="28"/>
        </w:rPr>
        <w:t xml:space="preserve"> núm. 44889 05 de agosto de 2002, págs. 1-11.</w:t>
      </w:r>
    </w:p>
    <w:p w:rsidR="0046263B" w:rsidRPr="005E1103" w:rsidRDefault="0046263B" w:rsidP="0046263B">
      <w:pPr>
        <w:autoSpaceDE w:val="0"/>
        <w:autoSpaceDN w:val="0"/>
        <w:adjustRightInd w:val="0"/>
        <w:spacing w:after="0" w:line="360" w:lineRule="auto"/>
        <w:jc w:val="both"/>
        <w:rPr>
          <w:rFonts w:cstheme="minorHAnsi"/>
          <w:sz w:val="28"/>
          <w:szCs w:val="28"/>
        </w:rPr>
      </w:pPr>
      <w:r w:rsidRPr="005E1103">
        <w:rPr>
          <w:rFonts w:cstheme="minorHAnsi"/>
          <w:sz w:val="28"/>
          <w:szCs w:val="28"/>
        </w:rPr>
        <w:t xml:space="preserve">Lañez, Antonio «Cuerpo y modernidad. El proceso de estigmatización en las personas con diversidad funcional física», </w:t>
      </w:r>
      <w:r w:rsidRPr="005E1103">
        <w:rPr>
          <w:rFonts w:cstheme="minorHAnsi"/>
          <w:i/>
          <w:iCs/>
          <w:sz w:val="28"/>
          <w:szCs w:val="28"/>
        </w:rPr>
        <w:t>Tribuna Abierta</w:t>
      </w:r>
      <w:r w:rsidRPr="005E1103">
        <w:rPr>
          <w:rFonts w:cstheme="minorHAnsi"/>
          <w:sz w:val="28"/>
          <w:szCs w:val="28"/>
        </w:rPr>
        <w:t xml:space="preserve">, (s,f) págs. 105-122. </w:t>
      </w:r>
    </w:p>
    <w:p w:rsidR="0046263B" w:rsidRPr="005E1103" w:rsidRDefault="0046263B" w:rsidP="0046263B">
      <w:pPr>
        <w:autoSpaceDE w:val="0"/>
        <w:autoSpaceDN w:val="0"/>
        <w:adjustRightInd w:val="0"/>
        <w:spacing w:after="0" w:line="360" w:lineRule="auto"/>
        <w:jc w:val="both"/>
        <w:rPr>
          <w:rFonts w:cstheme="minorHAnsi"/>
          <w:iCs/>
          <w:sz w:val="28"/>
          <w:szCs w:val="28"/>
        </w:rPr>
      </w:pPr>
      <w:r w:rsidRPr="005E1103">
        <w:rPr>
          <w:rFonts w:cstheme="minorHAnsi"/>
          <w:iCs/>
          <w:sz w:val="28"/>
          <w:szCs w:val="28"/>
        </w:rPr>
        <w:t xml:space="preserve">Molina, Roció. </w:t>
      </w:r>
      <w:r w:rsidRPr="005E1103">
        <w:rPr>
          <w:rFonts w:cstheme="minorHAnsi"/>
          <w:sz w:val="28"/>
          <w:szCs w:val="28"/>
        </w:rPr>
        <w:t>«Educación superior para estudiantes con discapacidad» Universidad del Rosario. Págs. 1-19</w:t>
      </w:r>
    </w:p>
    <w:p w:rsidR="0046263B" w:rsidRPr="005E1103" w:rsidRDefault="0046263B" w:rsidP="0046263B">
      <w:pPr>
        <w:autoSpaceDE w:val="0"/>
        <w:autoSpaceDN w:val="0"/>
        <w:adjustRightInd w:val="0"/>
        <w:spacing w:after="0" w:line="360" w:lineRule="auto"/>
        <w:jc w:val="both"/>
        <w:rPr>
          <w:rFonts w:cstheme="minorHAnsi"/>
          <w:iCs/>
          <w:sz w:val="28"/>
          <w:szCs w:val="28"/>
        </w:rPr>
      </w:pPr>
      <w:r w:rsidRPr="005E1103">
        <w:rPr>
          <w:rFonts w:cstheme="minorHAnsi"/>
          <w:iCs/>
          <w:sz w:val="28"/>
          <w:szCs w:val="28"/>
        </w:rPr>
        <w:t xml:space="preserve">Rodríguez Díaz, Susana; Ferreira, Miguel. </w:t>
      </w:r>
      <w:r w:rsidRPr="005E1103">
        <w:rPr>
          <w:rFonts w:cstheme="minorHAnsi"/>
          <w:sz w:val="28"/>
          <w:szCs w:val="28"/>
        </w:rPr>
        <w:t>«</w:t>
      </w:r>
      <w:r w:rsidRPr="005E1103">
        <w:rPr>
          <w:rFonts w:cstheme="minorHAnsi"/>
          <w:iCs/>
          <w:sz w:val="28"/>
          <w:szCs w:val="28"/>
        </w:rPr>
        <w:t>Diversidad funcional: Sobre lo normal y lo patológico en torno a la condición social de la dis-capacidad</w:t>
      </w:r>
      <w:r w:rsidRPr="005E1103">
        <w:rPr>
          <w:rFonts w:cstheme="minorHAnsi"/>
          <w:sz w:val="28"/>
          <w:szCs w:val="28"/>
        </w:rPr>
        <w:t>»</w:t>
      </w:r>
      <w:r w:rsidRPr="005E1103">
        <w:rPr>
          <w:rFonts w:cstheme="minorHAnsi"/>
          <w:i/>
          <w:iCs/>
          <w:sz w:val="28"/>
          <w:szCs w:val="28"/>
        </w:rPr>
        <w:t>. Cuadernos de Relaciones Laborales</w:t>
      </w:r>
      <w:r w:rsidRPr="005E1103">
        <w:rPr>
          <w:rFonts w:cstheme="minorHAnsi"/>
          <w:iCs/>
          <w:sz w:val="28"/>
          <w:szCs w:val="28"/>
        </w:rPr>
        <w:t>. Vol. 28, 2010, págs. 64-83.</w:t>
      </w:r>
    </w:p>
    <w:p w:rsidR="0046263B" w:rsidRPr="005E1103" w:rsidRDefault="0046263B" w:rsidP="0046263B">
      <w:pPr>
        <w:autoSpaceDE w:val="0"/>
        <w:autoSpaceDN w:val="0"/>
        <w:adjustRightInd w:val="0"/>
        <w:spacing w:after="0" w:line="360" w:lineRule="auto"/>
        <w:jc w:val="both"/>
        <w:rPr>
          <w:rFonts w:cstheme="minorHAnsi"/>
          <w:sz w:val="28"/>
          <w:szCs w:val="28"/>
        </w:rPr>
      </w:pPr>
      <w:r w:rsidRPr="005E1103">
        <w:rPr>
          <w:rFonts w:cstheme="minorHAnsi"/>
          <w:sz w:val="28"/>
          <w:szCs w:val="28"/>
        </w:rPr>
        <w:t>Romañach, Javier y Manuel Lobato. «</w:t>
      </w:r>
      <w:r w:rsidRPr="005E1103">
        <w:rPr>
          <w:rFonts w:cstheme="minorHAnsi"/>
          <w:iCs/>
          <w:sz w:val="28"/>
          <w:szCs w:val="28"/>
        </w:rPr>
        <w:t>Diversidad Funcional, nuevo término para la lucha por la dignidad en la diversidad del ser humano</w:t>
      </w:r>
      <w:r w:rsidRPr="005E1103">
        <w:rPr>
          <w:rFonts w:cstheme="minorHAnsi"/>
          <w:sz w:val="28"/>
          <w:szCs w:val="28"/>
        </w:rPr>
        <w:t>»</w:t>
      </w:r>
      <w:r w:rsidRPr="005E1103">
        <w:rPr>
          <w:rFonts w:cstheme="minorHAnsi"/>
          <w:i/>
          <w:iCs/>
          <w:sz w:val="28"/>
          <w:szCs w:val="28"/>
        </w:rPr>
        <w:t xml:space="preserve"> </w:t>
      </w:r>
      <w:r w:rsidRPr="005E1103">
        <w:rPr>
          <w:rFonts w:cstheme="minorHAnsi"/>
          <w:sz w:val="28"/>
          <w:szCs w:val="28"/>
        </w:rPr>
        <w:t xml:space="preserve">Madrid: </w:t>
      </w:r>
      <w:r w:rsidRPr="005E1103">
        <w:rPr>
          <w:rFonts w:cstheme="minorHAnsi"/>
          <w:i/>
          <w:sz w:val="28"/>
          <w:szCs w:val="28"/>
        </w:rPr>
        <w:t>Foro de</w:t>
      </w:r>
      <w:r w:rsidRPr="005E1103">
        <w:rPr>
          <w:rFonts w:cstheme="minorHAnsi"/>
          <w:i/>
          <w:iCs/>
          <w:sz w:val="28"/>
          <w:szCs w:val="28"/>
        </w:rPr>
        <w:t xml:space="preserve"> </w:t>
      </w:r>
      <w:r w:rsidRPr="005E1103">
        <w:rPr>
          <w:rFonts w:cstheme="minorHAnsi"/>
          <w:i/>
          <w:sz w:val="28"/>
          <w:szCs w:val="28"/>
        </w:rPr>
        <w:t>Vida Independiente</w:t>
      </w:r>
      <w:r w:rsidRPr="005E1103">
        <w:rPr>
          <w:rFonts w:cstheme="minorHAnsi"/>
          <w:sz w:val="28"/>
          <w:szCs w:val="28"/>
        </w:rPr>
        <w:t xml:space="preserve"> (2005).</w:t>
      </w:r>
    </w:p>
    <w:p w:rsidR="0046263B" w:rsidRPr="005E1103" w:rsidRDefault="0046263B">
      <w:pPr>
        <w:rPr>
          <w:rFonts w:cstheme="minorHAnsi"/>
          <w:sz w:val="28"/>
          <w:szCs w:val="28"/>
        </w:rPr>
      </w:pPr>
      <w:r w:rsidRPr="005E1103">
        <w:rPr>
          <w:rFonts w:cstheme="minorHAnsi"/>
          <w:sz w:val="28"/>
          <w:szCs w:val="28"/>
        </w:rPr>
        <w:br w:type="page"/>
      </w:r>
    </w:p>
    <w:p w:rsidR="0046263B" w:rsidRPr="005E1103" w:rsidRDefault="0046263B" w:rsidP="0046263B">
      <w:pPr>
        <w:spacing w:line="360" w:lineRule="auto"/>
        <w:jc w:val="center"/>
        <w:rPr>
          <w:rFonts w:cstheme="minorHAnsi"/>
          <w:b/>
          <w:sz w:val="28"/>
          <w:szCs w:val="28"/>
        </w:rPr>
      </w:pPr>
      <w:r w:rsidRPr="005E1103">
        <w:rPr>
          <w:rFonts w:cstheme="minorHAnsi"/>
          <w:b/>
          <w:sz w:val="28"/>
          <w:szCs w:val="28"/>
        </w:rPr>
        <w:lastRenderedPageBreak/>
        <w:t>COMUNICACIÓN 5</w:t>
      </w:r>
    </w:p>
    <w:p w:rsidR="0046263B" w:rsidRPr="005E1103" w:rsidRDefault="0046263B" w:rsidP="0046263B">
      <w:pPr>
        <w:pBdr>
          <w:top w:val="single" w:sz="4" w:space="1" w:color="auto"/>
          <w:left w:val="single" w:sz="4" w:space="4" w:color="auto"/>
          <w:bottom w:val="single" w:sz="4" w:space="1" w:color="auto"/>
          <w:right w:val="single" w:sz="4" w:space="4" w:color="auto"/>
        </w:pBdr>
        <w:spacing w:after="0" w:line="360" w:lineRule="auto"/>
        <w:jc w:val="center"/>
        <w:rPr>
          <w:rFonts w:cstheme="minorHAnsi"/>
          <w:b/>
          <w:sz w:val="28"/>
          <w:szCs w:val="28"/>
        </w:rPr>
      </w:pPr>
      <w:r w:rsidRPr="005E1103">
        <w:rPr>
          <w:rFonts w:cstheme="minorHAnsi"/>
          <w:b/>
          <w:sz w:val="28"/>
          <w:szCs w:val="28"/>
        </w:rPr>
        <w:t>Inclusión Educativa en la Universidad Nacional de Costa Rica I</w:t>
      </w:r>
    </w:p>
    <w:p w:rsidR="0046263B" w:rsidRPr="005E1103" w:rsidRDefault="0046263B" w:rsidP="0046263B">
      <w:pPr>
        <w:spacing w:line="360" w:lineRule="auto"/>
        <w:jc w:val="center"/>
        <w:rPr>
          <w:rFonts w:cstheme="minorHAnsi"/>
          <w:b/>
          <w:sz w:val="28"/>
          <w:szCs w:val="28"/>
        </w:rPr>
      </w:pPr>
    </w:p>
    <w:p w:rsidR="0046263B" w:rsidRPr="005E1103" w:rsidRDefault="0046263B" w:rsidP="0046263B">
      <w:pPr>
        <w:tabs>
          <w:tab w:val="left" w:pos="2790"/>
        </w:tabs>
        <w:spacing w:after="0" w:line="240" w:lineRule="auto"/>
        <w:jc w:val="right"/>
        <w:rPr>
          <w:rFonts w:cstheme="minorHAnsi"/>
          <w:sz w:val="28"/>
          <w:szCs w:val="28"/>
        </w:rPr>
      </w:pPr>
      <w:r w:rsidRPr="005E1103">
        <w:rPr>
          <w:rFonts w:cstheme="minorHAnsi"/>
          <w:sz w:val="28"/>
          <w:szCs w:val="28"/>
        </w:rPr>
        <w:t xml:space="preserve">M.Sc. Tatiana Valverde Calderón. </w:t>
      </w:r>
    </w:p>
    <w:p w:rsidR="0046263B" w:rsidRPr="005E1103" w:rsidRDefault="0046263B" w:rsidP="0046263B">
      <w:pPr>
        <w:tabs>
          <w:tab w:val="left" w:pos="2790"/>
        </w:tabs>
        <w:spacing w:after="0" w:line="240" w:lineRule="auto"/>
        <w:jc w:val="right"/>
        <w:rPr>
          <w:rFonts w:cstheme="minorHAnsi"/>
          <w:sz w:val="28"/>
          <w:szCs w:val="28"/>
        </w:rPr>
      </w:pPr>
      <w:r w:rsidRPr="005E1103">
        <w:rPr>
          <w:rFonts w:cstheme="minorHAnsi"/>
          <w:sz w:val="28"/>
          <w:szCs w:val="28"/>
        </w:rPr>
        <w:t xml:space="preserve">Orientadora y Psicopedagoga en Discapacidad </w:t>
      </w:r>
    </w:p>
    <w:p w:rsidR="0046263B" w:rsidRPr="005E1103" w:rsidRDefault="0046263B" w:rsidP="0046263B">
      <w:pPr>
        <w:tabs>
          <w:tab w:val="left" w:pos="2790"/>
        </w:tabs>
        <w:spacing w:after="0" w:line="240" w:lineRule="auto"/>
        <w:jc w:val="right"/>
        <w:rPr>
          <w:rFonts w:cstheme="minorHAnsi"/>
          <w:sz w:val="28"/>
          <w:szCs w:val="28"/>
        </w:rPr>
      </w:pPr>
      <w:r w:rsidRPr="005E1103">
        <w:rPr>
          <w:rFonts w:cstheme="minorHAnsi"/>
          <w:sz w:val="28"/>
          <w:szCs w:val="28"/>
        </w:rPr>
        <w:t>Universidad Nacional</w:t>
      </w:r>
    </w:p>
    <w:p w:rsidR="0046263B" w:rsidRPr="005E1103" w:rsidRDefault="0046263B" w:rsidP="0046263B">
      <w:pPr>
        <w:tabs>
          <w:tab w:val="left" w:pos="2790"/>
        </w:tabs>
        <w:spacing w:after="0" w:line="240" w:lineRule="auto"/>
        <w:jc w:val="right"/>
        <w:rPr>
          <w:rFonts w:cstheme="minorHAnsi"/>
          <w:sz w:val="28"/>
          <w:szCs w:val="28"/>
        </w:rPr>
      </w:pPr>
      <w:r w:rsidRPr="005E1103">
        <w:rPr>
          <w:rFonts w:cstheme="minorHAnsi"/>
          <w:sz w:val="28"/>
          <w:szCs w:val="28"/>
        </w:rPr>
        <w:t xml:space="preserve">Dra. </w:t>
      </w:r>
      <w:hyperlink r:id="rId139" w:history="1">
        <w:r w:rsidRPr="005E1103">
          <w:rPr>
            <w:rFonts w:cstheme="minorHAnsi"/>
            <w:sz w:val="28"/>
            <w:szCs w:val="28"/>
          </w:rPr>
          <w:t>María Antonieta Ozols Rosales.</w:t>
        </w:r>
      </w:hyperlink>
    </w:p>
    <w:p w:rsidR="0046263B" w:rsidRPr="005E1103" w:rsidRDefault="0046263B" w:rsidP="0046263B">
      <w:pPr>
        <w:tabs>
          <w:tab w:val="left" w:pos="2790"/>
        </w:tabs>
        <w:spacing w:after="0" w:line="240" w:lineRule="auto"/>
        <w:jc w:val="right"/>
        <w:rPr>
          <w:rFonts w:cstheme="minorHAnsi"/>
          <w:sz w:val="28"/>
          <w:szCs w:val="28"/>
        </w:rPr>
      </w:pPr>
      <w:r w:rsidRPr="005E1103">
        <w:rPr>
          <w:rFonts w:cstheme="minorHAnsi"/>
          <w:sz w:val="28"/>
          <w:szCs w:val="28"/>
        </w:rPr>
        <w:t>Profesora Catedrática</w:t>
      </w:r>
    </w:p>
    <w:p w:rsidR="0046263B" w:rsidRPr="005E1103" w:rsidRDefault="0046263B" w:rsidP="0046263B">
      <w:pPr>
        <w:tabs>
          <w:tab w:val="left" w:pos="2790"/>
        </w:tabs>
        <w:spacing w:after="0" w:line="240" w:lineRule="auto"/>
        <w:jc w:val="right"/>
        <w:rPr>
          <w:rFonts w:cstheme="minorHAnsi"/>
          <w:sz w:val="28"/>
          <w:szCs w:val="28"/>
        </w:rPr>
      </w:pPr>
      <w:r w:rsidRPr="005E1103">
        <w:rPr>
          <w:rFonts w:cstheme="minorHAnsi"/>
          <w:sz w:val="28"/>
          <w:szCs w:val="28"/>
        </w:rPr>
        <w:t xml:space="preserve">Actividad Física adaptada  </w:t>
      </w:r>
    </w:p>
    <w:p w:rsidR="0046263B" w:rsidRPr="005E1103" w:rsidRDefault="0046263B" w:rsidP="0046263B">
      <w:pPr>
        <w:tabs>
          <w:tab w:val="left" w:pos="2790"/>
        </w:tabs>
        <w:spacing w:after="0" w:line="240" w:lineRule="auto"/>
        <w:jc w:val="right"/>
        <w:rPr>
          <w:rFonts w:cstheme="minorHAnsi"/>
          <w:sz w:val="28"/>
          <w:szCs w:val="28"/>
        </w:rPr>
      </w:pPr>
      <w:r w:rsidRPr="005E1103">
        <w:rPr>
          <w:rFonts w:cstheme="minorHAnsi"/>
          <w:sz w:val="28"/>
          <w:szCs w:val="28"/>
        </w:rPr>
        <w:t>Universidad Nacional y Universidad de Costa Rica</w:t>
      </w:r>
    </w:p>
    <w:p w:rsidR="0046263B" w:rsidRPr="005E1103" w:rsidRDefault="0046263B" w:rsidP="0046263B">
      <w:pPr>
        <w:tabs>
          <w:tab w:val="left" w:pos="2790"/>
        </w:tabs>
        <w:spacing w:after="0" w:line="240" w:lineRule="auto"/>
        <w:jc w:val="right"/>
        <w:rPr>
          <w:rFonts w:cstheme="minorHAnsi"/>
          <w:sz w:val="28"/>
          <w:szCs w:val="28"/>
        </w:rPr>
      </w:pPr>
      <w:r w:rsidRPr="005E1103">
        <w:rPr>
          <w:rFonts w:cstheme="minorHAnsi"/>
          <w:sz w:val="28"/>
          <w:szCs w:val="28"/>
        </w:rPr>
        <w:t xml:space="preserve">MSc. María Antonieta Corrales Araya. </w:t>
      </w:r>
    </w:p>
    <w:p w:rsidR="0046263B" w:rsidRPr="005E1103" w:rsidRDefault="0046263B" w:rsidP="0046263B">
      <w:pPr>
        <w:tabs>
          <w:tab w:val="left" w:pos="2790"/>
        </w:tabs>
        <w:spacing w:after="0" w:line="240" w:lineRule="auto"/>
        <w:jc w:val="right"/>
        <w:rPr>
          <w:rFonts w:cstheme="minorHAnsi"/>
          <w:sz w:val="28"/>
          <w:szCs w:val="28"/>
        </w:rPr>
      </w:pPr>
      <w:r w:rsidRPr="005E1103">
        <w:rPr>
          <w:rFonts w:cstheme="minorHAnsi"/>
          <w:sz w:val="28"/>
          <w:szCs w:val="28"/>
        </w:rPr>
        <w:t>Representante Académica ante el Consejo Universitario</w:t>
      </w:r>
    </w:p>
    <w:p w:rsidR="0046263B" w:rsidRPr="005E1103" w:rsidRDefault="0046263B" w:rsidP="0046263B">
      <w:pPr>
        <w:tabs>
          <w:tab w:val="left" w:pos="2790"/>
        </w:tabs>
        <w:spacing w:after="0" w:line="240" w:lineRule="auto"/>
        <w:jc w:val="right"/>
        <w:rPr>
          <w:rFonts w:cstheme="minorHAnsi"/>
          <w:sz w:val="28"/>
          <w:szCs w:val="28"/>
        </w:rPr>
      </w:pPr>
      <w:r w:rsidRPr="005E1103">
        <w:rPr>
          <w:rFonts w:cstheme="minorHAnsi"/>
          <w:sz w:val="28"/>
          <w:szCs w:val="28"/>
        </w:rPr>
        <w:t>Especialista en aprendizaje motor</w:t>
      </w:r>
    </w:p>
    <w:p w:rsidR="0046263B" w:rsidRPr="005E1103" w:rsidRDefault="0046263B" w:rsidP="0046263B">
      <w:pPr>
        <w:tabs>
          <w:tab w:val="left" w:pos="2790"/>
        </w:tabs>
        <w:spacing w:after="0" w:line="240" w:lineRule="auto"/>
        <w:jc w:val="right"/>
        <w:rPr>
          <w:rFonts w:cstheme="minorHAnsi"/>
          <w:sz w:val="28"/>
          <w:szCs w:val="28"/>
        </w:rPr>
      </w:pPr>
      <w:r w:rsidRPr="005E1103">
        <w:rPr>
          <w:rFonts w:cstheme="minorHAnsi"/>
          <w:sz w:val="28"/>
          <w:szCs w:val="28"/>
        </w:rPr>
        <w:t xml:space="preserve">Universidad Nacional </w:t>
      </w:r>
    </w:p>
    <w:p w:rsidR="0046263B" w:rsidRPr="005E1103" w:rsidRDefault="0046263B" w:rsidP="0046263B">
      <w:pPr>
        <w:spacing w:after="0" w:line="240" w:lineRule="auto"/>
        <w:rPr>
          <w:rFonts w:cstheme="minorHAnsi"/>
          <w:sz w:val="28"/>
          <w:szCs w:val="28"/>
        </w:rPr>
      </w:pPr>
    </w:p>
    <w:p w:rsidR="0046263B" w:rsidRPr="005E1103" w:rsidRDefault="0046263B" w:rsidP="0046263B">
      <w:pPr>
        <w:rPr>
          <w:rFonts w:cstheme="minorHAnsi"/>
          <w:b/>
          <w:sz w:val="28"/>
          <w:szCs w:val="28"/>
        </w:rPr>
      </w:pPr>
      <w:r w:rsidRPr="005E1103">
        <w:rPr>
          <w:rFonts w:cstheme="minorHAnsi"/>
          <w:b/>
          <w:sz w:val="28"/>
          <w:szCs w:val="28"/>
        </w:rPr>
        <w:t xml:space="preserve">Resumen:  </w:t>
      </w:r>
    </w:p>
    <w:p w:rsidR="0046263B" w:rsidRPr="005E1103" w:rsidRDefault="0046263B" w:rsidP="0046263B">
      <w:pPr>
        <w:spacing w:line="360" w:lineRule="auto"/>
        <w:jc w:val="both"/>
        <w:rPr>
          <w:rFonts w:cstheme="minorHAnsi"/>
          <w:sz w:val="28"/>
          <w:szCs w:val="28"/>
        </w:rPr>
      </w:pPr>
      <w:r w:rsidRPr="005E1103">
        <w:rPr>
          <w:rFonts w:cstheme="minorHAnsi"/>
          <w:sz w:val="28"/>
          <w:szCs w:val="28"/>
        </w:rPr>
        <w:tab/>
        <w:t>La educación es un derecho inalienable de todo ser humano por ende, la persona con discapacidad no está exenta de ese derecho. En Costa Rica, la educación es obligatoria y gratuita desde preescolar hasta secundaria (educación media) (Ley Fundamental de Educación, 1957).  Sin embargo,  la educación a nivel superior no es obligatoria por lo que el acceso se ha visto restringido a los estudiantes egresados de secundaria y, más aún, ésta restricción se incrementa en aquellos que presentan algún tipo de discapacidad.</w:t>
      </w:r>
    </w:p>
    <w:p w:rsidR="0046263B" w:rsidRPr="005E1103" w:rsidRDefault="0046263B" w:rsidP="0046263B">
      <w:pPr>
        <w:pStyle w:val="NormalWeb"/>
        <w:shd w:val="clear" w:color="auto" w:fill="FFFFFF"/>
        <w:spacing w:line="360" w:lineRule="auto"/>
        <w:jc w:val="both"/>
        <w:rPr>
          <w:rFonts w:asciiTheme="minorHAnsi" w:hAnsiTheme="minorHAnsi" w:cstheme="minorHAnsi"/>
          <w:color w:val="000000"/>
          <w:sz w:val="28"/>
          <w:szCs w:val="28"/>
        </w:rPr>
      </w:pPr>
      <w:r w:rsidRPr="005E1103">
        <w:rPr>
          <w:rFonts w:asciiTheme="minorHAnsi" w:hAnsiTheme="minorHAnsi" w:cstheme="minorHAnsi"/>
          <w:color w:val="000000"/>
          <w:sz w:val="28"/>
          <w:szCs w:val="28"/>
        </w:rPr>
        <w:tab/>
        <w:t xml:space="preserve">Las universidades públicas costarricenses (UCR, UNA, TEC), con el objetivo de mejorar la accesibilidad de las personas con discapacidad en sus centros educativos , realizan de forma articulada actividades de revisión conjunta, valoración de casos y entrevistas de las y los solicitantes de adecuaciones para la aplicación del examen de admisión.  </w:t>
      </w:r>
    </w:p>
    <w:p w:rsidR="0046263B" w:rsidRPr="005E1103" w:rsidRDefault="0046263B" w:rsidP="0046263B">
      <w:pPr>
        <w:pStyle w:val="NormalWeb"/>
        <w:shd w:val="clear" w:color="auto" w:fill="FFFFFF"/>
        <w:spacing w:line="360" w:lineRule="auto"/>
        <w:jc w:val="both"/>
        <w:rPr>
          <w:rFonts w:asciiTheme="minorHAnsi" w:hAnsiTheme="minorHAnsi" w:cstheme="minorHAnsi"/>
          <w:color w:val="222222"/>
          <w:sz w:val="28"/>
          <w:szCs w:val="28"/>
        </w:rPr>
      </w:pPr>
      <w:r w:rsidRPr="005E1103">
        <w:rPr>
          <w:rFonts w:asciiTheme="minorHAnsi" w:hAnsiTheme="minorHAnsi" w:cstheme="minorHAnsi"/>
          <w:color w:val="000000"/>
          <w:sz w:val="28"/>
          <w:szCs w:val="28"/>
        </w:rPr>
        <w:lastRenderedPageBreak/>
        <w:tab/>
        <w:t>La inscripción de personas con discapacidad a la educación superior se ha incrementado en  los últimos años, observándose que en el período comprendido entre el 2013 al 2016, pasó de 1671 a 1972 inscritos. En el caso de la Universidad Nacional Autónoma (UNA), del 2012 al 2016 hubo una inscripción de 133.145  estudiantes, de los cuales 8589 son estudiantes que presentan alguna discapacidad. En términos porcentuales eso significa que la población con discapacidad que realizan inscripción a la universidad equivale a un 6.45%. Entre los tipos de discapacidades encontramos: problemas de aprendizaje que equivale a un 78.8%, déficit atencional a un 7.7%, emocional un 4.5%, visual un 3.0%, sistémica un 1.9%, motora un 1.5%, auditiva un 1.5% y múltiple un 0.5%.</w:t>
      </w:r>
    </w:p>
    <w:p w:rsidR="0046263B" w:rsidRPr="005E1103" w:rsidRDefault="0046263B" w:rsidP="0046263B">
      <w:pPr>
        <w:pStyle w:val="NormalWeb"/>
        <w:shd w:val="clear" w:color="auto" w:fill="FFFFFF"/>
        <w:spacing w:line="360" w:lineRule="auto"/>
        <w:jc w:val="both"/>
        <w:rPr>
          <w:rFonts w:asciiTheme="minorHAnsi" w:hAnsiTheme="minorHAnsi" w:cstheme="minorHAnsi"/>
          <w:color w:val="222222"/>
          <w:sz w:val="28"/>
          <w:szCs w:val="28"/>
        </w:rPr>
      </w:pPr>
      <w:r w:rsidRPr="005E1103">
        <w:rPr>
          <w:rFonts w:asciiTheme="minorHAnsi" w:hAnsiTheme="minorHAnsi" w:cstheme="minorHAnsi"/>
          <w:color w:val="000000"/>
          <w:sz w:val="28"/>
          <w:szCs w:val="28"/>
        </w:rPr>
        <w:tab/>
        <w:t>Algunos factores que inciden en la baja afluencia de estudiantes con discapacidad serían: el temor a ser señalados como estudiantes que requieren una adecuación, el apoyo familiar que reciban para acceder a la universidad, la falta de información por parte de las instituciones de educación media y la accesibilidad a la universidad de los estudiantes con discapacidad de zonas rurales alejadas. Las universidades han hecho esfuerzos coordinados y han promovido alianzas para atraer a sus aulas a estos estudiantes, sin embargo,  todavía las acciones desarrolladas no son suficientes para satisfacer plenamente las necesidades de los estudiantes con discapacidad y lograr así una verdadera inclusión educativa.</w:t>
      </w:r>
    </w:p>
    <w:p w:rsidR="0046263B" w:rsidRPr="005E1103" w:rsidRDefault="0046263B" w:rsidP="0046263B">
      <w:pPr>
        <w:rPr>
          <w:rFonts w:cstheme="minorHAnsi"/>
          <w:b/>
          <w:sz w:val="28"/>
          <w:szCs w:val="28"/>
        </w:rPr>
      </w:pPr>
      <w:r w:rsidRPr="005E1103">
        <w:rPr>
          <w:rFonts w:cstheme="minorHAnsi"/>
          <w:b/>
          <w:sz w:val="28"/>
          <w:szCs w:val="28"/>
        </w:rPr>
        <w:t xml:space="preserve">Palabras Clave: </w:t>
      </w:r>
      <w:r w:rsidRPr="005E1103">
        <w:rPr>
          <w:rFonts w:cstheme="minorHAnsi"/>
          <w:sz w:val="28"/>
          <w:szCs w:val="28"/>
        </w:rPr>
        <w:t>Universidad, Admisión, Discapacidad, Inclusión, Accesibilidad, Sensibilidad.</w:t>
      </w:r>
      <w:r w:rsidRPr="005E1103">
        <w:rPr>
          <w:rFonts w:cstheme="minorHAnsi"/>
          <w:b/>
          <w:sz w:val="28"/>
          <w:szCs w:val="28"/>
        </w:rPr>
        <w:t xml:space="preserve"> </w:t>
      </w:r>
    </w:p>
    <w:p w:rsidR="0046263B" w:rsidRPr="005E1103" w:rsidRDefault="0046263B" w:rsidP="0046263B">
      <w:pPr>
        <w:rPr>
          <w:rFonts w:cstheme="minorHAnsi"/>
          <w:sz w:val="28"/>
          <w:szCs w:val="28"/>
        </w:rPr>
      </w:pPr>
    </w:p>
    <w:p w:rsidR="0046263B" w:rsidRPr="005E1103" w:rsidRDefault="0046263B" w:rsidP="0046263B">
      <w:pPr>
        <w:spacing w:line="360" w:lineRule="auto"/>
        <w:jc w:val="both"/>
        <w:rPr>
          <w:rFonts w:cstheme="minorHAnsi"/>
          <w:sz w:val="28"/>
          <w:szCs w:val="28"/>
          <w:lang w:val="en-US"/>
        </w:rPr>
      </w:pPr>
      <w:r w:rsidRPr="005E1103">
        <w:rPr>
          <w:rFonts w:cstheme="minorHAnsi"/>
          <w:b/>
          <w:sz w:val="28"/>
          <w:szCs w:val="28"/>
          <w:lang w:val="en-GB"/>
        </w:rPr>
        <w:t>Summary:</w:t>
      </w:r>
    </w:p>
    <w:p w:rsidR="0046263B" w:rsidRPr="005E1103" w:rsidRDefault="0046263B" w:rsidP="0046263B">
      <w:pPr>
        <w:spacing w:line="360" w:lineRule="auto"/>
        <w:jc w:val="both"/>
        <w:rPr>
          <w:rFonts w:cstheme="minorHAnsi"/>
          <w:sz w:val="28"/>
          <w:szCs w:val="28"/>
          <w:lang w:val="en-US"/>
        </w:rPr>
      </w:pPr>
      <w:r w:rsidRPr="005E1103">
        <w:rPr>
          <w:rFonts w:cstheme="minorHAnsi"/>
          <w:sz w:val="28"/>
          <w:szCs w:val="28"/>
          <w:lang w:val="en-US"/>
        </w:rPr>
        <w:lastRenderedPageBreak/>
        <w:tab/>
        <w:t>Education is an inalienable right of every human being therefore the person with a disability is not exempt from this law. In Costa Rica, education is compulsory and free from kindergarten to secondary (high school) (Fundamental Law of Education, 1957). However, college education is not compulsory so that access has been restricted to graduates high school and, even more, this restriction is increased in those with a disability.</w:t>
      </w:r>
    </w:p>
    <w:p w:rsidR="0046263B" w:rsidRPr="005E1103" w:rsidRDefault="0046263B" w:rsidP="0046263B">
      <w:pPr>
        <w:spacing w:line="360" w:lineRule="auto"/>
        <w:jc w:val="both"/>
        <w:rPr>
          <w:rFonts w:cstheme="minorHAnsi"/>
          <w:sz w:val="28"/>
          <w:szCs w:val="28"/>
          <w:lang w:val="en-US"/>
        </w:rPr>
      </w:pPr>
      <w:r w:rsidRPr="005E1103">
        <w:rPr>
          <w:rFonts w:cstheme="minorHAnsi"/>
          <w:sz w:val="28"/>
          <w:szCs w:val="28"/>
          <w:lang w:val="en-US"/>
        </w:rPr>
        <w:tab/>
        <w:t>Costa Rican public universities (UCR, UNA, TEC), with the aim of improving accessibility for people with disabilities in their schools, made articulately activities joint review, evaluation of cases and interviews of and applicants adjustments application for admission test.</w:t>
      </w:r>
    </w:p>
    <w:p w:rsidR="0046263B" w:rsidRPr="005E1103" w:rsidRDefault="0046263B" w:rsidP="0046263B">
      <w:pPr>
        <w:spacing w:line="360" w:lineRule="auto"/>
        <w:jc w:val="both"/>
        <w:rPr>
          <w:rFonts w:cstheme="minorHAnsi"/>
          <w:sz w:val="28"/>
          <w:szCs w:val="28"/>
          <w:lang w:val="en-US"/>
        </w:rPr>
      </w:pPr>
      <w:r w:rsidRPr="005E1103">
        <w:rPr>
          <w:rFonts w:cstheme="minorHAnsi"/>
          <w:sz w:val="28"/>
          <w:szCs w:val="28"/>
          <w:lang w:val="en-US"/>
        </w:rPr>
        <w:tab/>
        <w:t>The registration of persons with disabilities to higher education has increased in recent years, noting that in the period from 2013 to 2016, went from 1671 to 1972 enrollees. In the case of the National University (UNA), from 2012 to 2016 there was an enrollment of 133,145 students, of which 8589 are students who have a disability. In percentage terms this means that people with disabilities performing college enrollment equals 6.45%. Among the types of disabilities are: learning problems equivalent to 78.8%, attention deficit to 7.7%, emotionally 4.5%, visual 3.0%, systemic 1.9%, motor 1.5%, hearing 1.5% and multiple 0.5%.</w:t>
      </w:r>
    </w:p>
    <w:p w:rsidR="0046263B" w:rsidRPr="005E1103" w:rsidRDefault="0046263B" w:rsidP="0046263B">
      <w:pPr>
        <w:spacing w:line="360" w:lineRule="auto"/>
        <w:jc w:val="both"/>
        <w:rPr>
          <w:rFonts w:cstheme="minorHAnsi"/>
          <w:sz w:val="28"/>
          <w:szCs w:val="28"/>
          <w:lang w:val="en-US"/>
        </w:rPr>
      </w:pPr>
      <w:r w:rsidRPr="005E1103">
        <w:rPr>
          <w:rFonts w:cstheme="minorHAnsi"/>
          <w:sz w:val="28"/>
          <w:szCs w:val="28"/>
          <w:lang w:val="en-US"/>
        </w:rPr>
        <w:tab/>
        <w:t xml:space="preserve">Some factors affecting the low influx of students with disabilities are: the fear of being identified as students who require an adjustment, family support they receive to enter university, lack of information from the institutions of secondary education accessibility to college students with disabilities in remote rural areas. Universities have made coordinated efforts and partnerships have promoted their classrooms to attract these </w:t>
      </w:r>
      <w:r w:rsidRPr="005E1103">
        <w:rPr>
          <w:rFonts w:cstheme="minorHAnsi"/>
          <w:sz w:val="28"/>
          <w:szCs w:val="28"/>
          <w:lang w:val="en-US"/>
        </w:rPr>
        <w:lastRenderedPageBreak/>
        <w:t>students, however, still the actions taken are not sufficient to fully meet the needs of students with disabilities and thus achieve true educational inclusion.</w:t>
      </w:r>
    </w:p>
    <w:p w:rsidR="0046263B" w:rsidRPr="005E1103" w:rsidRDefault="0046263B" w:rsidP="0046263B">
      <w:pPr>
        <w:spacing w:line="360" w:lineRule="auto"/>
        <w:rPr>
          <w:rFonts w:cstheme="minorHAnsi"/>
          <w:sz w:val="28"/>
          <w:szCs w:val="28"/>
          <w:lang w:val="en-US"/>
        </w:rPr>
      </w:pPr>
      <w:r w:rsidRPr="005E1103">
        <w:rPr>
          <w:rFonts w:cstheme="minorHAnsi"/>
          <w:b/>
          <w:sz w:val="28"/>
          <w:szCs w:val="28"/>
          <w:lang w:val="en-US"/>
        </w:rPr>
        <w:t xml:space="preserve">Keywords: </w:t>
      </w:r>
      <w:r w:rsidRPr="005E1103">
        <w:rPr>
          <w:rFonts w:cstheme="minorHAnsi"/>
          <w:sz w:val="28"/>
          <w:szCs w:val="28"/>
          <w:lang w:val="en-US"/>
        </w:rPr>
        <w:t>University, Admission, Disability, Inclusion, Accessibility, Sensitivity.</w:t>
      </w:r>
    </w:p>
    <w:p w:rsidR="0046263B" w:rsidRPr="005E1103" w:rsidRDefault="0046263B" w:rsidP="0046263B">
      <w:pPr>
        <w:rPr>
          <w:rFonts w:cstheme="minorHAnsi"/>
          <w:sz w:val="28"/>
          <w:szCs w:val="28"/>
          <w:lang w:val="en-US"/>
        </w:rPr>
      </w:pPr>
    </w:p>
    <w:p w:rsidR="0046263B" w:rsidRPr="005E1103" w:rsidRDefault="0046263B" w:rsidP="0046263B">
      <w:pPr>
        <w:rPr>
          <w:rFonts w:cstheme="minorHAnsi"/>
          <w:sz w:val="28"/>
          <w:szCs w:val="28"/>
          <w:lang w:val="en-US"/>
        </w:rPr>
      </w:pPr>
    </w:p>
    <w:p w:rsidR="0046263B" w:rsidRPr="005E1103" w:rsidRDefault="0046263B" w:rsidP="0046263B">
      <w:pPr>
        <w:spacing w:line="480" w:lineRule="auto"/>
        <w:jc w:val="center"/>
        <w:rPr>
          <w:rFonts w:cstheme="minorHAnsi"/>
          <w:sz w:val="28"/>
          <w:szCs w:val="28"/>
        </w:rPr>
      </w:pPr>
      <w:r w:rsidRPr="005E1103">
        <w:rPr>
          <w:rFonts w:cstheme="minorHAnsi"/>
          <w:sz w:val="28"/>
          <w:szCs w:val="28"/>
        </w:rPr>
        <w:t>“Inclusión Educativa en la Universidad Nacional de Costa Rica"</w:t>
      </w:r>
    </w:p>
    <w:p w:rsidR="0046263B" w:rsidRPr="005E1103" w:rsidRDefault="0046263B" w:rsidP="0046263B">
      <w:pPr>
        <w:spacing w:line="480" w:lineRule="auto"/>
        <w:jc w:val="both"/>
        <w:rPr>
          <w:rFonts w:cstheme="minorHAnsi"/>
          <w:b/>
          <w:sz w:val="28"/>
          <w:szCs w:val="28"/>
        </w:rPr>
      </w:pPr>
      <w:r w:rsidRPr="005E1103">
        <w:rPr>
          <w:rFonts w:cstheme="minorHAnsi"/>
          <w:b/>
          <w:sz w:val="28"/>
          <w:szCs w:val="28"/>
        </w:rPr>
        <w:t>Introducción</w:t>
      </w:r>
    </w:p>
    <w:p w:rsidR="0046263B" w:rsidRPr="005E1103" w:rsidRDefault="0046263B" w:rsidP="0046263B">
      <w:pPr>
        <w:spacing w:line="360" w:lineRule="auto"/>
        <w:ind w:firstLine="708"/>
        <w:jc w:val="both"/>
        <w:rPr>
          <w:rFonts w:cstheme="minorHAnsi"/>
          <w:sz w:val="28"/>
          <w:szCs w:val="28"/>
        </w:rPr>
      </w:pPr>
      <w:r w:rsidRPr="005E1103">
        <w:rPr>
          <w:rFonts w:cstheme="minorHAnsi"/>
          <w:sz w:val="28"/>
          <w:szCs w:val="28"/>
        </w:rPr>
        <w:t xml:space="preserve">De acuerdo con los Derechos Humanos de las Personas con Discapacidad [Ley 8661] (2008) se entiende que “las personas con discapacidad incluyen a aquellas que tengan deficiencias físicas, mentales, intelectuales o sensoriales a largo plazo que, al interactuar con diversas barreras, pueden impedir su participación plena y efectiva en la sociedad, en igualdad de condiciones con los demás”. A partir de dichos planteamientos, es factible comprender que la persona con discapacidad es aquella que al relacionarse con su entorno, no logra una realización y participación íntegra, debido a su condición o deficiencia. </w:t>
      </w:r>
    </w:p>
    <w:p w:rsidR="0046263B" w:rsidRPr="005E1103" w:rsidRDefault="0046263B" w:rsidP="0046263B">
      <w:pPr>
        <w:spacing w:line="360" w:lineRule="auto"/>
        <w:ind w:firstLine="708"/>
        <w:jc w:val="both"/>
        <w:rPr>
          <w:rFonts w:cstheme="minorHAnsi"/>
          <w:sz w:val="28"/>
          <w:szCs w:val="28"/>
        </w:rPr>
      </w:pPr>
      <w:r w:rsidRPr="005E1103">
        <w:rPr>
          <w:rFonts w:cstheme="minorHAnsi"/>
          <w:sz w:val="28"/>
          <w:szCs w:val="28"/>
        </w:rPr>
        <w:t xml:space="preserve">De esta manera es necesario visualizar, tal y como lo plantea la Organización de las Naciones Unidas y la Oficina del Alto Comisionado para los Derechos Humanos [ONU/OACDH] (2010, p.7), que la discapacidad es “el resultado de la incapacidad de las sociedades de ser incluyentes y dar cabida a las diferencias individuales. Son las sociedades, no el individuo, las que deben cambiar”. </w:t>
      </w:r>
    </w:p>
    <w:p w:rsidR="0046263B" w:rsidRPr="005E1103" w:rsidRDefault="0046263B" w:rsidP="0046263B">
      <w:pPr>
        <w:spacing w:line="360" w:lineRule="auto"/>
        <w:ind w:firstLine="708"/>
        <w:jc w:val="both"/>
        <w:rPr>
          <w:rFonts w:cstheme="minorHAnsi"/>
          <w:sz w:val="28"/>
          <w:szCs w:val="28"/>
        </w:rPr>
      </w:pPr>
      <w:r w:rsidRPr="005E1103">
        <w:rPr>
          <w:rFonts w:cstheme="minorHAnsi"/>
          <w:sz w:val="28"/>
          <w:szCs w:val="28"/>
        </w:rPr>
        <w:lastRenderedPageBreak/>
        <w:t>Por tanto, en función de las barreras que convierten la condición que presenta una persona con una discapacidad, se han propuesto una serie de planteamientos que subrayan la importancia de la inclusión, concepto que de acuerdo con la Organización de las Naciones Unidas para la Educación, la Ciencia y la Cultura [UNESCO] (2005) hace referencia al proceso en el que se aborda y responde a la diversidad de necesidades que presentan los estudiantes, con miras a fortalecer su participación en el aprendizaje, en las comunidades y en la cultura, y a través de ello reducir la exclusión en y desde el ámbito educacional.</w:t>
      </w:r>
    </w:p>
    <w:p w:rsidR="0046263B" w:rsidRPr="005E1103" w:rsidRDefault="0046263B" w:rsidP="0046263B">
      <w:pPr>
        <w:spacing w:line="360" w:lineRule="auto"/>
        <w:ind w:firstLine="708"/>
        <w:jc w:val="both"/>
        <w:rPr>
          <w:rFonts w:cstheme="minorHAnsi"/>
          <w:sz w:val="28"/>
          <w:szCs w:val="28"/>
        </w:rPr>
      </w:pPr>
      <w:r w:rsidRPr="005E1103">
        <w:rPr>
          <w:rFonts w:cstheme="minorHAnsi"/>
          <w:sz w:val="28"/>
          <w:szCs w:val="28"/>
        </w:rPr>
        <w:t xml:space="preserve">Desde este enfoque se reconoce que la educación inclusiva debe abogar por la transformación del sistema educativo y demás ambientes de aprendizaje con la finalidad de responder a la diversidad y necesidades de las y los estudiantes (UNESCO, 2005). Por ende, la inclusión busca eliminar o modificar esos ambientes, creencias y sistemas donde la persona con discapacidad ha sido excluida, señalada o “integrada”, es decir, acabar con las barreras que obstaculizan su desenvolvimiento íntegro y pleno, y luchar por un entorno donde la diversidad verdaderamente signifique respeto hacia las diferencias y sea vista como un mayor enriquecimiento en el proceso de enseñanza-aprendizaje. </w:t>
      </w:r>
    </w:p>
    <w:p w:rsidR="0046263B" w:rsidRPr="005E1103" w:rsidRDefault="0046263B" w:rsidP="0046263B">
      <w:pPr>
        <w:spacing w:line="360" w:lineRule="auto"/>
        <w:ind w:firstLine="708"/>
        <w:jc w:val="both"/>
        <w:rPr>
          <w:rFonts w:cstheme="minorHAnsi"/>
          <w:sz w:val="28"/>
          <w:szCs w:val="28"/>
        </w:rPr>
      </w:pPr>
      <w:r w:rsidRPr="005E1103">
        <w:rPr>
          <w:rFonts w:cstheme="minorHAnsi"/>
          <w:sz w:val="28"/>
          <w:szCs w:val="28"/>
        </w:rPr>
        <w:t xml:space="preserve">De esta manera, la inclusión, como paradigma vigente en el abordaje de la discapacidad, puede ser vista como una perspectiva que busca y defiende la autonomía, autodeterminación y participación activa, en la sociedad, de las personas que presentan alguna condición de discapacidad. Aspectos que sustentan la importancia de que dicho proceso no solamente se lleve a cabo en los niveles iniciales de educación, sino que además se siga abordando en los sistemas de educación universitaria. </w:t>
      </w:r>
    </w:p>
    <w:p w:rsidR="0046263B" w:rsidRPr="005E1103" w:rsidRDefault="0046263B" w:rsidP="0046263B">
      <w:pPr>
        <w:spacing w:line="360" w:lineRule="auto"/>
        <w:ind w:firstLine="708"/>
        <w:jc w:val="both"/>
        <w:rPr>
          <w:rFonts w:cstheme="minorHAnsi"/>
          <w:sz w:val="28"/>
          <w:szCs w:val="28"/>
        </w:rPr>
      </w:pPr>
      <w:r w:rsidRPr="005E1103">
        <w:rPr>
          <w:rFonts w:cstheme="minorHAnsi"/>
          <w:sz w:val="28"/>
          <w:szCs w:val="28"/>
        </w:rPr>
        <w:lastRenderedPageBreak/>
        <w:t>A partir de los estudios que se han realizado a nivel nacional, se puede visualizar que en Costa Rica la discapacidad ha sido abordada desde un punto de vista institucional, por cuanto a partir de 1940 se han creado diversas entidades que atienden a las personas con discapacidad, por ejemplo el Centro Nacional Fernando Centeno Güell y el Consejo Nacional de Rehabilitación y Educación Especial. Mientras que en el ámbito científico y académico, el origen se puntualiza para 1974 con la apertura del Bachillerato en Educación Especial de la Universidad de Costa Rica (Organización Panamericana de la Salud [OPS], 2004).</w:t>
      </w:r>
    </w:p>
    <w:p w:rsidR="0046263B" w:rsidRPr="005E1103" w:rsidRDefault="0046263B" w:rsidP="0046263B">
      <w:pPr>
        <w:spacing w:line="360" w:lineRule="auto"/>
        <w:ind w:firstLine="708"/>
        <w:jc w:val="both"/>
        <w:rPr>
          <w:rFonts w:cstheme="minorHAnsi"/>
          <w:sz w:val="28"/>
          <w:szCs w:val="28"/>
        </w:rPr>
      </w:pPr>
      <w:r w:rsidRPr="005E1103">
        <w:rPr>
          <w:rFonts w:cstheme="minorHAnsi"/>
          <w:sz w:val="28"/>
          <w:szCs w:val="28"/>
        </w:rPr>
        <w:t>Sin embargo, con el paso de las épocas y con el cambio de paradigmas en la temática, se ha buscado un accionar distinto, pasando de la visión asistencialista hacia una orientada en los derechos humanos y en la integralidad de la persona. De ahí la importancia de que se cuente con un entorno que promueva conductas, actitudes y escenarios de respeto e inclusión, lo cual no solamente se busca a nivel general, sino principalmente a nivel educativo, y en nuestro caso particular, en el sistema universitario.</w:t>
      </w:r>
    </w:p>
    <w:p w:rsidR="0046263B" w:rsidRPr="005E1103" w:rsidRDefault="0046263B" w:rsidP="0046263B">
      <w:pPr>
        <w:spacing w:line="360" w:lineRule="auto"/>
        <w:ind w:firstLine="708"/>
        <w:jc w:val="both"/>
        <w:rPr>
          <w:rFonts w:cstheme="minorHAnsi"/>
          <w:sz w:val="28"/>
          <w:szCs w:val="28"/>
        </w:rPr>
      </w:pPr>
      <w:r w:rsidRPr="005E1103">
        <w:rPr>
          <w:rFonts w:cstheme="minorHAnsi"/>
          <w:sz w:val="28"/>
          <w:szCs w:val="28"/>
        </w:rPr>
        <w:t xml:space="preserve">De acuerdo con Salinas, Rosa, Medrano, Zuzulich y Hojas (2013), la inclusión universitaria ha tenido un gran avance debido a las actitudes positivas que facilitan este proceso y a las campañas que incentivan al respeto de las diferencias por parte de todos los participantes del proceso educativo. Sin embargo, continúan existiendo algunas deficiencias con respecto a temas como las barreras de acceso al currículo, es decir las dificultades que vivencian las personas con discapacidad, en cuanto al acceso a recursos de aprendizaje, evaluaciones, materiales específicos y trabajos de campo. </w:t>
      </w:r>
    </w:p>
    <w:p w:rsidR="0046263B" w:rsidRPr="005E1103" w:rsidRDefault="0046263B" w:rsidP="0046263B">
      <w:pPr>
        <w:spacing w:line="360" w:lineRule="auto"/>
        <w:ind w:firstLine="708"/>
        <w:jc w:val="both"/>
        <w:rPr>
          <w:rFonts w:cstheme="minorHAnsi"/>
          <w:sz w:val="28"/>
          <w:szCs w:val="28"/>
        </w:rPr>
      </w:pPr>
      <w:r w:rsidRPr="005E1103">
        <w:rPr>
          <w:rFonts w:cstheme="minorHAnsi"/>
          <w:sz w:val="28"/>
          <w:szCs w:val="28"/>
        </w:rPr>
        <w:lastRenderedPageBreak/>
        <w:t xml:space="preserve">Por consiguiente, si bien se observa un avance en el tema de acceso e ingreso a la educación superior, es evidente que la realidad continua presentando grandes deficiencias y barreras cuando se habla de procesos de enseñanza-aprendizaje. </w:t>
      </w:r>
    </w:p>
    <w:p w:rsidR="0046263B" w:rsidRPr="005E1103" w:rsidRDefault="0046263B" w:rsidP="0046263B">
      <w:pPr>
        <w:spacing w:line="360" w:lineRule="auto"/>
        <w:jc w:val="both"/>
        <w:rPr>
          <w:rFonts w:cstheme="minorHAnsi"/>
          <w:sz w:val="28"/>
          <w:szCs w:val="28"/>
        </w:rPr>
      </w:pPr>
      <w:r w:rsidRPr="005E1103">
        <w:rPr>
          <w:rFonts w:cstheme="minorHAnsi"/>
          <w:sz w:val="28"/>
          <w:szCs w:val="28"/>
        </w:rPr>
        <w:tab/>
        <w:t xml:space="preserve">En el caso de la Universidad Nacional, desde el Consejo Nacional de Rectores, CONARE (2009), se constituye la Comisión Interuniversitaria de Accesibilidad a la Educación Superior (CIAES), establecida para el acompañamiento en el proceso  admisión de los postulantes que solicitan adecuación en la aplicación de las pruebas de admisión. </w:t>
      </w:r>
    </w:p>
    <w:p w:rsidR="0046263B" w:rsidRPr="005E1103" w:rsidRDefault="0046263B" w:rsidP="0046263B">
      <w:pPr>
        <w:spacing w:line="360" w:lineRule="auto"/>
        <w:jc w:val="both"/>
        <w:rPr>
          <w:rFonts w:cstheme="minorHAnsi"/>
          <w:sz w:val="28"/>
          <w:szCs w:val="28"/>
        </w:rPr>
      </w:pPr>
      <w:r w:rsidRPr="005E1103">
        <w:rPr>
          <w:rFonts w:cstheme="minorHAnsi"/>
          <w:sz w:val="28"/>
          <w:szCs w:val="28"/>
        </w:rPr>
        <w:tab/>
        <w:t xml:space="preserve">La Universidad Nacional, refuerza aún más su compromiso con accesibilidad de la población más vulnerable del país, y con ello a la que presenta alguna condición asociada o no a la discapacidad. </w:t>
      </w:r>
    </w:p>
    <w:p w:rsidR="0046263B" w:rsidRPr="005E1103" w:rsidRDefault="0046263B" w:rsidP="0046263B">
      <w:pPr>
        <w:spacing w:line="360" w:lineRule="auto"/>
        <w:jc w:val="both"/>
        <w:rPr>
          <w:rFonts w:cstheme="minorHAnsi"/>
          <w:sz w:val="28"/>
          <w:szCs w:val="28"/>
        </w:rPr>
      </w:pPr>
      <w:r w:rsidRPr="005E1103">
        <w:rPr>
          <w:rFonts w:cstheme="minorHAnsi"/>
          <w:sz w:val="28"/>
          <w:szCs w:val="28"/>
        </w:rPr>
        <w:tab/>
        <w:t xml:space="preserve">Uno de los principios del Estatuto Orgánico (2015) que rige a la Universidad Nacional nos dice: </w:t>
      </w:r>
    </w:p>
    <w:p w:rsidR="0046263B" w:rsidRPr="005E1103" w:rsidRDefault="0046263B" w:rsidP="0046263B">
      <w:pPr>
        <w:numPr>
          <w:ilvl w:val="0"/>
          <w:numId w:val="92"/>
        </w:numPr>
        <w:suppressAutoHyphens/>
        <w:spacing w:after="0" w:line="276" w:lineRule="auto"/>
        <w:jc w:val="both"/>
        <w:rPr>
          <w:rFonts w:cstheme="minorHAnsi"/>
          <w:b/>
          <w:sz w:val="28"/>
          <w:szCs w:val="28"/>
          <w:lang w:bidi="en-US"/>
        </w:rPr>
      </w:pPr>
      <w:r w:rsidRPr="005E1103">
        <w:rPr>
          <w:rFonts w:cstheme="minorHAnsi"/>
          <w:b/>
          <w:sz w:val="28"/>
          <w:szCs w:val="28"/>
          <w:lang w:bidi="en-US"/>
        </w:rPr>
        <w:t>Inclusión.</w:t>
      </w:r>
      <w:r w:rsidRPr="005E1103">
        <w:rPr>
          <w:rFonts w:cstheme="minorHAnsi"/>
          <w:sz w:val="28"/>
          <w:szCs w:val="28"/>
          <w:lang w:bidi="en-US"/>
        </w:rPr>
        <w:t xml:space="preserve"> La inclusión de los sectores menos favorecidos por razones económicas, culturales o por discapacidad, se garantiza mediante una oferta académica, políticas de admisión y programas de becas especialmente dirigidos a esos grupos. (Título I, Principios, Valores y Fines, 2015)</w:t>
      </w:r>
    </w:p>
    <w:p w:rsidR="0046263B" w:rsidRPr="005E1103" w:rsidRDefault="0046263B" w:rsidP="0046263B">
      <w:pPr>
        <w:spacing w:line="360" w:lineRule="auto"/>
        <w:jc w:val="both"/>
        <w:rPr>
          <w:rFonts w:cstheme="minorHAnsi"/>
          <w:sz w:val="28"/>
          <w:szCs w:val="28"/>
        </w:rPr>
      </w:pPr>
    </w:p>
    <w:p w:rsidR="0046263B" w:rsidRPr="005E1103" w:rsidRDefault="0046263B" w:rsidP="0046263B">
      <w:pPr>
        <w:spacing w:line="360" w:lineRule="auto"/>
        <w:jc w:val="both"/>
        <w:rPr>
          <w:rFonts w:cstheme="minorHAnsi"/>
          <w:sz w:val="28"/>
          <w:szCs w:val="28"/>
        </w:rPr>
      </w:pPr>
      <w:r w:rsidRPr="005E1103">
        <w:rPr>
          <w:rFonts w:cstheme="minorHAnsi"/>
          <w:sz w:val="28"/>
          <w:szCs w:val="28"/>
        </w:rPr>
        <w:tab/>
        <w:t>El tema de la inclusión, al ser un principio estatutario,  nos abre las posibilidades para lograr atraer a la población estudiantil, que por diversas circunstancias presentan una condición de Diversidad Funcional.</w:t>
      </w:r>
    </w:p>
    <w:p w:rsidR="0046263B" w:rsidRPr="005E1103" w:rsidRDefault="0046263B" w:rsidP="0046263B">
      <w:pPr>
        <w:spacing w:line="480" w:lineRule="auto"/>
        <w:jc w:val="both"/>
        <w:rPr>
          <w:rFonts w:cstheme="minorHAnsi"/>
          <w:b/>
          <w:sz w:val="28"/>
          <w:szCs w:val="28"/>
        </w:rPr>
      </w:pPr>
      <w:r w:rsidRPr="005E1103">
        <w:rPr>
          <w:rFonts w:cstheme="minorHAnsi"/>
          <w:b/>
          <w:sz w:val="28"/>
          <w:szCs w:val="28"/>
        </w:rPr>
        <w:t>Proceso administrativo para la Admisión</w:t>
      </w:r>
    </w:p>
    <w:p w:rsidR="0046263B" w:rsidRPr="005E1103" w:rsidRDefault="0046263B" w:rsidP="0046263B">
      <w:pPr>
        <w:spacing w:line="360" w:lineRule="auto"/>
        <w:jc w:val="both"/>
        <w:rPr>
          <w:rFonts w:cstheme="minorHAnsi"/>
          <w:sz w:val="28"/>
          <w:szCs w:val="28"/>
        </w:rPr>
      </w:pPr>
      <w:r w:rsidRPr="005E1103">
        <w:rPr>
          <w:rFonts w:cstheme="minorHAnsi"/>
          <w:sz w:val="28"/>
          <w:szCs w:val="28"/>
        </w:rPr>
        <w:tab/>
        <w:t xml:space="preserve">La etapa de inscripción es el primer paso que deben realizar quienes estén  interesados  en ingresar a la Universidad, además de tomar la </w:t>
      </w:r>
      <w:r w:rsidRPr="005E1103">
        <w:rPr>
          <w:rFonts w:cstheme="minorHAnsi"/>
          <w:sz w:val="28"/>
          <w:szCs w:val="28"/>
        </w:rPr>
        <w:lastRenderedPageBreak/>
        <w:t xml:space="preserve">decisión sobre  cuál carrera desea cursar en la Universidad Nacional. En esta fase se consideran las áreas (Aprendizaje, Emocional/psicológica/ psiquiátrica, Múltiple, Visual, Auditiva, Déficit Atencional, Motora y Sistémica),  para clasificar la condición del estudiante, por cuanto ese conocimiento nos permite visualizar cuáles  carreras son de su preferencia, y determinar si se  eligió una carrera que tiene prueba específica. Información relevante, pues se debe hacer un trabajo conjunto con  las Unidades Académicas, que aplican prueba de aptitud específica. </w:t>
      </w:r>
    </w:p>
    <w:p w:rsidR="0046263B" w:rsidRPr="005E1103" w:rsidRDefault="0046263B" w:rsidP="0046263B">
      <w:pPr>
        <w:spacing w:line="360" w:lineRule="auto"/>
        <w:jc w:val="both"/>
        <w:rPr>
          <w:rFonts w:cstheme="minorHAnsi"/>
          <w:sz w:val="28"/>
          <w:szCs w:val="28"/>
        </w:rPr>
      </w:pPr>
      <w:r w:rsidRPr="005E1103">
        <w:rPr>
          <w:rFonts w:cstheme="minorHAnsi"/>
          <w:sz w:val="28"/>
          <w:szCs w:val="28"/>
        </w:rPr>
        <w:tab/>
        <w:t xml:space="preserve">El proceso se puede hacer de dos maneras sea presencial o vía web; los interesados  presentan los documentos completos en las universidades y las especialistas  proceden a realizar la asignación de las áreas. Luego se revisa cada expediente y se asignan las adecuaciones, considerando un protocolo existente, para cada estudiante de acuerdo con  su condición y las necesidades que él o ella solicitan para la realización de la Prueba de Aptitud Académica. </w:t>
      </w:r>
    </w:p>
    <w:p w:rsidR="0046263B" w:rsidRPr="005E1103" w:rsidRDefault="0046263B" w:rsidP="0046263B">
      <w:pPr>
        <w:spacing w:line="360" w:lineRule="auto"/>
        <w:jc w:val="both"/>
        <w:rPr>
          <w:rFonts w:cstheme="minorHAnsi"/>
          <w:sz w:val="28"/>
          <w:szCs w:val="28"/>
        </w:rPr>
      </w:pPr>
      <w:r w:rsidRPr="005E1103">
        <w:rPr>
          <w:rFonts w:cstheme="minorHAnsi"/>
          <w:sz w:val="28"/>
          <w:szCs w:val="28"/>
        </w:rPr>
        <w:tab/>
        <w:t>Junto con este proceso, se ha ido implementando un mecanismo para  concientizar a los funcionarios universitarios de que los y las  estudiantes con algún tipo de condición asociada a la diversidad funcional tienen las mismas oportunidades de entrar a la Universidad y salir al mercado laboral como profesionales.</w:t>
      </w:r>
    </w:p>
    <w:p w:rsidR="0046263B" w:rsidRPr="005E1103" w:rsidRDefault="0046263B" w:rsidP="0046263B">
      <w:pPr>
        <w:spacing w:line="480" w:lineRule="auto"/>
        <w:jc w:val="both"/>
        <w:rPr>
          <w:rFonts w:cstheme="minorHAnsi"/>
          <w:b/>
          <w:sz w:val="28"/>
          <w:szCs w:val="28"/>
        </w:rPr>
      </w:pPr>
      <w:r w:rsidRPr="005E1103">
        <w:rPr>
          <w:rFonts w:cstheme="minorHAnsi"/>
          <w:sz w:val="28"/>
          <w:szCs w:val="28"/>
        </w:rPr>
        <w:t xml:space="preserve"> </w:t>
      </w:r>
      <w:r w:rsidRPr="005E1103">
        <w:rPr>
          <w:rFonts w:cstheme="minorHAnsi"/>
          <w:b/>
          <w:sz w:val="28"/>
          <w:szCs w:val="28"/>
        </w:rPr>
        <w:t>Metodología de trabajo</w:t>
      </w:r>
    </w:p>
    <w:p w:rsidR="0046263B" w:rsidRPr="005E1103" w:rsidRDefault="0046263B" w:rsidP="0046263B">
      <w:pPr>
        <w:spacing w:line="360" w:lineRule="auto"/>
        <w:jc w:val="both"/>
        <w:rPr>
          <w:rFonts w:cstheme="minorHAnsi"/>
          <w:b/>
          <w:sz w:val="28"/>
          <w:szCs w:val="28"/>
        </w:rPr>
      </w:pPr>
      <w:r w:rsidRPr="005E1103">
        <w:rPr>
          <w:rFonts w:cstheme="minorHAnsi"/>
          <w:sz w:val="28"/>
          <w:szCs w:val="28"/>
        </w:rPr>
        <w:tab/>
        <w:t>Como este es un proceso continuo de la Universidad nos dimos a la tarea de  revisar  expedientes, minutas de reuniones; se hicieron entrevistas a  personas involucradas en este proceso, reuniones con profesores, todo para construir  la  historia de los aplicantes.</w:t>
      </w:r>
    </w:p>
    <w:p w:rsidR="0046263B" w:rsidRPr="005E1103" w:rsidRDefault="0046263B" w:rsidP="0046263B">
      <w:pPr>
        <w:spacing w:line="360" w:lineRule="auto"/>
        <w:jc w:val="both"/>
        <w:rPr>
          <w:rFonts w:cstheme="minorHAnsi"/>
          <w:sz w:val="28"/>
          <w:szCs w:val="28"/>
        </w:rPr>
      </w:pPr>
      <w:r w:rsidRPr="005E1103">
        <w:rPr>
          <w:rFonts w:cstheme="minorHAnsi"/>
          <w:sz w:val="28"/>
          <w:szCs w:val="28"/>
        </w:rPr>
        <w:lastRenderedPageBreak/>
        <w:tab/>
        <w:t>En estos años, se han recopilado datos históricos que permiten ver el crecimiento de la población con alguna condición de diversidad funcional, con ello se han creado,  información  importante que ayuda a visualizar cómo va en crecimiento las solicitudes de  esta población.</w:t>
      </w:r>
    </w:p>
    <w:p w:rsidR="0046263B" w:rsidRPr="005E1103" w:rsidRDefault="0046263B" w:rsidP="0046263B">
      <w:pPr>
        <w:spacing w:line="360" w:lineRule="auto"/>
        <w:jc w:val="both"/>
        <w:rPr>
          <w:rFonts w:cstheme="minorHAnsi"/>
          <w:sz w:val="28"/>
          <w:szCs w:val="28"/>
        </w:rPr>
      </w:pPr>
    </w:p>
    <w:p w:rsidR="0046263B" w:rsidRPr="005E1103" w:rsidRDefault="0046263B" w:rsidP="0046263B">
      <w:pPr>
        <w:spacing w:line="480" w:lineRule="auto"/>
        <w:jc w:val="center"/>
        <w:rPr>
          <w:rFonts w:cstheme="minorHAnsi"/>
          <w:b/>
          <w:sz w:val="28"/>
          <w:szCs w:val="28"/>
        </w:rPr>
      </w:pPr>
      <w:r w:rsidRPr="005E1103">
        <w:rPr>
          <w:rFonts w:cstheme="minorHAnsi"/>
          <w:b/>
          <w:sz w:val="28"/>
          <w:szCs w:val="28"/>
        </w:rPr>
        <w:t>Tabla #1. Número de inscritos período 2012-2016</w:t>
      </w:r>
    </w:p>
    <w:tbl>
      <w:tblPr>
        <w:tblW w:w="5039" w:type="dxa"/>
        <w:jc w:val="center"/>
        <w:tblCellMar>
          <w:left w:w="70" w:type="dxa"/>
          <w:right w:w="70" w:type="dxa"/>
        </w:tblCellMar>
        <w:tblLook w:val="04A0" w:firstRow="1" w:lastRow="0" w:firstColumn="1" w:lastColumn="0" w:noHBand="0" w:noVBand="1"/>
      </w:tblPr>
      <w:tblGrid>
        <w:gridCol w:w="1929"/>
        <w:gridCol w:w="3110"/>
      </w:tblGrid>
      <w:tr w:rsidR="0046263B" w:rsidRPr="005E1103" w:rsidTr="0046263B">
        <w:trPr>
          <w:trHeight w:val="923"/>
          <w:jc w:val="center"/>
        </w:trPr>
        <w:tc>
          <w:tcPr>
            <w:tcW w:w="1929"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rsidR="0046263B" w:rsidRPr="005E1103" w:rsidRDefault="0046263B" w:rsidP="0046263B">
            <w:pPr>
              <w:spacing w:after="0" w:line="240" w:lineRule="auto"/>
              <w:jc w:val="center"/>
              <w:rPr>
                <w:rFonts w:eastAsia="Times New Roman" w:cstheme="minorHAnsi"/>
                <w:b/>
                <w:color w:val="000000"/>
                <w:sz w:val="28"/>
                <w:szCs w:val="28"/>
                <w:lang w:eastAsia="es-CR"/>
              </w:rPr>
            </w:pPr>
            <w:r w:rsidRPr="005E1103">
              <w:rPr>
                <w:rFonts w:eastAsia="Times New Roman" w:cstheme="minorHAnsi"/>
                <w:b/>
                <w:color w:val="000000"/>
                <w:sz w:val="28"/>
                <w:szCs w:val="28"/>
                <w:lang w:eastAsia="es-CR"/>
              </w:rPr>
              <w:t>AÑO</w:t>
            </w:r>
          </w:p>
        </w:tc>
        <w:tc>
          <w:tcPr>
            <w:tcW w:w="3110" w:type="dxa"/>
            <w:tcBorders>
              <w:top w:val="single" w:sz="4" w:space="0" w:color="auto"/>
              <w:left w:val="nil"/>
              <w:bottom w:val="single" w:sz="4" w:space="0" w:color="auto"/>
              <w:right w:val="single" w:sz="4" w:space="0" w:color="auto"/>
            </w:tcBorders>
            <w:shd w:val="clear" w:color="auto" w:fill="D9D9D9"/>
            <w:vAlign w:val="center"/>
            <w:hideMark/>
          </w:tcPr>
          <w:p w:rsidR="0046263B" w:rsidRPr="005E1103" w:rsidRDefault="0046263B" w:rsidP="0046263B">
            <w:pPr>
              <w:spacing w:after="0" w:line="240" w:lineRule="auto"/>
              <w:jc w:val="center"/>
              <w:rPr>
                <w:rFonts w:eastAsia="Times New Roman" w:cstheme="minorHAnsi"/>
                <w:b/>
                <w:color w:val="000000"/>
                <w:sz w:val="28"/>
                <w:szCs w:val="28"/>
                <w:lang w:eastAsia="es-CR"/>
              </w:rPr>
            </w:pPr>
            <w:r w:rsidRPr="005E1103">
              <w:rPr>
                <w:rFonts w:eastAsia="Times New Roman" w:cstheme="minorHAnsi"/>
                <w:b/>
                <w:color w:val="000000"/>
                <w:sz w:val="28"/>
                <w:szCs w:val="28"/>
                <w:lang w:eastAsia="es-CR"/>
              </w:rPr>
              <w:t>Total de inscritos con adecuación UNA</w:t>
            </w:r>
          </w:p>
        </w:tc>
      </w:tr>
      <w:tr w:rsidR="0046263B" w:rsidRPr="005E1103" w:rsidTr="0046263B">
        <w:trPr>
          <w:trHeight w:val="315"/>
          <w:jc w:val="center"/>
        </w:trPr>
        <w:tc>
          <w:tcPr>
            <w:tcW w:w="1929" w:type="dxa"/>
            <w:tcBorders>
              <w:top w:val="nil"/>
              <w:left w:val="single" w:sz="4" w:space="0" w:color="auto"/>
              <w:bottom w:val="single" w:sz="4" w:space="0" w:color="auto"/>
              <w:right w:val="single" w:sz="4" w:space="0" w:color="auto"/>
            </w:tcBorders>
            <w:shd w:val="clear" w:color="auto" w:fill="auto"/>
            <w:noWrap/>
            <w:vAlign w:val="bottom"/>
            <w:hideMark/>
          </w:tcPr>
          <w:p w:rsidR="0046263B" w:rsidRPr="005E1103" w:rsidRDefault="0046263B" w:rsidP="0046263B">
            <w:pPr>
              <w:spacing w:after="0" w:line="240" w:lineRule="auto"/>
              <w:rPr>
                <w:rFonts w:eastAsia="Times New Roman" w:cstheme="minorHAnsi"/>
                <w:color w:val="000000"/>
                <w:sz w:val="28"/>
                <w:szCs w:val="28"/>
                <w:lang w:eastAsia="es-CR"/>
              </w:rPr>
            </w:pPr>
            <w:r w:rsidRPr="005E1103">
              <w:rPr>
                <w:rFonts w:eastAsia="Times New Roman" w:cstheme="minorHAnsi"/>
                <w:color w:val="000000"/>
                <w:sz w:val="28"/>
                <w:szCs w:val="28"/>
                <w:lang w:eastAsia="es-CR"/>
              </w:rPr>
              <w:t>2011-2012</w:t>
            </w:r>
          </w:p>
        </w:tc>
        <w:tc>
          <w:tcPr>
            <w:tcW w:w="3110" w:type="dxa"/>
            <w:tcBorders>
              <w:top w:val="nil"/>
              <w:left w:val="nil"/>
              <w:bottom w:val="single" w:sz="4" w:space="0" w:color="auto"/>
              <w:right w:val="single" w:sz="4" w:space="0" w:color="auto"/>
            </w:tcBorders>
            <w:shd w:val="clear" w:color="auto" w:fill="auto"/>
            <w:noWrap/>
            <w:vAlign w:val="bottom"/>
            <w:hideMark/>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868</w:t>
            </w:r>
          </w:p>
        </w:tc>
      </w:tr>
      <w:tr w:rsidR="0046263B" w:rsidRPr="005E1103" w:rsidTr="0046263B">
        <w:trPr>
          <w:trHeight w:val="315"/>
          <w:jc w:val="center"/>
        </w:trPr>
        <w:tc>
          <w:tcPr>
            <w:tcW w:w="1929" w:type="dxa"/>
            <w:tcBorders>
              <w:top w:val="nil"/>
              <w:left w:val="single" w:sz="4" w:space="0" w:color="auto"/>
              <w:bottom w:val="single" w:sz="4" w:space="0" w:color="auto"/>
              <w:right w:val="single" w:sz="4" w:space="0" w:color="auto"/>
            </w:tcBorders>
            <w:shd w:val="clear" w:color="auto" w:fill="auto"/>
            <w:noWrap/>
            <w:vAlign w:val="bottom"/>
            <w:hideMark/>
          </w:tcPr>
          <w:p w:rsidR="0046263B" w:rsidRPr="005E1103" w:rsidRDefault="0046263B" w:rsidP="0046263B">
            <w:pPr>
              <w:spacing w:after="0" w:line="240" w:lineRule="auto"/>
              <w:rPr>
                <w:rFonts w:eastAsia="Times New Roman" w:cstheme="minorHAnsi"/>
                <w:color w:val="000000"/>
                <w:sz w:val="28"/>
                <w:szCs w:val="28"/>
                <w:lang w:eastAsia="es-CR"/>
              </w:rPr>
            </w:pPr>
            <w:r w:rsidRPr="005E1103">
              <w:rPr>
                <w:rFonts w:eastAsia="Times New Roman" w:cstheme="minorHAnsi"/>
                <w:color w:val="000000"/>
                <w:sz w:val="28"/>
                <w:szCs w:val="28"/>
                <w:lang w:eastAsia="es-CR"/>
              </w:rPr>
              <w:t>2012-2013</w:t>
            </w:r>
          </w:p>
        </w:tc>
        <w:tc>
          <w:tcPr>
            <w:tcW w:w="3110" w:type="dxa"/>
            <w:tcBorders>
              <w:top w:val="nil"/>
              <w:left w:val="nil"/>
              <w:bottom w:val="single" w:sz="4" w:space="0" w:color="auto"/>
              <w:right w:val="single" w:sz="4" w:space="0" w:color="auto"/>
            </w:tcBorders>
            <w:shd w:val="clear" w:color="auto" w:fill="auto"/>
            <w:noWrap/>
            <w:vAlign w:val="bottom"/>
            <w:hideMark/>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1021</w:t>
            </w:r>
          </w:p>
        </w:tc>
      </w:tr>
      <w:tr w:rsidR="0046263B" w:rsidRPr="005E1103" w:rsidTr="0046263B">
        <w:trPr>
          <w:trHeight w:val="315"/>
          <w:jc w:val="center"/>
        </w:trPr>
        <w:tc>
          <w:tcPr>
            <w:tcW w:w="1929" w:type="dxa"/>
            <w:tcBorders>
              <w:top w:val="nil"/>
              <w:left w:val="single" w:sz="4" w:space="0" w:color="auto"/>
              <w:bottom w:val="single" w:sz="4" w:space="0" w:color="auto"/>
              <w:right w:val="single" w:sz="4" w:space="0" w:color="auto"/>
            </w:tcBorders>
            <w:shd w:val="clear" w:color="auto" w:fill="auto"/>
            <w:noWrap/>
            <w:vAlign w:val="bottom"/>
            <w:hideMark/>
          </w:tcPr>
          <w:p w:rsidR="0046263B" w:rsidRPr="005E1103" w:rsidRDefault="0046263B" w:rsidP="0046263B">
            <w:pPr>
              <w:spacing w:after="0" w:line="240" w:lineRule="auto"/>
              <w:rPr>
                <w:rFonts w:eastAsia="Times New Roman" w:cstheme="minorHAnsi"/>
                <w:color w:val="000000"/>
                <w:sz w:val="28"/>
                <w:szCs w:val="28"/>
                <w:lang w:eastAsia="es-CR"/>
              </w:rPr>
            </w:pPr>
            <w:r w:rsidRPr="005E1103">
              <w:rPr>
                <w:rFonts w:eastAsia="Times New Roman" w:cstheme="minorHAnsi"/>
                <w:color w:val="000000"/>
                <w:sz w:val="28"/>
                <w:szCs w:val="28"/>
                <w:lang w:eastAsia="es-CR"/>
              </w:rPr>
              <w:t>2013-2014</w:t>
            </w:r>
          </w:p>
        </w:tc>
        <w:tc>
          <w:tcPr>
            <w:tcW w:w="3110" w:type="dxa"/>
            <w:tcBorders>
              <w:top w:val="nil"/>
              <w:left w:val="nil"/>
              <w:bottom w:val="single" w:sz="4" w:space="0" w:color="auto"/>
              <w:right w:val="single" w:sz="4" w:space="0" w:color="auto"/>
            </w:tcBorders>
            <w:shd w:val="clear" w:color="auto" w:fill="auto"/>
            <w:noWrap/>
            <w:vAlign w:val="bottom"/>
            <w:hideMark/>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985</w:t>
            </w:r>
          </w:p>
        </w:tc>
      </w:tr>
      <w:tr w:rsidR="0046263B" w:rsidRPr="005E1103" w:rsidTr="0046263B">
        <w:trPr>
          <w:trHeight w:val="315"/>
          <w:jc w:val="center"/>
        </w:trPr>
        <w:tc>
          <w:tcPr>
            <w:tcW w:w="1929" w:type="dxa"/>
            <w:tcBorders>
              <w:top w:val="nil"/>
              <w:left w:val="single" w:sz="4" w:space="0" w:color="auto"/>
              <w:bottom w:val="single" w:sz="4" w:space="0" w:color="auto"/>
              <w:right w:val="single" w:sz="4" w:space="0" w:color="auto"/>
            </w:tcBorders>
            <w:shd w:val="clear" w:color="auto" w:fill="auto"/>
            <w:noWrap/>
            <w:vAlign w:val="bottom"/>
            <w:hideMark/>
          </w:tcPr>
          <w:p w:rsidR="0046263B" w:rsidRPr="005E1103" w:rsidRDefault="0046263B" w:rsidP="0046263B">
            <w:pPr>
              <w:spacing w:after="0" w:line="240" w:lineRule="auto"/>
              <w:rPr>
                <w:rFonts w:eastAsia="Times New Roman" w:cstheme="minorHAnsi"/>
                <w:color w:val="000000"/>
                <w:sz w:val="28"/>
                <w:szCs w:val="28"/>
                <w:lang w:eastAsia="es-CR"/>
              </w:rPr>
            </w:pPr>
            <w:r w:rsidRPr="005E1103">
              <w:rPr>
                <w:rFonts w:eastAsia="Times New Roman" w:cstheme="minorHAnsi"/>
                <w:color w:val="000000"/>
                <w:sz w:val="28"/>
                <w:szCs w:val="28"/>
                <w:lang w:eastAsia="es-CR"/>
              </w:rPr>
              <w:t>2014-2015</w:t>
            </w:r>
          </w:p>
        </w:tc>
        <w:tc>
          <w:tcPr>
            <w:tcW w:w="3110" w:type="dxa"/>
            <w:tcBorders>
              <w:top w:val="nil"/>
              <w:left w:val="nil"/>
              <w:bottom w:val="single" w:sz="4" w:space="0" w:color="auto"/>
              <w:right w:val="single" w:sz="4" w:space="0" w:color="auto"/>
            </w:tcBorders>
            <w:shd w:val="clear" w:color="auto" w:fill="auto"/>
            <w:noWrap/>
            <w:vAlign w:val="bottom"/>
            <w:hideMark/>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1097</w:t>
            </w:r>
          </w:p>
        </w:tc>
      </w:tr>
      <w:tr w:rsidR="0046263B" w:rsidRPr="005E1103" w:rsidTr="0046263B">
        <w:trPr>
          <w:trHeight w:val="315"/>
          <w:jc w:val="center"/>
        </w:trPr>
        <w:tc>
          <w:tcPr>
            <w:tcW w:w="1929" w:type="dxa"/>
            <w:tcBorders>
              <w:top w:val="nil"/>
              <w:left w:val="single" w:sz="4" w:space="0" w:color="auto"/>
              <w:bottom w:val="single" w:sz="4" w:space="0" w:color="auto"/>
              <w:right w:val="single" w:sz="4" w:space="0" w:color="auto"/>
            </w:tcBorders>
            <w:shd w:val="clear" w:color="auto" w:fill="auto"/>
            <w:noWrap/>
            <w:vAlign w:val="bottom"/>
            <w:hideMark/>
          </w:tcPr>
          <w:p w:rsidR="0046263B" w:rsidRPr="005E1103" w:rsidRDefault="0046263B" w:rsidP="0046263B">
            <w:pPr>
              <w:spacing w:after="0" w:line="240" w:lineRule="auto"/>
              <w:rPr>
                <w:rFonts w:eastAsia="Times New Roman" w:cstheme="minorHAnsi"/>
                <w:color w:val="000000"/>
                <w:sz w:val="28"/>
                <w:szCs w:val="28"/>
                <w:lang w:eastAsia="es-CR"/>
              </w:rPr>
            </w:pPr>
            <w:r w:rsidRPr="005E1103">
              <w:rPr>
                <w:rFonts w:eastAsia="Times New Roman" w:cstheme="minorHAnsi"/>
                <w:color w:val="000000"/>
                <w:sz w:val="28"/>
                <w:szCs w:val="28"/>
                <w:lang w:eastAsia="es-CR"/>
              </w:rPr>
              <w:t>2015-2016</w:t>
            </w:r>
          </w:p>
        </w:tc>
        <w:tc>
          <w:tcPr>
            <w:tcW w:w="3110" w:type="dxa"/>
            <w:tcBorders>
              <w:top w:val="nil"/>
              <w:left w:val="nil"/>
              <w:bottom w:val="single" w:sz="4" w:space="0" w:color="auto"/>
              <w:right w:val="single" w:sz="4" w:space="0" w:color="auto"/>
            </w:tcBorders>
            <w:shd w:val="clear" w:color="auto" w:fill="auto"/>
            <w:noWrap/>
            <w:vAlign w:val="bottom"/>
            <w:hideMark/>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1297</w:t>
            </w:r>
          </w:p>
        </w:tc>
      </w:tr>
    </w:tbl>
    <w:p w:rsidR="0046263B" w:rsidRPr="005E1103" w:rsidRDefault="0046263B" w:rsidP="0046263B">
      <w:pPr>
        <w:spacing w:line="360" w:lineRule="auto"/>
        <w:jc w:val="both"/>
        <w:rPr>
          <w:rFonts w:cstheme="minorHAnsi"/>
          <w:sz w:val="28"/>
          <w:szCs w:val="28"/>
        </w:rPr>
      </w:pPr>
      <w:r w:rsidRPr="005E1103">
        <w:rPr>
          <w:rFonts w:cstheme="minorHAnsi"/>
          <w:sz w:val="28"/>
          <w:szCs w:val="28"/>
        </w:rPr>
        <w:tab/>
      </w:r>
    </w:p>
    <w:p w:rsidR="0046263B" w:rsidRPr="005E1103" w:rsidRDefault="0046263B" w:rsidP="0046263B">
      <w:pPr>
        <w:spacing w:line="360" w:lineRule="auto"/>
        <w:jc w:val="both"/>
        <w:rPr>
          <w:rFonts w:cstheme="minorHAnsi"/>
          <w:sz w:val="28"/>
          <w:szCs w:val="28"/>
        </w:rPr>
      </w:pPr>
    </w:p>
    <w:p w:rsidR="0046263B" w:rsidRPr="005E1103" w:rsidRDefault="0046263B" w:rsidP="0046263B">
      <w:pPr>
        <w:spacing w:line="360" w:lineRule="auto"/>
        <w:ind w:firstLine="708"/>
        <w:jc w:val="both"/>
        <w:rPr>
          <w:rFonts w:cstheme="minorHAnsi"/>
          <w:sz w:val="28"/>
          <w:szCs w:val="28"/>
          <w:highlight w:val="yellow"/>
        </w:rPr>
      </w:pPr>
      <w:r w:rsidRPr="005E1103">
        <w:rPr>
          <w:rFonts w:cstheme="minorHAnsi"/>
          <w:sz w:val="28"/>
          <w:szCs w:val="28"/>
        </w:rPr>
        <w:t>Asimismo, se ha revisado la base de datos que se han construido en este tiempo mejorar el proceso, que permite  contar con indicadores institucionales en cuanto a: total de inscritos, género, carreras de preferencia, procedencia, hasta detectar quiénes  aplican pruebas específicas; todo ello sirve de  insumo a las autoridades universitarias, así como a las diferentes instancias tomar acciones más concretas en beneficio de estos estudiantes,  apoyando los procesos de inclusión para las poblaciones que por sus condiciones muchas veces se les cierra las puertas a nivel universitario.</w:t>
      </w:r>
    </w:p>
    <w:p w:rsidR="0046263B" w:rsidRPr="005E1103" w:rsidRDefault="0046263B" w:rsidP="0046263B">
      <w:pPr>
        <w:spacing w:line="360" w:lineRule="auto"/>
        <w:jc w:val="both"/>
        <w:rPr>
          <w:rFonts w:cstheme="minorHAnsi"/>
          <w:sz w:val="28"/>
          <w:szCs w:val="28"/>
        </w:rPr>
      </w:pPr>
      <w:r w:rsidRPr="005E1103">
        <w:rPr>
          <w:rFonts w:cstheme="minorHAnsi"/>
          <w:sz w:val="28"/>
          <w:szCs w:val="28"/>
        </w:rPr>
        <w:t xml:space="preserve"> </w:t>
      </w:r>
      <w:r w:rsidRPr="005E1103">
        <w:rPr>
          <w:rFonts w:cstheme="minorHAnsi"/>
          <w:sz w:val="28"/>
          <w:szCs w:val="28"/>
        </w:rPr>
        <w:tab/>
        <w:t xml:space="preserve">Más importante aún, en los informes que registra la Unidad de Admisión y se presentan a la Comisión Institucional en Materia de Discapacidad (CIMAD), se hace énfasis en  la forma de atenderlos,  más </w:t>
      </w:r>
      <w:r w:rsidRPr="005E1103">
        <w:rPr>
          <w:rFonts w:cstheme="minorHAnsi"/>
          <w:sz w:val="28"/>
          <w:szCs w:val="28"/>
        </w:rPr>
        <w:lastRenderedPageBreak/>
        <w:t>humana y personal, respetando su condición, y en el  acompañamiento necesario para las diferentes etapas del  proceso de admisión.</w:t>
      </w:r>
    </w:p>
    <w:p w:rsidR="0046263B" w:rsidRPr="005E1103" w:rsidRDefault="0046263B" w:rsidP="0046263B">
      <w:pPr>
        <w:spacing w:line="480" w:lineRule="auto"/>
        <w:jc w:val="both"/>
        <w:rPr>
          <w:rFonts w:cstheme="minorHAnsi"/>
          <w:b/>
          <w:sz w:val="28"/>
          <w:szCs w:val="28"/>
        </w:rPr>
      </w:pPr>
    </w:p>
    <w:p w:rsidR="0046263B" w:rsidRPr="005E1103" w:rsidRDefault="0046263B" w:rsidP="0046263B">
      <w:pPr>
        <w:spacing w:line="480" w:lineRule="auto"/>
        <w:jc w:val="both"/>
        <w:rPr>
          <w:rFonts w:cstheme="minorHAnsi"/>
          <w:b/>
          <w:sz w:val="28"/>
          <w:szCs w:val="28"/>
        </w:rPr>
      </w:pPr>
      <w:r w:rsidRPr="005E1103">
        <w:rPr>
          <w:rFonts w:cstheme="minorHAnsi"/>
          <w:b/>
          <w:sz w:val="28"/>
          <w:szCs w:val="28"/>
        </w:rPr>
        <w:t>Admisión 2012-2015</w:t>
      </w:r>
    </w:p>
    <w:p w:rsidR="0046263B" w:rsidRPr="005E1103" w:rsidRDefault="0046263B" w:rsidP="0046263B">
      <w:pPr>
        <w:spacing w:line="360" w:lineRule="auto"/>
        <w:jc w:val="both"/>
        <w:rPr>
          <w:rFonts w:cstheme="minorHAnsi"/>
          <w:sz w:val="28"/>
          <w:szCs w:val="28"/>
        </w:rPr>
      </w:pPr>
      <w:r w:rsidRPr="005E1103">
        <w:rPr>
          <w:rFonts w:cstheme="minorHAnsi"/>
          <w:sz w:val="28"/>
          <w:szCs w:val="28"/>
        </w:rPr>
        <w:tab/>
        <w:t xml:space="preserve">Los cambios asumidos por la UNA, y el trabajo desde la CIAES, han contribuido  con el aumento a la atención  de los y las estudiantes que realizan el proceso de admisión, por cuanto se presentan las oportunidades en el ámbito universitario de tener adecuaciones, que les permite  realizar las diferentes etapas del proceso.  </w:t>
      </w:r>
    </w:p>
    <w:p w:rsidR="0046263B" w:rsidRPr="005E1103" w:rsidRDefault="0046263B" w:rsidP="0046263B">
      <w:pPr>
        <w:spacing w:line="360" w:lineRule="auto"/>
        <w:jc w:val="both"/>
        <w:rPr>
          <w:rFonts w:cstheme="minorHAnsi"/>
          <w:sz w:val="28"/>
          <w:szCs w:val="28"/>
        </w:rPr>
      </w:pPr>
      <w:r w:rsidRPr="005E1103">
        <w:rPr>
          <w:rFonts w:cstheme="minorHAnsi"/>
          <w:sz w:val="28"/>
          <w:szCs w:val="28"/>
        </w:rPr>
        <w:tab/>
        <w:t>En el 2012 se contó con  868 estudiantes inscritos con adecuación; para el 2016, la cifra aumentó a 1296. Ahí logramos ver  la gran diferencia con respecto a estos últimos años. Indudablemente, como universidad esto nos hace ser conscientes del crecimiento, pero también del compromiso para brindarles el mejor de los apoyos en sus procesos, con el fin de que logren ser estudiantes UNA.</w:t>
      </w:r>
    </w:p>
    <w:p w:rsidR="0046263B" w:rsidRPr="005E1103" w:rsidRDefault="0046263B" w:rsidP="0046263B">
      <w:pPr>
        <w:spacing w:line="360" w:lineRule="auto"/>
        <w:jc w:val="both"/>
        <w:rPr>
          <w:rFonts w:cstheme="minorHAnsi"/>
          <w:sz w:val="28"/>
          <w:szCs w:val="28"/>
        </w:rPr>
      </w:pPr>
      <w:r w:rsidRPr="005E1103">
        <w:rPr>
          <w:rFonts w:cstheme="minorHAnsi"/>
          <w:sz w:val="28"/>
          <w:szCs w:val="28"/>
        </w:rPr>
        <w:tab/>
        <w:t xml:space="preserve">El trabajo que se  no solo da el acompañamiento a los y las estudiantes en la inscripción de la prueba de Aptitud Academia,  sino que también  coordina con los encargados de la aplicación de las Pruebas de Aptitud Específicas, la asignación de las adecuaciones a los inscritos. </w:t>
      </w:r>
    </w:p>
    <w:p w:rsidR="0046263B" w:rsidRPr="005E1103" w:rsidRDefault="0046263B" w:rsidP="0046263B">
      <w:pPr>
        <w:spacing w:after="0" w:line="240" w:lineRule="auto"/>
        <w:jc w:val="both"/>
        <w:rPr>
          <w:rFonts w:cstheme="minorHAnsi"/>
          <w:sz w:val="28"/>
          <w:szCs w:val="28"/>
        </w:rPr>
      </w:pPr>
    </w:p>
    <w:p w:rsidR="0046263B" w:rsidRPr="005E1103" w:rsidRDefault="0046263B" w:rsidP="0046263B">
      <w:pPr>
        <w:spacing w:line="360" w:lineRule="auto"/>
        <w:jc w:val="both"/>
        <w:rPr>
          <w:rFonts w:cstheme="minorHAnsi"/>
          <w:sz w:val="28"/>
          <w:szCs w:val="28"/>
        </w:rPr>
      </w:pPr>
      <w:r w:rsidRPr="005E1103">
        <w:rPr>
          <w:rFonts w:cstheme="minorHAnsi"/>
          <w:sz w:val="28"/>
          <w:szCs w:val="28"/>
        </w:rPr>
        <w:tab/>
        <w:t xml:space="preserve">El trabajo en conjunto con las Escuelas ha permitido la definición del  tipo de adecuaciones que se pueden aplicar en las Pruebas de Aptitud Específica, así como la atención que han de recibir los y las los estudiantes, según su condición. </w:t>
      </w:r>
    </w:p>
    <w:p w:rsidR="0046263B" w:rsidRPr="005E1103" w:rsidRDefault="0046263B" w:rsidP="0046263B">
      <w:pPr>
        <w:spacing w:line="360" w:lineRule="auto"/>
        <w:jc w:val="both"/>
        <w:rPr>
          <w:rFonts w:cstheme="minorHAnsi"/>
          <w:sz w:val="28"/>
          <w:szCs w:val="28"/>
        </w:rPr>
      </w:pPr>
      <w:r w:rsidRPr="005E1103">
        <w:rPr>
          <w:rFonts w:cstheme="minorHAnsi"/>
          <w:sz w:val="28"/>
          <w:szCs w:val="28"/>
        </w:rPr>
        <w:lastRenderedPageBreak/>
        <w:tab/>
        <w:t>Esto nos posibilita el atender  a los estudiantes de manera más personalizada, pero involucrándolos con los demás estudiantes (sin adecuación), lo que ha ayudado a la toma de  conciencia por parte de los y las docentes y del personal administrativo vinculado en el proceso,  para una mayor apertura y comprender que sin importar la condición que se tenga, todos tenemos la oportunidad de realizar las pruebas.</w:t>
      </w:r>
    </w:p>
    <w:p w:rsidR="0046263B" w:rsidRPr="005E1103" w:rsidRDefault="0046263B" w:rsidP="0046263B">
      <w:pPr>
        <w:spacing w:line="360" w:lineRule="auto"/>
        <w:jc w:val="both"/>
        <w:rPr>
          <w:rFonts w:cstheme="minorHAnsi"/>
          <w:sz w:val="28"/>
          <w:szCs w:val="28"/>
        </w:rPr>
      </w:pPr>
      <w:r w:rsidRPr="005E1103">
        <w:rPr>
          <w:rFonts w:cstheme="minorHAnsi"/>
          <w:sz w:val="28"/>
          <w:szCs w:val="28"/>
        </w:rPr>
        <w:tab/>
        <w:t xml:space="preserve">Al finalizar el proceso anual,  se  hace una retroalimentación con los coordinadores para valorar cuáles aspectos se deben mejorar, cómo estuvo el proceso, si se requiere de algún otro insumo para el año siguiente. Acciones de mejora que posibilitan el creciendo en el número de estudiantes que requieren adecuación.   </w:t>
      </w:r>
    </w:p>
    <w:p w:rsidR="0046263B" w:rsidRPr="005E1103" w:rsidRDefault="0046263B" w:rsidP="0046263B">
      <w:pPr>
        <w:spacing w:line="360" w:lineRule="auto"/>
        <w:jc w:val="both"/>
        <w:rPr>
          <w:rFonts w:cstheme="minorHAnsi"/>
          <w:sz w:val="28"/>
          <w:szCs w:val="28"/>
        </w:rPr>
      </w:pPr>
      <w:r w:rsidRPr="005E1103">
        <w:rPr>
          <w:rFonts w:cstheme="minorHAnsi"/>
          <w:sz w:val="28"/>
          <w:szCs w:val="28"/>
        </w:rPr>
        <w:tab/>
        <w:t xml:space="preserve">Por mucho tiempo, fue una población que casi no contaba con posibilidades de acceder a los estudios universitarios,  por cuanto no existía en las Universidades una claridad para su atención.  </w:t>
      </w:r>
    </w:p>
    <w:p w:rsidR="0046263B" w:rsidRPr="005E1103" w:rsidRDefault="0046263B" w:rsidP="0046263B">
      <w:pPr>
        <w:autoSpaceDE w:val="0"/>
        <w:autoSpaceDN w:val="0"/>
        <w:adjustRightInd w:val="0"/>
        <w:spacing w:after="0" w:line="480" w:lineRule="auto"/>
        <w:jc w:val="both"/>
        <w:rPr>
          <w:rFonts w:cstheme="minorHAnsi"/>
          <w:b/>
          <w:sz w:val="28"/>
          <w:szCs w:val="28"/>
        </w:rPr>
      </w:pPr>
      <w:r w:rsidRPr="005E1103">
        <w:rPr>
          <w:rFonts w:cstheme="minorHAnsi"/>
          <w:b/>
          <w:sz w:val="28"/>
          <w:szCs w:val="28"/>
        </w:rPr>
        <w:t xml:space="preserve">Hallazgos </w:t>
      </w:r>
    </w:p>
    <w:p w:rsidR="0046263B" w:rsidRPr="005E1103" w:rsidRDefault="0046263B" w:rsidP="0046263B">
      <w:pPr>
        <w:autoSpaceDE w:val="0"/>
        <w:autoSpaceDN w:val="0"/>
        <w:adjustRightInd w:val="0"/>
        <w:spacing w:line="360" w:lineRule="auto"/>
        <w:jc w:val="both"/>
        <w:rPr>
          <w:rFonts w:cstheme="minorHAnsi"/>
          <w:sz w:val="28"/>
          <w:szCs w:val="28"/>
        </w:rPr>
      </w:pPr>
      <w:r w:rsidRPr="005E1103">
        <w:rPr>
          <w:rFonts w:cstheme="minorHAnsi"/>
          <w:sz w:val="28"/>
          <w:szCs w:val="28"/>
        </w:rPr>
        <w:tab/>
        <w:t>Los cambios introducidos en la UNA con el apoyo la Unidad de Admisión, así como algunas escuelas, principalmente las que aplican pruebas especificas, desde hace  4 años,  ha facilitado la recopilación de la información de una forma metódica, la realización de informes y cuadros con indicadores, pues anteriormente los datos no eran exactos,  y la creación de base de datos, para construir estadísticas e información  de importancia para los distintos entes involucrados es el proceso de Admisión.</w:t>
      </w:r>
    </w:p>
    <w:p w:rsidR="0046263B" w:rsidRPr="005E1103" w:rsidRDefault="0046263B" w:rsidP="0046263B">
      <w:pPr>
        <w:autoSpaceDE w:val="0"/>
        <w:autoSpaceDN w:val="0"/>
        <w:adjustRightInd w:val="0"/>
        <w:spacing w:after="0" w:line="360" w:lineRule="auto"/>
        <w:jc w:val="both"/>
        <w:rPr>
          <w:rFonts w:cstheme="minorHAnsi"/>
          <w:sz w:val="28"/>
          <w:szCs w:val="28"/>
        </w:rPr>
      </w:pPr>
      <w:r w:rsidRPr="005E1103">
        <w:rPr>
          <w:rFonts w:cstheme="minorHAnsi"/>
          <w:sz w:val="28"/>
          <w:szCs w:val="28"/>
        </w:rPr>
        <w:tab/>
        <w:t xml:space="preserve">La recopilación de información mostró los comportamientos en diferentes variables como: número de inscritos con adecuación, condición del estudiante, carreras elegidas, postulantes para pruebas específicas, </w:t>
      </w:r>
      <w:r w:rsidRPr="005E1103">
        <w:rPr>
          <w:rFonts w:cstheme="minorHAnsi"/>
          <w:sz w:val="28"/>
          <w:szCs w:val="28"/>
        </w:rPr>
        <w:lastRenderedPageBreak/>
        <w:t xml:space="preserve">áreas o matrícula de estudiantes, por lo que se ha ido tratando de hacer una construcción histórica de datos, apoyado con una atención más personalizada e individualizada. </w:t>
      </w:r>
    </w:p>
    <w:p w:rsidR="0046263B" w:rsidRPr="005E1103" w:rsidRDefault="0046263B" w:rsidP="0046263B">
      <w:pPr>
        <w:autoSpaceDE w:val="0"/>
        <w:autoSpaceDN w:val="0"/>
        <w:adjustRightInd w:val="0"/>
        <w:spacing w:after="0" w:line="480" w:lineRule="auto"/>
        <w:jc w:val="both"/>
        <w:rPr>
          <w:rFonts w:cstheme="minorHAnsi"/>
          <w:sz w:val="28"/>
          <w:szCs w:val="28"/>
        </w:rPr>
      </w:pPr>
    </w:p>
    <w:p w:rsidR="0046263B" w:rsidRPr="005E1103" w:rsidRDefault="0046263B" w:rsidP="0046263B">
      <w:pPr>
        <w:jc w:val="center"/>
        <w:rPr>
          <w:rFonts w:eastAsia="Times New Roman" w:cstheme="minorHAnsi"/>
          <w:color w:val="000000"/>
          <w:sz w:val="28"/>
          <w:szCs w:val="28"/>
          <w:lang w:eastAsia="es-CR"/>
        </w:rPr>
      </w:pPr>
      <w:r w:rsidRPr="005E1103">
        <w:rPr>
          <w:rFonts w:eastAsia="Times New Roman" w:cstheme="minorHAnsi"/>
          <w:b/>
          <w:bCs/>
          <w:sz w:val="28"/>
          <w:szCs w:val="28"/>
          <w:lang w:eastAsia="es-CR"/>
        </w:rPr>
        <w:t>Tabla # 2. ESTUDIANTES CON ADECUACIÓN PARA LA PRUEBA DE APTITUD ACADÉMICA  UNIVERSIDAD NACIONAL</w:t>
      </w:r>
    </w:p>
    <w:tbl>
      <w:tblPr>
        <w:tblW w:w="8482" w:type="dxa"/>
        <w:tblInd w:w="496" w:type="dxa"/>
        <w:tblCellMar>
          <w:left w:w="70" w:type="dxa"/>
          <w:right w:w="70" w:type="dxa"/>
        </w:tblCellMar>
        <w:tblLook w:val="04A0" w:firstRow="1" w:lastRow="0" w:firstColumn="1" w:lastColumn="0" w:noHBand="0" w:noVBand="1"/>
      </w:tblPr>
      <w:tblGrid>
        <w:gridCol w:w="2551"/>
        <w:gridCol w:w="1134"/>
        <w:gridCol w:w="851"/>
        <w:gridCol w:w="1134"/>
        <w:gridCol w:w="850"/>
        <w:gridCol w:w="1134"/>
        <w:gridCol w:w="828"/>
      </w:tblGrid>
      <w:tr w:rsidR="0046263B" w:rsidRPr="005E1103" w:rsidTr="0046263B">
        <w:trPr>
          <w:trHeight w:val="1065"/>
        </w:trPr>
        <w:tc>
          <w:tcPr>
            <w:tcW w:w="8482" w:type="dxa"/>
            <w:gridSpan w:val="7"/>
            <w:tcBorders>
              <w:top w:val="single" w:sz="4" w:space="0" w:color="auto"/>
              <w:left w:val="single" w:sz="4" w:space="0" w:color="auto"/>
              <w:bottom w:val="single" w:sz="4" w:space="0" w:color="auto"/>
              <w:right w:val="single" w:sz="4" w:space="0" w:color="auto"/>
            </w:tcBorders>
            <w:shd w:val="clear" w:color="000000" w:fill="D7E4BC"/>
            <w:vAlign w:val="center"/>
            <w:hideMark/>
          </w:tcPr>
          <w:p w:rsidR="0046263B" w:rsidRPr="005E1103" w:rsidRDefault="0046263B" w:rsidP="0046263B">
            <w:pPr>
              <w:spacing w:after="0" w:line="240" w:lineRule="auto"/>
              <w:jc w:val="center"/>
              <w:rPr>
                <w:rFonts w:eastAsia="Times New Roman" w:cstheme="minorHAnsi"/>
                <w:b/>
                <w:bCs/>
                <w:sz w:val="28"/>
                <w:szCs w:val="28"/>
                <w:lang w:eastAsia="es-CR"/>
              </w:rPr>
            </w:pPr>
            <w:r w:rsidRPr="005E1103">
              <w:rPr>
                <w:rFonts w:eastAsia="Times New Roman" w:cstheme="minorHAnsi"/>
                <w:b/>
                <w:bCs/>
                <w:sz w:val="28"/>
                <w:szCs w:val="28"/>
                <w:lang w:eastAsia="es-CR"/>
              </w:rPr>
              <w:t>TOTAL DE ESTUDIANTES CON ADECUACIÓN PARA LA PAA UNIVERSIDAD NACIONAL</w:t>
            </w:r>
          </w:p>
          <w:p w:rsidR="0046263B" w:rsidRPr="005E1103" w:rsidRDefault="0046263B" w:rsidP="0046263B">
            <w:pPr>
              <w:spacing w:after="0" w:line="240" w:lineRule="auto"/>
              <w:jc w:val="center"/>
              <w:rPr>
                <w:rFonts w:eastAsia="Times New Roman" w:cstheme="minorHAnsi"/>
                <w:b/>
                <w:bCs/>
                <w:sz w:val="28"/>
                <w:szCs w:val="28"/>
                <w:lang w:eastAsia="es-CR"/>
              </w:rPr>
            </w:pPr>
            <w:r w:rsidRPr="005E1103">
              <w:rPr>
                <w:rFonts w:eastAsia="Times New Roman" w:cstheme="minorHAnsi"/>
                <w:b/>
                <w:bCs/>
                <w:sz w:val="28"/>
                <w:szCs w:val="28"/>
                <w:lang w:eastAsia="es-CR"/>
              </w:rPr>
              <w:t>2013-2016</w:t>
            </w:r>
          </w:p>
        </w:tc>
      </w:tr>
      <w:tr w:rsidR="0046263B" w:rsidRPr="005E1103" w:rsidTr="0046263B">
        <w:trPr>
          <w:trHeight w:val="312"/>
        </w:trPr>
        <w:tc>
          <w:tcPr>
            <w:tcW w:w="2551" w:type="dxa"/>
            <w:tcBorders>
              <w:top w:val="nil"/>
              <w:left w:val="single" w:sz="4" w:space="0" w:color="auto"/>
              <w:bottom w:val="single" w:sz="4" w:space="0" w:color="auto"/>
              <w:right w:val="single" w:sz="4" w:space="0" w:color="auto"/>
            </w:tcBorders>
            <w:shd w:val="clear" w:color="auto" w:fill="auto"/>
            <w:hideMark/>
          </w:tcPr>
          <w:p w:rsidR="0046263B" w:rsidRPr="005E1103" w:rsidRDefault="0046263B" w:rsidP="0046263B">
            <w:pPr>
              <w:spacing w:after="0" w:line="240" w:lineRule="auto"/>
              <w:rPr>
                <w:rFonts w:eastAsia="Arial Unicode MS" w:cstheme="minorHAnsi"/>
                <w:color w:val="000000"/>
                <w:sz w:val="28"/>
                <w:szCs w:val="28"/>
                <w:lang w:eastAsia="es-CR"/>
              </w:rPr>
            </w:pPr>
          </w:p>
        </w:tc>
        <w:tc>
          <w:tcPr>
            <w:tcW w:w="1134" w:type="dxa"/>
            <w:tcBorders>
              <w:top w:val="nil"/>
              <w:left w:val="nil"/>
              <w:bottom w:val="single" w:sz="4" w:space="0" w:color="auto"/>
              <w:right w:val="single" w:sz="4" w:space="0" w:color="auto"/>
            </w:tcBorders>
            <w:shd w:val="clear" w:color="auto" w:fill="auto"/>
            <w:vAlign w:val="center"/>
            <w:hideMark/>
          </w:tcPr>
          <w:p w:rsidR="0046263B" w:rsidRPr="005E1103" w:rsidRDefault="0046263B" w:rsidP="0046263B">
            <w:pPr>
              <w:spacing w:after="0" w:line="240" w:lineRule="auto"/>
              <w:jc w:val="center"/>
              <w:rPr>
                <w:rFonts w:eastAsia="Times New Roman" w:cstheme="minorHAnsi"/>
                <w:b/>
                <w:sz w:val="28"/>
                <w:szCs w:val="28"/>
                <w:lang w:eastAsia="es-CR"/>
              </w:rPr>
            </w:pPr>
            <w:r w:rsidRPr="005E1103">
              <w:rPr>
                <w:rFonts w:eastAsia="Times New Roman" w:cstheme="minorHAnsi"/>
                <w:b/>
                <w:sz w:val="28"/>
                <w:szCs w:val="28"/>
                <w:lang w:eastAsia="es-CR"/>
              </w:rPr>
              <w:t>2013-2014</w:t>
            </w:r>
          </w:p>
        </w:tc>
        <w:tc>
          <w:tcPr>
            <w:tcW w:w="851" w:type="dxa"/>
            <w:tcBorders>
              <w:top w:val="nil"/>
              <w:left w:val="nil"/>
              <w:bottom w:val="single" w:sz="4" w:space="0" w:color="auto"/>
              <w:right w:val="single" w:sz="4" w:space="0" w:color="auto"/>
            </w:tcBorders>
            <w:shd w:val="clear" w:color="auto" w:fill="auto"/>
            <w:noWrap/>
            <w:vAlign w:val="center"/>
            <w:hideMark/>
          </w:tcPr>
          <w:p w:rsidR="0046263B" w:rsidRPr="005E1103" w:rsidRDefault="0046263B" w:rsidP="0046263B">
            <w:pPr>
              <w:spacing w:after="0" w:line="240" w:lineRule="auto"/>
              <w:jc w:val="center"/>
              <w:rPr>
                <w:rFonts w:eastAsia="Times New Roman" w:cstheme="minorHAnsi"/>
                <w:b/>
                <w:sz w:val="28"/>
                <w:szCs w:val="28"/>
                <w:lang w:eastAsia="es-CR"/>
              </w:rPr>
            </w:pPr>
            <w:r w:rsidRPr="005E1103">
              <w:rPr>
                <w:rFonts w:eastAsia="Times New Roman" w:cstheme="minorHAnsi"/>
                <w:b/>
                <w:sz w:val="28"/>
                <w:szCs w:val="28"/>
                <w:lang w:eastAsia="es-CR"/>
              </w:rPr>
              <w:t>%</w:t>
            </w:r>
          </w:p>
        </w:tc>
        <w:tc>
          <w:tcPr>
            <w:tcW w:w="1134" w:type="dxa"/>
            <w:tcBorders>
              <w:top w:val="nil"/>
              <w:left w:val="nil"/>
              <w:bottom w:val="single" w:sz="4" w:space="0" w:color="auto"/>
              <w:right w:val="single" w:sz="4" w:space="0" w:color="auto"/>
            </w:tcBorders>
            <w:shd w:val="clear" w:color="auto" w:fill="auto"/>
            <w:noWrap/>
            <w:vAlign w:val="center"/>
            <w:hideMark/>
          </w:tcPr>
          <w:p w:rsidR="0046263B" w:rsidRPr="005E1103" w:rsidRDefault="0046263B" w:rsidP="0046263B">
            <w:pPr>
              <w:spacing w:after="0" w:line="240" w:lineRule="auto"/>
              <w:jc w:val="center"/>
              <w:rPr>
                <w:rFonts w:eastAsia="Times New Roman" w:cstheme="minorHAnsi"/>
                <w:b/>
                <w:sz w:val="28"/>
                <w:szCs w:val="28"/>
                <w:lang w:eastAsia="es-CR"/>
              </w:rPr>
            </w:pPr>
            <w:r w:rsidRPr="005E1103">
              <w:rPr>
                <w:rFonts w:eastAsia="Times New Roman" w:cstheme="minorHAnsi"/>
                <w:b/>
                <w:sz w:val="28"/>
                <w:szCs w:val="28"/>
                <w:lang w:eastAsia="es-CR"/>
              </w:rPr>
              <w:t>2014-2016</w:t>
            </w:r>
          </w:p>
        </w:tc>
        <w:tc>
          <w:tcPr>
            <w:tcW w:w="850" w:type="dxa"/>
            <w:tcBorders>
              <w:top w:val="nil"/>
              <w:left w:val="nil"/>
              <w:bottom w:val="single" w:sz="4" w:space="0" w:color="auto"/>
              <w:right w:val="single" w:sz="4" w:space="0" w:color="auto"/>
            </w:tcBorders>
          </w:tcPr>
          <w:p w:rsidR="0046263B" w:rsidRPr="005E1103" w:rsidRDefault="0046263B" w:rsidP="0046263B">
            <w:pPr>
              <w:spacing w:after="0" w:line="240" w:lineRule="auto"/>
              <w:jc w:val="center"/>
              <w:rPr>
                <w:rFonts w:eastAsia="Times New Roman" w:cstheme="minorHAnsi"/>
                <w:b/>
                <w:sz w:val="28"/>
                <w:szCs w:val="28"/>
                <w:lang w:eastAsia="es-CR"/>
              </w:rPr>
            </w:pPr>
            <w:r w:rsidRPr="005E1103">
              <w:rPr>
                <w:rFonts w:eastAsia="Times New Roman" w:cstheme="minorHAnsi"/>
                <w:b/>
                <w:sz w:val="28"/>
                <w:szCs w:val="28"/>
                <w:lang w:eastAsia="es-CR"/>
              </w:rPr>
              <w:t>%</w:t>
            </w:r>
          </w:p>
        </w:tc>
        <w:tc>
          <w:tcPr>
            <w:tcW w:w="1134" w:type="dxa"/>
            <w:tcBorders>
              <w:top w:val="nil"/>
              <w:left w:val="nil"/>
              <w:bottom w:val="single" w:sz="4" w:space="0" w:color="auto"/>
              <w:right w:val="single" w:sz="4" w:space="0" w:color="auto"/>
            </w:tcBorders>
            <w:vAlign w:val="center"/>
          </w:tcPr>
          <w:p w:rsidR="0046263B" w:rsidRPr="005E1103" w:rsidRDefault="0046263B" w:rsidP="0046263B">
            <w:pPr>
              <w:spacing w:after="0" w:line="240" w:lineRule="auto"/>
              <w:jc w:val="center"/>
              <w:rPr>
                <w:rFonts w:eastAsia="Times New Roman" w:cstheme="minorHAnsi"/>
                <w:b/>
                <w:sz w:val="28"/>
                <w:szCs w:val="28"/>
                <w:lang w:eastAsia="es-CR"/>
              </w:rPr>
            </w:pPr>
            <w:r w:rsidRPr="005E1103">
              <w:rPr>
                <w:rFonts w:eastAsia="Times New Roman" w:cstheme="minorHAnsi"/>
                <w:b/>
                <w:sz w:val="28"/>
                <w:szCs w:val="28"/>
                <w:lang w:eastAsia="es-CR"/>
              </w:rPr>
              <w:t>2015-2016</w:t>
            </w:r>
          </w:p>
        </w:tc>
        <w:tc>
          <w:tcPr>
            <w:tcW w:w="828" w:type="dxa"/>
            <w:tcBorders>
              <w:top w:val="nil"/>
              <w:left w:val="nil"/>
              <w:bottom w:val="single" w:sz="4" w:space="0" w:color="auto"/>
              <w:right w:val="single" w:sz="4" w:space="0" w:color="auto"/>
            </w:tcBorders>
          </w:tcPr>
          <w:p w:rsidR="0046263B" w:rsidRPr="005E1103" w:rsidRDefault="0046263B" w:rsidP="0046263B">
            <w:pPr>
              <w:spacing w:after="0" w:line="240" w:lineRule="auto"/>
              <w:jc w:val="center"/>
              <w:rPr>
                <w:rFonts w:eastAsia="Times New Roman" w:cstheme="minorHAnsi"/>
                <w:b/>
                <w:sz w:val="28"/>
                <w:szCs w:val="28"/>
                <w:lang w:eastAsia="es-CR"/>
              </w:rPr>
            </w:pPr>
            <w:r w:rsidRPr="005E1103">
              <w:rPr>
                <w:rFonts w:eastAsia="Times New Roman" w:cstheme="minorHAnsi"/>
                <w:b/>
                <w:sz w:val="28"/>
                <w:szCs w:val="28"/>
                <w:lang w:eastAsia="es-CR"/>
              </w:rPr>
              <w:t>%</w:t>
            </w:r>
          </w:p>
        </w:tc>
      </w:tr>
      <w:tr w:rsidR="0046263B" w:rsidRPr="005E1103" w:rsidTr="0046263B">
        <w:trPr>
          <w:trHeight w:val="312"/>
        </w:trPr>
        <w:tc>
          <w:tcPr>
            <w:tcW w:w="2551" w:type="dxa"/>
            <w:tcBorders>
              <w:top w:val="nil"/>
              <w:left w:val="single" w:sz="4" w:space="0" w:color="auto"/>
              <w:bottom w:val="single" w:sz="4" w:space="0" w:color="auto"/>
              <w:right w:val="single" w:sz="4" w:space="0" w:color="auto"/>
            </w:tcBorders>
            <w:shd w:val="clear" w:color="auto" w:fill="auto"/>
            <w:hideMark/>
          </w:tcPr>
          <w:p w:rsidR="0046263B" w:rsidRPr="005E1103" w:rsidRDefault="0046263B" w:rsidP="0046263B">
            <w:pPr>
              <w:spacing w:after="0" w:line="240" w:lineRule="auto"/>
              <w:rPr>
                <w:rFonts w:eastAsia="Arial Unicode MS" w:cstheme="minorHAnsi"/>
                <w:color w:val="000000"/>
                <w:sz w:val="28"/>
                <w:szCs w:val="28"/>
                <w:lang w:eastAsia="es-CR"/>
              </w:rPr>
            </w:pPr>
            <w:r w:rsidRPr="005E1103">
              <w:rPr>
                <w:rFonts w:eastAsia="Arial Unicode MS" w:cstheme="minorHAnsi"/>
                <w:color w:val="000000"/>
                <w:sz w:val="28"/>
                <w:szCs w:val="28"/>
                <w:lang w:eastAsia="es-CR"/>
              </w:rPr>
              <w:t>APRENDIZAJE</w:t>
            </w:r>
          </w:p>
        </w:tc>
        <w:tc>
          <w:tcPr>
            <w:tcW w:w="1134" w:type="dxa"/>
            <w:tcBorders>
              <w:top w:val="nil"/>
              <w:left w:val="nil"/>
              <w:bottom w:val="single" w:sz="4" w:space="0" w:color="auto"/>
              <w:right w:val="single" w:sz="4" w:space="0" w:color="auto"/>
            </w:tcBorders>
            <w:shd w:val="clear" w:color="auto" w:fill="auto"/>
            <w:vAlign w:val="center"/>
            <w:hideMark/>
          </w:tcPr>
          <w:p w:rsidR="0046263B" w:rsidRPr="005E1103" w:rsidRDefault="0046263B" w:rsidP="0046263B">
            <w:pPr>
              <w:spacing w:after="0" w:line="240" w:lineRule="auto"/>
              <w:jc w:val="right"/>
              <w:rPr>
                <w:rFonts w:eastAsia="Times New Roman" w:cstheme="minorHAnsi"/>
                <w:sz w:val="28"/>
                <w:szCs w:val="28"/>
                <w:lang w:eastAsia="es-CR"/>
              </w:rPr>
            </w:pPr>
            <w:r w:rsidRPr="005E1103">
              <w:rPr>
                <w:rFonts w:eastAsia="Times New Roman" w:cstheme="minorHAnsi"/>
                <w:sz w:val="28"/>
                <w:szCs w:val="28"/>
                <w:lang w:eastAsia="es-CR"/>
              </w:rPr>
              <w:t>789</w:t>
            </w:r>
          </w:p>
        </w:tc>
        <w:tc>
          <w:tcPr>
            <w:tcW w:w="851" w:type="dxa"/>
            <w:tcBorders>
              <w:top w:val="nil"/>
              <w:left w:val="nil"/>
              <w:bottom w:val="single" w:sz="4" w:space="0" w:color="auto"/>
              <w:right w:val="single" w:sz="4" w:space="0" w:color="auto"/>
            </w:tcBorders>
            <w:shd w:val="clear" w:color="auto" w:fill="auto"/>
            <w:noWrap/>
            <w:vAlign w:val="center"/>
            <w:hideMark/>
          </w:tcPr>
          <w:p w:rsidR="0046263B" w:rsidRPr="005E1103" w:rsidRDefault="0046263B" w:rsidP="0046263B">
            <w:pPr>
              <w:spacing w:after="0" w:line="240" w:lineRule="auto"/>
              <w:jc w:val="right"/>
              <w:rPr>
                <w:rFonts w:eastAsia="Times New Roman" w:cstheme="minorHAnsi"/>
                <w:sz w:val="28"/>
                <w:szCs w:val="28"/>
                <w:lang w:eastAsia="es-CR"/>
              </w:rPr>
            </w:pPr>
            <w:r w:rsidRPr="005E1103">
              <w:rPr>
                <w:rFonts w:eastAsia="Times New Roman" w:cstheme="minorHAnsi"/>
                <w:sz w:val="28"/>
                <w:szCs w:val="28"/>
                <w:lang w:eastAsia="es-CR"/>
              </w:rPr>
              <w:t>80.10</w:t>
            </w:r>
          </w:p>
        </w:tc>
        <w:tc>
          <w:tcPr>
            <w:tcW w:w="1134" w:type="dxa"/>
            <w:tcBorders>
              <w:top w:val="nil"/>
              <w:left w:val="nil"/>
              <w:bottom w:val="single" w:sz="4" w:space="0" w:color="auto"/>
              <w:right w:val="single" w:sz="4" w:space="0" w:color="auto"/>
            </w:tcBorders>
            <w:shd w:val="clear" w:color="auto" w:fill="auto"/>
            <w:noWrap/>
            <w:vAlign w:val="center"/>
            <w:hideMark/>
          </w:tcPr>
          <w:p w:rsidR="0046263B" w:rsidRPr="005E1103" w:rsidRDefault="0046263B" w:rsidP="0046263B">
            <w:pPr>
              <w:spacing w:after="0" w:line="240" w:lineRule="auto"/>
              <w:jc w:val="right"/>
              <w:rPr>
                <w:rFonts w:eastAsia="Times New Roman" w:cstheme="minorHAnsi"/>
                <w:sz w:val="28"/>
                <w:szCs w:val="28"/>
                <w:lang w:eastAsia="es-CR"/>
              </w:rPr>
            </w:pPr>
            <w:r w:rsidRPr="005E1103">
              <w:rPr>
                <w:rFonts w:eastAsia="Times New Roman" w:cstheme="minorHAnsi"/>
                <w:sz w:val="28"/>
                <w:szCs w:val="28"/>
                <w:lang w:eastAsia="es-CR"/>
              </w:rPr>
              <w:t>857</w:t>
            </w:r>
          </w:p>
        </w:tc>
        <w:tc>
          <w:tcPr>
            <w:tcW w:w="850" w:type="dxa"/>
            <w:tcBorders>
              <w:top w:val="nil"/>
              <w:left w:val="nil"/>
              <w:bottom w:val="single" w:sz="4" w:space="0" w:color="auto"/>
              <w:right w:val="single" w:sz="4" w:space="0" w:color="auto"/>
            </w:tcBorders>
          </w:tcPr>
          <w:p w:rsidR="0046263B" w:rsidRPr="005E1103" w:rsidRDefault="0046263B" w:rsidP="0046263B">
            <w:pPr>
              <w:spacing w:after="0" w:line="240" w:lineRule="auto"/>
              <w:jc w:val="right"/>
              <w:rPr>
                <w:rFonts w:eastAsia="Times New Roman" w:cstheme="minorHAnsi"/>
                <w:sz w:val="28"/>
                <w:szCs w:val="28"/>
                <w:lang w:eastAsia="es-CR"/>
              </w:rPr>
            </w:pPr>
            <w:r w:rsidRPr="005E1103">
              <w:rPr>
                <w:rFonts w:eastAsia="Times New Roman" w:cstheme="minorHAnsi"/>
                <w:sz w:val="28"/>
                <w:szCs w:val="28"/>
                <w:lang w:eastAsia="es-CR"/>
              </w:rPr>
              <w:t>78.10</w:t>
            </w:r>
          </w:p>
        </w:tc>
        <w:tc>
          <w:tcPr>
            <w:tcW w:w="1134" w:type="dxa"/>
            <w:tcBorders>
              <w:top w:val="nil"/>
              <w:left w:val="nil"/>
              <w:bottom w:val="single" w:sz="4" w:space="0" w:color="auto"/>
              <w:right w:val="single" w:sz="4" w:space="0" w:color="auto"/>
            </w:tcBorders>
            <w:vAlign w:val="center"/>
          </w:tcPr>
          <w:p w:rsidR="0046263B" w:rsidRPr="005E1103" w:rsidRDefault="0046263B" w:rsidP="0046263B">
            <w:pPr>
              <w:spacing w:after="0" w:line="240" w:lineRule="auto"/>
              <w:jc w:val="right"/>
              <w:rPr>
                <w:rFonts w:eastAsia="Times New Roman" w:cstheme="minorHAnsi"/>
                <w:sz w:val="28"/>
                <w:szCs w:val="28"/>
                <w:lang w:eastAsia="es-CR"/>
              </w:rPr>
            </w:pPr>
            <w:r w:rsidRPr="005E1103">
              <w:rPr>
                <w:rFonts w:eastAsia="Times New Roman" w:cstheme="minorHAnsi"/>
                <w:sz w:val="28"/>
                <w:szCs w:val="28"/>
                <w:lang w:eastAsia="es-CR"/>
              </w:rPr>
              <w:t>1027</w:t>
            </w:r>
          </w:p>
        </w:tc>
        <w:tc>
          <w:tcPr>
            <w:tcW w:w="828" w:type="dxa"/>
            <w:tcBorders>
              <w:top w:val="nil"/>
              <w:left w:val="nil"/>
              <w:bottom w:val="single" w:sz="4" w:space="0" w:color="auto"/>
              <w:right w:val="single" w:sz="4" w:space="0" w:color="auto"/>
            </w:tcBorders>
          </w:tcPr>
          <w:p w:rsidR="0046263B" w:rsidRPr="005E1103" w:rsidRDefault="0046263B" w:rsidP="0046263B">
            <w:pPr>
              <w:spacing w:after="0" w:line="240" w:lineRule="auto"/>
              <w:jc w:val="right"/>
              <w:rPr>
                <w:rFonts w:eastAsia="Times New Roman" w:cstheme="minorHAnsi"/>
                <w:sz w:val="28"/>
                <w:szCs w:val="28"/>
                <w:lang w:eastAsia="es-CR"/>
              </w:rPr>
            </w:pPr>
            <w:r w:rsidRPr="005E1103">
              <w:rPr>
                <w:rFonts w:eastAsia="Times New Roman" w:cstheme="minorHAnsi"/>
                <w:sz w:val="28"/>
                <w:szCs w:val="28"/>
                <w:lang w:eastAsia="es-CR"/>
              </w:rPr>
              <w:t>79.20</w:t>
            </w:r>
          </w:p>
        </w:tc>
      </w:tr>
      <w:tr w:rsidR="0046263B" w:rsidRPr="005E1103" w:rsidTr="0046263B">
        <w:trPr>
          <w:trHeight w:val="312"/>
        </w:trPr>
        <w:tc>
          <w:tcPr>
            <w:tcW w:w="2551" w:type="dxa"/>
            <w:tcBorders>
              <w:top w:val="nil"/>
              <w:left w:val="single" w:sz="4" w:space="0" w:color="auto"/>
              <w:bottom w:val="single" w:sz="4" w:space="0" w:color="auto"/>
              <w:right w:val="single" w:sz="4" w:space="0" w:color="auto"/>
            </w:tcBorders>
            <w:shd w:val="clear" w:color="auto" w:fill="auto"/>
            <w:hideMark/>
          </w:tcPr>
          <w:p w:rsidR="0046263B" w:rsidRPr="005E1103" w:rsidRDefault="0046263B" w:rsidP="0046263B">
            <w:pPr>
              <w:spacing w:after="0" w:line="240" w:lineRule="auto"/>
              <w:rPr>
                <w:rFonts w:eastAsia="Arial Unicode MS" w:cstheme="minorHAnsi"/>
                <w:color w:val="000000"/>
                <w:sz w:val="28"/>
                <w:szCs w:val="28"/>
                <w:lang w:eastAsia="es-CR"/>
              </w:rPr>
            </w:pPr>
            <w:r w:rsidRPr="005E1103">
              <w:rPr>
                <w:rFonts w:eastAsia="Arial Unicode MS" w:cstheme="minorHAnsi"/>
                <w:color w:val="000000"/>
                <w:sz w:val="28"/>
                <w:szCs w:val="28"/>
                <w:lang w:eastAsia="es-CR"/>
              </w:rPr>
              <w:t>DÉFICIT ATENCIONAL</w:t>
            </w:r>
          </w:p>
        </w:tc>
        <w:tc>
          <w:tcPr>
            <w:tcW w:w="1134" w:type="dxa"/>
            <w:tcBorders>
              <w:top w:val="nil"/>
              <w:left w:val="nil"/>
              <w:bottom w:val="single" w:sz="4" w:space="0" w:color="auto"/>
              <w:right w:val="single" w:sz="4" w:space="0" w:color="auto"/>
            </w:tcBorders>
            <w:shd w:val="clear" w:color="auto" w:fill="auto"/>
            <w:vAlign w:val="center"/>
            <w:hideMark/>
          </w:tcPr>
          <w:p w:rsidR="0046263B" w:rsidRPr="005E1103" w:rsidRDefault="0046263B" w:rsidP="0046263B">
            <w:pPr>
              <w:spacing w:after="0" w:line="240" w:lineRule="auto"/>
              <w:jc w:val="right"/>
              <w:rPr>
                <w:rFonts w:eastAsia="Times New Roman" w:cstheme="minorHAnsi"/>
                <w:sz w:val="28"/>
                <w:szCs w:val="28"/>
                <w:lang w:eastAsia="es-CR"/>
              </w:rPr>
            </w:pPr>
            <w:r w:rsidRPr="005E1103">
              <w:rPr>
                <w:rFonts w:eastAsia="Times New Roman" w:cstheme="minorHAnsi"/>
                <w:sz w:val="28"/>
                <w:szCs w:val="28"/>
                <w:lang w:eastAsia="es-CR"/>
              </w:rPr>
              <w:t>61</w:t>
            </w:r>
          </w:p>
        </w:tc>
        <w:tc>
          <w:tcPr>
            <w:tcW w:w="851" w:type="dxa"/>
            <w:tcBorders>
              <w:top w:val="nil"/>
              <w:left w:val="nil"/>
              <w:bottom w:val="single" w:sz="4" w:space="0" w:color="auto"/>
              <w:right w:val="single" w:sz="4" w:space="0" w:color="auto"/>
            </w:tcBorders>
            <w:shd w:val="clear" w:color="auto" w:fill="auto"/>
            <w:noWrap/>
            <w:vAlign w:val="center"/>
            <w:hideMark/>
          </w:tcPr>
          <w:p w:rsidR="0046263B" w:rsidRPr="005E1103" w:rsidRDefault="0046263B" w:rsidP="0046263B">
            <w:pPr>
              <w:spacing w:after="0" w:line="240" w:lineRule="auto"/>
              <w:jc w:val="right"/>
              <w:rPr>
                <w:rFonts w:eastAsia="Times New Roman" w:cstheme="minorHAnsi"/>
                <w:sz w:val="28"/>
                <w:szCs w:val="28"/>
                <w:lang w:eastAsia="es-CR"/>
              </w:rPr>
            </w:pPr>
            <w:r w:rsidRPr="005E1103">
              <w:rPr>
                <w:rFonts w:eastAsia="Times New Roman" w:cstheme="minorHAnsi"/>
                <w:sz w:val="28"/>
                <w:szCs w:val="28"/>
                <w:lang w:eastAsia="es-CR"/>
              </w:rPr>
              <w:t>6.20</w:t>
            </w:r>
          </w:p>
        </w:tc>
        <w:tc>
          <w:tcPr>
            <w:tcW w:w="1134" w:type="dxa"/>
            <w:tcBorders>
              <w:top w:val="nil"/>
              <w:left w:val="nil"/>
              <w:bottom w:val="single" w:sz="4" w:space="0" w:color="auto"/>
              <w:right w:val="single" w:sz="4" w:space="0" w:color="auto"/>
            </w:tcBorders>
            <w:shd w:val="clear" w:color="auto" w:fill="auto"/>
            <w:noWrap/>
            <w:vAlign w:val="center"/>
            <w:hideMark/>
          </w:tcPr>
          <w:p w:rsidR="0046263B" w:rsidRPr="005E1103" w:rsidRDefault="0046263B" w:rsidP="0046263B">
            <w:pPr>
              <w:spacing w:after="0" w:line="240" w:lineRule="auto"/>
              <w:jc w:val="right"/>
              <w:rPr>
                <w:rFonts w:eastAsia="Times New Roman" w:cstheme="minorHAnsi"/>
                <w:sz w:val="28"/>
                <w:szCs w:val="28"/>
                <w:lang w:eastAsia="es-CR"/>
              </w:rPr>
            </w:pPr>
            <w:r w:rsidRPr="005E1103">
              <w:rPr>
                <w:rFonts w:eastAsia="Times New Roman" w:cstheme="minorHAnsi"/>
                <w:sz w:val="28"/>
                <w:szCs w:val="28"/>
                <w:lang w:eastAsia="es-CR"/>
              </w:rPr>
              <w:t>79</w:t>
            </w:r>
          </w:p>
        </w:tc>
        <w:tc>
          <w:tcPr>
            <w:tcW w:w="850" w:type="dxa"/>
            <w:tcBorders>
              <w:top w:val="nil"/>
              <w:left w:val="nil"/>
              <w:bottom w:val="single" w:sz="4" w:space="0" w:color="auto"/>
              <w:right w:val="single" w:sz="4" w:space="0" w:color="auto"/>
            </w:tcBorders>
          </w:tcPr>
          <w:p w:rsidR="0046263B" w:rsidRPr="005E1103" w:rsidRDefault="0046263B" w:rsidP="0046263B">
            <w:pPr>
              <w:spacing w:after="0" w:line="240" w:lineRule="auto"/>
              <w:jc w:val="right"/>
              <w:rPr>
                <w:rFonts w:eastAsia="Times New Roman" w:cstheme="minorHAnsi"/>
                <w:sz w:val="28"/>
                <w:szCs w:val="28"/>
                <w:lang w:eastAsia="es-CR"/>
              </w:rPr>
            </w:pPr>
            <w:r w:rsidRPr="005E1103">
              <w:rPr>
                <w:rFonts w:eastAsia="Times New Roman" w:cstheme="minorHAnsi"/>
                <w:sz w:val="28"/>
                <w:szCs w:val="28"/>
                <w:lang w:eastAsia="es-CR"/>
              </w:rPr>
              <w:t>7.20</w:t>
            </w:r>
          </w:p>
        </w:tc>
        <w:tc>
          <w:tcPr>
            <w:tcW w:w="1134" w:type="dxa"/>
            <w:tcBorders>
              <w:top w:val="nil"/>
              <w:left w:val="nil"/>
              <w:bottom w:val="single" w:sz="4" w:space="0" w:color="auto"/>
              <w:right w:val="single" w:sz="4" w:space="0" w:color="auto"/>
            </w:tcBorders>
            <w:vAlign w:val="center"/>
          </w:tcPr>
          <w:p w:rsidR="0046263B" w:rsidRPr="005E1103" w:rsidRDefault="0046263B" w:rsidP="0046263B">
            <w:pPr>
              <w:spacing w:after="0" w:line="240" w:lineRule="auto"/>
              <w:jc w:val="right"/>
              <w:rPr>
                <w:rFonts w:eastAsia="Times New Roman" w:cstheme="minorHAnsi"/>
                <w:sz w:val="28"/>
                <w:szCs w:val="28"/>
                <w:lang w:eastAsia="es-CR"/>
              </w:rPr>
            </w:pPr>
            <w:r w:rsidRPr="005E1103">
              <w:rPr>
                <w:rFonts w:eastAsia="Times New Roman" w:cstheme="minorHAnsi"/>
                <w:sz w:val="28"/>
                <w:szCs w:val="28"/>
                <w:lang w:eastAsia="es-CR"/>
              </w:rPr>
              <w:t>103</w:t>
            </w:r>
          </w:p>
        </w:tc>
        <w:tc>
          <w:tcPr>
            <w:tcW w:w="828" w:type="dxa"/>
            <w:tcBorders>
              <w:top w:val="nil"/>
              <w:left w:val="nil"/>
              <w:bottom w:val="single" w:sz="4" w:space="0" w:color="auto"/>
              <w:right w:val="single" w:sz="4" w:space="0" w:color="auto"/>
            </w:tcBorders>
          </w:tcPr>
          <w:p w:rsidR="0046263B" w:rsidRPr="005E1103" w:rsidRDefault="0046263B" w:rsidP="0046263B">
            <w:pPr>
              <w:spacing w:after="0" w:line="240" w:lineRule="auto"/>
              <w:jc w:val="right"/>
              <w:rPr>
                <w:rFonts w:eastAsia="Times New Roman" w:cstheme="minorHAnsi"/>
                <w:sz w:val="28"/>
                <w:szCs w:val="28"/>
                <w:lang w:eastAsia="es-CR"/>
              </w:rPr>
            </w:pPr>
            <w:r w:rsidRPr="005E1103">
              <w:rPr>
                <w:rFonts w:eastAsia="Times New Roman" w:cstheme="minorHAnsi"/>
                <w:sz w:val="28"/>
                <w:szCs w:val="28"/>
                <w:lang w:eastAsia="es-CR"/>
              </w:rPr>
              <w:t>7.95</w:t>
            </w:r>
          </w:p>
        </w:tc>
      </w:tr>
      <w:tr w:rsidR="0046263B" w:rsidRPr="005E1103" w:rsidTr="0046263B">
        <w:trPr>
          <w:trHeight w:val="312"/>
        </w:trPr>
        <w:tc>
          <w:tcPr>
            <w:tcW w:w="2551" w:type="dxa"/>
            <w:tcBorders>
              <w:top w:val="nil"/>
              <w:left w:val="single" w:sz="4" w:space="0" w:color="auto"/>
              <w:bottom w:val="single" w:sz="4" w:space="0" w:color="auto"/>
              <w:right w:val="single" w:sz="4" w:space="0" w:color="auto"/>
            </w:tcBorders>
            <w:shd w:val="clear" w:color="auto" w:fill="auto"/>
            <w:hideMark/>
          </w:tcPr>
          <w:p w:rsidR="0046263B" w:rsidRPr="005E1103" w:rsidRDefault="0046263B" w:rsidP="0046263B">
            <w:pPr>
              <w:spacing w:after="0" w:line="240" w:lineRule="auto"/>
              <w:rPr>
                <w:rFonts w:eastAsia="Arial Unicode MS" w:cstheme="minorHAnsi"/>
                <w:color w:val="000000"/>
                <w:sz w:val="28"/>
                <w:szCs w:val="28"/>
                <w:lang w:eastAsia="es-CR"/>
              </w:rPr>
            </w:pPr>
            <w:r w:rsidRPr="005E1103">
              <w:rPr>
                <w:rFonts w:eastAsia="Arial Unicode MS" w:cstheme="minorHAnsi"/>
                <w:color w:val="000000"/>
                <w:sz w:val="28"/>
                <w:szCs w:val="28"/>
                <w:lang w:eastAsia="es-CR"/>
              </w:rPr>
              <w:t>MOTORA</w:t>
            </w:r>
          </w:p>
        </w:tc>
        <w:tc>
          <w:tcPr>
            <w:tcW w:w="1134" w:type="dxa"/>
            <w:tcBorders>
              <w:top w:val="nil"/>
              <w:left w:val="nil"/>
              <w:bottom w:val="single" w:sz="4" w:space="0" w:color="auto"/>
              <w:right w:val="single" w:sz="4" w:space="0" w:color="auto"/>
            </w:tcBorders>
            <w:shd w:val="clear" w:color="auto" w:fill="auto"/>
            <w:vAlign w:val="center"/>
            <w:hideMark/>
          </w:tcPr>
          <w:p w:rsidR="0046263B" w:rsidRPr="005E1103" w:rsidRDefault="0046263B" w:rsidP="0046263B">
            <w:pPr>
              <w:spacing w:after="0" w:line="240" w:lineRule="auto"/>
              <w:jc w:val="right"/>
              <w:rPr>
                <w:rFonts w:eastAsia="Times New Roman" w:cstheme="minorHAnsi"/>
                <w:sz w:val="28"/>
                <w:szCs w:val="28"/>
                <w:lang w:eastAsia="es-CR"/>
              </w:rPr>
            </w:pPr>
            <w:r w:rsidRPr="005E1103">
              <w:rPr>
                <w:rFonts w:eastAsia="Times New Roman" w:cstheme="minorHAnsi"/>
                <w:sz w:val="28"/>
                <w:szCs w:val="28"/>
                <w:lang w:eastAsia="es-CR"/>
              </w:rPr>
              <w:t>16</w:t>
            </w:r>
          </w:p>
        </w:tc>
        <w:tc>
          <w:tcPr>
            <w:tcW w:w="851" w:type="dxa"/>
            <w:tcBorders>
              <w:top w:val="nil"/>
              <w:left w:val="nil"/>
              <w:bottom w:val="single" w:sz="4" w:space="0" w:color="auto"/>
              <w:right w:val="single" w:sz="4" w:space="0" w:color="auto"/>
            </w:tcBorders>
            <w:shd w:val="clear" w:color="auto" w:fill="auto"/>
            <w:noWrap/>
            <w:vAlign w:val="center"/>
            <w:hideMark/>
          </w:tcPr>
          <w:p w:rsidR="0046263B" w:rsidRPr="005E1103" w:rsidRDefault="0046263B" w:rsidP="0046263B">
            <w:pPr>
              <w:spacing w:after="0" w:line="240" w:lineRule="auto"/>
              <w:jc w:val="right"/>
              <w:rPr>
                <w:rFonts w:eastAsia="Times New Roman" w:cstheme="minorHAnsi"/>
                <w:sz w:val="28"/>
                <w:szCs w:val="28"/>
                <w:lang w:eastAsia="es-CR"/>
              </w:rPr>
            </w:pPr>
            <w:r w:rsidRPr="005E1103">
              <w:rPr>
                <w:rFonts w:eastAsia="Times New Roman" w:cstheme="minorHAnsi"/>
                <w:sz w:val="28"/>
                <w:szCs w:val="28"/>
                <w:lang w:eastAsia="es-CR"/>
              </w:rPr>
              <w:t>1.60</w:t>
            </w:r>
          </w:p>
        </w:tc>
        <w:tc>
          <w:tcPr>
            <w:tcW w:w="1134" w:type="dxa"/>
            <w:tcBorders>
              <w:top w:val="nil"/>
              <w:left w:val="nil"/>
              <w:bottom w:val="single" w:sz="4" w:space="0" w:color="auto"/>
              <w:right w:val="single" w:sz="4" w:space="0" w:color="auto"/>
            </w:tcBorders>
            <w:shd w:val="clear" w:color="auto" w:fill="auto"/>
            <w:noWrap/>
            <w:vAlign w:val="center"/>
            <w:hideMark/>
          </w:tcPr>
          <w:p w:rsidR="0046263B" w:rsidRPr="005E1103" w:rsidRDefault="0046263B" w:rsidP="0046263B">
            <w:pPr>
              <w:spacing w:after="0" w:line="240" w:lineRule="auto"/>
              <w:jc w:val="right"/>
              <w:rPr>
                <w:rFonts w:eastAsia="Times New Roman" w:cstheme="minorHAnsi"/>
                <w:sz w:val="28"/>
                <w:szCs w:val="28"/>
                <w:lang w:eastAsia="es-CR"/>
              </w:rPr>
            </w:pPr>
            <w:r w:rsidRPr="005E1103">
              <w:rPr>
                <w:rFonts w:eastAsia="Times New Roman" w:cstheme="minorHAnsi"/>
                <w:sz w:val="28"/>
                <w:szCs w:val="28"/>
                <w:lang w:eastAsia="es-CR"/>
              </w:rPr>
              <w:t>18</w:t>
            </w:r>
          </w:p>
        </w:tc>
        <w:tc>
          <w:tcPr>
            <w:tcW w:w="850" w:type="dxa"/>
            <w:tcBorders>
              <w:top w:val="nil"/>
              <w:left w:val="nil"/>
              <w:bottom w:val="single" w:sz="4" w:space="0" w:color="auto"/>
              <w:right w:val="single" w:sz="4" w:space="0" w:color="auto"/>
            </w:tcBorders>
          </w:tcPr>
          <w:p w:rsidR="0046263B" w:rsidRPr="005E1103" w:rsidRDefault="0046263B" w:rsidP="0046263B">
            <w:pPr>
              <w:spacing w:after="0" w:line="240" w:lineRule="auto"/>
              <w:jc w:val="right"/>
              <w:rPr>
                <w:rFonts w:eastAsia="Times New Roman" w:cstheme="minorHAnsi"/>
                <w:sz w:val="28"/>
                <w:szCs w:val="28"/>
                <w:lang w:eastAsia="es-CR"/>
              </w:rPr>
            </w:pPr>
            <w:r w:rsidRPr="005E1103">
              <w:rPr>
                <w:rFonts w:eastAsia="Times New Roman" w:cstheme="minorHAnsi"/>
                <w:sz w:val="28"/>
                <w:szCs w:val="28"/>
                <w:lang w:eastAsia="es-CR"/>
              </w:rPr>
              <w:t>1.65</w:t>
            </w:r>
          </w:p>
        </w:tc>
        <w:tc>
          <w:tcPr>
            <w:tcW w:w="1134" w:type="dxa"/>
            <w:tcBorders>
              <w:top w:val="nil"/>
              <w:left w:val="nil"/>
              <w:bottom w:val="single" w:sz="4" w:space="0" w:color="auto"/>
              <w:right w:val="single" w:sz="4" w:space="0" w:color="auto"/>
            </w:tcBorders>
            <w:vAlign w:val="center"/>
          </w:tcPr>
          <w:p w:rsidR="0046263B" w:rsidRPr="005E1103" w:rsidRDefault="0046263B" w:rsidP="0046263B">
            <w:pPr>
              <w:spacing w:after="0" w:line="240" w:lineRule="auto"/>
              <w:jc w:val="right"/>
              <w:rPr>
                <w:rFonts w:eastAsia="Times New Roman" w:cstheme="minorHAnsi"/>
                <w:sz w:val="28"/>
                <w:szCs w:val="28"/>
                <w:lang w:eastAsia="es-CR"/>
              </w:rPr>
            </w:pPr>
            <w:r w:rsidRPr="005E1103">
              <w:rPr>
                <w:rFonts w:eastAsia="Times New Roman" w:cstheme="minorHAnsi"/>
                <w:sz w:val="28"/>
                <w:szCs w:val="28"/>
                <w:lang w:eastAsia="es-CR"/>
              </w:rPr>
              <w:t>20</w:t>
            </w:r>
          </w:p>
        </w:tc>
        <w:tc>
          <w:tcPr>
            <w:tcW w:w="828" w:type="dxa"/>
            <w:tcBorders>
              <w:top w:val="nil"/>
              <w:left w:val="nil"/>
              <w:bottom w:val="single" w:sz="4" w:space="0" w:color="auto"/>
              <w:right w:val="single" w:sz="4" w:space="0" w:color="auto"/>
            </w:tcBorders>
          </w:tcPr>
          <w:p w:rsidR="0046263B" w:rsidRPr="005E1103" w:rsidRDefault="0046263B" w:rsidP="0046263B">
            <w:pPr>
              <w:spacing w:after="0" w:line="240" w:lineRule="auto"/>
              <w:jc w:val="right"/>
              <w:rPr>
                <w:rFonts w:eastAsia="Times New Roman" w:cstheme="minorHAnsi"/>
                <w:sz w:val="28"/>
                <w:szCs w:val="28"/>
                <w:lang w:eastAsia="es-CR"/>
              </w:rPr>
            </w:pPr>
            <w:r w:rsidRPr="005E1103">
              <w:rPr>
                <w:rFonts w:eastAsia="Times New Roman" w:cstheme="minorHAnsi"/>
                <w:sz w:val="28"/>
                <w:szCs w:val="28"/>
                <w:lang w:eastAsia="es-CR"/>
              </w:rPr>
              <w:t>1.55</w:t>
            </w:r>
          </w:p>
        </w:tc>
      </w:tr>
      <w:tr w:rsidR="0046263B" w:rsidRPr="005E1103" w:rsidTr="0046263B">
        <w:trPr>
          <w:trHeight w:val="312"/>
        </w:trPr>
        <w:tc>
          <w:tcPr>
            <w:tcW w:w="2551" w:type="dxa"/>
            <w:tcBorders>
              <w:top w:val="nil"/>
              <w:left w:val="single" w:sz="4" w:space="0" w:color="auto"/>
              <w:bottom w:val="single" w:sz="4" w:space="0" w:color="auto"/>
              <w:right w:val="single" w:sz="4" w:space="0" w:color="auto"/>
            </w:tcBorders>
            <w:shd w:val="clear" w:color="auto" w:fill="auto"/>
            <w:hideMark/>
          </w:tcPr>
          <w:p w:rsidR="0046263B" w:rsidRPr="005E1103" w:rsidRDefault="0046263B" w:rsidP="0046263B">
            <w:pPr>
              <w:spacing w:after="0" w:line="240" w:lineRule="auto"/>
              <w:rPr>
                <w:rFonts w:eastAsia="Arial Unicode MS" w:cstheme="minorHAnsi"/>
                <w:color w:val="000000"/>
                <w:sz w:val="28"/>
                <w:szCs w:val="28"/>
                <w:lang w:eastAsia="es-CR"/>
              </w:rPr>
            </w:pPr>
            <w:r w:rsidRPr="005E1103">
              <w:rPr>
                <w:rFonts w:eastAsia="Arial Unicode MS" w:cstheme="minorHAnsi"/>
                <w:color w:val="000000"/>
                <w:sz w:val="28"/>
                <w:szCs w:val="28"/>
                <w:lang w:eastAsia="es-CR"/>
              </w:rPr>
              <w:t>VISUAL</w:t>
            </w:r>
          </w:p>
        </w:tc>
        <w:tc>
          <w:tcPr>
            <w:tcW w:w="1134" w:type="dxa"/>
            <w:tcBorders>
              <w:top w:val="nil"/>
              <w:left w:val="nil"/>
              <w:bottom w:val="single" w:sz="4" w:space="0" w:color="auto"/>
              <w:right w:val="single" w:sz="4" w:space="0" w:color="auto"/>
            </w:tcBorders>
            <w:shd w:val="clear" w:color="auto" w:fill="auto"/>
            <w:vAlign w:val="center"/>
            <w:hideMark/>
          </w:tcPr>
          <w:p w:rsidR="0046263B" w:rsidRPr="005E1103" w:rsidRDefault="0046263B" w:rsidP="0046263B">
            <w:pPr>
              <w:spacing w:after="0" w:line="240" w:lineRule="auto"/>
              <w:jc w:val="right"/>
              <w:rPr>
                <w:rFonts w:eastAsia="Times New Roman" w:cstheme="minorHAnsi"/>
                <w:sz w:val="28"/>
                <w:szCs w:val="28"/>
                <w:lang w:eastAsia="es-CR"/>
              </w:rPr>
            </w:pPr>
            <w:r w:rsidRPr="005E1103">
              <w:rPr>
                <w:rFonts w:eastAsia="Times New Roman" w:cstheme="minorHAnsi"/>
                <w:sz w:val="28"/>
                <w:szCs w:val="28"/>
                <w:lang w:eastAsia="es-CR"/>
              </w:rPr>
              <w:t>30</w:t>
            </w:r>
          </w:p>
        </w:tc>
        <w:tc>
          <w:tcPr>
            <w:tcW w:w="851" w:type="dxa"/>
            <w:tcBorders>
              <w:top w:val="nil"/>
              <w:left w:val="nil"/>
              <w:bottom w:val="single" w:sz="4" w:space="0" w:color="auto"/>
              <w:right w:val="single" w:sz="4" w:space="0" w:color="auto"/>
            </w:tcBorders>
            <w:shd w:val="clear" w:color="auto" w:fill="auto"/>
            <w:noWrap/>
            <w:vAlign w:val="center"/>
            <w:hideMark/>
          </w:tcPr>
          <w:p w:rsidR="0046263B" w:rsidRPr="005E1103" w:rsidRDefault="0046263B" w:rsidP="0046263B">
            <w:pPr>
              <w:spacing w:after="0" w:line="240" w:lineRule="auto"/>
              <w:jc w:val="right"/>
              <w:rPr>
                <w:rFonts w:eastAsia="Times New Roman" w:cstheme="minorHAnsi"/>
                <w:sz w:val="28"/>
                <w:szCs w:val="28"/>
                <w:lang w:eastAsia="es-CR"/>
              </w:rPr>
            </w:pPr>
            <w:r w:rsidRPr="005E1103">
              <w:rPr>
                <w:rFonts w:eastAsia="Times New Roman" w:cstheme="minorHAnsi"/>
                <w:sz w:val="28"/>
                <w:szCs w:val="28"/>
                <w:lang w:eastAsia="es-CR"/>
              </w:rPr>
              <w:t>3.05</w:t>
            </w:r>
          </w:p>
        </w:tc>
        <w:tc>
          <w:tcPr>
            <w:tcW w:w="1134" w:type="dxa"/>
            <w:tcBorders>
              <w:top w:val="nil"/>
              <w:left w:val="nil"/>
              <w:bottom w:val="single" w:sz="4" w:space="0" w:color="auto"/>
              <w:right w:val="single" w:sz="4" w:space="0" w:color="auto"/>
            </w:tcBorders>
            <w:shd w:val="clear" w:color="auto" w:fill="auto"/>
            <w:noWrap/>
            <w:vAlign w:val="center"/>
            <w:hideMark/>
          </w:tcPr>
          <w:p w:rsidR="0046263B" w:rsidRPr="005E1103" w:rsidRDefault="0046263B" w:rsidP="0046263B">
            <w:pPr>
              <w:spacing w:after="0" w:line="240" w:lineRule="auto"/>
              <w:jc w:val="right"/>
              <w:rPr>
                <w:rFonts w:eastAsia="Times New Roman" w:cstheme="minorHAnsi"/>
                <w:sz w:val="28"/>
                <w:szCs w:val="28"/>
                <w:lang w:eastAsia="es-CR"/>
              </w:rPr>
            </w:pPr>
            <w:r w:rsidRPr="005E1103">
              <w:rPr>
                <w:rFonts w:eastAsia="Times New Roman" w:cstheme="minorHAnsi"/>
                <w:sz w:val="28"/>
                <w:szCs w:val="28"/>
                <w:lang w:eastAsia="es-CR"/>
              </w:rPr>
              <w:t>37</w:t>
            </w:r>
          </w:p>
        </w:tc>
        <w:tc>
          <w:tcPr>
            <w:tcW w:w="850" w:type="dxa"/>
            <w:tcBorders>
              <w:top w:val="nil"/>
              <w:left w:val="nil"/>
              <w:bottom w:val="single" w:sz="4" w:space="0" w:color="auto"/>
              <w:right w:val="single" w:sz="4" w:space="0" w:color="auto"/>
            </w:tcBorders>
          </w:tcPr>
          <w:p w:rsidR="0046263B" w:rsidRPr="005E1103" w:rsidRDefault="0046263B" w:rsidP="0046263B">
            <w:pPr>
              <w:spacing w:after="0" w:line="240" w:lineRule="auto"/>
              <w:jc w:val="right"/>
              <w:rPr>
                <w:rFonts w:eastAsia="Times New Roman" w:cstheme="minorHAnsi"/>
                <w:sz w:val="28"/>
                <w:szCs w:val="28"/>
                <w:lang w:eastAsia="es-CR"/>
              </w:rPr>
            </w:pPr>
            <w:r w:rsidRPr="005E1103">
              <w:rPr>
                <w:rFonts w:eastAsia="Times New Roman" w:cstheme="minorHAnsi"/>
                <w:sz w:val="28"/>
                <w:szCs w:val="28"/>
                <w:lang w:eastAsia="es-CR"/>
              </w:rPr>
              <w:t>3.35</w:t>
            </w:r>
          </w:p>
        </w:tc>
        <w:tc>
          <w:tcPr>
            <w:tcW w:w="1134" w:type="dxa"/>
            <w:tcBorders>
              <w:top w:val="nil"/>
              <w:left w:val="nil"/>
              <w:bottom w:val="single" w:sz="4" w:space="0" w:color="auto"/>
              <w:right w:val="single" w:sz="4" w:space="0" w:color="auto"/>
            </w:tcBorders>
            <w:vAlign w:val="center"/>
          </w:tcPr>
          <w:p w:rsidR="0046263B" w:rsidRPr="005E1103" w:rsidRDefault="0046263B" w:rsidP="0046263B">
            <w:pPr>
              <w:spacing w:after="0" w:line="240" w:lineRule="auto"/>
              <w:jc w:val="right"/>
              <w:rPr>
                <w:rFonts w:eastAsia="Times New Roman" w:cstheme="minorHAnsi"/>
                <w:sz w:val="28"/>
                <w:szCs w:val="28"/>
                <w:lang w:eastAsia="es-CR"/>
              </w:rPr>
            </w:pPr>
            <w:r w:rsidRPr="005E1103">
              <w:rPr>
                <w:rFonts w:eastAsia="Times New Roman" w:cstheme="minorHAnsi"/>
                <w:sz w:val="28"/>
                <w:szCs w:val="28"/>
                <w:lang w:eastAsia="es-CR"/>
              </w:rPr>
              <w:t>31</w:t>
            </w:r>
          </w:p>
        </w:tc>
        <w:tc>
          <w:tcPr>
            <w:tcW w:w="828" w:type="dxa"/>
            <w:tcBorders>
              <w:top w:val="nil"/>
              <w:left w:val="nil"/>
              <w:bottom w:val="single" w:sz="4" w:space="0" w:color="auto"/>
              <w:right w:val="single" w:sz="4" w:space="0" w:color="auto"/>
            </w:tcBorders>
          </w:tcPr>
          <w:p w:rsidR="0046263B" w:rsidRPr="005E1103" w:rsidRDefault="0046263B" w:rsidP="0046263B">
            <w:pPr>
              <w:spacing w:after="0" w:line="240" w:lineRule="auto"/>
              <w:jc w:val="right"/>
              <w:rPr>
                <w:rFonts w:eastAsia="Times New Roman" w:cstheme="minorHAnsi"/>
                <w:sz w:val="28"/>
                <w:szCs w:val="28"/>
                <w:lang w:eastAsia="es-CR"/>
              </w:rPr>
            </w:pPr>
            <w:r w:rsidRPr="005E1103">
              <w:rPr>
                <w:rFonts w:eastAsia="Times New Roman" w:cstheme="minorHAnsi"/>
                <w:sz w:val="28"/>
                <w:szCs w:val="28"/>
                <w:lang w:eastAsia="es-CR"/>
              </w:rPr>
              <w:t>2.40</w:t>
            </w:r>
          </w:p>
        </w:tc>
      </w:tr>
      <w:tr w:rsidR="0046263B" w:rsidRPr="005E1103" w:rsidTr="0046263B">
        <w:trPr>
          <w:trHeight w:val="312"/>
        </w:trPr>
        <w:tc>
          <w:tcPr>
            <w:tcW w:w="2551" w:type="dxa"/>
            <w:tcBorders>
              <w:top w:val="nil"/>
              <w:left w:val="single" w:sz="4" w:space="0" w:color="auto"/>
              <w:bottom w:val="single" w:sz="4" w:space="0" w:color="auto"/>
              <w:right w:val="single" w:sz="4" w:space="0" w:color="auto"/>
            </w:tcBorders>
            <w:shd w:val="clear" w:color="auto" w:fill="auto"/>
            <w:hideMark/>
          </w:tcPr>
          <w:p w:rsidR="0046263B" w:rsidRPr="005E1103" w:rsidRDefault="0046263B" w:rsidP="0046263B">
            <w:pPr>
              <w:spacing w:after="0" w:line="240" w:lineRule="auto"/>
              <w:rPr>
                <w:rFonts w:eastAsia="Arial Unicode MS" w:cstheme="minorHAnsi"/>
                <w:color w:val="000000"/>
                <w:sz w:val="28"/>
                <w:szCs w:val="28"/>
                <w:lang w:eastAsia="es-CR"/>
              </w:rPr>
            </w:pPr>
            <w:r w:rsidRPr="005E1103">
              <w:rPr>
                <w:rFonts w:eastAsia="Arial Unicode MS" w:cstheme="minorHAnsi"/>
                <w:color w:val="000000"/>
                <w:sz w:val="28"/>
                <w:szCs w:val="28"/>
                <w:lang w:eastAsia="es-CR"/>
              </w:rPr>
              <w:t>AUDITIVA</w:t>
            </w:r>
          </w:p>
        </w:tc>
        <w:tc>
          <w:tcPr>
            <w:tcW w:w="1134" w:type="dxa"/>
            <w:tcBorders>
              <w:top w:val="nil"/>
              <w:left w:val="nil"/>
              <w:bottom w:val="single" w:sz="4" w:space="0" w:color="auto"/>
              <w:right w:val="single" w:sz="4" w:space="0" w:color="auto"/>
            </w:tcBorders>
            <w:shd w:val="clear" w:color="auto" w:fill="auto"/>
            <w:vAlign w:val="center"/>
            <w:hideMark/>
          </w:tcPr>
          <w:p w:rsidR="0046263B" w:rsidRPr="005E1103" w:rsidRDefault="0046263B" w:rsidP="0046263B">
            <w:pPr>
              <w:spacing w:after="0" w:line="240" w:lineRule="auto"/>
              <w:jc w:val="right"/>
              <w:rPr>
                <w:rFonts w:eastAsia="Times New Roman" w:cstheme="minorHAnsi"/>
                <w:sz w:val="28"/>
                <w:szCs w:val="28"/>
                <w:lang w:eastAsia="es-CR"/>
              </w:rPr>
            </w:pPr>
            <w:r w:rsidRPr="005E1103">
              <w:rPr>
                <w:rFonts w:eastAsia="Times New Roman" w:cstheme="minorHAnsi"/>
                <w:sz w:val="28"/>
                <w:szCs w:val="28"/>
                <w:lang w:eastAsia="es-CR"/>
              </w:rPr>
              <w:t>14</w:t>
            </w:r>
          </w:p>
        </w:tc>
        <w:tc>
          <w:tcPr>
            <w:tcW w:w="851" w:type="dxa"/>
            <w:tcBorders>
              <w:top w:val="nil"/>
              <w:left w:val="nil"/>
              <w:bottom w:val="single" w:sz="4" w:space="0" w:color="auto"/>
              <w:right w:val="single" w:sz="4" w:space="0" w:color="auto"/>
            </w:tcBorders>
            <w:shd w:val="clear" w:color="auto" w:fill="auto"/>
            <w:noWrap/>
            <w:vAlign w:val="center"/>
            <w:hideMark/>
          </w:tcPr>
          <w:p w:rsidR="0046263B" w:rsidRPr="005E1103" w:rsidRDefault="0046263B" w:rsidP="0046263B">
            <w:pPr>
              <w:spacing w:after="0" w:line="240" w:lineRule="auto"/>
              <w:jc w:val="right"/>
              <w:rPr>
                <w:rFonts w:eastAsia="Times New Roman" w:cstheme="minorHAnsi"/>
                <w:sz w:val="28"/>
                <w:szCs w:val="28"/>
                <w:lang w:eastAsia="es-CR"/>
              </w:rPr>
            </w:pPr>
            <w:r w:rsidRPr="005E1103">
              <w:rPr>
                <w:rFonts w:eastAsia="Times New Roman" w:cstheme="minorHAnsi"/>
                <w:sz w:val="28"/>
                <w:szCs w:val="28"/>
                <w:lang w:eastAsia="es-CR"/>
              </w:rPr>
              <w:t>1.40</w:t>
            </w:r>
          </w:p>
        </w:tc>
        <w:tc>
          <w:tcPr>
            <w:tcW w:w="1134" w:type="dxa"/>
            <w:tcBorders>
              <w:top w:val="nil"/>
              <w:left w:val="nil"/>
              <w:bottom w:val="single" w:sz="4" w:space="0" w:color="auto"/>
              <w:right w:val="single" w:sz="4" w:space="0" w:color="auto"/>
            </w:tcBorders>
            <w:shd w:val="clear" w:color="auto" w:fill="auto"/>
            <w:noWrap/>
            <w:vAlign w:val="center"/>
            <w:hideMark/>
          </w:tcPr>
          <w:p w:rsidR="0046263B" w:rsidRPr="005E1103" w:rsidRDefault="0046263B" w:rsidP="0046263B">
            <w:pPr>
              <w:spacing w:after="0" w:line="240" w:lineRule="auto"/>
              <w:jc w:val="right"/>
              <w:rPr>
                <w:rFonts w:eastAsia="Times New Roman" w:cstheme="minorHAnsi"/>
                <w:sz w:val="28"/>
                <w:szCs w:val="28"/>
                <w:lang w:eastAsia="es-CR"/>
              </w:rPr>
            </w:pPr>
            <w:r w:rsidRPr="005E1103">
              <w:rPr>
                <w:rFonts w:eastAsia="Times New Roman" w:cstheme="minorHAnsi"/>
                <w:sz w:val="28"/>
                <w:szCs w:val="28"/>
                <w:lang w:eastAsia="es-CR"/>
              </w:rPr>
              <w:t>26</w:t>
            </w:r>
          </w:p>
        </w:tc>
        <w:tc>
          <w:tcPr>
            <w:tcW w:w="850" w:type="dxa"/>
            <w:tcBorders>
              <w:top w:val="nil"/>
              <w:left w:val="nil"/>
              <w:bottom w:val="single" w:sz="4" w:space="0" w:color="auto"/>
              <w:right w:val="single" w:sz="4" w:space="0" w:color="auto"/>
            </w:tcBorders>
          </w:tcPr>
          <w:p w:rsidR="0046263B" w:rsidRPr="005E1103" w:rsidRDefault="0046263B" w:rsidP="0046263B">
            <w:pPr>
              <w:spacing w:after="0" w:line="240" w:lineRule="auto"/>
              <w:jc w:val="right"/>
              <w:rPr>
                <w:rFonts w:eastAsia="Times New Roman" w:cstheme="minorHAnsi"/>
                <w:sz w:val="28"/>
                <w:szCs w:val="28"/>
                <w:lang w:eastAsia="es-CR"/>
              </w:rPr>
            </w:pPr>
            <w:r w:rsidRPr="005E1103">
              <w:rPr>
                <w:rFonts w:eastAsia="Times New Roman" w:cstheme="minorHAnsi"/>
                <w:sz w:val="28"/>
                <w:szCs w:val="28"/>
                <w:lang w:eastAsia="es-CR"/>
              </w:rPr>
              <w:t>2.40</w:t>
            </w:r>
          </w:p>
        </w:tc>
        <w:tc>
          <w:tcPr>
            <w:tcW w:w="1134" w:type="dxa"/>
            <w:tcBorders>
              <w:top w:val="nil"/>
              <w:left w:val="nil"/>
              <w:bottom w:val="single" w:sz="4" w:space="0" w:color="auto"/>
              <w:right w:val="single" w:sz="4" w:space="0" w:color="auto"/>
            </w:tcBorders>
            <w:vAlign w:val="center"/>
          </w:tcPr>
          <w:p w:rsidR="0046263B" w:rsidRPr="005E1103" w:rsidRDefault="0046263B" w:rsidP="0046263B">
            <w:pPr>
              <w:spacing w:after="0" w:line="240" w:lineRule="auto"/>
              <w:jc w:val="right"/>
              <w:rPr>
                <w:rFonts w:eastAsia="Times New Roman" w:cstheme="minorHAnsi"/>
                <w:sz w:val="28"/>
                <w:szCs w:val="28"/>
                <w:lang w:eastAsia="es-CR"/>
              </w:rPr>
            </w:pPr>
            <w:r w:rsidRPr="005E1103">
              <w:rPr>
                <w:rFonts w:eastAsia="Times New Roman" w:cstheme="minorHAnsi"/>
                <w:sz w:val="28"/>
                <w:szCs w:val="28"/>
                <w:lang w:eastAsia="es-CR"/>
              </w:rPr>
              <w:t>16</w:t>
            </w:r>
          </w:p>
        </w:tc>
        <w:tc>
          <w:tcPr>
            <w:tcW w:w="828" w:type="dxa"/>
            <w:tcBorders>
              <w:top w:val="nil"/>
              <w:left w:val="nil"/>
              <w:bottom w:val="single" w:sz="4" w:space="0" w:color="auto"/>
              <w:right w:val="single" w:sz="4" w:space="0" w:color="auto"/>
            </w:tcBorders>
          </w:tcPr>
          <w:p w:rsidR="0046263B" w:rsidRPr="005E1103" w:rsidRDefault="0046263B" w:rsidP="0046263B">
            <w:pPr>
              <w:spacing w:after="0" w:line="240" w:lineRule="auto"/>
              <w:jc w:val="right"/>
              <w:rPr>
                <w:rFonts w:eastAsia="Times New Roman" w:cstheme="minorHAnsi"/>
                <w:sz w:val="28"/>
                <w:szCs w:val="28"/>
                <w:lang w:eastAsia="es-CR"/>
              </w:rPr>
            </w:pPr>
            <w:r w:rsidRPr="005E1103">
              <w:rPr>
                <w:rFonts w:eastAsia="Times New Roman" w:cstheme="minorHAnsi"/>
                <w:sz w:val="28"/>
                <w:szCs w:val="28"/>
                <w:lang w:eastAsia="es-CR"/>
              </w:rPr>
              <w:t>1.20</w:t>
            </w:r>
          </w:p>
        </w:tc>
      </w:tr>
      <w:tr w:rsidR="0046263B" w:rsidRPr="005E1103" w:rsidTr="0046263B">
        <w:trPr>
          <w:trHeight w:val="936"/>
        </w:trPr>
        <w:tc>
          <w:tcPr>
            <w:tcW w:w="2551" w:type="dxa"/>
            <w:tcBorders>
              <w:top w:val="nil"/>
              <w:left w:val="single" w:sz="4" w:space="0" w:color="auto"/>
              <w:bottom w:val="single" w:sz="4" w:space="0" w:color="auto"/>
              <w:right w:val="single" w:sz="4" w:space="0" w:color="auto"/>
            </w:tcBorders>
            <w:shd w:val="clear" w:color="auto" w:fill="auto"/>
            <w:hideMark/>
          </w:tcPr>
          <w:p w:rsidR="0046263B" w:rsidRPr="005E1103" w:rsidRDefault="0046263B" w:rsidP="0046263B">
            <w:pPr>
              <w:spacing w:after="0" w:line="240" w:lineRule="auto"/>
              <w:rPr>
                <w:rFonts w:eastAsia="Arial Unicode MS" w:cstheme="minorHAnsi"/>
                <w:color w:val="000000"/>
                <w:sz w:val="28"/>
                <w:szCs w:val="28"/>
                <w:lang w:eastAsia="es-CR"/>
              </w:rPr>
            </w:pPr>
            <w:r w:rsidRPr="005E1103">
              <w:rPr>
                <w:rFonts w:eastAsia="Arial Unicode MS" w:cstheme="minorHAnsi"/>
                <w:color w:val="000000"/>
                <w:sz w:val="28"/>
                <w:szCs w:val="28"/>
                <w:lang w:eastAsia="es-CR"/>
              </w:rPr>
              <w:t>EMOCIONAL/ PSICOLÓGICA/ PSIQUIÁTRICA</w:t>
            </w:r>
          </w:p>
        </w:tc>
        <w:tc>
          <w:tcPr>
            <w:tcW w:w="1134" w:type="dxa"/>
            <w:tcBorders>
              <w:top w:val="nil"/>
              <w:left w:val="nil"/>
              <w:bottom w:val="single" w:sz="4" w:space="0" w:color="auto"/>
              <w:right w:val="single" w:sz="4" w:space="0" w:color="auto"/>
            </w:tcBorders>
            <w:shd w:val="clear" w:color="auto" w:fill="auto"/>
            <w:vAlign w:val="center"/>
            <w:hideMark/>
          </w:tcPr>
          <w:p w:rsidR="0046263B" w:rsidRPr="005E1103" w:rsidRDefault="0046263B" w:rsidP="0046263B">
            <w:pPr>
              <w:spacing w:after="0" w:line="240" w:lineRule="auto"/>
              <w:jc w:val="right"/>
              <w:rPr>
                <w:rFonts w:eastAsia="Times New Roman" w:cstheme="minorHAnsi"/>
                <w:sz w:val="28"/>
                <w:szCs w:val="28"/>
                <w:lang w:eastAsia="es-CR"/>
              </w:rPr>
            </w:pPr>
            <w:r w:rsidRPr="005E1103">
              <w:rPr>
                <w:rFonts w:eastAsia="Times New Roman" w:cstheme="minorHAnsi"/>
                <w:sz w:val="28"/>
                <w:szCs w:val="28"/>
                <w:lang w:eastAsia="es-CR"/>
              </w:rPr>
              <w:t>53</w:t>
            </w:r>
          </w:p>
        </w:tc>
        <w:tc>
          <w:tcPr>
            <w:tcW w:w="851" w:type="dxa"/>
            <w:tcBorders>
              <w:top w:val="nil"/>
              <w:left w:val="nil"/>
              <w:bottom w:val="single" w:sz="4" w:space="0" w:color="auto"/>
              <w:right w:val="single" w:sz="4" w:space="0" w:color="auto"/>
            </w:tcBorders>
            <w:shd w:val="clear" w:color="auto" w:fill="auto"/>
            <w:noWrap/>
            <w:vAlign w:val="center"/>
            <w:hideMark/>
          </w:tcPr>
          <w:p w:rsidR="0046263B" w:rsidRPr="005E1103" w:rsidRDefault="0046263B" w:rsidP="0046263B">
            <w:pPr>
              <w:spacing w:after="0" w:line="240" w:lineRule="auto"/>
              <w:jc w:val="right"/>
              <w:rPr>
                <w:rFonts w:eastAsia="Times New Roman" w:cstheme="minorHAnsi"/>
                <w:sz w:val="28"/>
                <w:szCs w:val="28"/>
                <w:lang w:eastAsia="es-CR"/>
              </w:rPr>
            </w:pPr>
            <w:r w:rsidRPr="005E1103">
              <w:rPr>
                <w:rFonts w:eastAsia="Times New Roman" w:cstheme="minorHAnsi"/>
                <w:sz w:val="28"/>
                <w:szCs w:val="28"/>
                <w:lang w:eastAsia="es-CR"/>
              </w:rPr>
              <w:t>5.40</w:t>
            </w:r>
          </w:p>
        </w:tc>
        <w:tc>
          <w:tcPr>
            <w:tcW w:w="1134" w:type="dxa"/>
            <w:tcBorders>
              <w:top w:val="nil"/>
              <w:left w:val="nil"/>
              <w:bottom w:val="single" w:sz="4" w:space="0" w:color="auto"/>
              <w:right w:val="single" w:sz="4" w:space="0" w:color="auto"/>
            </w:tcBorders>
            <w:shd w:val="clear" w:color="auto" w:fill="auto"/>
            <w:noWrap/>
            <w:vAlign w:val="center"/>
            <w:hideMark/>
          </w:tcPr>
          <w:p w:rsidR="0046263B" w:rsidRPr="005E1103" w:rsidRDefault="0046263B" w:rsidP="0046263B">
            <w:pPr>
              <w:spacing w:after="0" w:line="240" w:lineRule="auto"/>
              <w:jc w:val="right"/>
              <w:rPr>
                <w:rFonts w:eastAsia="Times New Roman" w:cstheme="minorHAnsi"/>
                <w:sz w:val="28"/>
                <w:szCs w:val="28"/>
                <w:lang w:eastAsia="es-CR"/>
              </w:rPr>
            </w:pPr>
            <w:r w:rsidRPr="005E1103">
              <w:rPr>
                <w:rFonts w:eastAsia="Times New Roman" w:cstheme="minorHAnsi"/>
                <w:sz w:val="28"/>
                <w:szCs w:val="28"/>
                <w:lang w:eastAsia="es-CR"/>
              </w:rPr>
              <w:t>54</w:t>
            </w:r>
          </w:p>
        </w:tc>
        <w:tc>
          <w:tcPr>
            <w:tcW w:w="850" w:type="dxa"/>
            <w:tcBorders>
              <w:top w:val="nil"/>
              <w:left w:val="nil"/>
              <w:bottom w:val="single" w:sz="4" w:space="0" w:color="auto"/>
              <w:right w:val="single" w:sz="4" w:space="0" w:color="auto"/>
            </w:tcBorders>
          </w:tcPr>
          <w:p w:rsidR="0046263B" w:rsidRPr="005E1103" w:rsidRDefault="0046263B" w:rsidP="0046263B">
            <w:pPr>
              <w:spacing w:after="0" w:line="240" w:lineRule="auto"/>
              <w:jc w:val="right"/>
              <w:rPr>
                <w:rFonts w:eastAsia="Times New Roman" w:cstheme="minorHAnsi"/>
                <w:sz w:val="28"/>
                <w:szCs w:val="28"/>
                <w:lang w:eastAsia="es-CR"/>
              </w:rPr>
            </w:pPr>
            <w:r w:rsidRPr="005E1103">
              <w:rPr>
                <w:rFonts w:eastAsia="Times New Roman" w:cstheme="minorHAnsi"/>
                <w:sz w:val="28"/>
                <w:szCs w:val="28"/>
                <w:lang w:eastAsia="es-CR"/>
              </w:rPr>
              <w:t>4.90</w:t>
            </w:r>
          </w:p>
        </w:tc>
        <w:tc>
          <w:tcPr>
            <w:tcW w:w="1134" w:type="dxa"/>
            <w:tcBorders>
              <w:top w:val="nil"/>
              <w:left w:val="nil"/>
              <w:bottom w:val="single" w:sz="4" w:space="0" w:color="auto"/>
              <w:right w:val="single" w:sz="4" w:space="0" w:color="auto"/>
            </w:tcBorders>
            <w:vAlign w:val="center"/>
          </w:tcPr>
          <w:p w:rsidR="0046263B" w:rsidRPr="005E1103" w:rsidRDefault="0046263B" w:rsidP="0046263B">
            <w:pPr>
              <w:spacing w:after="0" w:line="240" w:lineRule="auto"/>
              <w:jc w:val="right"/>
              <w:rPr>
                <w:rFonts w:eastAsia="Times New Roman" w:cstheme="minorHAnsi"/>
                <w:sz w:val="28"/>
                <w:szCs w:val="28"/>
                <w:lang w:eastAsia="es-CR"/>
              </w:rPr>
            </w:pPr>
            <w:r w:rsidRPr="005E1103">
              <w:rPr>
                <w:rFonts w:eastAsia="Times New Roman" w:cstheme="minorHAnsi"/>
                <w:sz w:val="28"/>
                <w:szCs w:val="28"/>
                <w:lang w:eastAsia="es-CR"/>
              </w:rPr>
              <w:t>66</w:t>
            </w:r>
          </w:p>
        </w:tc>
        <w:tc>
          <w:tcPr>
            <w:tcW w:w="828" w:type="dxa"/>
            <w:tcBorders>
              <w:top w:val="nil"/>
              <w:left w:val="nil"/>
              <w:bottom w:val="single" w:sz="4" w:space="0" w:color="auto"/>
              <w:right w:val="single" w:sz="4" w:space="0" w:color="auto"/>
            </w:tcBorders>
          </w:tcPr>
          <w:p w:rsidR="0046263B" w:rsidRPr="005E1103" w:rsidRDefault="0046263B" w:rsidP="0046263B">
            <w:pPr>
              <w:spacing w:after="0" w:line="240" w:lineRule="auto"/>
              <w:jc w:val="right"/>
              <w:rPr>
                <w:rFonts w:eastAsia="Times New Roman" w:cstheme="minorHAnsi"/>
                <w:sz w:val="28"/>
                <w:szCs w:val="28"/>
                <w:lang w:eastAsia="es-CR"/>
              </w:rPr>
            </w:pPr>
            <w:r w:rsidRPr="005E1103">
              <w:rPr>
                <w:rFonts w:eastAsia="Times New Roman" w:cstheme="minorHAnsi"/>
                <w:sz w:val="28"/>
                <w:szCs w:val="28"/>
                <w:lang w:eastAsia="es-CR"/>
              </w:rPr>
              <w:t>5.05</w:t>
            </w:r>
          </w:p>
        </w:tc>
      </w:tr>
      <w:tr w:rsidR="0046263B" w:rsidRPr="005E1103" w:rsidTr="0046263B">
        <w:trPr>
          <w:trHeight w:val="312"/>
        </w:trPr>
        <w:tc>
          <w:tcPr>
            <w:tcW w:w="2551" w:type="dxa"/>
            <w:tcBorders>
              <w:top w:val="nil"/>
              <w:left w:val="single" w:sz="4" w:space="0" w:color="auto"/>
              <w:bottom w:val="single" w:sz="4" w:space="0" w:color="auto"/>
              <w:right w:val="single" w:sz="4" w:space="0" w:color="auto"/>
            </w:tcBorders>
            <w:shd w:val="clear" w:color="auto" w:fill="auto"/>
            <w:hideMark/>
          </w:tcPr>
          <w:p w:rsidR="0046263B" w:rsidRPr="005E1103" w:rsidRDefault="0046263B" w:rsidP="0046263B">
            <w:pPr>
              <w:spacing w:after="0" w:line="240" w:lineRule="auto"/>
              <w:rPr>
                <w:rFonts w:eastAsia="Arial Unicode MS" w:cstheme="minorHAnsi"/>
                <w:color w:val="000000"/>
                <w:sz w:val="28"/>
                <w:szCs w:val="28"/>
                <w:lang w:eastAsia="es-CR"/>
              </w:rPr>
            </w:pPr>
            <w:r w:rsidRPr="005E1103">
              <w:rPr>
                <w:rFonts w:eastAsia="Arial Unicode MS" w:cstheme="minorHAnsi"/>
                <w:color w:val="000000"/>
                <w:sz w:val="28"/>
                <w:szCs w:val="28"/>
                <w:lang w:eastAsia="es-CR"/>
              </w:rPr>
              <w:t>SISTÉMICA</w:t>
            </w:r>
          </w:p>
        </w:tc>
        <w:tc>
          <w:tcPr>
            <w:tcW w:w="1134" w:type="dxa"/>
            <w:tcBorders>
              <w:top w:val="nil"/>
              <w:left w:val="nil"/>
              <w:bottom w:val="single" w:sz="4" w:space="0" w:color="auto"/>
              <w:right w:val="single" w:sz="4" w:space="0" w:color="auto"/>
            </w:tcBorders>
            <w:shd w:val="clear" w:color="auto" w:fill="auto"/>
            <w:vAlign w:val="center"/>
            <w:hideMark/>
          </w:tcPr>
          <w:p w:rsidR="0046263B" w:rsidRPr="005E1103" w:rsidRDefault="0046263B" w:rsidP="0046263B">
            <w:pPr>
              <w:spacing w:after="0" w:line="240" w:lineRule="auto"/>
              <w:jc w:val="right"/>
              <w:rPr>
                <w:rFonts w:eastAsia="Times New Roman" w:cstheme="minorHAnsi"/>
                <w:sz w:val="28"/>
                <w:szCs w:val="28"/>
                <w:lang w:eastAsia="es-CR"/>
              </w:rPr>
            </w:pPr>
            <w:r w:rsidRPr="005E1103">
              <w:rPr>
                <w:rFonts w:eastAsia="Times New Roman" w:cstheme="minorHAnsi"/>
                <w:sz w:val="28"/>
                <w:szCs w:val="28"/>
                <w:lang w:eastAsia="es-CR"/>
              </w:rPr>
              <w:t>15</w:t>
            </w:r>
          </w:p>
        </w:tc>
        <w:tc>
          <w:tcPr>
            <w:tcW w:w="851" w:type="dxa"/>
            <w:tcBorders>
              <w:top w:val="nil"/>
              <w:left w:val="nil"/>
              <w:bottom w:val="single" w:sz="4" w:space="0" w:color="auto"/>
              <w:right w:val="single" w:sz="4" w:space="0" w:color="auto"/>
            </w:tcBorders>
            <w:shd w:val="clear" w:color="auto" w:fill="auto"/>
            <w:noWrap/>
            <w:vAlign w:val="center"/>
            <w:hideMark/>
          </w:tcPr>
          <w:p w:rsidR="0046263B" w:rsidRPr="005E1103" w:rsidRDefault="0046263B" w:rsidP="0046263B">
            <w:pPr>
              <w:spacing w:after="0" w:line="240" w:lineRule="auto"/>
              <w:jc w:val="right"/>
              <w:rPr>
                <w:rFonts w:eastAsia="Times New Roman" w:cstheme="minorHAnsi"/>
                <w:sz w:val="28"/>
                <w:szCs w:val="28"/>
                <w:lang w:eastAsia="es-CR"/>
              </w:rPr>
            </w:pPr>
            <w:r w:rsidRPr="005E1103">
              <w:rPr>
                <w:rFonts w:eastAsia="Times New Roman" w:cstheme="minorHAnsi"/>
                <w:sz w:val="28"/>
                <w:szCs w:val="28"/>
                <w:lang w:eastAsia="es-CR"/>
              </w:rPr>
              <w:t>1.50</w:t>
            </w:r>
          </w:p>
        </w:tc>
        <w:tc>
          <w:tcPr>
            <w:tcW w:w="1134" w:type="dxa"/>
            <w:tcBorders>
              <w:top w:val="nil"/>
              <w:left w:val="nil"/>
              <w:bottom w:val="single" w:sz="4" w:space="0" w:color="auto"/>
              <w:right w:val="single" w:sz="4" w:space="0" w:color="auto"/>
            </w:tcBorders>
            <w:shd w:val="clear" w:color="auto" w:fill="auto"/>
            <w:noWrap/>
            <w:vAlign w:val="center"/>
            <w:hideMark/>
          </w:tcPr>
          <w:p w:rsidR="0046263B" w:rsidRPr="005E1103" w:rsidRDefault="0046263B" w:rsidP="0046263B">
            <w:pPr>
              <w:spacing w:after="0" w:line="240" w:lineRule="auto"/>
              <w:jc w:val="right"/>
              <w:rPr>
                <w:rFonts w:eastAsia="Times New Roman" w:cstheme="minorHAnsi"/>
                <w:sz w:val="28"/>
                <w:szCs w:val="28"/>
                <w:lang w:eastAsia="es-CR"/>
              </w:rPr>
            </w:pPr>
            <w:r w:rsidRPr="005E1103">
              <w:rPr>
                <w:rFonts w:eastAsia="Times New Roman" w:cstheme="minorHAnsi"/>
                <w:sz w:val="28"/>
                <w:szCs w:val="28"/>
                <w:lang w:eastAsia="es-CR"/>
              </w:rPr>
              <w:t>22</w:t>
            </w:r>
          </w:p>
        </w:tc>
        <w:tc>
          <w:tcPr>
            <w:tcW w:w="850" w:type="dxa"/>
            <w:tcBorders>
              <w:top w:val="nil"/>
              <w:left w:val="nil"/>
              <w:bottom w:val="single" w:sz="4" w:space="0" w:color="auto"/>
              <w:right w:val="single" w:sz="4" w:space="0" w:color="auto"/>
            </w:tcBorders>
          </w:tcPr>
          <w:p w:rsidR="0046263B" w:rsidRPr="005E1103" w:rsidRDefault="0046263B" w:rsidP="0046263B">
            <w:pPr>
              <w:spacing w:after="0" w:line="240" w:lineRule="auto"/>
              <w:jc w:val="right"/>
              <w:rPr>
                <w:rFonts w:eastAsia="Times New Roman" w:cstheme="minorHAnsi"/>
                <w:sz w:val="28"/>
                <w:szCs w:val="28"/>
                <w:lang w:eastAsia="es-CR"/>
              </w:rPr>
            </w:pPr>
            <w:r w:rsidRPr="005E1103">
              <w:rPr>
                <w:rFonts w:eastAsia="Times New Roman" w:cstheme="minorHAnsi"/>
                <w:sz w:val="28"/>
                <w:szCs w:val="28"/>
                <w:lang w:eastAsia="es-CR"/>
              </w:rPr>
              <w:t>2.05</w:t>
            </w:r>
          </w:p>
        </w:tc>
        <w:tc>
          <w:tcPr>
            <w:tcW w:w="1134" w:type="dxa"/>
            <w:tcBorders>
              <w:top w:val="nil"/>
              <w:left w:val="nil"/>
              <w:bottom w:val="single" w:sz="4" w:space="0" w:color="auto"/>
              <w:right w:val="single" w:sz="4" w:space="0" w:color="auto"/>
            </w:tcBorders>
            <w:vAlign w:val="center"/>
          </w:tcPr>
          <w:p w:rsidR="0046263B" w:rsidRPr="005E1103" w:rsidRDefault="0046263B" w:rsidP="0046263B">
            <w:pPr>
              <w:spacing w:after="0" w:line="240" w:lineRule="auto"/>
              <w:jc w:val="right"/>
              <w:rPr>
                <w:rFonts w:eastAsia="Times New Roman" w:cstheme="minorHAnsi"/>
                <w:sz w:val="28"/>
                <w:szCs w:val="28"/>
                <w:lang w:eastAsia="es-CR"/>
              </w:rPr>
            </w:pPr>
            <w:r w:rsidRPr="005E1103">
              <w:rPr>
                <w:rFonts w:eastAsia="Times New Roman" w:cstheme="minorHAnsi"/>
                <w:sz w:val="28"/>
                <w:szCs w:val="28"/>
                <w:lang w:eastAsia="es-CR"/>
              </w:rPr>
              <w:t>29</w:t>
            </w:r>
          </w:p>
        </w:tc>
        <w:tc>
          <w:tcPr>
            <w:tcW w:w="828" w:type="dxa"/>
            <w:tcBorders>
              <w:top w:val="nil"/>
              <w:left w:val="nil"/>
              <w:bottom w:val="single" w:sz="4" w:space="0" w:color="auto"/>
              <w:right w:val="single" w:sz="4" w:space="0" w:color="auto"/>
            </w:tcBorders>
          </w:tcPr>
          <w:p w:rsidR="0046263B" w:rsidRPr="005E1103" w:rsidRDefault="0046263B" w:rsidP="0046263B">
            <w:pPr>
              <w:spacing w:after="0" w:line="240" w:lineRule="auto"/>
              <w:jc w:val="right"/>
              <w:rPr>
                <w:rFonts w:eastAsia="Times New Roman" w:cstheme="minorHAnsi"/>
                <w:sz w:val="28"/>
                <w:szCs w:val="28"/>
                <w:lang w:eastAsia="es-CR"/>
              </w:rPr>
            </w:pPr>
            <w:r w:rsidRPr="005E1103">
              <w:rPr>
                <w:rFonts w:eastAsia="Times New Roman" w:cstheme="minorHAnsi"/>
                <w:sz w:val="28"/>
                <w:szCs w:val="28"/>
                <w:lang w:eastAsia="es-CR"/>
              </w:rPr>
              <w:t>2.25</w:t>
            </w:r>
          </w:p>
        </w:tc>
      </w:tr>
      <w:tr w:rsidR="0046263B" w:rsidRPr="005E1103" w:rsidTr="0046263B">
        <w:trPr>
          <w:trHeight w:val="312"/>
        </w:trPr>
        <w:tc>
          <w:tcPr>
            <w:tcW w:w="2551" w:type="dxa"/>
            <w:tcBorders>
              <w:top w:val="nil"/>
              <w:left w:val="single" w:sz="4" w:space="0" w:color="auto"/>
              <w:bottom w:val="single" w:sz="4" w:space="0" w:color="auto"/>
              <w:right w:val="single" w:sz="4" w:space="0" w:color="auto"/>
            </w:tcBorders>
            <w:shd w:val="clear" w:color="auto" w:fill="auto"/>
            <w:hideMark/>
          </w:tcPr>
          <w:p w:rsidR="0046263B" w:rsidRPr="005E1103" w:rsidRDefault="0046263B" w:rsidP="0046263B">
            <w:pPr>
              <w:spacing w:after="0" w:line="240" w:lineRule="auto"/>
              <w:rPr>
                <w:rFonts w:eastAsia="Arial Unicode MS" w:cstheme="minorHAnsi"/>
                <w:color w:val="000000"/>
                <w:sz w:val="28"/>
                <w:szCs w:val="28"/>
                <w:lang w:eastAsia="es-CR"/>
              </w:rPr>
            </w:pPr>
            <w:r w:rsidRPr="005E1103">
              <w:rPr>
                <w:rFonts w:eastAsia="Arial Unicode MS" w:cstheme="minorHAnsi"/>
                <w:color w:val="000000"/>
                <w:sz w:val="28"/>
                <w:szCs w:val="28"/>
                <w:lang w:eastAsia="es-CR"/>
              </w:rPr>
              <w:t>MÚLTIPLE</w:t>
            </w:r>
          </w:p>
        </w:tc>
        <w:tc>
          <w:tcPr>
            <w:tcW w:w="1134" w:type="dxa"/>
            <w:tcBorders>
              <w:top w:val="nil"/>
              <w:left w:val="nil"/>
              <w:bottom w:val="single" w:sz="4" w:space="0" w:color="auto"/>
              <w:right w:val="single" w:sz="4" w:space="0" w:color="auto"/>
            </w:tcBorders>
            <w:shd w:val="clear" w:color="auto" w:fill="auto"/>
            <w:vAlign w:val="center"/>
            <w:hideMark/>
          </w:tcPr>
          <w:p w:rsidR="0046263B" w:rsidRPr="005E1103" w:rsidRDefault="0046263B" w:rsidP="0046263B">
            <w:pPr>
              <w:spacing w:after="0" w:line="240" w:lineRule="auto"/>
              <w:jc w:val="right"/>
              <w:rPr>
                <w:rFonts w:eastAsia="Times New Roman" w:cstheme="minorHAnsi"/>
                <w:sz w:val="28"/>
                <w:szCs w:val="28"/>
                <w:lang w:eastAsia="es-CR"/>
              </w:rPr>
            </w:pPr>
            <w:r w:rsidRPr="005E1103">
              <w:rPr>
                <w:rFonts w:eastAsia="Times New Roman" w:cstheme="minorHAnsi"/>
                <w:sz w:val="28"/>
                <w:szCs w:val="28"/>
                <w:lang w:eastAsia="es-CR"/>
              </w:rPr>
              <w:t>7</w:t>
            </w:r>
          </w:p>
        </w:tc>
        <w:tc>
          <w:tcPr>
            <w:tcW w:w="851" w:type="dxa"/>
            <w:tcBorders>
              <w:top w:val="nil"/>
              <w:left w:val="nil"/>
              <w:bottom w:val="single" w:sz="4" w:space="0" w:color="auto"/>
              <w:right w:val="single" w:sz="4" w:space="0" w:color="auto"/>
            </w:tcBorders>
            <w:shd w:val="clear" w:color="auto" w:fill="auto"/>
            <w:noWrap/>
            <w:vAlign w:val="center"/>
            <w:hideMark/>
          </w:tcPr>
          <w:p w:rsidR="0046263B" w:rsidRPr="005E1103" w:rsidRDefault="0046263B" w:rsidP="0046263B">
            <w:pPr>
              <w:spacing w:after="0" w:line="240" w:lineRule="auto"/>
              <w:jc w:val="right"/>
              <w:rPr>
                <w:rFonts w:eastAsia="Times New Roman" w:cstheme="minorHAnsi"/>
                <w:sz w:val="28"/>
                <w:szCs w:val="28"/>
                <w:lang w:eastAsia="es-CR"/>
              </w:rPr>
            </w:pPr>
            <w:r w:rsidRPr="005E1103">
              <w:rPr>
                <w:rFonts w:eastAsia="Times New Roman" w:cstheme="minorHAnsi"/>
                <w:sz w:val="28"/>
                <w:szCs w:val="28"/>
                <w:lang w:eastAsia="es-CR"/>
              </w:rPr>
              <w:t>0.75</w:t>
            </w:r>
          </w:p>
        </w:tc>
        <w:tc>
          <w:tcPr>
            <w:tcW w:w="1134" w:type="dxa"/>
            <w:tcBorders>
              <w:top w:val="nil"/>
              <w:left w:val="nil"/>
              <w:bottom w:val="single" w:sz="4" w:space="0" w:color="auto"/>
              <w:right w:val="single" w:sz="4" w:space="0" w:color="auto"/>
            </w:tcBorders>
            <w:shd w:val="clear" w:color="auto" w:fill="auto"/>
            <w:noWrap/>
            <w:vAlign w:val="center"/>
            <w:hideMark/>
          </w:tcPr>
          <w:p w:rsidR="0046263B" w:rsidRPr="005E1103" w:rsidRDefault="0046263B" w:rsidP="0046263B">
            <w:pPr>
              <w:spacing w:after="0" w:line="240" w:lineRule="auto"/>
              <w:jc w:val="right"/>
              <w:rPr>
                <w:rFonts w:eastAsia="Times New Roman" w:cstheme="minorHAnsi"/>
                <w:sz w:val="28"/>
                <w:szCs w:val="28"/>
                <w:lang w:eastAsia="es-CR"/>
              </w:rPr>
            </w:pPr>
            <w:r w:rsidRPr="005E1103">
              <w:rPr>
                <w:rFonts w:eastAsia="Times New Roman" w:cstheme="minorHAnsi"/>
                <w:sz w:val="28"/>
                <w:szCs w:val="28"/>
                <w:lang w:eastAsia="es-CR"/>
              </w:rPr>
              <w:t>4</w:t>
            </w:r>
          </w:p>
        </w:tc>
        <w:tc>
          <w:tcPr>
            <w:tcW w:w="850" w:type="dxa"/>
            <w:tcBorders>
              <w:top w:val="nil"/>
              <w:left w:val="nil"/>
              <w:bottom w:val="single" w:sz="4" w:space="0" w:color="auto"/>
              <w:right w:val="single" w:sz="4" w:space="0" w:color="auto"/>
            </w:tcBorders>
          </w:tcPr>
          <w:p w:rsidR="0046263B" w:rsidRPr="005E1103" w:rsidRDefault="0046263B" w:rsidP="0046263B">
            <w:pPr>
              <w:spacing w:after="0" w:line="240" w:lineRule="auto"/>
              <w:jc w:val="right"/>
              <w:rPr>
                <w:rFonts w:eastAsia="Times New Roman" w:cstheme="minorHAnsi"/>
                <w:sz w:val="28"/>
                <w:szCs w:val="28"/>
                <w:lang w:eastAsia="es-CR"/>
              </w:rPr>
            </w:pPr>
            <w:r w:rsidRPr="005E1103">
              <w:rPr>
                <w:rFonts w:eastAsia="Times New Roman" w:cstheme="minorHAnsi"/>
                <w:sz w:val="28"/>
                <w:szCs w:val="28"/>
                <w:lang w:eastAsia="es-CR"/>
              </w:rPr>
              <w:t>0.35</w:t>
            </w:r>
          </w:p>
        </w:tc>
        <w:tc>
          <w:tcPr>
            <w:tcW w:w="1134" w:type="dxa"/>
            <w:tcBorders>
              <w:top w:val="nil"/>
              <w:left w:val="nil"/>
              <w:bottom w:val="single" w:sz="4" w:space="0" w:color="auto"/>
              <w:right w:val="single" w:sz="4" w:space="0" w:color="auto"/>
            </w:tcBorders>
            <w:vAlign w:val="center"/>
          </w:tcPr>
          <w:p w:rsidR="0046263B" w:rsidRPr="005E1103" w:rsidRDefault="0046263B" w:rsidP="0046263B">
            <w:pPr>
              <w:spacing w:after="0" w:line="240" w:lineRule="auto"/>
              <w:jc w:val="right"/>
              <w:rPr>
                <w:rFonts w:eastAsia="Times New Roman" w:cstheme="minorHAnsi"/>
                <w:sz w:val="28"/>
                <w:szCs w:val="28"/>
                <w:lang w:eastAsia="es-CR"/>
              </w:rPr>
            </w:pPr>
            <w:r w:rsidRPr="005E1103">
              <w:rPr>
                <w:rFonts w:eastAsia="Times New Roman" w:cstheme="minorHAnsi"/>
                <w:sz w:val="28"/>
                <w:szCs w:val="28"/>
                <w:lang w:eastAsia="es-CR"/>
              </w:rPr>
              <w:t>5</w:t>
            </w:r>
          </w:p>
        </w:tc>
        <w:tc>
          <w:tcPr>
            <w:tcW w:w="828" w:type="dxa"/>
            <w:tcBorders>
              <w:top w:val="nil"/>
              <w:left w:val="nil"/>
              <w:bottom w:val="single" w:sz="4" w:space="0" w:color="auto"/>
              <w:right w:val="single" w:sz="4" w:space="0" w:color="auto"/>
            </w:tcBorders>
          </w:tcPr>
          <w:p w:rsidR="0046263B" w:rsidRPr="005E1103" w:rsidRDefault="0046263B" w:rsidP="0046263B">
            <w:pPr>
              <w:spacing w:after="0" w:line="240" w:lineRule="auto"/>
              <w:jc w:val="right"/>
              <w:rPr>
                <w:rFonts w:eastAsia="Times New Roman" w:cstheme="minorHAnsi"/>
                <w:sz w:val="28"/>
                <w:szCs w:val="28"/>
                <w:lang w:eastAsia="es-CR"/>
              </w:rPr>
            </w:pPr>
            <w:r w:rsidRPr="005E1103">
              <w:rPr>
                <w:rFonts w:eastAsia="Times New Roman" w:cstheme="minorHAnsi"/>
                <w:sz w:val="28"/>
                <w:szCs w:val="28"/>
                <w:lang w:eastAsia="es-CR"/>
              </w:rPr>
              <w:t>0.40</w:t>
            </w:r>
          </w:p>
        </w:tc>
      </w:tr>
      <w:tr w:rsidR="0046263B" w:rsidRPr="005E1103" w:rsidTr="0046263B">
        <w:trPr>
          <w:trHeight w:val="312"/>
        </w:trPr>
        <w:tc>
          <w:tcPr>
            <w:tcW w:w="2551" w:type="dxa"/>
            <w:tcBorders>
              <w:top w:val="nil"/>
              <w:left w:val="single" w:sz="4" w:space="0" w:color="auto"/>
              <w:bottom w:val="single" w:sz="4" w:space="0" w:color="auto"/>
              <w:right w:val="single" w:sz="4" w:space="0" w:color="auto"/>
            </w:tcBorders>
            <w:shd w:val="clear" w:color="auto" w:fill="EAF1DD"/>
            <w:hideMark/>
          </w:tcPr>
          <w:p w:rsidR="0046263B" w:rsidRPr="005E1103" w:rsidRDefault="0046263B" w:rsidP="0046263B">
            <w:pPr>
              <w:spacing w:after="0" w:line="240" w:lineRule="auto"/>
              <w:jc w:val="right"/>
              <w:rPr>
                <w:rFonts w:eastAsia="Arial Unicode MS" w:cstheme="minorHAnsi"/>
                <w:b/>
                <w:color w:val="000000"/>
                <w:sz w:val="28"/>
                <w:szCs w:val="28"/>
                <w:lang w:eastAsia="es-CR"/>
              </w:rPr>
            </w:pPr>
            <w:r w:rsidRPr="005E1103">
              <w:rPr>
                <w:rFonts w:eastAsia="Arial Unicode MS" w:cstheme="minorHAnsi"/>
                <w:b/>
                <w:color w:val="000000"/>
                <w:sz w:val="28"/>
                <w:szCs w:val="28"/>
                <w:lang w:eastAsia="es-CR"/>
              </w:rPr>
              <w:t xml:space="preserve">Total </w:t>
            </w:r>
          </w:p>
        </w:tc>
        <w:tc>
          <w:tcPr>
            <w:tcW w:w="1134" w:type="dxa"/>
            <w:tcBorders>
              <w:top w:val="nil"/>
              <w:left w:val="nil"/>
              <w:bottom w:val="single" w:sz="4" w:space="0" w:color="auto"/>
              <w:right w:val="single" w:sz="4" w:space="0" w:color="auto"/>
            </w:tcBorders>
            <w:shd w:val="clear" w:color="auto" w:fill="EAF1DD"/>
            <w:vAlign w:val="center"/>
            <w:hideMark/>
          </w:tcPr>
          <w:p w:rsidR="0046263B" w:rsidRPr="005E1103" w:rsidRDefault="0046263B" w:rsidP="0046263B">
            <w:pPr>
              <w:spacing w:after="0" w:line="240" w:lineRule="auto"/>
              <w:jc w:val="right"/>
              <w:rPr>
                <w:rFonts w:eastAsia="Times New Roman" w:cstheme="minorHAnsi"/>
                <w:b/>
                <w:sz w:val="28"/>
                <w:szCs w:val="28"/>
                <w:lang w:eastAsia="es-CR"/>
              </w:rPr>
            </w:pPr>
            <w:r w:rsidRPr="005E1103">
              <w:rPr>
                <w:rFonts w:eastAsia="Times New Roman" w:cstheme="minorHAnsi"/>
                <w:b/>
                <w:sz w:val="28"/>
                <w:szCs w:val="28"/>
                <w:lang w:eastAsia="es-CR"/>
              </w:rPr>
              <w:t>985</w:t>
            </w:r>
          </w:p>
        </w:tc>
        <w:tc>
          <w:tcPr>
            <w:tcW w:w="851" w:type="dxa"/>
            <w:tcBorders>
              <w:top w:val="nil"/>
              <w:left w:val="nil"/>
              <w:bottom w:val="single" w:sz="4" w:space="0" w:color="auto"/>
              <w:right w:val="single" w:sz="4" w:space="0" w:color="auto"/>
            </w:tcBorders>
            <w:shd w:val="clear" w:color="auto" w:fill="EAF1DD"/>
            <w:noWrap/>
            <w:vAlign w:val="center"/>
            <w:hideMark/>
          </w:tcPr>
          <w:p w:rsidR="0046263B" w:rsidRPr="005E1103" w:rsidRDefault="0046263B" w:rsidP="0046263B">
            <w:pPr>
              <w:spacing w:after="0" w:line="240" w:lineRule="auto"/>
              <w:jc w:val="right"/>
              <w:rPr>
                <w:rFonts w:eastAsia="Times New Roman" w:cstheme="minorHAnsi"/>
                <w:b/>
                <w:bCs/>
                <w:sz w:val="28"/>
                <w:szCs w:val="28"/>
                <w:lang w:eastAsia="es-CR"/>
              </w:rPr>
            </w:pPr>
            <w:r w:rsidRPr="005E1103">
              <w:rPr>
                <w:rFonts w:eastAsia="Times New Roman" w:cstheme="minorHAnsi"/>
                <w:b/>
                <w:bCs/>
                <w:sz w:val="28"/>
                <w:szCs w:val="28"/>
                <w:lang w:eastAsia="es-CR"/>
              </w:rPr>
              <w:t>100%</w:t>
            </w:r>
          </w:p>
        </w:tc>
        <w:tc>
          <w:tcPr>
            <w:tcW w:w="1134" w:type="dxa"/>
            <w:tcBorders>
              <w:top w:val="nil"/>
              <w:left w:val="nil"/>
              <w:bottom w:val="single" w:sz="4" w:space="0" w:color="auto"/>
              <w:right w:val="single" w:sz="4" w:space="0" w:color="auto"/>
            </w:tcBorders>
            <w:shd w:val="clear" w:color="auto" w:fill="EAF1DD"/>
            <w:noWrap/>
            <w:vAlign w:val="center"/>
            <w:hideMark/>
          </w:tcPr>
          <w:p w:rsidR="0046263B" w:rsidRPr="005E1103" w:rsidRDefault="0046263B" w:rsidP="0046263B">
            <w:pPr>
              <w:spacing w:after="0" w:line="240" w:lineRule="auto"/>
              <w:jc w:val="right"/>
              <w:rPr>
                <w:rFonts w:eastAsia="Times New Roman" w:cstheme="minorHAnsi"/>
                <w:b/>
                <w:bCs/>
                <w:sz w:val="28"/>
                <w:szCs w:val="28"/>
                <w:lang w:eastAsia="es-CR"/>
              </w:rPr>
            </w:pPr>
            <w:r w:rsidRPr="005E1103">
              <w:rPr>
                <w:rFonts w:eastAsia="Times New Roman" w:cstheme="minorHAnsi"/>
                <w:b/>
                <w:bCs/>
                <w:sz w:val="28"/>
                <w:szCs w:val="28"/>
                <w:lang w:eastAsia="es-CR"/>
              </w:rPr>
              <w:t>1097</w:t>
            </w:r>
          </w:p>
        </w:tc>
        <w:tc>
          <w:tcPr>
            <w:tcW w:w="850" w:type="dxa"/>
            <w:tcBorders>
              <w:top w:val="nil"/>
              <w:left w:val="nil"/>
              <w:bottom w:val="single" w:sz="4" w:space="0" w:color="auto"/>
              <w:right w:val="single" w:sz="4" w:space="0" w:color="auto"/>
            </w:tcBorders>
            <w:shd w:val="clear" w:color="auto" w:fill="EAF1DD"/>
          </w:tcPr>
          <w:p w:rsidR="0046263B" w:rsidRPr="005E1103" w:rsidRDefault="0046263B" w:rsidP="0046263B">
            <w:pPr>
              <w:spacing w:after="0" w:line="240" w:lineRule="auto"/>
              <w:jc w:val="right"/>
              <w:rPr>
                <w:rFonts w:eastAsia="Times New Roman" w:cstheme="minorHAnsi"/>
                <w:b/>
                <w:bCs/>
                <w:sz w:val="28"/>
                <w:szCs w:val="28"/>
                <w:lang w:eastAsia="es-CR"/>
              </w:rPr>
            </w:pPr>
            <w:r w:rsidRPr="005E1103">
              <w:rPr>
                <w:rFonts w:eastAsia="Times New Roman" w:cstheme="minorHAnsi"/>
                <w:b/>
                <w:bCs/>
                <w:sz w:val="28"/>
                <w:szCs w:val="28"/>
                <w:lang w:eastAsia="es-CR"/>
              </w:rPr>
              <w:t>100%</w:t>
            </w:r>
          </w:p>
        </w:tc>
        <w:tc>
          <w:tcPr>
            <w:tcW w:w="1134" w:type="dxa"/>
            <w:tcBorders>
              <w:top w:val="nil"/>
              <w:left w:val="nil"/>
              <w:bottom w:val="single" w:sz="4" w:space="0" w:color="auto"/>
              <w:right w:val="single" w:sz="4" w:space="0" w:color="auto"/>
            </w:tcBorders>
            <w:shd w:val="clear" w:color="auto" w:fill="EAF1DD"/>
            <w:vAlign w:val="center"/>
          </w:tcPr>
          <w:p w:rsidR="0046263B" w:rsidRPr="005E1103" w:rsidRDefault="0046263B" w:rsidP="0046263B">
            <w:pPr>
              <w:spacing w:after="0" w:line="240" w:lineRule="auto"/>
              <w:jc w:val="right"/>
              <w:rPr>
                <w:rFonts w:eastAsia="Times New Roman" w:cstheme="minorHAnsi"/>
                <w:b/>
                <w:bCs/>
                <w:sz w:val="28"/>
                <w:szCs w:val="28"/>
                <w:lang w:eastAsia="es-CR"/>
              </w:rPr>
            </w:pPr>
            <w:r w:rsidRPr="005E1103">
              <w:rPr>
                <w:rFonts w:eastAsia="Times New Roman" w:cstheme="minorHAnsi"/>
                <w:b/>
                <w:bCs/>
                <w:sz w:val="28"/>
                <w:szCs w:val="28"/>
                <w:lang w:eastAsia="es-CR"/>
              </w:rPr>
              <w:t>1297</w:t>
            </w:r>
          </w:p>
        </w:tc>
        <w:tc>
          <w:tcPr>
            <w:tcW w:w="828" w:type="dxa"/>
            <w:tcBorders>
              <w:top w:val="nil"/>
              <w:left w:val="nil"/>
              <w:bottom w:val="single" w:sz="4" w:space="0" w:color="auto"/>
              <w:right w:val="single" w:sz="4" w:space="0" w:color="auto"/>
            </w:tcBorders>
            <w:shd w:val="clear" w:color="auto" w:fill="EAF1DD"/>
          </w:tcPr>
          <w:p w:rsidR="0046263B" w:rsidRPr="005E1103" w:rsidRDefault="0046263B" w:rsidP="0046263B">
            <w:pPr>
              <w:spacing w:after="0" w:line="240" w:lineRule="auto"/>
              <w:jc w:val="right"/>
              <w:rPr>
                <w:rFonts w:eastAsia="Times New Roman" w:cstheme="minorHAnsi"/>
                <w:b/>
                <w:bCs/>
                <w:sz w:val="28"/>
                <w:szCs w:val="28"/>
                <w:lang w:eastAsia="es-CR"/>
              </w:rPr>
            </w:pPr>
            <w:r w:rsidRPr="005E1103">
              <w:rPr>
                <w:rFonts w:eastAsia="Times New Roman" w:cstheme="minorHAnsi"/>
                <w:b/>
                <w:bCs/>
                <w:sz w:val="28"/>
                <w:szCs w:val="28"/>
                <w:lang w:eastAsia="es-CR"/>
              </w:rPr>
              <w:t>100%</w:t>
            </w:r>
          </w:p>
        </w:tc>
      </w:tr>
    </w:tbl>
    <w:p w:rsidR="0046263B" w:rsidRPr="005E1103" w:rsidRDefault="0046263B" w:rsidP="0046263B">
      <w:pPr>
        <w:spacing w:line="240" w:lineRule="auto"/>
        <w:jc w:val="both"/>
        <w:rPr>
          <w:rFonts w:eastAsia="Times New Roman" w:cstheme="minorHAnsi"/>
          <w:color w:val="000000"/>
          <w:sz w:val="28"/>
          <w:szCs w:val="28"/>
          <w:lang w:eastAsia="es-CR"/>
        </w:rPr>
      </w:pPr>
    </w:p>
    <w:p w:rsidR="0046263B" w:rsidRPr="005E1103" w:rsidRDefault="0046263B" w:rsidP="0046263B">
      <w:pPr>
        <w:spacing w:line="240" w:lineRule="auto"/>
        <w:jc w:val="both"/>
        <w:rPr>
          <w:rFonts w:eastAsia="Times New Roman" w:cstheme="minorHAnsi"/>
          <w:color w:val="000000"/>
          <w:sz w:val="28"/>
          <w:szCs w:val="28"/>
          <w:lang w:eastAsia="es-CR"/>
        </w:rPr>
      </w:pPr>
      <w:r w:rsidRPr="005E1103">
        <w:rPr>
          <w:rFonts w:eastAsia="Times New Roman" w:cstheme="minorHAnsi"/>
          <w:color w:val="000000"/>
          <w:sz w:val="28"/>
          <w:szCs w:val="28"/>
          <w:lang w:eastAsia="es-CR"/>
        </w:rPr>
        <w:t xml:space="preserve">               Fuente: Valverde T(2016), retomado del Sistema SAE de la UCR</w:t>
      </w:r>
    </w:p>
    <w:p w:rsidR="0046263B" w:rsidRPr="005E1103" w:rsidRDefault="0046263B" w:rsidP="0046263B">
      <w:pPr>
        <w:autoSpaceDE w:val="0"/>
        <w:autoSpaceDN w:val="0"/>
        <w:adjustRightInd w:val="0"/>
        <w:spacing w:after="0" w:line="360" w:lineRule="auto"/>
        <w:jc w:val="both"/>
        <w:rPr>
          <w:rFonts w:cstheme="minorHAnsi"/>
          <w:sz w:val="28"/>
          <w:szCs w:val="28"/>
        </w:rPr>
      </w:pPr>
      <w:r w:rsidRPr="005E1103">
        <w:rPr>
          <w:rFonts w:cstheme="minorHAnsi"/>
          <w:sz w:val="28"/>
          <w:szCs w:val="28"/>
        </w:rPr>
        <w:tab/>
        <w:t>Uno de los cambios generados se visualizó en la forma  de hacer un proceso con mayor  interacción personal  con los y las  estudiantes que solicitaban adecuación para la Prueba de Aptitud Académica, así como los que piden adecuación para las pruebas específicas,  ya que todos los estudiantes tienen diferentes necesidades y por ello el trato no  debe ser  igual.</w:t>
      </w:r>
    </w:p>
    <w:p w:rsidR="0046263B" w:rsidRPr="005E1103" w:rsidRDefault="0046263B" w:rsidP="0046263B">
      <w:pPr>
        <w:autoSpaceDE w:val="0"/>
        <w:autoSpaceDN w:val="0"/>
        <w:adjustRightInd w:val="0"/>
        <w:spacing w:after="0" w:line="360" w:lineRule="auto"/>
        <w:jc w:val="both"/>
        <w:rPr>
          <w:rFonts w:cstheme="minorHAnsi"/>
          <w:sz w:val="28"/>
          <w:szCs w:val="28"/>
        </w:rPr>
      </w:pPr>
    </w:p>
    <w:p w:rsidR="0046263B" w:rsidRPr="005E1103" w:rsidRDefault="0046263B" w:rsidP="0046263B">
      <w:pPr>
        <w:autoSpaceDE w:val="0"/>
        <w:autoSpaceDN w:val="0"/>
        <w:adjustRightInd w:val="0"/>
        <w:spacing w:after="0" w:line="360" w:lineRule="auto"/>
        <w:jc w:val="both"/>
        <w:rPr>
          <w:rFonts w:cstheme="minorHAnsi"/>
          <w:sz w:val="28"/>
          <w:szCs w:val="28"/>
        </w:rPr>
      </w:pPr>
      <w:r w:rsidRPr="005E1103">
        <w:rPr>
          <w:rFonts w:cstheme="minorHAnsi"/>
          <w:sz w:val="28"/>
          <w:szCs w:val="28"/>
        </w:rPr>
        <w:lastRenderedPageBreak/>
        <w:tab/>
        <w:t>Con las Escuelas, se ha innovado en  tener expedientes actualizados, según su condición, y en la articulación para definir si aplica la adecuación cuando se  aborda una prueba específica.   En este sentido, depende de la condición del estudiante, si se  llama o no a entrevista antes de la aplicación de prueba específica.</w:t>
      </w:r>
    </w:p>
    <w:p w:rsidR="0046263B" w:rsidRPr="005E1103" w:rsidRDefault="0046263B" w:rsidP="0046263B">
      <w:pPr>
        <w:jc w:val="center"/>
        <w:rPr>
          <w:rFonts w:cstheme="minorHAnsi"/>
          <w:b/>
          <w:sz w:val="28"/>
          <w:szCs w:val="28"/>
        </w:rPr>
      </w:pPr>
    </w:p>
    <w:p w:rsidR="0046263B" w:rsidRPr="005E1103" w:rsidRDefault="0046263B" w:rsidP="0046263B">
      <w:pPr>
        <w:jc w:val="center"/>
        <w:rPr>
          <w:rFonts w:cstheme="minorHAnsi"/>
          <w:b/>
          <w:sz w:val="28"/>
          <w:szCs w:val="28"/>
        </w:rPr>
      </w:pPr>
      <w:r w:rsidRPr="005E1103">
        <w:rPr>
          <w:rFonts w:cstheme="minorHAnsi"/>
          <w:b/>
          <w:sz w:val="28"/>
          <w:szCs w:val="28"/>
        </w:rPr>
        <w:t>Tabla # 3. Estudiantes matriculados en la UNA 2012-2016, según área</w:t>
      </w:r>
    </w:p>
    <w:tbl>
      <w:tblPr>
        <w:tblW w:w="89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29"/>
        <w:gridCol w:w="1367"/>
        <w:gridCol w:w="1366"/>
        <w:gridCol w:w="1134"/>
        <w:gridCol w:w="1608"/>
        <w:gridCol w:w="1204"/>
      </w:tblGrid>
      <w:tr w:rsidR="0046263B" w:rsidRPr="005E1103" w:rsidTr="0046263B">
        <w:trPr>
          <w:trHeight w:val="300"/>
          <w:jc w:val="center"/>
        </w:trPr>
        <w:tc>
          <w:tcPr>
            <w:tcW w:w="2229" w:type="dxa"/>
            <w:shd w:val="clear" w:color="auto" w:fill="D6E3BC"/>
            <w:noWrap/>
            <w:vAlign w:val="bottom"/>
            <w:hideMark/>
          </w:tcPr>
          <w:p w:rsidR="0046263B" w:rsidRPr="005E1103" w:rsidRDefault="0046263B" w:rsidP="0046263B">
            <w:pPr>
              <w:spacing w:after="0" w:line="240" w:lineRule="auto"/>
              <w:jc w:val="center"/>
              <w:rPr>
                <w:rFonts w:eastAsia="Times New Roman" w:cstheme="minorHAnsi"/>
                <w:b/>
                <w:color w:val="000000"/>
                <w:sz w:val="28"/>
                <w:szCs w:val="28"/>
                <w:lang w:eastAsia="es-CR"/>
              </w:rPr>
            </w:pPr>
            <w:r w:rsidRPr="005E1103">
              <w:rPr>
                <w:rFonts w:eastAsia="Times New Roman" w:cstheme="minorHAnsi"/>
                <w:b/>
                <w:color w:val="000000"/>
                <w:sz w:val="28"/>
                <w:szCs w:val="28"/>
                <w:lang w:eastAsia="es-CR"/>
              </w:rPr>
              <w:t> ÁREA</w:t>
            </w:r>
          </w:p>
        </w:tc>
        <w:tc>
          <w:tcPr>
            <w:tcW w:w="1367" w:type="dxa"/>
            <w:shd w:val="clear" w:color="auto" w:fill="D6E3BC"/>
            <w:noWrap/>
            <w:vAlign w:val="bottom"/>
            <w:hideMark/>
          </w:tcPr>
          <w:p w:rsidR="0046263B" w:rsidRPr="005E1103" w:rsidRDefault="0046263B" w:rsidP="0046263B">
            <w:pPr>
              <w:spacing w:after="0" w:line="240" w:lineRule="auto"/>
              <w:jc w:val="center"/>
              <w:rPr>
                <w:rFonts w:eastAsia="Times New Roman" w:cstheme="minorHAnsi"/>
                <w:b/>
                <w:bCs/>
                <w:i/>
                <w:iCs/>
                <w:color w:val="000000"/>
                <w:sz w:val="28"/>
                <w:szCs w:val="28"/>
                <w:lang w:eastAsia="es-CR"/>
              </w:rPr>
            </w:pPr>
            <w:r w:rsidRPr="005E1103">
              <w:rPr>
                <w:rFonts w:eastAsia="Times New Roman" w:cstheme="minorHAnsi"/>
                <w:b/>
                <w:bCs/>
                <w:i/>
                <w:iCs/>
                <w:color w:val="000000"/>
                <w:sz w:val="28"/>
                <w:szCs w:val="28"/>
                <w:lang w:eastAsia="es-CR"/>
              </w:rPr>
              <w:t>2012</w:t>
            </w:r>
          </w:p>
        </w:tc>
        <w:tc>
          <w:tcPr>
            <w:tcW w:w="1366" w:type="dxa"/>
            <w:shd w:val="clear" w:color="auto" w:fill="D6E3BC"/>
            <w:noWrap/>
            <w:vAlign w:val="bottom"/>
            <w:hideMark/>
          </w:tcPr>
          <w:p w:rsidR="0046263B" w:rsidRPr="005E1103" w:rsidRDefault="0046263B" w:rsidP="0046263B">
            <w:pPr>
              <w:spacing w:after="0" w:line="240" w:lineRule="auto"/>
              <w:jc w:val="center"/>
              <w:rPr>
                <w:rFonts w:eastAsia="Times New Roman" w:cstheme="minorHAnsi"/>
                <w:b/>
                <w:bCs/>
                <w:i/>
                <w:iCs/>
                <w:color w:val="000000"/>
                <w:sz w:val="28"/>
                <w:szCs w:val="28"/>
                <w:lang w:eastAsia="es-CR"/>
              </w:rPr>
            </w:pPr>
            <w:r w:rsidRPr="005E1103">
              <w:rPr>
                <w:rFonts w:eastAsia="Times New Roman" w:cstheme="minorHAnsi"/>
                <w:b/>
                <w:bCs/>
                <w:i/>
                <w:iCs/>
                <w:color w:val="000000"/>
                <w:sz w:val="28"/>
                <w:szCs w:val="28"/>
                <w:lang w:eastAsia="es-CR"/>
              </w:rPr>
              <w:t>2013</w:t>
            </w:r>
          </w:p>
        </w:tc>
        <w:tc>
          <w:tcPr>
            <w:tcW w:w="1134" w:type="dxa"/>
            <w:shd w:val="clear" w:color="auto" w:fill="D6E3BC"/>
            <w:noWrap/>
            <w:vAlign w:val="bottom"/>
            <w:hideMark/>
          </w:tcPr>
          <w:p w:rsidR="0046263B" w:rsidRPr="005E1103" w:rsidRDefault="0046263B" w:rsidP="0046263B">
            <w:pPr>
              <w:spacing w:after="0" w:line="240" w:lineRule="auto"/>
              <w:jc w:val="center"/>
              <w:rPr>
                <w:rFonts w:eastAsia="Times New Roman" w:cstheme="minorHAnsi"/>
                <w:b/>
                <w:bCs/>
                <w:i/>
                <w:iCs/>
                <w:color w:val="000000"/>
                <w:sz w:val="28"/>
                <w:szCs w:val="28"/>
                <w:lang w:eastAsia="es-CR"/>
              </w:rPr>
            </w:pPr>
            <w:r w:rsidRPr="005E1103">
              <w:rPr>
                <w:rFonts w:eastAsia="Times New Roman" w:cstheme="minorHAnsi"/>
                <w:b/>
                <w:bCs/>
                <w:i/>
                <w:iCs/>
                <w:color w:val="000000"/>
                <w:sz w:val="28"/>
                <w:szCs w:val="28"/>
                <w:lang w:eastAsia="es-CR"/>
              </w:rPr>
              <w:t>2014</w:t>
            </w:r>
          </w:p>
        </w:tc>
        <w:tc>
          <w:tcPr>
            <w:tcW w:w="1608" w:type="dxa"/>
            <w:shd w:val="clear" w:color="auto" w:fill="D6E3BC"/>
            <w:noWrap/>
            <w:vAlign w:val="bottom"/>
            <w:hideMark/>
          </w:tcPr>
          <w:p w:rsidR="0046263B" w:rsidRPr="005E1103" w:rsidRDefault="0046263B" w:rsidP="0046263B">
            <w:pPr>
              <w:spacing w:after="0" w:line="240" w:lineRule="auto"/>
              <w:jc w:val="center"/>
              <w:rPr>
                <w:rFonts w:eastAsia="Times New Roman" w:cstheme="minorHAnsi"/>
                <w:b/>
                <w:bCs/>
                <w:i/>
                <w:iCs/>
                <w:color w:val="000000"/>
                <w:sz w:val="28"/>
                <w:szCs w:val="28"/>
                <w:lang w:eastAsia="es-CR"/>
              </w:rPr>
            </w:pPr>
            <w:r w:rsidRPr="005E1103">
              <w:rPr>
                <w:rFonts w:eastAsia="Times New Roman" w:cstheme="minorHAnsi"/>
                <w:b/>
                <w:bCs/>
                <w:i/>
                <w:iCs/>
                <w:color w:val="000000"/>
                <w:sz w:val="28"/>
                <w:szCs w:val="28"/>
                <w:lang w:eastAsia="es-CR"/>
              </w:rPr>
              <w:t>2015</w:t>
            </w:r>
          </w:p>
        </w:tc>
        <w:tc>
          <w:tcPr>
            <w:tcW w:w="1204" w:type="dxa"/>
            <w:shd w:val="clear" w:color="auto" w:fill="D6E3BC"/>
          </w:tcPr>
          <w:p w:rsidR="0046263B" w:rsidRPr="005E1103" w:rsidRDefault="0046263B" w:rsidP="0046263B">
            <w:pPr>
              <w:spacing w:after="0" w:line="240" w:lineRule="auto"/>
              <w:jc w:val="center"/>
              <w:rPr>
                <w:rFonts w:eastAsia="Times New Roman" w:cstheme="minorHAnsi"/>
                <w:b/>
                <w:bCs/>
                <w:i/>
                <w:iCs/>
                <w:color w:val="000000"/>
                <w:sz w:val="28"/>
                <w:szCs w:val="28"/>
                <w:lang w:eastAsia="es-CR"/>
              </w:rPr>
            </w:pPr>
            <w:r w:rsidRPr="005E1103">
              <w:rPr>
                <w:rFonts w:eastAsia="Times New Roman" w:cstheme="minorHAnsi"/>
                <w:b/>
                <w:bCs/>
                <w:i/>
                <w:iCs/>
                <w:color w:val="000000"/>
                <w:sz w:val="28"/>
                <w:szCs w:val="28"/>
                <w:lang w:eastAsia="es-CR"/>
              </w:rPr>
              <w:t>2016</w:t>
            </w:r>
          </w:p>
        </w:tc>
      </w:tr>
      <w:tr w:rsidR="0046263B" w:rsidRPr="005E1103" w:rsidTr="0046263B">
        <w:trPr>
          <w:trHeight w:val="99"/>
          <w:jc w:val="center"/>
        </w:trPr>
        <w:tc>
          <w:tcPr>
            <w:tcW w:w="2229" w:type="dxa"/>
            <w:shd w:val="clear" w:color="auto" w:fill="auto"/>
            <w:noWrap/>
            <w:vAlign w:val="bottom"/>
            <w:hideMark/>
          </w:tcPr>
          <w:p w:rsidR="0046263B" w:rsidRPr="005E1103" w:rsidRDefault="0046263B" w:rsidP="0046263B">
            <w:pPr>
              <w:spacing w:after="0" w:line="240" w:lineRule="auto"/>
              <w:rPr>
                <w:rFonts w:eastAsia="Times New Roman" w:cstheme="minorHAnsi"/>
                <w:color w:val="000000"/>
                <w:sz w:val="28"/>
                <w:szCs w:val="28"/>
                <w:lang w:eastAsia="es-CR"/>
              </w:rPr>
            </w:pPr>
            <w:r w:rsidRPr="005E1103">
              <w:rPr>
                <w:rFonts w:eastAsia="Times New Roman" w:cstheme="minorHAnsi"/>
                <w:color w:val="000000"/>
                <w:sz w:val="28"/>
                <w:szCs w:val="28"/>
                <w:lang w:eastAsia="es-CR"/>
              </w:rPr>
              <w:t xml:space="preserve">Aprendizaje </w:t>
            </w:r>
          </w:p>
        </w:tc>
        <w:tc>
          <w:tcPr>
            <w:tcW w:w="1367" w:type="dxa"/>
            <w:shd w:val="clear" w:color="auto" w:fill="auto"/>
            <w:noWrap/>
            <w:vAlign w:val="bottom"/>
            <w:hideMark/>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70.10</w:t>
            </w:r>
          </w:p>
        </w:tc>
        <w:tc>
          <w:tcPr>
            <w:tcW w:w="1366" w:type="dxa"/>
            <w:shd w:val="clear" w:color="auto" w:fill="auto"/>
            <w:noWrap/>
            <w:vAlign w:val="bottom"/>
            <w:hideMark/>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60</w:t>
            </w:r>
          </w:p>
        </w:tc>
        <w:tc>
          <w:tcPr>
            <w:tcW w:w="1134" w:type="dxa"/>
            <w:shd w:val="clear" w:color="auto" w:fill="auto"/>
            <w:noWrap/>
            <w:vAlign w:val="bottom"/>
            <w:hideMark/>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80</w:t>
            </w:r>
          </w:p>
        </w:tc>
        <w:tc>
          <w:tcPr>
            <w:tcW w:w="1608" w:type="dxa"/>
            <w:shd w:val="clear" w:color="auto" w:fill="auto"/>
            <w:noWrap/>
            <w:vAlign w:val="bottom"/>
            <w:hideMark/>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71.80</w:t>
            </w:r>
          </w:p>
        </w:tc>
        <w:tc>
          <w:tcPr>
            <w:tcW w:w="1204" w:type="dxa"/>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73.72</w:t>
            </w:r>
          </w:p>
        </w:tc>
      </w:tr>
      <w:tr w:rsidR="0046263B" w:rsidRPr="005E1103" w:rsidTr="0046263B">
        <w:trPr>
          <w:trHeight w:val="131"/>
          <w:jc w:val="center"/>
        </w:trPr>
        <w:tc>
          <w:tcPr>
            <w:tcW w:w="2229" w:type="dxa"/>
            <w:shd w:val="clear" w:color="auto" w:fill="auto"/>
            <w:noWrap/>
            <w:vAlign w:val="bottom"/>
            <w:hideMark/>
          </w:tcPr>
          <w:p w:rsidR="0046263B" w:rsidRPr="005E1103" w:rsidRDefault="0046263B" w:rsidP="0046263B">
            <w:pPr>
              <w:spacing w:after="0" w:line="240" w:lineRule="auto"/>
              <w:rPr>
                <w:rFonts w:eastAsia="Times New Roman" w:cstheme="minorHAnsi"/>
                <w:color w:val="000000"/>
                <w:sz w:val="28"/>
                <w:szCs w:val="28"/>
                <w:lang w:eastAsia="es-CR"/>
              </w:rPr>
            </w:pPr>
            <w:r w:rsidRPr="005E1103">
              <w:rPr>
                <w:rFonts w:eastAsia="Times New Roman" w:cstheme="minorHAnsi"/>
                <w:color w:val="000000"/>
                <w:sz w:val="28"/>
                <w:szCs w:val="28"/>
                <w:lang w:eastAsia="es-CR"/>
              </w:rPr>
              <w:t>Visual</w:t>
            </w:r>
          </w:p>
        </w:tc>
        <w:tc>
          <w:tcPr>
            <w:tcW w:w="1367" w:type="dxa"/>
            <w:shd w:val="clear" w:color="auto" w:fill="auto"/>
            <w:noWrap/>
            <w:vAlign w:val="bottom"/>
            <w:hideMark/>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8.15</w:t>
            </w:r>
          </w:p>
        </w:tc>
        <w:tc>
          <w:tcPr>
            <w:tcW w:w="1366" w:type="dxa"/>
            <w:shd w:val="clear" w:color="auto" w:fill="auto"/>
            <w:noWrap/>
            <w:vAlign w:val="bottom"/>
            <w:hideMark/>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14.25</w:t>
            </w:r>
          </w:p>
        </w:tc>
        <w:tc>
          <w:tcPr>
            <w:tcW w:w="1134" w:type="dxa"/>
            <w:shd w:val="clear" w:color="auto" w:fill="auto"/>
            <w:noWrap/>
            <w:vAlign w:val="bottom"/>
            <w:hideMark/>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8.20</w:t>
            </w:r>
          </w:p>
        </w:tc>
        <w:tc>
          <w:tcPr>
            <w:tcW w:w="1608" w:type="dxa"/>
            <w:shd w:val="clear" w:color="auto" w:fill="auto"/>
            <w:noWrap/>
            <w:vAlign w:val="bottom"/>
            <w:hideMark/>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4.25</w:t>
            </w:r>
          </w:p>
        </w:tc>
        <w:tc>
          <w:tcPr>
            <w:tcW w:w="1204" w:type="dxa"/>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0.75</w:t>
            </w:r>
          </w:p>
        </w:tc>
      </w:tr>
      <w:tr w:rsidR="0046263B" w:rsidRPr="005E1103" w:rsidTr="0046263B">
        <w:trPr>
          <w:trHeight w:val="163"/>
          <w:jc w:val="center"/>
        </w:trPr>
        <w:tc>
          <w:tcPr>
            <w:tcW w:w="2229" w:type="dxa"/>
            <w:shd w:val="clear" w:color="auto" w:fill="auto"/>
            <w:noWrap/>
            <w:vAlign w:val="bottom"/>
            <w:hideMark/>
          </w:tcPr>
          <w:p w:rsidR="0046263B" w:rsidRPr="005E1103" w:rsidRDefault="0046263B" w:rsidP="0046263B">
            <w:pPr>
              <w:spacing w:after="0" w:line="240" w:lineRule="auto"/>
              <w:rPr>
                <w:rFonts w:eastAsia="Times New Roman" w:cstheme="minorHAnsi"/>
                <w:color w:val="000000"/>
                <w:sz w:val="28"/>
                <w:szCs w:val="28"/>
                <w:lang w:eastAsia="es-CR"/>
              </w:rPr>
            </w:pPr>
            <w:r w:rsidRPr="005E1103">
              <w:rPr>
                <w:rFonts w:eastAsia="Times New Roman" w:cstheme="minorHAnsi"/>
                <w:color w:val="000000"/>
                <w:sz w:val="28"/>
                <w:szCs w:val="28"/>
                <w:lang w:eastAsia="es-CR"/>
              </w:rPr>
              <w:t>Sistémica</w:t>
            </w:r>
          </w:p>
        </w:tc>
        <w:tc>
          <w:tcPr>
            <w:tcW w:w="1367" w:type="dxa"/>
            <w:shd w:val="clear" w:color="auto" w:fill="auto"/>
            <w:noWrap/>
            <w:vAlign w:val="bottom"/>
            <w:hideMark/>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2.35</w:t>
            </w:r>
          </w:p>
        </w:tc>
        <w:tc>
          <w:tcPr>
            <w:tcW w:w="1366" w:type="dxa"/>
            <w:shd w:val="clear" w:color="auto" w:fill="auto"/>
            <w:noWrap/>
            <w:vAlign w:val="bottom"/>
            <w:hideMark/>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1.45</w:t>
            </w:r>
          </w:p>
        </w:tc>
        <w:tc>
          <w:tcPr>
            <w:tcW w:w="1134" w:type="dxa"/>
            <w:shd w:val="clear" w:color="auto" w:fill="auto"/>
            <w:noWrap/>
            <w:vAlign w:val="bottom"/>
            <w:hideMark/>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0</w:t>
            </w:r>
          </w:p>
        </w:tc>
        <w:tc>
          <w:tcPr>
            <w:tcW w:w="1608" w:type="dxa"/>
            <w:shd w:val="clear" w:color="auto" w:fill="auto"/>
            <w:noWrap/>
            <w:vAlign w:val="bottom"/>
            <w:hideMark/>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1.75</w:t>
            </w:r>
          </w:p>
        </w:tc>
        <w:tc>
          <w:tcPr>
            <w:tcW w:w="1204" w:type="dxa"/>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3.65</w:t>
            </w:r>
          </w:p>
        </w:tc>
      </w:tr>
      <w:tr w:rsidR="0046263B" w:rsidRPr="005E1103" w:rsidTr="0046263B">
        <w:trPr>
          <w:trHeight w:val="196"/>
          <w:jc w:val="center"/>
        </w:trPr>
        <w:tc>
          <w:tcPr>
            <w:tcW w:w="2229" w:type="dxa"/>
            <w:shd w:val="clear" w:color="auto" w:fill="auto"/>
            <w:noWrap/>
            <w:vAlign w:val="bottom"/>
            <w:hideMark/>
          </w:tcPr>
          <w:p w:rsidR="0046263B" w:rsidRPr="005E1103" w:rsidRDefault="0046263B" w:rsidP="0046263B">
            <w:pPr>
              <w:spacing w:after="0" w:line="240" w:lineRule="auto"/>
              <w:rPr>
                <w:rFonts w:eastAsia="Times New Roman" w:cstheme="minorHAnsi"/>
                <w:color w:val="000000"/>
                <w:sz w:val="28"/>
                <w:szCs w:val="28"/>
                <w:lang w:eastAsia="es-CR"/>
              </w:rPr>
            </w:pPr>
            <w:r w:rsidRPr="005E1103">
              <w:rPr>
                <w:rFonts w:eastAsia="Times New Roman" w:cstheme="minorHAnsi"/>
                <w:color w:val="000000"/>
                <w:sz w:val="28"/>
                <w:szCs w:val="28"/>
                <w:lang w:eastAsia="es-CR"/>
              </w:rPr>
              <w:t xml:space="preserve">Emocional </w:t>
            </w:r>
          </w:p>
        </w:tc>
        <w:tc>
          <w:tcPr>
            <w:tcW w:w="1367" w:type="dxa"/>
            <w:shd w:val="clear" w:color="auto" w:fill="auto"/>
            <w:noWrap/>
            <w:vAlign w:val="bottom"/>
            <w:hideMark/>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5.80</w:t>
            </w:r>
          </w:p>
        </w:tc>
        <w:tc>
          <w:tcPr>
            <w:tcW w:w="1366" w:type="dxa"/>
            <w:shd w:val="clear" w:color="auto" w:fill="auto"/>
            <w:noWrap/>
            <w:vAlign w:val="bottom"/>
            <w:hideMark/>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12.85</w:t>
            </w:r>
          </w:p>
        </w:tc>
        <w:tc>
          <w:tcPr>
            <w:tcW w:w="1134" w:type="dxa"/>
            <w:shd w:val="clear" w:color="auto" w:fill="auto"/>
            <w:noWrap/>
            <w:vAlign w:val="bottom"/>
            <w:hideMark/>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4.55</w:t>
            </w:r>
          </w:p>
        </w:tc>
        <w:tc>
          <w:tcPr>
            <w:tcW w:w="1608" w:type="dxa"/>
            <w:shd w:val="clear" w:color="auto" w:fill="auto"/>
            <w:noWrap/>
            <w:vAlign w:val="bottom"/>
            <w:hideMark/>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10.25</w:t>
            </w:r>
          </w:p>
        </w:tc>
        <w:tc>
          <w:tcPr>
            <w:tcW w:w="1204" w:type="dxa"/>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10.95</w:t>
            </w:r>
          </w:p>
        </w:tc>
      </w:tr>
      <w:tr w:rsidR="0046263B" w:rsidRPr="005E1103" w:rsidTr="0046263B">
        <w:trPr>
          <w:trHeight w:val="227"/>
          <w:jc w:val="center"/>
        </w:trPr>
        <w:tc>
          <w:tcPr>
            <w:tcW w:w="2229" w:type="dxa"/>
            <w:shd w:val="clear" w:color="auto" w:fill="auto"/>
            <w:noWrap/>
            <w:vAlign w:val="bottom"/>
            <w:hideMark/>
          </w:tcPr>
          <w:p w:rsidR="0046263B" w:rsidRPr="005E1103" w:rsidRDefault="0046263B" w:rsidP="0046263B">
            <w:pPr>
              <w:spacing w:after="0" w:line="240" w:lineRule="auto"/>
              <w:rPr>
                <w:rFonts w:eastAsia="Times New Roman" w:cstheme="minorHAnsi"/>
                <w:color w:val="000000"/>
                <w:sz w:val="28"/>
                <w:szCs w:val="28"/>
                <w:lang w:eastAsia="es-CR"/>
              </w:rPr>
            </w:pPr>
            <w:r w:rsidRPr="005E1103">
              <w:rPr>
                <w:rFonts w:eastAsia="Times New Roman" w:cstheme="minorHAnsi"/>
                <w:color w:val="000000"/>
                <w:sz w:val="28"/>
                <w:szCs w:val="28"/>
                <w:lang w:eastAsia="es-CR"/>
              </w:rPr>
              <w:t xml:space="preserve">Déficit Atencional </w:t>
            </w:r>
          </w:p>
        </w:tc>
        <w:tc>
          <w:tcPr>
            <w:tcW w:w="1367" w:type="dxa"/>
            <w:shd w:val="clear" w:color="auto" w:fill="auto"/>
            <w:noWrap/>
            <w:vAlign w:val="bottom"/>
            <w:hideMark/>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10.45</w:t>
            </w:r>
          </w:p>
        </w:tc>
        <w:tc>
          <w:tcPr>
            <w:tcW w:w="1366" w:type="dxa"/>
            <w:shd w:val="clear" w:color="auto" w:fill="auto"/>
            <w:noWrap/>
            <w:vAlign w:val="bottom"/>
            <w:hideMark/>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7.15</w:t>
            </w:r>
          </w:p>
        </w:tc>
        <w:tc>
          <w:tcPr>
            <w:tcW w:w="1134" w:type="dxa"/>
            <w:shd w:val="clear" w:color="auto" w:fill="auto"/>
            <w:noWrap/>
            <w:vAlign w:val="bottom"/>
            <w:hideMark/>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6.35</w:t>
            </w:r>
          </w:p>
        </w:tc>
        <w:tc>
          <w:tcPr>
            <w:tcW w:w="1608" w:type="dxa"/>
            <w:shd w:val="clear" w:color="auto" w:fill="auto"/>
            <w:noWrap/>
            <w:vAlign w:val="bottom"/>
            <w:hideMark/>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8.55</w:t>
            </w:r>
          </w:p>
        </w:tc>
        <w:tc>
          <w:tcPr>
            <w:tcW w:w="1204" w:type="dxa"/>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7.30</w:t>
            </w:r>
          </w:p>
        </w:tc>
      </w:tr>
      <w:tr w:rsidR="0046263B" w:rsidRPr="005E1103" w:rsidTr="0046263B">
        <w:trPr>
          <w:trHeight w:val="104"/>
          <w:jc w:val="center"/>
        </w:trPr>
        <w:tc>
          <w:tcPr>
            <w:tcW w:w="2229" w:type="dxa"/>
            <w:shd w:val="clear" w:color="auto" w:fill="auto"/>
            <w:noWrap/>
            <w:vAlign w:val="bottom"/>
            <w:hideMark/>
          </w:tcPr>
          <w:p w:rsidR="0046263B" w:rsidRPr="005E1103" w:rsidRDefault="0046263B" w:rsidP="0046263B">
            <w:pPr>
              <w:spacing w:after="0" w:line="240" w:lineRule="auto"/>
              <w:rPr>
                <w:rFonts w:eastAsia="Times New Roman" w:cstheme="minorHAnsi"/>
                <w:color w:val="000000"/>
                <w:sz w:val="28"/>
                <w:szCs w:val="28"/>
                <w:lang w:eastAsia="es-CR"/>
              </w:rPr>
            </w:pPr>
            <w:r w:rsidRPr="005E1103">
              <w:rPr>
                <w:rFonts w:eastAsia="Times New Roman" w:cstheme="minorHAnsi"/>
                <w:color w:val="000000"/>
                <w:sz w:val="28"/>
                <w:szCs w:val="28"/>
                <w:lang w:eastAsia="es-CR"/>
              </w:rPr>
              <w:t>Motora</w:t>
            </w:r>
          </w:p>
        </w:tc>
        <w:tc>
          <w:tcPr>
            <w:tcW w:w="1367" w:type="dxa"/>
            <w:shd w:val="clear" w:color="auto" w:fill="auto"/>
            <w:noWrap/>
            <w:vAlign w:val="bottom"/>
            <w:hideMark/>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1.15</w:t>
            </w:r>
          </w:p>
        </w:tc>
        <w:tc>
          <w:tcPr>
            <w:tcW w:w="1366" w:type="dxa"/>
            <w:shd w:val="clear" w:color="auto" w:fill="auto"/>
            <w:noWrap/>
            <w:vAlign w:val="bottom"/>
            <w:hideMark/>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2.85</w:t>
            </w:r>
          </w:p>
        </w:tc>
        <w:tc>
          <w:tcPr>
            <w:tcW w:w="1134" w:type="dxa"/>
            <w:shd w:val="clear" w:color="auto" w:fill="auto"/>
            <w:noWrap/>
            <w:vAlign w:val="bottom"/>
            <w:hideMark/>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0.90</w:t>
            </w:r>
          </w:p>
        </w:tc>
        <w:tc>
          <w:tcPr>
            <w:tcW w:w="1608" w:type="dxa"/>
            <w:shd w:val="clear" w:color="auto" w:fill="auto"/>
            <w:noWrap/>
            <w:vAlign w:val="bottom"/>
            <w:hideMark/>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0.85</w:t>
            </w:r>
          </w:p>
        </w:tc>
        <w:tc>
          <w:tcPr>
            <w:tcW w:w="1204" w:type="dxa"/>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2.20</w:t>
            </w:r>
          </w:p>
        </w:tc>
      </w:tr>
      <w:tr w:rsidR="0046263B" w:rsidRPr="005E1103" w:rsidTr="0046263B">
        <w:trPr>
          <w:trHeight w:val="135"/>
          <w:jc w:val="center"/>
        </w:trPr>
        <w:tc>
          <w:tcPr>
            <w:tcW w:w="2229" w:type="dxa"/>
            <w:shd w:val="clear" w:color="auto" w:fill="auto"/>
            <w:noWrap/>
            <w:vAlign w:val="bottom"/>
            <w:hideMark/>
          </w:tcPr>
          <w:p w:rsidR="0046263B" w:rsidRPr="005E1103" w:rsidRDefault="0046263B" w:rsidP="0046263B">
            <w:pPr>
              <w:spacing w:after="0" w:line="240" w:lineRule="auto"/>
              <w:rPr>
                <w:rFonts w:eastAsia="Times New Roman" w:cstheme="minorHAnsi"/>
                <w:color w:val="000000"/>
                <w:sz w:val="28"/>
                <w:szCs w:val="28"/>
                <w:lang w:eastAsia="es-CR"/>
              </w:rPr>
            </w:pPr>
            <w:r w:rsidRPr="005E1103">
              <w:rPr>
                <w:rFonts w:eastAsia="Times New Roman" w:cstheme="minorHAnsi"/>
                <w:color w:val="000000"/>
                <w:sz w:val="28"/>
                <w:szCs w:val="28"/>
                <w:lang w:eastAsia="es-CR"/>
              </w:rPr>
              <w:t xml:space="preserve">Múltiple </w:t>
            </w:r>
          </w:p>
        </w:tc>
        <w:tc>
          <w:tcPr>
            <w:tcW w:w="1367" w:type="dxa"/>
            <w:shd w:val="clear" w:color="auto" w:fill="auto"/>
            <w:noWrap/>
            <w:vAlign w:val="bottom"/>
            <w:hideMark/>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0</w:t>
            </w:r>
          </w:p>
        </w:tc>
        <w:tc>
          <w:tcPr>
            <w:tcW w:w="1366" w:type="dxa"/>
            <w:shd w:val="clear" w:color="auto" w:fill="auto"/>
            <w:noWrap/>
            <w:vAlign w:val="bottom"/>
            <w:hideMark/>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1.45</w:t>
            </w:r>
          </w:p>
        </w:tc>
        <w:tc>
          <w:tcPr>
            <w:tcW w:w="1134" w:type="dxa"/>
            <w:shd w:val="clear" w:color="auto" w:fill="auto"/>
            <w:noWrap/>
            <w:vAlign w:val="bottom"/>
            <w:hideMark/>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0</w:t>
            </w:r>
          </w:p>
        </w:tc>
        <w:tc>
          <w:tcPr>
            <w:tcW w:w="1608" w:type="dxa"/>
            <w:shd w:val="clear" w:color="auto" w:fill="auto"/>
            <w:noWrap/>
            <w:vAlign w:val="bottom"/>
            <w:hideMark/>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0</w:t>
            </w:r>
          </w:p>
        </w:tc>
        <w:tc>
          <w:tcPr>
            <w:tcW w:w="1204" w:type="dxa"/>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0.75</w:t>
            </w:r>
          </w:p>
        </w:tc>
      </w:tr>
      <w:tr w:rsidR="0046263B" w:rsidRPr="005E1103" w:rsidTr="0046263B">
        <w:trPr>
          <w:trHeight w:val="167"/>
          <w:jc w:val="center"/>
        </w:trPr>
        <w:tc>
          <w:tcPr>
            <w:tcW w:w="2229" w:type="dxa"/>
            <w:shd w:val="clear" w:color="auto" w:fill="auto"/>
            <w:noWrap/>
            <w:vAlign w:val="bottom"/>
            <w:hideMark/>
          </w:tcPr>
          <w:p w:rsidR="0046263B" w:rsidRPr="005E1103" w:rsidRDefault="0046263B" w:rsidP="0046263B">
            <w:pPr>
              <w:spacing w:after="0" w:line="240" w:lineRule="auto"/>
              <w:rPr>
                <w:rFonts w:eastAsia="Times New Roman" w:cstheme="minorHAnsi"/>
                <w:color w:val="000000"/>
                <w:sz w:val="28"/>
                <w:szCs w:val="28"/>
                <w:lang w:eastAsia="es-CR"/>
              </w:rPr>
            </w:pPr>
            <w:r w:rsidRPr="005E1103">
              <w:rPr>
                <w:rFonts w:eastAsia="Times New Roman" w:cstheme="minorHAnsi"/>
                <w:color w:val="000000"/>
                <w:sz w:val="28"/>
                <w:szCs w:val="28"/>
                <w:lang w:eastAsia="es-CR"/>
              </w:rPr>
              <w:t>Auditivo</w:t>
            </w:r>
          </w:p>
        </w:tc>
        <w:tc>
          <w:tcPr>
            <w:tcW w:w="1367" w:type="dxa"/>
            <w:shd w:val="clear" w:color="auto" w:fill="auto"/>
            <w:noWrap/>
            <w:vAlign w:val="bottom"/>
            <w:hideMark/>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0</w:t>
            </w:r>
          </w:p>
        </w:tc>
        <w:tc>
          <w:tcPr>
            <w:tcW w:w="1366" w:type="dxa"/>
            <w:shd w:val="clear" w:color="auto" w:fill="auto"/>
            <w:noWrap/>
            <w:vAlign w:val="bottom"/>
            <w:hideMark/>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0</w:t>
            </w:r>
          </w:p>
        </w:tc>
        <w:tc>
          <w:tcPr>
            <w:tcW w:w="1134" w:type="dxa"/>
            <w:shd w:val="clear" w:color="auto" w:fill="auto"/>
            <w:noWrap/>
            <w:vAlign w:val="bottom"/>
            <w:hideMark/>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0</w:t>
            </w:r>
          </w:p>
        </w:tc>
        <w:tc>
          <w:tcPr>
            <w:tcW w:w="1608" w:type="dxa"/>
            <w:shd w:val="clear" w:color="auto" w:fill="auto"/>
            <w:noWrap/>
            <w:vAlign w:val="bottom"/>
            <w:hideMark/>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2.55</w:t>
            </w:r>
          </w:p>
        </w:tc>
        <w:tc>
          <w:tcPr>
            <w:tcW w:w="1204" w:type="dxa"/>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0.75</w:t>
            </w:r>
          </w:p>
        </w:tc>
      </w:tr>
      <w:tr w:rsidR="0046263B" w:rsidRPr="005E1103" w:rsidTr="0046263B">
        <w:trPr>
          <w:trHeight w:val="300"/>
          <w:jc w:val="center"/>
        </w:trPr>
        <w:tc>
          <w:tcPr>
            <w:tcW w:w="2229" w:type="dxa"/>
            <w:shd w:val="clear" w:color="auto" w:fill="EAF1DD"/>
            <w:noWrap/>
            <w:vAlign w:val="bottom"/>
            <w:hideMark/>
          </w:tcPr>
          <w:p w:rsidR="0046263B" w:rsidRPr="005E1103" w:rsidRDefault="0046263B" w:rsidP="0046263B">
            <w:pPr>
              <w:spacing w:after="0" w:line="240" w:lineRule="auto"/>
              <w:rPr>
                <w:rFonts w:eastAsia="Times New Roman" w:cstheme="minorHAnsi"/>
                <w:b/>
                <w:color w:val="000000"/>
                <w:sz w:val="28"/>
                <w:szCs w:val="28"/>
                <w:lang w:eastAsia="es-CR"/>
              </w:rPr>
            </w:pPr>
            <w:r w:rsidRPr="005E1103">
              <w:rPr>
                <w:rFonts w:eastAsia="Times New Roman" w:cstheme="minorHAnsi"/>
                <w:b/>
                <w:color w:val="000000"/>
                <w:sz w:val="28"/>
                <w:szCs w:val="28"/>
                <w:lang w:eastAsia="es-CR"/>
              </w:rPr>
              <w:t xml:space="preserve">Total </w:t>
            </w:r>
          </w:p>
        </w:tc>
        <w:tc>
          <w:tcPr>
            <w:tcW w:w="1367" w:type="dxa"/>
            <w:shd w:val="clear" w:color="auto" w:fill="EAF1DD"/>
            <w:noWrap/>
            <w:vAlign w:val="bottom"/>
            <w:hideMark/>
          </w:tcPr>
          <w:p w:rsidR="0046263B" w:rsidRPr="005E1103" w:rsidRDefault="0046263B" w:rsidP="0046263B">
            <w:pPr>
              <w:spacing w:after="0" w:line="240" w:lineRule="auto"/>
              <w:jc w:val="center"/>
              <w:rPr>
                <w:rFonts w:eastAsia="Times New Roman" w:cstheme="minorHAnsi"/>
                <w:b/>
                <w:color w:val="000000"/>
                <w:sz w:val="28"/>
                <w:szCs w:val="28"/>
                <w:lang w:eastAsia="es-CR"/>
              </w:rPr>
            </w:pPr>
            <w:r w:rsidRPr="005E1103">
              <w:rPr>
                <w:rFonts w:eastAsia="Times New Roman" w:cstheme="minorHAnsi"/>
                <w:b/>
                <w:color w:val="000000"/>
                <w:sz w:val="28"/>
                <w:szCs w:val="28"/>
                <w:lang w:eastAsia="es-CR"/>
              </w:rPr>
              <w:t>100%</w:t>
            </w:r>
          </w:p>
        </w:tc>
        <w:tc>
          <w:tcPr>
            <w:tcW w:w="1366" w:type="dxa"/>
            <w:shd w:val="clear" w:color="auto" w:fill="EAF1DD"/>
            <w:noWrap/>
            <w:vAlign w:val="bottom"/>
            <w:hideMark/>
          </w:tcPr>
          <w:p w:rsidR="0046263B" w:rsidRPr="005E1103" w:rsidRDefault="0046263B" w:rsidP="0046263B">
            <w:pPr>
              <w:spacing w:after="0" w:line="240" w:lineRule="auto"/>
              <w:jc w:val="center"/>
              <w:rPr>
                <w:rFonts w:eastAsia="Times New Roman" w:cstheme="minorHAnsi"/>
                <w:b/>
                <w:color w:val="000000"/>
                <w:sz w:val="28"/>
                <w:szCs w:val="28"/>
                <w:lang w:eastAsia="es-CR"/>
              </w:rPr>
            </w:pPr>
            <w:r w:rsidRPr="005E1103">
              <w:rPr>
                <w:rFonts w:eastAsia="Times New Roman" w:cstheme="minorHAnsi"/>
                <w:b/>
                <w:color w:val="000000"/>
                <w:sz w:val="28"/>
                <w:szCs w:val="28"/>
                <w:lang w:eastAsia="es-CR"/>
              </w:rPr>
              <w:t>100%</w:t>
            </w:r>
          </w:p>
        </w:tc>
        <w:tc>
          <w:tcPr>
            <w:tcW w:w="1134" w:type="dxa"/>
            <w:shd w:val="clear" w:color="auto" w:fill="EAF1DD"/>
            <w:noWrap/>
            <w:vAlign w:val="bottom"/>
            <w:hideMark/>
          </w:tcPr>
          <w:p w:rsidR="0046263B" w:rsidRPr="005E1103" w:rsidRDefault="0046263B" w:rsidP="0046263B">
            <w:pPr>
              <w:spacing w:after="0" w:line="240" w:lineRule="auto"/>
              <w:jc w:val="center"/>
              <w:rPr>
                <w:rFonts w:eastAsia="Times New Roman" w:cstheme="minorHAnsi"/>
                <w:b/>
                <w:color w:val="000000"/>
                <w:sz w:val="28"/>
                <w:szCs w:val="28"/>
                <w:lang w:eastAsia="es-CR"/>
              </w:rPr>
            </w:pPr>
            <w:r w:rsidRPr="005E1103">
              <w:rPr>
                <w:rFonts w:eastAsia="Times New Roman" w:cstheme="minorHAnsi"/>
                <w:b/>
                <w:color w:val="000000"/>
                <w:sz w:val="28"/>
                <w:szCs w:val="28"/>
                <w:lang w:eastAsia="es-CR"/>
              </w:rPr>
              <w:t>100%</w:t>
            </w:r>
          </w:p>
        </w:tc>
        <w:tc>
          <w:tcPr>
            <w:tcW w:w="1608" w:type="dxa"/>
            <w:shd w:val="clear" w:color="auto" w:fill="EAF1DD"/>
            <w:noWrap/>
            <w:vAlign w:val="bottom"/>
            <w:hideMark/>
          </w:tcPr>
          <w:p w:rsidR="0046263B" w:rsidRPr="005E1103" w:rsidRDefault="0046263B" w:rsidP="0046263B">
            <w:pPr>
              <w:spacing w:after="0" w:line="240" w:lineRule="auto"/>
              <w:jc w:val="center"/>
              <w:rPr>
                <w:rFonts w:eastAsia="Times New Roman" w:cstheme="minorHAnsi"/>
                <w:b/>
                <w:color w:val="000000"/>
                <w:sz w:val="28"/>
                <w:szCs w:val="28"/>
                <w:lang w:eastAsia="es-CR"/>
              </w:rPr>
            </w:pPr>
            <w:r w:rsidRPr="005E1103">
              <w:rPr>
                <w:rFonts w:eastAsia="Times New Roman" w:cstheme="minorHAnsi"/>
                <w:b/>
                <w:color w:val="000000"/>
                <w:sz w:val="28"/>
                <w:szCs w:val="28"/>
                <w:lang w:eastAsia="es-CR"/>
              </w:rPr>
              <w:t>100%</w:t>
            </w:r>
          </w:p>
        </w:tc>
        <w:tc>
          <w:tcPr>
            <w:tcW w:w="1204" w:type="dxa"/>
            <w:shd w:val="clear" w:color="auto" w:fill="EAF1DD"/>
          </w:tcPr>
          <w:p w:rsidR="0046263B" w:rsidRPr="005E1103" w:rsidRDefault="0046263B" w:rsidP="0046263B">
            <w:pPr>
              <w:spacing w:after="0" w:line="240" w:lineRule="auto"/>
              <w:jc w:val="center"/>
              <w:rPr>
                <w:rFonts w:eastAsia="Times New Roman" w:cstheme="minorHAnsi"/>
                <w:b/>
                <w:color w:val="000000"/>
                <w:sz w:val="28"/>
                <w:szCs w:val="28"/>
                <w:lang w:eastAsia="es-CR"/>
              </w:rPr>
            </w:pPr>
            <w:r w:rsidRPr="005E1103">
              <w:rPr>
                <w:rFonts w:eastAsia="Times New Roman" w:cstheme="minorHAnsi"/>
                <w:b/>
                <w:color w:val="000000"/>
                <w:sz w:val="28"/>
                <w:szCs w:val="28"/>
                <w:lang w:eastAsia="es-CR"/>
              </w:rPr>
              <w:t>100%</w:t>
            </w:r>
          </w:p>
        </w:tc>
      </w:tr>
    </w:tbl>
    <w:p w:rsidR="0046263B" w:rsidRPr="005E1103" w:rsidRDefault="0046263B" w:rsidP="0046263B">
      <w:pPr>
        <w:spacing w:after="0"/>
        <w:rPr>
          <w:rFonts w:eastAsia="Times New Roman" w:cstheme="minorHAnsi"/>
          <w:color w:val="000000"/>
          <w:sz w:val="28"/>
          <w:szCs w:val="28"/>
          <w:lang w:eastAsia="es-CR"/>
        </w:rPr>
      </w:pPr>
    </w:p>
    <w:p w:rsidR="0046263B" w:rsidRPr="005E1103" w:rsidRDefault="0046263B" w:rsidP="0046263B">
      <w:pPr>
        <w:spacing w:after="0"/>
        <w:rPr>
          <w:rFonts w:eastAsia="Times New Roman" w:cstheme="minorHAnsi"/>
          <w:color w:val="000000"/>
          <w:sz w:val="28"/>
          <w:szCs w:val="28"/>
          <w:lang w:eastAsia="es-CR"/>
        </w:rPr>
      </w:pPr>
      <w:r w:rsidRPr="005E1103">
        <w:rPr>
          <w:rFonts w:eastAsia="Times New Roman" w:cstheme="minorHAnsi"/>
          <w:color w:val="000000"/>
          <w:sz w:val="28"/>
          <w:szCs w:val="28"/>
          <w:lang w:eastAsia="es-CR"/>
        </w:rPr>
        <w:t>Fuente: Valverde T(2016), retomado del Sistema SAE de la UCR</w:t>
      </w:r>
    </w:p>
    <w:p w:rsidR="0046263B" w:rsidRPr="005E1103" w:rsidRDefault="0046263B" w:rsidP="0046263B">
      <w:pPr>
        <w:autoSpaceDE w:val="0"/>
        <w:autoSpaceDN w:val="0"/>
        <w:adjustRightInd w:val="0"/>
        <w:spacing w:line="360" w:lineRule="auto"/>
        <w:jc w:val="both"/>
        <w:rPr>
          <w:rFonts w:cstheme="minorHAnsi"/>
          <w:sz w:val="28"/>
          <w:szCs w:val="28"/>
        </w:rPr>
      </w:pPr>
      <w:r w:rsidRPr="005E1103">
        <w:rPr>
          <w:rFonts w:cstheme="minorHAnsi"/>
          <w:sz w:val="28"/>
          <w:szCs w:val="28"/>
        </w:rPr>
        <w:tab/>
      </w:r>
      <w:r w:rsidRPr="005E1103">
        <w:rPr>
          <w:rFonts w:cstheme="minorHAnsi"/>
          <w:sz w:val="28"/>
          <w:szCs w:val="28"/>
        </w:rPr>
        <w:tab/>
        <w:t>A partir del proceso de recepción de documento 2015-2016, se tomó la decisión de que a los  y las estudiantes que vienen a dejar documentos con adecuación, se les atienda personalmente, tanto cuando se les recibe la documentación  como  en el proceso de la   capacitación que se les brinda para la matrícula en línea. Si su condición lo amerita, las citas son individuales, sino en pequeños grupos (no más de 10 personas). En la siguiente tabla podemos ver como ha sido el comportamiento de los estudiantes que solicitan adecuación para el proceso de Admisión.</w:t>
      </w:r>
    </w:p>
    <w:p w:rsidR="0046263B" w:rsidRPr="005E1103" w:rsidRDefault="0046263B" w:rsidP="0046263B">
      <w:pPr>
        <w:spacing w:after="0" w:line="240" w:lineRule="auto"/>
        <w:jc w:val="center"/>
        <w:rPr>
          <w:rFonts w:cstheme="minorHAnsi"/>
          <w:b/>
          <w:sz w:val="28"/>
          <w:szCs w:val="28"/>
        </w:rPr>
      </w:pPr>
    </w:p>
    <w:p w:rsidR="0046263B" w:rsidRPr="005E1103" w:rsidRDefault="0046263B" w:rsidP="0046263B">
      <w:pPr>
        <w:spacing w:after="0" w:line="240" w:lineRule="auto"/>
        <w:jc w:val="center"/>
        <w:rPr>
          <w:rFonts w:cstheme="minorHAnsi"/>
          <w:b/>
          <w:sz w:val="28"/>
          <w:szCs w:val="28"/>
        </w:rPr>
      </w:pPr>
      <w:r w:rsidRPr="005E1103">
        <w:rPr>
          <w:rFonts w:cstheme="minorHAnsi"/>
          <w:b/>
          <w:sz w:val="28"/>
          <w:szCs w:val="28"/>
        </w:rPr>
        <w:t>Tabla # 4. COMPORTAMIENTO DE LOS ESTUDIANTES CON ADECUACIÓN</w:t>
      </w:r>
    </w:p>
    <w:p w:rsidR="0046263B" w:rsidRPr="005E1103" w:rsidRDefault="0046263B" w:rsidP="0046263B">
      <w:pPr>
        <w:spacing w:after="0" w:line="240" w:lineRule="auto"/>
        <w:jc w:val="both"/>
        <w:rPr>
          <w:rFonts w:cstheme="minorHAnsi"/>
          <w:b/>
          <w:sz w:val="28"/>
          <w:szCs w:val="28"/>
        </w:rPr>
      </w:pPr>
    </w:p>
    <w:tbl>
      <w:tblPr>
        <w:tblW w:w="99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60"/>
        <w:gridCol w:w="1614"/>
        <w:gridCol w:w="1659"/>
        <w:gridCol w:w="1790"/>
        <w:gridCol w:w="1877"/>
        <w:gridCol w:w="1436"/>
        <w:gridCol w:w="1676"/>
      </w:tblGrid>
      <w:tr w:rsidR="0046263B" w:rsidRPr="005E1103" w:rsidTr="0046263B">
        <w:trPr>
          <w:trHeight w:val="901"/>
          <w:jc w:val="center"/>
        </w:trPr>
        <w:tc>
          <w:tcPr>
            <w:tcW w:w="1060" w:type="dxa"/>
            <w:shd w:val="clear" w:color="auto" w:fill="D6E3BC"/>
            <w:noWrap/>
            <w:vAlign w:val="center"/>
            <w:hideMark/>
          </w:tcPr>
          <w:p w:rsidR="0046263B" w:rsidRPr="005E1103" w:rsidRDefault="0046263B" w:rsidP="0046263B">
            <w:pPr>
              <w:spacing w:after="0" w:line="240" w:lineRule="auto"/>
              <w:jc w:val="center"/>
              <w:rPr>
                <w:rFonts w:eastAsia="Times New Roman" w:cstheme="minorHAnsi"/>
                <w:b/>
                <w:color w:val="000000"/>
                <w:sz w:val="28"/>
                <w:szCs w:val="28"/>
                <w:lang w:eastAsia="es-CR"/>
              </w:rPr>
            </w:pPr>
            <w:r w:rsidRPr="005E1103">
              <w:rPr>
                <w:rFonts w:eastAsia="Times New Roman" w:cstheme="minorHAnsi"/>
                <w:b/>
                <w:color w:val="000000"/>
                <w:sz w:val="28"/>
                <w:szCs w:val="28"/>
                <w:lang w:eastAsia="es-CR"/>
              </w:rPr>
              <w:lastRenderedPageBreak/>
              <w:t>AÑO</w:t>
            </w:r>
          </w:p>
        </w:tc>
        <w:tc>
          <w:tcPr>
            <w:tcW w:w="1614" w:type="dxa"/>
            <w:shd w:val="clear" w:color="auto" w:fill="D6E3BC"/>
            <w:vAlign w:val="center"/>
            <w:hideMark/>
          </w:tcPr>
          <w:p w:rsidR="0046263B" w:rsidRPr="005E1103" w:rsidRDefault="0046263B" w:rsidP="0046263B">
            <w:pPr>
              <w:spacing w:after="0" w:line="240" w:lineRule="auto"/>
              <w:jc w:val="center"/>
              <w:rPr>
                <w:rFonts w:eastAsia="Times New Roman" w:cstheme="minorHAnsi"/>
                <w:b/>
                <w:color w:val="000000"/>
                <w:sz w:val="28"/>
                <w:szCs w:val="28"/>
                <w:lang w:eastAsia="es-CR"/>
              </w:rPr>
            </w:pPr>
            <w:r w:rsidRPr="005E1103">
              <w:rPr>
                <w:rFonts w:eastAsia="Times New Roman" w:cstheme="minorHAnsi"/>
                <w:b/>
                <w:color w:val="000000"/>
                <w:sz w:val="28"/>
                <w:szCs w:val="28"/>
                <w:lang w:eastAsia="es-CR"/>
              </w:rPr>
              <w:t xml:space="preserve">Total de inscritos con adecuación </w:t>
            </w:r>
          </w:p>
          <w:p w:rsidR="0046263B" w:rsidRPr="005E1103" w:rsidRDefault="0046263B" w:rsidP="0046263B">
            <w:pPr>
              <w:spacing w:after="0" w:line="240" w:lineRule="auto"/>
              <w:jc w:val="center"/>
              <w:rPr>
                <w:rFonts w:eastAsia="Times New Roman" w:cstheme="minorHAnsi"/>
                <w:b/>
                <w:color w:val="000000"/>
                <w:sz w:val="28"/>
                <w:szCs w:val="28"/>
                <w:lang w:eastAsia="es-CR"/>
              </w:rPr>
            </w:pPr>
            <w:r w:rsidRPr="005E1103">
              <w:rPr>
                <w:rFonts w:eastAsia="Times New Roman" w:cstheme="minorHAnsi"/>
                <w:b/>
                <w:color w:val="000000"/>
                <w:sz w:val="28"/>
                <w:szCs w:val="28"/>
                <w:lang w:eastAsia="es-CR"/>
              </w:rPr>
              <w:t>UNA-UCR-TEC</w:t>
            </w:r>
          </w:p>
        </w:tc>
        <w:tc>
          <w:tcPr>
            <w:tcW w:w="1659" w:type="dxa"/>
            <w:shd w:val="clear" w:color="auto" w:fill="D6E3BC"/>
            <w:vAlign w:val="center"/>
            <w:hideMark/>
          </w:tcPr>
          <w:p w:rsidR="0046263B" w:rsidRPr="005E1103" w:rsidRDefault="0046263B" w:rsidP="0046263B">
            <w:pPr>
              <w:spacing w:after="0" w:line="240" w:lineRule="auto"/>
              <w:jc w:val="center"/>
              <w:rPr>
                <w:rFonts w:eastAsia="Times New Roman" w:cstheme="minorHAnsi"/>
                <w:b/>
                <w:color w:val="000000"/>
                <w:sz w:val="28"/>
                <w:szCs w:val="28"/>
                <w:lang w:eastAsia="es-CR"/>
              </w:rPr>
            </w:pPr>
            <w:r w:rsidRPr="005E1103">
              <w:rPr>
                <w:rFonts w:eastAsia="Times New Roman" w:cstheme="minorHAnsi"/>
                <w:b/>
                <w:color w:val="000000"/>
                <w:sz w:val="28"/>
                <w:szCs w:val="28"/>
                <w:lang w:eastAsia="es-CR"/>
              </w:rPr>
              <w:t>Total de inscritos con adecuación para la UNA</w:t>
            </w:r>
          </w:p>
        </w:tc>
        <w:tc>
          <w:tcPr>
            <w:tcW w:w="1790" w:type="dxa"/>
            <w:shd w:val="clear" w:color="auto" w:fill="D6E3BC"/>
            <w:vAlign w:val="center"/>
            <w:hideMark/>
          </w:tcPr>
          <w:p w:rsidR="0046263B" w:rsidRPr="005E1103" w:rsidRDefault="0046263B" w:rsidP="0046263B">
            <w:pPr>
              <w:spacing w:after="0" w:line="240" w:lineRule="auto"/>
              <w:jc w:val="center"/>
              <w:rPr>
                <w:rFonts w:eastAsia="Times New Roman" w:cstheme="minorHAnsi"/>
                <w:b/>
                <w:color w:val="000000"/>
                <w:sz w:val="28"/>
                <w:szCs w:val="28"/>
                <w:lang w:eastAsia="es-CR"/>
              </w:rPr>
            </w:pPr>
            <w:r w:rsidRPr="005E1103">
              <w:rPr>
                <w:rFonts w:eastAsia="Times New Roman" w:cstheme="minorHAnsi"/>
                <w:b/>
                <w:color w:val="000000"/>
                <w:sz w:val="28"/>
                <w:szCs w:val="28"/>
                <w:lang w:eastAsia="es-CR"/>
              </w:rPr>
              <w:t>Total de inscritos que realizaron la prueba con adecuación</w:t>
            </w:r>
          </w:p>
        </w:tc>
        <w:tc>
          <w:tcPr>
            <w:tcW w:w="1430" w:type="dxa"/>
            <w:shd w:val="clear" w:color="auto" w:fill="D6E3BC"/>
          </w:tcPr>
          <w:p w:rsidR="0046263B" w:rsidRPr="005E1103" w:rsidRDefault="0046263B" w:rsidP="0046263B">
            <w:pPr>
              <w:spacing w:after="0" w:line="240" w:lineRule="auto"/>
              <w:jc w:val="center"/>
              <w:rPr>
                <w:rFonts w:eastAsia="Times New Roman" w:cstheme="minorHAnsi"/>
                <w:b/>
                <w:color w:val="000000"/>
                <w:sz w:val="28"/>
                <w:szCs w:val="28"/>
                <w:lang w:eastAsia="es-CR"/>
              </w:rPr>
            </w:pPr>
            <w:r w:rsidRPr="005E1103">
              <w:rPr>
                <w:rFonts w:eastAsia="Times New Roman" w:cstheme="minorHAnsi"/>
                <w:b/>
                <w:color w:val="000000"/>
                <w:sz w:val="28"/>
                <w:szCs w:val="28"/>
                <w:lang w:eastAsia="es-CR"/>
              </w:rPr>
              <w:t>Elegibles (Cumplimiento de nota mínima de ingreso UNA)</w:t>
            </w:r>
          </w:p>
        </w:tc>
        <w:tc>
          <w:tcPr>
            <w:tcW w:w="1103" w:type="dxa"/>
            <w:shd w:val="clear" w:color="auto" w:fill="D6E3BC"/>
          </w:tcPr>
          <w:p w:rsidR="0046263B" w:rsidRPr="005E1103" w:rsidRDefault="0046263B" w:rsidP="0046263B">
            <w:pPr>
              <w:spacing w:after="0" w:line="240" w:lineRule="auto"/>
              <w:jc w:val="center"/>
              <w:rPr>
                <w:rFonts w:eastAsia="Times New Roman" w:cstheme="minorHAnsi"/>
                <w:b/>
                <w:color w:val="000000"/>
                <w:sz w:val="28"/>
                <w:szCs w:val="28"/>
                <w:lang w:eastAsia="es-CR"/>
              </w:rPr>
            </w:pPr>
            <w:r w:rsidRPr="005E1103">
              <w:rPr>
                <w:rFonts w:eastAsia="Times New Roman" w:cstheme="minorHAnsi"/>
                <w:b/>
                <w:color w:val="000000"/>
                <w:sz w:val="28"/>
                <w:szCs w:val="28"/>
                <w:lang w:eastAsia="es-CR"/>
              </w:rPr>
              <w:t xml:space="preserve">Entregaron titulo </w:t>
            </w:r>
          </w:p>
        </w:tc>
        <w:tc>
          <w:tcPr>
            <w:tcW w:w="1281" w:type="dxa"/>
            <w:shd w:val="clear" w:color="auto" w:fill="D6E3BC"/>
            <w:noWrap/>
            <w:vAlign w:val="center"/>
            <w:hideMark/>
          </w:tcPr>
          <w:p w:rsidR="0046263B" w:rsidRPr="005E1103" w:rsidRDefault="0046263B" w:rsidP="0046263B">
            <w:pPr>
              <w:spacing w:after="0" w:line="240" w:lineRule="auto"/>
              <w:jc w:val="center"/>
              <w:rPr>
                <w:rFonts w:eastAsia="Times New Roman" w:cstheme="minorHAnsi"/>
                <w:b/>
                <w:color w:val="000000"/>
                <w:sz w:val="28"/>
                <w:szCs w:val="28"/>
                <w:lang w:eastAsia="es-CR"/>
              </w:rPr>
            </w:pPr>
            <w:r w:rsidRPr="005E1103">
              <w:rPr>
                <w:rFonts w:eastAsia="Times New Roman" w:cstheme="minorHAnsi"/>
                <w:b/>
                <w:color w:val="000000"/>
                <w:sz w:val="28"/>
                <w:szCs w:val="28"/>
                <w:lang w:eastAsia="es-CR"/>
              </w:rPr>
              <w:t>Matriculados</w:t>
            </w:r>
          </w:p>
        </w:tc>
      </w:tr>
      <w:tr w:rsidR="0046263B" w:rsidRPr="005E1103" w:rsidTr="0046263B">
        <w:trPr>
          <w:trHeight w:val="307"/>
          <w:jc w:val="center"/>
        </w:trPr>
        <w:tc>
          <w:tcPr>
            <w:tcW w:w="1060" w:type="dxa"/>
            <w:shd w:val="clear" w:color="auto" w:fill="auto"/>
            <w:noWrap/>
            <w:vAlign w:val="bottom"/>
            <w:hideMark/>
          </w:tcPr>
          <w:p w:rsidR="0046263B" w:rsidRPr="005E1103" w:rsidRDefault="0046263B" w:rsidP="0046263B">
            <w:pPr>
              <w:spacing w:after="0" w:line="240" w:lineRule="auto"/>
              <w:rPr>
                <w:rFonts w:eastAsia="Times New Roman" w:cstheme="minorHAnsi"/>
                <w:color w:val="000000"/>
                <w:sz w:val="28"/>
                <w:szCs w:val="28"/>
                <w:lang w:eastAsia="es-CR"/>
              </w:rPr>
            </w:pPr>
            <w:r w:rsidRPr="005E1103">
              <w:rPr>
                <w:rFonts w:eastAsia="Times New Roman" w:cstheme="minorHAnsi"/>
                <w:color w:val="000000"/>
                <w:sz w:val="28"/>
                <w:szCs w:val="28"/>
                <w:lang w:eastAsia="es-CR"/>
              </w:rPr>
              <w:t>2012-2013</w:t>
            </w:r>
          </w:p>
        </w:tc>
        <w:tc>
          <w:tcPr>
            <w:tcW w:w="1614" w:type="dxa"/>
            <w:shd w:val="clear" w:color="auto" w:fill="auto"/>
            <w:noWrap/>
            <w:vAlign w:val="bottom"/>
            <w:hideMark/>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1637</w:t>
            </w:r>
          </w:p>
        </w:tc>
        <w:tc>
          <w:tcPr>
            <w:tcW w:w="1659" w:type="dxa"/>
            <w:shd w:val="clear" w:color="auto" w:fill="auto"/>
            <w:noWrap/>
            <w:vAlign w:val="bottom"/>
            <w:hideMark/>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74.70</w:t>
            </w:r>
          </w:p>
        </w:tc>
        <w:tc>
          <w:tcPr>
            <w:tcW w:w="1790" w:type="dxa"/>
            <w:shd w:val="clear" w:color="auto" w:fill="auto"/>
            <w:noWrap/>
            <w:vAlign w:val="bottom"/>
            <w:hideMark/>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53.70</w:t>
            </w:r>
          </w:p>
        </w:tc>
        <w:tc>
          <w:tcPr>
            <w:tcW w:w="1430" w:type="dxa"/>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34.90</w:t>
            </w:r>
          </w:p>
        </w:tc>
        <w:tc>
          <w:tcPr>
            <w:tcW w:w="1103" w:type="dxa"/>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10.01</w:t>
            </w:r>
          </w:p>
        </w:tc>
        <w:tc>
          <w:tcPr>
            <w:tcW w:w="1281" w:type="dxa"/>
            <w:shd w:val="clear" w:color="auto" w:fill="auto"/>
            <w:noWrap/>
            <w:vAlign w:val="bottom"/>
            <w:hideMark/>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4.27</w:t>
            </w:r>
          </w:p>
        </w:tc>
      </w:tr>
      <w:tr w:rsidR="0046263B" w:rsidRPr="005E1103" w:rsidTr="0046263B">
        <w:trPr>
          <w:trHeight w:val="307"/>
          <w:jc w:val="center"/>
        </w:trPr>
        <w:tc>
          <w:tcPr>
            <w:tcW w:w="1060" w:type="dxa"/>
            <w:shd w:val="clear" w:color="auto" w:fill="auto"/>
            <w:noWrap/>
            <w:vAlign w:val="bottom"/>
            <w:hideMark/>
          </w:tcPr>
          <w:p w:rsidR="0046263B" w:rsidRPr="005E1103" w:rsidRDefault="0046263B" w:rsidP="0046263B">
            <w:pPr>
              <w:spacing w:after="0" w:line="240" w:lineRule="auto"/>
              <w:rPr>
                <w:rFonts w:eastAsia="Times New Roman" w:cstheme="minorHAnsi"/>
                <w:color w:val="000000"/>
                <w:sz w:val="28"/>
                <w:szCs w:val="28"/>
                <w:lang w:eastAsia="es-CR"/>
              </w:rPr>
            </w:pPr>
            <w:r w:rsidRPr="005E1103">
              <w:rPr>
                <w:rFonts w:eastAsia="Times New Roman" w:cstheme="minorHAnsi"/>
                <w:color w:val="000000"/>
                <w:sz w:val="28"/>
                <w:szCs w:val="28"/>
                <w:lang w:eastAsia="es-CR"/>
              </w:rPr>
              <w:t>2013-2014</w:t>
            </w:r>
          </w:p>
        </w:tc>
        <w:tc>
          <w:tcPr>
            <w:tcW w:w="1614" w:type="dxa"/>
            <w:shd w:val="clear" w:color="auto" w:fill="auto"/>
            <w:noWrap/>
            <w:vAlign w:val="bottom"/>
            <w:hideMark/>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1671</w:t>
            </w:r>
          </w:p>
        </w:tc>
        <w:tc>
          <w:tcPr>
            <w:tcW w:w="1659" w:type="dxa"/>
            <w:shd w:val="clear" w:color="auto" w:fill="auto"/>
            <w:noWrap/>
            <w:vAlign w:val="bottom"/>
            <w:hideMark/>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58.95</w:t>
            </w:r>
          </w:p>
        </w:tc>
        <w:tc>
          <w:tcPr>
            <w:tcW w:w="1790" w:type="dxa"/>
            <w:shd w:val="clear" w:color="auto" w:fill="auto"/>
            <w:noWrap/>
            <w:vAlign w:val="bottom"/>
            <w:hideMark/>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52.66</w:t>
            </w:r>
          </w:p>
        </w:tc>
        <w:tc>
          <w:tcPr>
            <w:tcW w:w="1430" w:type="dxa"/>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34.30</w:t>
            </w:r>
          </w:p>
        </w:tc>
        <w:tc>
          <w:tcPr>
            <w:tcW w:w="1103" w:type="dxa"/>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13.46</w:t>
            </w:r>
          </w:p>
        </w:tc>
        <w:tc>
          <w:tcPr>
            <w:tcW w:w="1281" w:type="dxa"/>
            <w:shd w:val="clear" w:color="auto" w:fill="auto"/>
            <w:noWrap/>
            <w:vAlign w:val="bottom"/>
            <w:hideMark/>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6.58</w:t>
            </w:r>
          </w:p>
        </w:tc>
      </w:tr>
      <w:tr w:rsidR="0046263B" w:rsidRPr="005E1103" w:rsidTr="0046263B">
        <w:trPr>
          <w:trHeight w:val="307"/>
          <w:jc w:val="center"/>
        </w:trPr>
        <w:tc>
          <w:tcPr>
            <w:tcW w:w="1060" w:type="dxa"/>
            <w:shd w:val="clear" w:color="auto" w:fill="auto"/>
            <w:noWrap/>
            <w:vAlign w:val="bottom"/>
            <w:hideMark/>
          </w:tcPr>
          <w:p w:rsidR="0046263B" w:rsidRPr="005E1103" w:rsidRDefault="0046263B" w:rsidP="0046263B">
            <w:pPr>
              <w:spacing w:after="0" w:line="240" w:lineRule="auto"/>
              <w:rPr>
                <w:rFonts w:eastAsia="Times New Roman" w:cstheme="minorHAnsi"/>
                <w:color w:val="000000"/>
                <w:sz w:val="28"/>
                <w:szCs w:val="28"/>
                <w:lang w:eastAsia="es-CR"/>
              </w:rPr>
            </w:pPr>
            <w:r w:rsidRPr="005E1103">
              <w:rPr>
                <w:rFonts w:eastAsia="Times New Roman" w:cstheme="minorHAnsi"/>
                <w:color w:val="000000"/>
                <w:sz w:val="28"/>
                <w:szCs w:val="28"/>
                <w:lang w:eastAsia="es-CR"/>
              </w:rPr>
              <w:t>2014-2015</w:t>
            </w:r>
          </w:p>
        </w:tc>
        <w:tc>
          <w:tcPr>
            <w:tcW w:w="1614" w:type="dxa"/>
            <w:shd w:val="clear" w:color="auto" w:fill="auto"/>
            <w:noWrap/>
            <w:vAlign w:val="bottom"/>
            <w:hideMark/>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1809</w:t>
            </w:r>
          </w:p>
        </w:tc>
        <w:tc>
          <w:tcPr>
            <w:tcW w:w="1659" w:type="dxa"/>
            <w:shd w:val="clear" w:color="auto" w:fill="auto"/>
            <w:noWrap/>
            <w:vAlign w:val="bottom"/>
            <w:hideMark/>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60.64</w:t>
            </w:r>
          </w:p>
        </w:tc>
        <w:tc>
          <w:tcPr>
            <w:tcW w:w="1790" w:type="dxa"/>
            <w:shd w:val="clear" w:color="auto" w:fill="auto"/>
            <w:noWrap/>
            <w:vAlign w:val="bottom"/>
            <w:hideMark/>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88.33</w:t>
            </w:r>
          </w:p>
        </w:tc>
        <w:tc>
          <w:tcPr>
            <w:tcW w:w="1430" w:type="dxa"/>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36.15</w:t>
            </w:r>
          </w:p>
        </w:tc>
        <w:tc>
          <w:tcPr>
            <w:tcW w:w="1103" w:type="dxa"/>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14.48</w:t>
            </w:r>
          </w:p>
        </w:tc>
        <w:tc>
          <w:tcPr>
            <w:tcW w:w="1281" w:type="dxa"/>
            <w:shd w:val="clear" w:color="auto" w:fill="auto"/>
            <w:noWrap/>
            <w:vAlign w:val="bottom"/>
            <w:hideMark/>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6.46</w:t>
            </w:r>
          </w:p>
        </w:tc>
      </w:tr>
      <w:tr w:rsidR="0046263B" w:rsidRPr="005E1103" w:rsidTr="0046263B">
        <w:trPr>
          <w:trHeight w:val="307"/>
          <w:jc w:val="center"/>
        </w:trPr>
        <w:tc>
          <w:tcPr>
            <w:tcW w:w="1060" w:type="dxa"/>
            <w:shd w:val="clear" w:color="auto" w:fill="auto"/>
            <w:noWrap/>
            <w:vAlign w:val="bottom"/>
            <w:hideMark/>
          </w:tcPr>
          <w:p w:rsidR="0046263B" w:rsidRPr="005E1103" w:rsidRDefault="0046263B" w:rsidP="0046263B">
            <w:pPr>
              <w:spacing w:after="0" w:line="240" w:lineRule="auto"/>
              <w:rPr>
                <w:rFonts w:eastAsia="Times New Roman" w:cstheme="minorHAnsi"/>
                <w:color w:val="000000"/>
                <w:sz w:val="28"/>
                <w:szCs w:val="28"/>
                <w:lang w:eastAsia="es-CR"/>
              </w:rPr>
            </w:pPr>
            <w:r w:rsidRPr="005E1103">
              <w:rPr>
                <w:rFonts w:eastAsia="Times New Roman" w:cstheme="minorHAnsi"/>
                <w:color w:val="000000"/>
                <w:sz w:val="28"/>
                <w:szCs w:val="28"/>
                <w:lang w:eastAsia="es-CR"/>
              </w:rPr>
              <w:t>2015-2016</w:t>
            </w:r>
          </w:p>
        </w:tc>
        <w:tc>
          <w:tcPr>
            <w:tcW w:w="1614" w:type="dxa"/>
            <w:shd w:val="clear" w:color="auto" w:fill="auto"/>
            <w:noWrap/>
            <w:vAlign w:val="bottom"/>
            <w:hideMark/>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1976</w:t>
            </w:r>
          </w:p>
        </w:tc>
        <w:tc>
          <w:tcPr>
            <w:tcW w:w="1659" w:type="dxa"/>
            <w:shd w:val="clear" w:color="auto" w:fill="auto"/>
            <w:noWrap/>
            <w:vAlign w:val="bottom"/>
            <w:hideMark/>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65.63</w:t>
            </w:r>
          </w:p>
        </w:tc>
        <w:tc>
          <w:tcPr>
            <w:tcW w:w="1790" w:type="dxa"/>
            <w:shd w:val="clear" w:color="auto" w:fill="auto"/>
            <w:noWrap/>
            <w:vAlign w:val="bottom"/>
            <w:hideMark/>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56.62</w:t>
            </w:r>
          </w:p>
        </w:tc>
        <w:tc>
          <w:tcPr>
            <w:tcW w:w="1430" w:type="dxa"/>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38.36</w:t>
            </w:r>
          </w:p>
        </w:tc>
        <w:tc>
          <w:tcPr>
            <w:tcW w:w="1103" w:type="dxa"/>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15.89</w:t>
            </w:r>
          </w:p>
        </w:tc>
        <w:tc>
          <w:tcPr>
            <w:tcW w:w="1281" w:type="dxa"/>
            <w:shd w:val="clear" w:color="auto" w:fill="auto"/>
            <w:noWrap/>
            <w:vAlign w:val="bottom"/>
            <w:hideMark/>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6.93</w:t>
            </w:r>
          </w:p>
        </w:tc>
      </w:tr>
    </w:tbl>
    <w:p w:rsidR="0046263B" w:rsidRPr="005E1103" w:rsidRDefault="0046263B" w:rsidP="0046263B">
      <w:pPr>
        <w:jc w:val="both"/>
        <w:rPr>
          <w:rFonts w:eastAsia="Times New Roman" w:cstheme="minorHAnsi"/>
          <w:color w:val="000000"/>
          <w:sz w:val="28"/>
          <w:szCs w:val="28"/>
          <w:lang w:eastAsia="es-CR"/>
        </w:rPr>
      </w:pPr>
      <w:r w:rsidRPr="005E1103">
        <w:rPr>
          <w:rFonts w:eastAsia="Times New Roman" w:cstheme="minorHAnsi"/>
          <w:color w:val="000000"/>
          <w:sz w:val="28"/>
          <w:szCs w:val="28"/>
          <w:lang w:eastAsia="es-CR"/>
        </w:rPr>
        <w:t xml:space="preserve">       Fuente: Unidad de Admisión, UNA 2016</w:t>
      </w:r>
    </w:p>
    <w:p w:rsidR="0046263B" w:rsidRPr="005E1103" w:rsidRDefault="0046263B" w:rsidP="0046263B">
      <w:pPr>
        <w:spacing w:after="0" w:line="360" w:lineRule="auto"/>
        <w:jc w:val="center"/>
        <w:rPr>
          <w:rFonts w:cstheme="minorHAnsi"/>
          <w:sz w:val="28"/>
          <w:szCs w:val="28"/>
        </w:rPr>
      </w:pPr>
      <w:r w:rsidRPr="005E1103">
        <w:rPr>
          <w:rFonts w:cstheme="minorHAnsi"/>
          <w:sz w:val="28"/>
          <w:szCs w:val="28"/>
        </w:rPr>
        <w:tab/>
      </w:r>
    </w:p>
    <w:p w:rsidR="0046263B" w:rsidRPr="005E1103" w:rsidRDefault="0046263B" w:rsidP="0046263B">
      <w:pPr>
        <w:autoSpaceDE w:val="0"/>
        <w:autoSpaceDN w:val="0"/>
        <w:adjustRightInd w:val="0"/>
        <w:spacing w:line="360" w:lineRule="auto"/>
        <w:jc w:val="both"/>
        <w:rPr>
          <w:rFonts w:cstheme="minorHAnsi"/>
          <w:sz w:val="28"/>
          <w:szCs w:val="28"/>
        </w:rPr>
      </w:pPr>
      <w:r w:rsidRPr="005E1103">
        <w:rPr>
          <w:rFonts w:cstheme="minorHAnsi"/>
          <w:sz w:val="28"/>
          <w:szCs w:val="28"/>
        </w:rPr>
        <w:t>Asimismo, el aumento también se ve por Sede pasando en la Sede Central de 74 estudiantes en el 2012 a 84 en el 2016; en el caso de las diferentes Sedes Regionales ha habido un aumento considerable como es el caso de la Sede Regional Chorotega de 4 estudiantes en el 2012 a 13 estudiantes en el 2016, así como la Sede Regional Brunca donde en el 2012 matricularon 2 estudiantes y en el 2016 12 estudiantes.</w:t>
      </w:r>
    </w:p>
    <w:p w:rsidR="0046263B" w:rsidRPr="005E1103" w:rsidRDefault="0046263B" w:rsidP="0046263B">
      <w:pPr>
        <w:jc w:val="center"/>
        <w:rPr>
          <w:rFonts w:cstheme="minorHAnsi"/>
          <w:b/>
          <w:sz w:val="28"/>
          <w:szCs w:val="28"/>
        </w:rPr>
      </w:pPr>
      <w:r w:rsidRPr="005E1103">
        <w:rPr>
          <w:rFonts w:cstheme="minorHAnsi"/>
          <w:b/>
          <w:sz w:val="28"/>
          <w:szCs w:val="28"/>
        </w:rPr>
        <w:t xml:space="preserve">Tabla # 5. Número de estudiantes Matriculados con adecuación en la Universidad Nacional  por Sede </w:t>
      </w:r>
    </w:p>
    <w:tbl>
      <w:tblPr>
        <w:tblW w:w="899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0"/>
        <w:gridCol w:w="992"/>
        <w:gridCol w:w="987"/>
        <w:gridCol w:w="855"/>
        <w:gridCol w:w="855"/>
        <w:gridCol w:w="870"/>
      </w:tblGrid>
      <w:tr w:rsidR="0046263B" w:rsidRPr="005E1103" w:rsidTr="0046263B">
        <w:trPr>
          <w:trHeight w:val="263"/>
        </w:trPr>
        <w:tc>
          <w:tcPr>
            <w:tcW w:w="4561" w:type="dxa"/>
            <w:shd w:val="clear" w:color="auto" w:fill="D6E3BC"/>
          </w:tcPr>
          <w:p w:rsidR="0046263B" w:rsidRPr="005E1103" w:rsidRDefault="0046263B" w:rsidP="0046263B">
            <w:pPr>
              <w:spacing w:after="0" w:line="240" w:lineRule="auto"/>
              <w:jc w:val="center"/>
              <w:rPr>
                <w:rFonts w:eastAsia="Times New Roman" w:cstheme="minorHAnsi"/>
                <w:b/>
                <w:color w:val="000000"/>
                <w:sz w:val="28"/>
                <w:szCs w:val="28"/>
                <w:lang w:eastAsia="es-CR"/>
              </w:rPr>
            </w:pPr>
          </w:p>
        </w:tc>
        <w:tc>
          <w:tcPr>
            <w:tcW w:w="999" w:type="dxa"/>
            <w:shd w:val="clear" w:color="auto" w:fill="D6E3BC"/>
          </w:tcPr>
          <w:p w:rsidR="0046263B" w:rsidRPr="005E1103" w:rsidRDefault="0046263B" w:rsidP="0046263B">
            <w:pPr>
              <w:spacing w:after="0" w:line="240" w:lineRule="auto"/>
              <w:jc w:val="center"/>
              <w:rPr>
                <w:rFonts w:eastAsia="Times New Roman" w:cstheme="minorHAnsi"/>
                <w:b/>
                <w:color w:val="000000"/>
                <w:sz w:val="28"/>
                <w:szCs w:val="28"/>
                <w:lang w:eastAsia="es-CR"/>
              </w:rPr>
            </w:pPr>
            <w:r w:rsidRPr="005E1103">
              <w:rPr>
                <w:rFonts w:eastAsia="Times New Roman" w:cstheme="minorHAnsi"/>
                <w:b/>
                <w:color w:val="000000"/>
                <w:sz w:val="28"/>
                <w:szCs w:val="28"/>
                <w:lang w:eastAsia="es-CR"/>
              </w:rPr>
              <w:t>2012</w:t>
            </w:r>
          </w:p>
        </w:tc>
        <w:tc>
          <w:tcPr>
            <w:tcW w:w="998" w:type="dxa"/>
            <w:shd w:val="clear" w:color="auto" w:fill="D6E3BC"/>
          </w:tcPr>
          <w:p w:rsidR="0046263B" w:rsidRPr="005E1103" w:rsidRDefault="0046263B" w:rsidP="0046263B">
            <w:pPr>
              <w:spacing w:after="0" w:line="240" w:lineRule="auto"/>
              <w:jc w:val="center"/>
              <w:rPr>
                <w:rFonts w:eastAsia="Times New Roman" w:cstheme="minorHAnsi"/>
                <w:b/>
                <w:color w:val="000000"/>
                <w:sz w:val="28"/>
                <w:szCs w:val="28"/>
                <w:lang w:eastAsia="es-CR"/>
              </w:rPr>
            </w:pPr>
            <w:r w:rsidRPr="005E1103">
              <w:rPr>
                <w:rFonts w:eastAsia="Times New Roman" w:cstheme="minorHAnsi"/>
                <w:b/>
                <w:color w:val="000000"/>
                <w:sz w:val="28"/>
                <w:szCs w:val="28"/>
                <w:lang w:eastAsia="es-CR"/>
              </w:rPr>
              <w:t>2013</w:t>
            </w:r>
          </w:p>
        </w:tc>
        <w:tc>
          <w:tcPr>
            <w:tcW w:w="715" w:type="dxa"/>
            <w:shd w:val="clear" w:color="auto" w:fill="D6E3BC"/>
          </w:tcPr>
          <w:p w:rsidR="0046263B" w:rsidRPr="005E1103" w:rsidRDefault="0046263B" w:rsidP="0046263B">
            <w:pPr>
              <w:spacing w:after="0" w:line="240" w:lineRule="auto"/>
              <w:jc w:val="center"/>
              <w:rPr>
                <w:rFonts w:eastAsia="Times New Roman" w:cstheme="minorHAnsi"/>
                <w:b/>
                <w:color w:val="000000"/>
                <w:sz w:val="28"/>
                <w:szCs w:val="28"/>
                <w:lang w:eastAsia="es-CR"/>
              </w:rPr>
            </w:pPr>
            <w:r w:rsidRPr="005E1103">
              <w:rPr>
                <w:rFonts w:eastAsia="Times New Roman" w:cstheme="minorHAnsi"/>
                <w:b/>
                <w:color w:val="000000"/>
                <w:sz w:val="28"/>
                <w:szCs w:val="28"/>
                <w:lang w:eastAsia="es-CR"/>
              </w:rPr>
              <w:t>2014</w:t>
            </w:r>
          </w:p>
        </w:tc>
        <w:tc>
          <w:tcPr>
            <w:tcW w:w="855" w:type="dxa"/>
            <w:shd w:val="clear" w:color="auto" w:fill="D6E3BC"/>
          </w:tcPr>
          <w:p w:rsidR="0046263B" w:rsidRPr="005E1103" w:rsidRDefault="0046263B" w:rsidP="0046263B">
            <w:pPr>
              <w:spacing w:after="0" w:line="240" w:lineRule="auto"/>
              <w:jc w:val="center"/>
              <w:rPr>
                <w:rFonts w:eastAsia="Times New Roman" w:cstheme="minorHAnsi"/>
                <w:b/>
                <w:color w:val="000000"/>
                <w:sz w:val="28"/>
                <w:szCs w:val="28"/>
                <w:lang w:eastAsia="es-CR"/>
              </w:rPr>
            </w:pPr>
            <w:r w:rsidRPr="005E1103">
              <w:rPr>
                <w:rFonts w:eastAsia="Times New Roman" w:cstheme="minorHAnsi"/>
                <w:b/>
                <w:color w:val="000000"/>
                <w:sz w:val="28"/>
                <w:szCs w:val="28"/>
                <w:lang w:eastAsia="es-CR"/>
              </w:rPr>
              <w:t>2015</w:t>
            </w:r>
          </w:p>
        </w:tc>
        <w:tc>
          <w:tcPr>
            <w:tcW w:w="871" w:type="dxa"/>
            <w:shd w:val="clear" w:color="auto" w:fill="D6E3BC"/>
          </w:tcPr>
          <w:p w:rsidR="0046263B" w:rsidRPr="005E1103" w:rsidRDefault="0046263B" w:rsidP="0046263B">
            <w:pPr>
              <w:spacing w:after="0" w:line="240" w:lineRule="auto"/>
              <w:jc w:val="center"/>
              <w:rPr>
                <w:rFonts w:eastAsia="Times New Roman" w:cstheme="minorHAnsi"/>
                <w:b/>
                <w:color w:val="000000"/>
                <w:sz w:val="28"/>
                <w:szCs w:val="28"/>
                <w:lang w:eastAsia="es-CR"/>
              </w:rPr>
            </w:pPr>
            <w:r w:rsidRPr="005E1103">
              <w:rPr>
                <w:rFonts w:eastAsia="Times New Roman" w:cstheme="minorHAnsi"/>
                <w:b/>
                <w:color w:val="000000"/>
                <w:sz w:val="28"/>
                <w:szCs w:val="28"/>
                <w:lang w:eastAsia="es-CR"/>
              </w:rPr>
              <w:t>2016</w:t>
            </w:r>
          </w:p>
        </w:tc>
      </w:tr>
      <w:tr w:rsidR="0046263B" w:rsidRPr="005E1103" w:rsidTr="0046263B">
        <w:trPr>
          <w:trHeight w:val="249"/>
        </w:trPr>
        <w:tc>
          <w:tcPr>
            <w:tcW w:w="4561" w:type="dxa"/>
            <w:shd w:val="clear" w:color="auto" w:fill="FBD4B4"/>
          </w:tcPr>
          <w:p w:rsidR="0046263B" w:rsidRPr="005E1103" w:rsidRDefault="0046263B" w:rsidP="0046263B">
            <w:pPr>
              <w:spacing w:after="0" w:line="240" w:lineRule="auto"/>
              <w:jc w:val="both"/>
              <w:rPr>
                <w:rFonts w:eastAsia="Times New Roman" w:cstheme="minorHAnsi"/>
                <w:b/>
                <w:color w:val="000000"/>
                <w:sz w:val="28"/>
                <w:szCs w:val="28"/>
                <w:lang w:eastAsia="es-CR"/>
              </w:rPr>
            </w:pPr>
            <w:r w:rsidRPr="005E1103">
              <w:rPr>
                <w:rFonts w:eastAsia="Times New Roman" w:cstheme="minorHAnsi"/>
                <w:b/>
                <w:color w:val="000000"/>
                <w:sz w:val="28"/>
                <w:szCs w:val="28"/>
                <w:lang w:eastAsia="es-CR"/>
              </w:rPr>
              <w:t xml:space="preserve">Total  de Matriculados Universidad Nacional </w:t>
            </w:r>
          </w:p>
        </w:tc>
        <w:tc>
          <w:tcPr>
            <w:tcW w:w="999" w:type="dxa"/>
            <w:shd w:val="clear" w:color="auto" w:fill="FBD4B4"/>
          </w:tcPr>
          <w:p w:rsidR="0046263B" w:rsidRPr="005E1103" w:rsidRDefault="0046263B" w:rsidP="0046263B">
            <w:pPr>
              <w:spacing w:after="0" w:line="240" w:lineRule="auto"/>
              <w:jc w:val="center"/>
              <w:rPr>
                <w:rFonts w:eastAsia="Times New Roman" w:cstheme="minorHAnsi"/>
                <w:b/>
                <w:color w:val="000000"/>
                <w:sz w:val="28"/>
                <w:szCs w:val="28"/>
                <w:lang w:eastAsia="es-CR"/>
              </w:rPr>
            </w:pPr>
            <w:r w:rsidRPr="005E1103">
              <w:rPr>
                <w:rFonts w:eastAsia="Times New Roman" w:cstheme="minorHAnsi"/>
                <w:b/>
                <w:color w:val="000000"/>
                <w:sz w:val="28"/>
                <w:szCs w:val="28"/>
                <w:lang w:eastAsia="es-CR"/>
              </w:rPr>
              <w:t>89</w:t>
            </w:r>
          </w:p>
        </w:tc>
        <w:tc>
          <w:tcPr>
            <w:tcW w:w="998" w:type="dxa"/>
            <w:shd w:val="clear" w:color="auto" w:fill="FBD4B4"/>
          </w:tcPr>
          <w:p w:rsidR="0046263B" w:rsidRPr="005E1103" w:rsidRDefault="0046263B" w:rsidP="0046263B">
            <w:pPr>
              <w:spacing w:after="0" w:line="240" w:lineRule="auto"/>
              <w:jc w:val="center"/>
              <w:rPr>
                <w:rFonts w:eastAsia="Times New Roman" w:cstheme="minorHAnsi"/>
                <w:b/>
                <w:color w:val="000000"/>
                <w:sz w:val="28"/>
                <w:szCs w:val="28"/>
                <w:lang w:eastAsia="es-CR"/>
              </w:rPr>
            </w:pPr>
            <w:r w:rsidRPr="005E1103">
              <w:rPr>
                <w:rFonts w:eastAsia="Times New Roman" w:cstheme="minorHAnsi"/>
                <w:b/>
                <w:color w:val="000000"/>
                <w:sz w:val="28"/>
                <w:szCs w:val="28"/>
                <w:lang w:eastAsia="es-CR"/>
              </w:rPr>
              <w:t>70</w:t>
            </w:r>
          </w:p>
        </w:tc>
        <w:tc>
          <w:tcPr>
            <w:tcW w:w="715" w:type="dxa"/>
            <w:shd w:val="clear" w:color="auto" w:fill="FBD4B4"/>
          </w:tcPr>
          <w:p w:rsidR="0046263B" w:rsidRPr="005E1103" w:rsidRDefault="0046263B" w:rsidP="0046263B">
            <w:pPr>
              <w:spacing w:after="0" w:line="240" w:lineRule="auto"/>
              <w:jc w:val="center"/>
              <w:rPr>
                <w:rFonts w:eastAsia="Times New Roman" w:cstheme="minorHAnsi"/>
                <w:b/>
                <w:color w:val="000000"/>
                <w:sz w:val="28"/>
                <w:szCs w:val="28"/>
                <w:lang w:eastAsia="es-CR"/>
              </w:rPr>
            </w:pPr>
            <w:r w:rsidRPr="005E1103">
              <w:rPr>
                <w:rFonts w:eastAsia="Times New Roman" w:cstheme="minorHAnsi"/>
                <w:b/>
                <w:color w:val="000000"/>
                <w:sz w:val="28"/>
                <w:szCs w:val="28"/>
                <w:lang w:eastAsia="es-CR"/>
              </w:rPr>
              <w:t>109</w:t>
            </w:r>
          </w:p>
        </w:tc>
        <w:tc>
          <w:tcPr>
            <w:tcW w:w="855" w:type="dxa"/>
            <w:shd w:val="clear" w:color="auto" w:fill="FBD4B4"/>
          </w:tcPr>
          <w:p w:rsidR="0046263B" w:rsidRPr="005E1103" w:rsidRDefault="0046263B" w:rsidP="0046263B">
            <w:pPr>
              <w:spacing w:after="0" w:line="240" w:lineRule="auto"/>
              <w:jc w:val="center"/>
              <w:rPr>
                <w:rFonts w:eastAsia="Times New Roman" w:cstheme="minorHAnsi"/>
                <w:b/>
                <w:color w:val="000000"/>
                <w:sz w:val="28"/>
                <w:szCs w:val="28"/>
                <w:lang w:eastAsia="es-CR"/>
              </w:rPr>
            </w:pPr>
            <w:r w:rsidRPr="005E1103">
              <w:rPr>
                <w:rFonts w:eastAsia="Times New Roman" w:cstheme="minorHAnsi"/>
                <w:b/>
                <w:color w:val="000000"/>
                <w:sz w:val="28"/>
                <w:szCs w:val="28"/>
                <w:lang w:eastAsia="es-CR"/>
              </w:rPr>
              <w:t>117</w:t>
            </w:r>
          </w:p>
        </w:tc>
        <w:tc>
          <w:tcPr>
            <w:tcW w:w="871" w:type="dxa"/>
            <w:shd w:val="clear" w:color="auto" w:fill="FBD4B4"/>
          </w:tcPr>
          <w:p w:rsidR="0046263B" w:rsidRPr="005E1103" w:rsidRDefault="0046263B" w:rsidP="0046263B">
            <w:pPr>
              <w:spacing w:after="0" w:line="240" w:lineRule="auto"/>
              <w:jc w:val="center"/>
              <w:rPr>
                <w:rFonts w:eastAsia="Times New Roman" w:cstheme="minorHAnsi"/>
                <w:b/>
                <w:color w:val="000000"/>
                <w:sz w:val="28"/>
                <w:szCs w:val="28"/>
                <w:lang w:eastAsia="es-CR"/>
              </w:rPr>
            </w:pPr>
            <w:r w:rsidRPr="005E1103">
              <w:rPr>
                <w:rFonts w:eastAsia="Times New Roman" w:cstheme="minorHAnsi"/>
                <w:b/>
                <w:color w:val="000000"/>
                <w:sz w:val="28"/>
                <w:szCs w:val="28"/>
                <w:lang w:eastAsia="es-CR"/>
              </w:rPr>
              <w:t>137</w:t>
            </w:r>
          </w:p>
        </w:tc>
      </w:tr>
      <w:tr w:rsidR="0046263B" w:rsidRPr="005E1103" w:rsidTr="0046263B">
        <w:trPr>
          <w:trHeight w:val="263"/>
        </w:trPr>
        <w:tc>
          <w:tcPr>
            <w:tcW w:w="4561" w:type="dxa"/>
          </w:tcPr>
          <w:p w:rsidR="0046263B" w:rsidRPr="005E1103" w:rsidRDefault="0046263B" w:rsidP="0046263B">
            <w:pPr>
              <w:spacing w:after="0" w:line="240" w:lineRule="auto"/>
              <w:jc w:val="both"/>
              <w:rPr>
                <w:rFonts w:eastAsia="Times New Roman" w:cstheme="minorHAnsi"/>
                <w:color w:val="000000"/>
                <w:sz w:val="28"/>
                <w:szCs w:val="28"/>
                <w:lang w:eastAsia="es-CR"/>
              </w:rPr>
            </w:pPr>
            <w:r w:rsidRPr="005E1103">
              <w:rPr>
                <w:rFonts w:eastAsia="Times New Roman" w:cstheme="minorHAnsi"/>
                <w:color w:val="000000"/>
                <w:sz w:val="28"/>
                <w:szCs w:val="28"/>
                <w:lang w:eastAsia="es-CR"/>
              </w:rPr>
              <w:t>Sede Central</w:t>
            </w:r>
          </w:p>
        </w:tc>
        <w:tc>
          <w:tcPr>
            <w:tcW w:w="999" w:type="dxa"/>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82.04</w:t>
            </w:r>
          </w:p>
        </w:tc>
        <w:tc>
          <w:tcPr>
            <w:tcW w:w="998" w:type="dxa"/>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80</w:t>
            </w:r>
          </w:p>
        </w:tc>
        <w:tc>
          <w:tcPr>
            <w:tcW w:w="715" w:type="dxa"/>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72.45</w:t>
            </w:r>
          </w:p>
        </w:tc>
        <w:tc>
          <w:tcPr>
            <w:tcW w:w="855" w:type="dxa"/>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63.25</w:t>
            </w:r>
          </w:p>
        </w:tc>
        <w:tc>
          <w:tcPr>
            <w:tcW w:w="871" w:type="dxa"/>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59.15</w:t>
            </w:r>
          </w:p>
        </w:tc>
      </w:tr>
      <w:tr w:rsidR="0046263B" w:rsidRPr="005E1103" w:rsidTr="0046263B">
        <w:trPr>
          <w:trHeight w:val="263"/>
        </w:trPr>
        <w:tc>
          <w:tcPr>
            <w:tcW w:w="4561" w:type="dxa"/>
          </w:tcPr>
          <w:p w:rsidR="0046263B" w:rsidRPr="005E1103" w:rsidRDefault="0046263B" w:rsidP="0046263B">
            <w:pPr>
              <w:spacing w:after="0" w:line="240" w:lineRule="auto"/>
              <w:jc w:val="both"/>
              <w:rPr>
                <w:rFonts w:eastAsia="Times New Roman" w:cstheme="minorHAnsi"/>
                <w:color w:val="000000"/>
                <w:sz w:val="28"/>
                <w:szCs w:val="28"/>
                <w:lang w:eastAsia="es-CR"/>
              </w:rPr>
            </w:pPr>
            <w:r w:rsidRPr="005E1103">
              <w:rPr>
                <w:rFonts w:eastAsia="Times New Roman" w:cstheme="minorHAnsi"/>
                <w:color w:val="000000"/>
                <w:sz w:val="28"/>
                <w:szCs w:val="28"/>
                <w:lang w:eastAsia="es-CR"/>
              </w:rPr>
              <w:t xml:space="preserve">Campus Benjamín Núñez </w:t>
            </w:r>
          </w:p>
        </w:tc>
        <w:tc>
          <w:tcPr>
            <w:tcW w:w="999" w:type="dxa"/>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1.15</w:t>
            </w:r>
          </w:p>
        </w:tc>
        <w:tc>
          <w:tcPr>
            <w:tcW w:w="998" w:type="dxa"/>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0</w:t>
            </w:r>
          </w:p>
        </w:tc>
        <w:tc>
          <w:tcPr>
            <w:tcW w:w="715" w:type="dxa"/>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7.35</w:t>
            </w:r>
          </w:p>
        </w:tc>
        <w:tc>
          <w:tcPr>
            <w:tcW w:w="855" w:type="dxa"/>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17.10</w:t>
            </w:r>
          </w:p>
        </w:tc>
        <w:tc>
          <w:tcPr>
            <w:tcW w:w="871" w:type="dxa"/>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13.90</w:t>
            </w:r>
          </w:p>
        </w:tc>
      </w:tr>
      <w:tr w:rsidR="0046263B" w:rsidRPr="005E1103" w:rsidTr="0046263B">
        <w:trPr>
          <w:trHeight w:val="263"/>
        </w:trPr>
        <w:tc>
          <w:tcPr>
            <w:tcW w:w="4561" w:type="dxa"/>
          </w:tcPr>
          <w:p w:rsidR="0046263B" w:rsidRPr="005E1103" w:rsidRDefault="0046263B" w:rsidP="0046263B">
            <w:pPr>
              <w:spacing w:after="0" w:line="240" w:lineRule="auto"/>
              <w:jc w:val="both"/>
              <w:rPr>
                <w:rFonts w:eastAsia="Times New Roman" w:cstheme="minorHAnsi"/>
                <w:color w:val="000000"/>
                <w:sz w:val="28"/>
                <w:szCs w:val="28"/>
                <w:lang w:eastAsia="es-CR"/>
              </w:rPr>
            </w:pPr>
            <w:r w:rsidRPr="005E1103">
              <w:rPr>
                <w:rFonts w:eastAsia="Times New Roman" w:cstheme="minorHAnsi"/>
                <w:color w:val="000000"/>
                <w:sz w:val="28"/>
                <w:szCs w:val="28"/>
                <w:lang w:eastAsia="es-CR"/>
              </w:rPr>
              <w:t xml:space="preserve">Sede Regional Chorotega </w:t>
            </w:r>
          </w:p>
        </w:tc>
        <w:tc>
          <w:tcPr>
            <w:tcW w:w="999" w:type="dxa"/>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4.50</w:t>
            </w:r>
          </w:p>
        </w:tc>
        <w:tc>
          <w:tcPr>
            <w:tcW w:w="998" w:type="dxa"/>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8.55</w:t>
            </w:r>
          </w:p>
        </w:tc>
        <w:tc>
          <w:tcPr>
            <w:tcW w:w="715" w:type="dxa"/>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7.35</w:t>
            </w:r>
          </w:p>
        </w:tc>
        <w:tc>
          <w:tcPr>
            <w:tcW w:w="855" w:type="dxa"/>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6</w:t>
            </w:r>
          </w:p>
        </w:tc>
        <w:tc>
          <w:tcPr>
            <w:tcW w:w="871" w:type="dxa"/>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12.40</w:t>
            </w:r>
          </w:p>
        </w:tc>
      </w:tr>
      <w:tr w:rsidR="0046263B" w:rsidRPr="005E1103" w:rsidTr="0046263B">
        <w:trPr>
          <w:trHeight w:val="263"/>
        </w:trPr>
        <w:tc>
          <w:tcPr>
            <w:tcW w:w="4561" w:type="dxa"/>
          </w:tcPr>
          <w:p w:rsidR="0046263B" w:rsidRPr="005E1103" w:rsidRDefault="0046263B" w:rsidP="0046263B">
            <w:pPr>
              <w:spacing w:after="0" w:line="240" w:lineRule="auto"/>
              <w:jc w:val="both"/>
              <w:rPr>
                <w:rFonts w:eastAsia="Times New Roman" w:cstheme="minorHAnsi"/>
                <w:color w:val="000000"/>
                <w:sz w:val="28"/>
                <w:szCs w:val="28"/>
                <w:lang w:eastAsia="es-CR"/>
              </w:rPr>
            </w:pPr>
            <w:r w:rsidRPr="005E1103">
              <w:rPr>
                <w:rFonts w:eastAsia="Times New Roman" w:cstheme="minorHAnsi"/>
                <w:color w:val="000000"/>
                <w:sz w:val="28"/>
                <w:szCs w:val="28"/>
                <w:lang w:eastAsia="es-CR"/>
              </w:rPr>
              <w:t>Sede Regional Brunca</w:t>
            </w:r>
          </w:p>
        </w:tc>
        <w:tc>
          <w:tcPr>
            <w:tcW w:w="999" w:type="dxa"/>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2.25</w:t>
            </w:r>
          </w:p>
        </w:tc>
        <w:tc>
          <w:tcPr>
            <w:tcW w:w="998" w:type="dxa"/>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4.30</w:t>
            </w:r>
          </w:p>
        </w:tc>
        <w:tc>
          <w:tcPr>
            <w:tcW w:w="715" w:type="dxa"/>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3.65</w:t>
            </w:r>
          </w:p>
        </w:tc>
        <w:tc>
          <w:tcPr>
            <w:tcW w:w="855" w:type="dxa"/>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4.27</w:t>
            </w:r>
          </w:p>
        </w:tc>
        <w:tc>
          <w:tcPr>
            <w:tcW w:w="871" w:type="dxa"/>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8.05</w:t>
            </w:r>
          </w:p>
        </w:tc>
      </w:tr>
      <w:tr w:rsidR="0046263B" w:rsidRPr="005E1103" w:rsidTr="0046263B">
        <w:trPr>
          <w:trHeight w:val="263"/>
        </w:trPr>
        <w:tc>
          <w:tcPr>
            <w:tcW w:w="4561" w:type="dxa"/>
          </w:tcPr>
          <w:p w:rsidR="0046263B" w:rsidRPr="005E1103" w:rsidRDefault="0046263B" w:rsidP="0046263B">
            <w:pPr>
              <w:spacing w:after="0" w:line="240" w:lineRule="auto"/>
              <w:jc w:val="both"/>
              <w:rPr>
                <w:rFonts w:eastAsia="Times New Roman" w:cstheme="minorHAnsi"/>
                <w:color w:val="000000"/>
                <w:sz w:val="28"/>
                <w:szCs w:val="28"/>
                <w:lang w:eastAsia="es-CR"/>
              </w:rPr>
            </w:pPr>
            <w:r w:rsidRPr="005E1103">
              <w:rPr>
                <w:rFonts w:eastAsia="Times New Roman" w:cstheme="minorHAnsi"/>
                <w:color w:val="000000"/>
                <w:sz w:val="28"/>
                <w:szCs w:val="28"/>
                <w:lang w:eastAsia="es-CR"/>
              </w:rPr>
              <w:t xml:space="preserve">Recinto Sarapiquí </w:t>
            </w:r>
          </w:p>
        </w:tc>
        <w:tc>
          <w:tcPr>
            <w:tcW w:w="999" w:type="dxa"/>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1.15</w:t>
            </w:r>
          </w:p>
        </w:tc>
        <w:tc>
          <w:tcPr>
            <w:tcW w:w="998" w:type="dxa"/>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2.85</w:t>
            </w:r>
          </w:p>
        </w:tc>
        <w:tc>
          <w:tcPr>
            <w:tcW w:w="715" w:type="dxa"/>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3.65</w:t>
            </w:r>
          </w:p>
        </w:tc>
        <w:tc>
          <w:tcPr>
            <w:tcW w:w="855" w:type="dxa"/>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1.70</w:t>
            </w:r>
          </w:p>
        </w:tc>
        <w:tc>
          <w:tcPr>
            <w:tcW w:w="871" w:type="dxa"/>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2.20</w:t>
            </w:r>
          </w:p>
        </w:tc>
      </w:tr>
      <w:tr w:rsidR="0046263B" w:rsidRPr="005E1103" w:rsidTr="0046263B">
        <w:trPr>
          <w:trHeight w:val="249"/>
        </w:trPr>
        <w:tc>
          <w:tcPr>
            <w:tcW w:w="4561" w:type="dxa"/>
          </w:tcPr>
          <w:p w:rsidR="0046263B" w:rsidRPr="005E1103" w:rsidRDefault="0046263B" w:rsidP="0046263B">
            <w:pPr>
              <w:spacing w:after="0" w:line="240" w:lineRule="auto"/>
              <w:jc w:val="both"/>
              <w:rPr>
                <w:rFonts w:eastAsia="Times New Roman" w:cstheme="minorHAnsi"/>
                <w:color w:val="000000"/>
                <w:sz w:val="28"/>
                <w:szCs w:val="28"/>
                <w:lang w:eastAsia="es-CR"/>
              </w:rPr>
            </w:pPr>
            <w:r w:rsidRPr="005E1103">
              <w:rPr>
                <w:rFonts w:eastAsia="Times New Roman" w:cstheme="minorHAnsi"/>
                <w:color w:val="000000"/>
                <w:sz w:val="28"/>
                <w:szCs w:val="28"/>
                <w:lang w:eastAsia="es-CR"/>
              </w:rPr>
              <w:t>Sede Interuniversitaria Alajuela</w:t>
            </w:r>
          </w:p>
        </w:tc>
        <w:tc>
          <w:tcPr>
            <w:tcW w:w="999" w:type="dxa"/>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9</w:t>
            </w:r>
          </w:p>
        </w:tc>
        <w:tc>
          <w:tcPr>
            <w:tcW w:w="998" w:type="dxa"/>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4.30</w:t>
            </w:r>
          </w:p>
        </w:tc>
        <w:tc>
          <w:tcPr>
            <w:tcW w:w="715" w:type="dxa"/>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5.60</w:t>
            </w:r>
          </w:p>
        </w:tc>
        <w:tc>
          <w:tcPr>
            <w:tcW w:w="855" w:type="dxa"/>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7.70</w:t>
            </w:r>
          </w:p>
        </w:tc>
        <w:tc>
          <w:tcPr>
            <w:tcW w:w="871" w:type="dxa"/>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3.65</w:t>
            </w:r>
          </w:p>
        </w:tc>
      </w:tr>
      <w:tr w:rsidR="0046263B" w:rsidRPr="005E1103" w:rsidTr="0046263B">
        <w:trPr>
          <w:trHeight w:val="60"/>
        </w:trPr>
        <w:tc>
          <w:tcPr>
            <w:tcW w:w="4561" w:type="dxa"/>
          </w:tcPr>
          <w:p w:rsidR="0046263B" w:rsidRPr="005E1103" w:rsidRDefault="0046263B" w:rsidP="0046263B">
            <w:pPr>
              <w:spacing w:after="0" w:line="240" w:lineRule="auto"/>
              <w:jc w:val="both"/>
              <w:rPr>
                <w:rFonts w:eastAsia="Times New Roman" w:cstheme="minorHAnsi"/>
                <w:color w:val="000000"/>
                <w:sz w:val="28"/>
                <w:szCs w:val="28"/>
                <w:lang w:eastAsia="es-CR"/>
              </w:rPr>
            </w:pPr>
            <w:r w:rsidRPr="005E1103">
              <w:rPr>
                <w:rFonts w:eastAsia="Times New Roman" w:cstheme="minorHAnsi"/>
                <w:color w:val="000000"/>
                <w:sz w:val="28"/>
                <w:szCs w:val="28"/>
                <w:lang w:eastAsia="es-CR"/>
              </w:rPr>
              <w:t>Puntarenas-ECMAR</w:t>
            </w:r>
          </w:p>
        </w:tc>
        <w:tc>
          <w:tcPr>
            <w:tcW w:w="999" w:type="dxa"/>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0</w:t>
            </w:r>
          </w:p>
        </w:tc>
        <w:tc>
          <w:tcPr>
            <w:tcW w:w="998" w:type="dxa"/>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0</w:t>
            </w:r>
          </w:p>
        </w:tc>
        <w:tc>
          <w:tcPr>
            <w:tcW w:w="715" w:type="dxa"/>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0</w:t>
            </w:r>
          </w:p>
        </w:tc>
        <w:tc>
          <w:tcPr>
            <w:tcW w:w="855" w:type="dxa"/>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0</w:t>
            </w:r>
          </w:p>
        </w:tc>
        <w:tc>
          <w:tcPr>
            <w:tcW w:w="871" w:type="dxa"/>
          </w:tcPr>
          <w:p w:rsidR="0046263B" w:rsidRPr="005E1103" w:rsidRDefault="0046263B" w:rsidP="0046263B">
            <w:pPr>
              <w:spacing w:after="0" w:line="240" w:lineRule="auto"/>
              <w:jc w:val="center"/>
              <w:rPr>
                <w:rFonts w:eastAsia="Times New Roman" w:cstheme="minorHAnsi"/>
                <w:color w:val="000000"/>
                <w:sz w:val="28"/>
                <w:szCs w:val="28"/>
                <w:lang w:eastAsia="es-CR"/>
              </w:rPr>
            </w:pPr>
            <w:r w:rsidRPr="005E1103">
              <w:rPr>
                <w:rFonts w:eastAsia="Times New Roman" w:cstheme="minorHAnsi"/>
                <w:color w:val="000000"/>
                <w:sz w:val="28"/>
                <w:szCs w:val="28"/>
                <w:lang w:eastAsia="es-CR"/>
              </w:rPr>
              <w:t>0.75</w:t>
            </w:r>
          </w:p>
        </w:tc>
      </w:tr>
    </w:tbl>
    <w:p w:rsidR="0046263B" w:rsidRPr="005E1103" w:rsidRDefault="0046263B" w:rsidP="0046263B">
      <w:pPr>
        <w:rPr>
          <w:rFonts w:cstheme="minorHAnsi"/>
          <w:sz w:val="28"/>
          <w:szCs w:val="28"/>
        </w:rPr>
      </w:pPr>
      <w:r w:rsidRPr="005E1103">
        <w:rPr>
          <w:rFonts w:eastAsia="Times New Roman" w:cstheme="minorHAnsi"/>
          <w:color w:val="000000"/>
          <w:sz w:val="28"/>
          <w:szCs w:val="28"/>
          <w:lang w:eastAsia="es-CR"/>
        </w:rPr>
        <w:t xml:space="preserve">     Fuente: Unidad de Admisión-UNA, 2016</w:t>
      </w:r>
    </w:p>
    <w:p w:rsidR="0046263B" w:rsidRPr="005E1103" w:rsidRDefault="0046263B" w:rsidP="0046263B">
      <w:pPr>
        <w:autoSpaceDE w:val="0"/>
        <w:autoSpaceDN w:val="0"/>
        <w:adjustRightInd w:val="0"/>
        <w:spacing w:after="0" w:line="360" w:lineRule="auto"/>
        <w:jc w:val="both"/>
        <w:rPr>
          <w:rFonts w:cstheme="minorHAnsi"/>
          <w:sz w:val="28"/>
          <w:szCs w:val="28"/>
        </w:rPr>
      </w:pPr>
      <w:r w:rsidRPr="005E1103">
        <w:rPr>
          <w:rFonts w:cstheme="minorHAnsi"/>
          <w:sz w:val="28"/>
          <w:szCs w:val="28"/>
        </w:rPr>
        <w:lastRenderedPageBreak/>
        <w:tab/>
        <w:t>Esto nos permite visualizar el trabajo en conjunto que hay que seguir realizando con las Sedes de la UNA, ya que la población con adecuación ya no solo se concentra en la Sede Central.</w:t>
      </w:r>
    </w:p>
    <w:p w:rsidR="0046263B" w:rsidRPr="005E1103" w:rsidRDefault="0046263B" w:rsidP="0046263B">
      <w:pPr>
        <w:autoSpaceDE w:val="0"/>
        <w:autoSpaceDN w:val="0"/>
        <w:adjustRightInd w:val="0"/>
        <w:spacing w:after="0" w:line="360" w:lineRule="auto"/>
        <w:jc w:val="both"/>
        <w:rPr>
          <w:rFonts w:cstheme="minorHAnsi"/>
          <w:sz w:val="28"/>
          <w:szCs w:val="28"/>
        </w:rPr>
      </w:pPr>
      <w:r w:rsidRPr="005E1103">
        <w:rPr>
          <w:rFonts w:cstheme="minorHAnsi"/>
          <w:sz w:val="28"/>
          <w:szCs w:val="28"/>
          <w:lang w:val="es-MX"/>
        </w:rPr>
        <w:tab/>
        <w:t>Por último</w:t>
      </w:r>
      <w:r w:rsidRPr="005E1103">
        <w:rPr>
          <w:rFonts w:cstheme="minorHAnsi"/>
          <w:b/>
          <w:sz w:val="28"/>
          <w:szCs w:val="28"/>
          <w:lang w:val="es-MX"/>
        </w:rPr>
        <w:t xml:space="preserve"> </w:t>
      </w:r>
      <w:r w:rsidRPr="005E1103">
        <w:rPr>
          <w:rFonts w:cstheme="minorHAnsi"/>
          <w:sz w:val="28"/>
          <w:szCs w:val="28"/>
        </w:rPr>
        <w:t xml:space="preserve"> el o la estudiante que  tiene la condición de admitido a la universidad, y hace efectiva su matrícula, se traslada el expediente al Departamento de Orientación y Psicología;  con el propósito de que las compañeras del Servicio de Apoyo  brinden el seguimiento correspondiente de los estudiantes matriculados.</w:t>
      </w:r>
    </w:p>
    <w:p w:rsidR="0046263B" w:rsidRPr="005E1103" w:rsidRDefault="0046263B" w:rsidP="0046263B">
      <w:pPr>
        <w:autoSpaceDE w:val="0"/>
        <w:autoSpaceDN w:val="0"/>
        <w:adjustRightInd w:val="0"/>
        <w:spacing w:after="0" w:line="480" w:lineRule="auto"/>
        <w:jc w:val="both"/>
        <w:rPr>
          <w:rFonts w:cstheme="minorHAnsi"/>
          <w:sz w:val="28"/>
          <w:szCs w:val="28"/>
        </w:rPr>
      </w:pPr>
    </w:p>
    <w:p w:rsidR="0046263B" w:rsidRPr="005E1103" w:rsidRDefault="0046263B" w:rsidP="0046263B">
      <w:pPr>
        <w:autoSpaceDE w:val="0"/>
        <w:autoSpaceDN w:val="0"/>
        <w:adjustRightInd w:val="0"/>
        <w:spacing w:after="0" w:line="480" w:lineRule="auto"/>
        <w:jc w:val="both"/>
        <w:rPr>
          <w:rFonts w:cstheme="minorHAnsi"/>
          <w:sz w:val="28"/>
          <w:szCs w:val="28"/>
        </w:rPr>
      </w:pPr>
    </w:p>
    <w:p w:rsidR="0046263B" w:rsidRPr="005E1103" w:rsidRDefault="0046263B" w:rsidP="0046263B">
      <w:pPr>
        <w:autoSpaceDE w:val="0"/>
        <w:autoSpaceDN w:val="0"/>
        <w:adjustRightInd w:val="0"/>
        <w:spacing w:after="0" w:line="480" w:lineRule="auto"/>
        <w:jc w:val="both"/>
        <w:rPr>
          <w:rFonts w:cstheme="minorHAnsi"/>
          <w:sz w:val="28"/>
          <w:szCs w:val="28"/>
        </w:rPr>
      </w:pPr>
    </w:p>
    <w:p w:rsidR="0046263B" w:rsidRPr="005E1103" w:rsidRDefault="0046263B" w:rsidP="0046263B">
      <w:pPr>
        <w:autoSpaceDE w:val="0"/>
        <w:autoSpaceDN w:val="0"/>
        <w:adjustRightInd w:val="0"/>
        <w:spacing w:after="0" w:line="480" w:lineRule="auto"/>
        <w:jc w:val="both"/>
        <w:rPr>
          <w:rFonts w:cstheme="minorHAnsi"/>
          <w:b/>
          <w:sz w:val="28"/>
          <w:szCs w:val="28"/>
        </w:rPr>
      </w:pPr>
      <w:r w:rsidRPr="005E1103">
        <w:rPr>
          <w:rFonts w:cstheme="minorHAnsi"/>
          <w:b/>
          <w:sz w:val="28"/>
          <w:szCs w:val="28"/>
        </w:rPr>
        <w:t>Conclusiones</w:t>
      </w:r>
    </w:p>
    <w:p w:rsidR="0046263B" w:rsidRPr="005E1103" w:rsidRDefault="0046263B" w:rsidP="0046263B">
      <w:pPr>
        <w:autoSpaceDE w:val="0"/>
        <w:autoSpaceDN w:val="0"/>
        <w:adjustRightInd w:val="0"/>
        <w:spacing w:after="0" w:line="360" w:lineRule="auto"/>
        <w:jc w:val="both"/>
        <w:rPr>
          <w:rFonts w:cstheme="minorHAnsi"/>
          <w:sz w:val="28"/>
          <w:szCs w:val="28"/>
        </w:rPr>
      </w:pPr>
      <w:r w:rsidRPr="005E1103">
        <w:rPr>
          <w:rFonts w:cstheme="minorHAnsi"/>
          <w:sz w:val="28"/>
          <w:szCs w:val="28"/>
        </w:rPr>
        <w:tab/>
        <w:t xml:space="preserve">Considerando el trabajo de la Universidad Nacional en el proceso de inscripción de estudiantes con adecuación que requieren de algún apoyo para ingresar, podemos llegar a las siguientes conclusiones: </w:t>
      </w:r>
    </w:p>
    <w:p w:rsidR="0046263B" w:rsidRPr="005E1103" w:rsidRDefault="0046263B" w:rsidP="0046263B">
      <w:pPr>
        <w:numPr>
          <w:ilvl w:val="0"/>
          <w:numId w:val="93"/>
        </w:numPr>
        <w:shd w:val="clear" w:color="auto" w:fill="FFFFFF"/>
        <w:autoSpaceDE w:val="0"/>
        <w:autoSpaceDN w:val="0"/>
        <w:adjustRightInd w:val="0"/>
        <w:spacing w:after="0" w:line="360" w:lineRule="auto"/>
        <w:jc w:val="both"/>
        <w:rPr>
          <w:rFonts w:cstheme="minorHAnsi"/>
          <w:sz w:val="28"/>
          <w:szCs w:val="28"/>
        </w:rPr>
      </w:pPr>
      <w:r w:rsidRPr="005E1103">
        <w:rPr>
          <w:rFonts w:cstheme="minorHAnsi"/>
          <w:sz w:val="28"/>
          <w:szCs w:val="28"/>
        </w:rPr>
        <w:t>En el proceso en los últimos 5 años, se ha observado un aumento significado en la inscripción de estudiantes que requieren algún tipo de adecuación por su condición, y el trabajo que se realiza en la Unidad con las diferentes instancias desde Unidades Académicas, principalmente aquellas que por su naturaleza realizan pruebas específicas.</w:t>
      </w:r>
    </w:p>
    <w:p w:rsidR="0046263B" w:rsidRPr="005E1103" w:rsidRDefault="0046263B" w:rsidP="0046263B">
      <w:pPr>
        <w:numPr>
          <w:ilvl w:val="0"/>
          <w:numId w:val="93"/>
        </w:numPr>
        <w:shd w:val="clear" w:color="auto" w:fill="FFFFFF"/>
        <w:autoSpaceDE w:val="0"/>
        <w:autoSpaceDN w:val="0"/>
        <w:adjustRightInd w:val="0"/>
        <w:spacing w:after="0" w:line="360" w:lineRule="auto"/>
        <w:jc w:val="both"/>
        <w:rPr>
          <w:rFonts w:cstheme="minorHAnsi"/>
          <w:sz w:val="28"/>
          <w:szCs w:val="28"/>
        </w:rPr>
      </w:pPr>
      <w:r w:rsidRPr="005E1103">
        <w:rPr>
          <w:rFonts w:cstheme="minorHAnsi"/>
          <w:color w:val="000000"/>
          <w:sz w:val="28"/>
          <w:szCs w:val="28"/>
        </w:rPr>
        <w:t>La población con discapacidad que aplica para ingresar a las universidades públicas es relativamente inferior en relación con la población general.</w:t>
      </w:r>
    </w:p>
    <w:p w:rsidR="0046263B" w:rsidRPr="005E1103" w:rsidRDefault="0046263B" w:rsidP="0046263B">
      <w:pPr>
        <w:pStyle w:val="NormalWeb"/>
        <w:numPr>
          <w:ilvl w:val="0"/>
          <w:numId w:val="93"/>
        </w:numPr>
        <w:shd w:val="clear" w:color="auto" w:fill="FFFFFF"/>
        <w:autoSpaceDE w:val="0"/>
        <w:autoSpaceDN w:val="0"/>
        <w:adjustRightInd w:val="0"/>
        <w:spacing w:after="0" w:line="360" w:lineRule="auto"/>
        <w:jc w:val="both"/>
        <w:rPr>
          <w:rFonts w:asciiTheme="minorHAnsi" w:hAnsiTheme="minorHAnsi" w:cstheme="minorHAnsi"/>
          <w:sz w:val="28"/>
          <w:szCs w:val="28"/>
        </w:rPr>
      </w:pPr>
      <w:r w:rsidRPr="005E1103">
        <w:rPr>
          <w:rFonts w:asciiTheme="minorHAnsi" w:hAnsiTheme="minorHAnsi" w:cstheme="minorHAnsi"/>
          <w:sz w:val="28"/>
          <w:szCs w:val="28"/>
        </w:rPr>
        <w:t xml:space="preserve">En el ámbito universitario, el proceso es innovador, porque ha permitido una mayor apertura de la Universidad para la atracción e </w:t>
      </w:r>
      <w:r w:rsidRPr="005E1103">
        <w:rPr>
          <w:rFonts w:asciiTheme="minorHAnsi" w:hAnsiTheme="minorHAnsi" w:cstheme="minorHAnsi"/>
          <w:sz w:val="28"/>
          <w:szCs w:val="28"/>
        </w:rPr>
        <w:lastRenderedPageBreak/>
        <w:t xml:space="preserve">inscripción de estudiantes que requieren algún tipo de adecuación, así como una concientización de académicos, principalmente, de que en algún momento pueden tener algún estudiante que requiera de un apoyo extra, y hace que traten de actualizarse más en los diferentes temas que incluye el tema de accesibilidad a la Educación Superior. </w:t>
      </w:r>
    </w:p>
    <w:p w:rsidR="0046263B" w:rsidRPr="005E1103" w:rsidRDefault="0046263B" w:rsidP="0046263B">
      <w:pPr>
        <w:numPr>
          <w:ilvl w:val="0"/>
          <w:numId w:val="93"/>
        </w:numPr>
        <w:autoSpaceDE w:val="0"/>
        <w:autoSpaceDN w:val="0"/>
        <w:adjustRightInd w:val="0"/>
        <w:spacing w:after="0" w:line="360" w:lineRule="auto"/>
        <w:jc w:val="both"/>
        <w:rPr>
          <w:rFonts w:cstheme="minorHAnsi"/>
          <w:sz w:val="28"/>
          <w:szCs w:val="28"/>
        </w:rPr>
      </w:pPr>
      <w:r w:rsidRPr="005E1103">
        <w:rPr>
          <w:rFonts w:cstheme="minorHAnsi"/>
          <w:sz w:val="28"/>
          <w:szCs w:val="28"/>
        </w:rPr>
        <w:t xml:space="preserve">Por otro lado, la metodología usada ha colaborado en el aumento de estudiantes que se matriculan en la UNA.  Así del total de atendidos 520  son estudiantes activos. </w:t>
      </w:r>
    </w:p>
    <w:p w:rsidR="0046263B" w:rsidRPr="005E1103" w:rsidRDefault="0046263B" w:rsidP="0046263B">
      <w:pPr>
        <w:numPr>
          <w:ilvl w:val="0"/>
          <w:numId w:val="93"/>
        </w:numPr>
        <w:autoSpaceDE w:val="0"/>
        <w:autoSpaceDN w:val="0"/>
        <w:adjustRightInd w:val="0"/>
        <w:spacing w:after="0" w:line="360" w:lineRule="auto"/>
        <w:jc w:val="both"/>
        <w:rPr>
          <w:rFonts w:cstheme="minorHAnsi"/>
          <w:sz w:val="28"/>
          <w:szCs w:val="28"/>
        </w:rPr>
      </w:pPr>
      <w:r w:rsidRPr="005E1103">
        <w:rPr>
          <w:rFonts w:cstheme="minorHAnsi"/>
          <w:sz w:val="28"/>
          <w:szCs w:val="28"/>
        </w:rPr>
        <w:t xml:space="preserve">La inscripción de estudiantes que solicitan adecuación para la UNA ha tenido un considerable crecimiento pasando de  868 en el año 2012  a 1293 para el  año 2016. </w:t>
      </w:r>
    </w:p>
    <w:p w:rsidR="0046263B" w:rsidRPr="005E1103" w:rsidRDefault="0046263B" w:rsidP="0046263B">
      <w:pPr>
        <w:numPr>
          <w:ilvl w:val="0"/>
          <w:numId w:val="93"/>
        </w:numPr>
        <w:autoSpaceDE w:val="0"/>
        <w:autoSpaceDN w:val="0"/>
        <w:adjustRightInd w:val="0"/>
        <w:spacing w:after="0" w:line="360" w:lineRule="auto"/>
        <w:jc w:val="both"/>
        <w:rPr>
          <w:rFonts w:cstheme="minorHAnsi"/>
          <w:sz w:val="28"/>
          <w:szCs w:val="28"/>
        </w:rPr>
      </w:pPr>
      <w:r w:rsidRPr="005E1103">
        <w:rPr>
          <w:rFonts w:cstheme="minorHAnsi"/>
          <w:sz w:val="28"/>
          <w:szCs w:val="28"/>
        </w:rPr>
        <w:t>El aumento en e la matrícula de estudiantes con adecuación: de 89 en el año 2012 a 137 en el año 2016.</w:t>
      </w:r>
    </w:p>
    <w:p w:rsidR="0046263B" w:rsidRPr="005E1103" w:rsidRDefault="0046263B" w:rsidP="0046263B">
      <w:pPr>
        <w:numPr>
          <w:ilvl w:val="0"/>
          <w:numId w:val="93"/>
        </w:numPr>
        <w:autoSpaceDE w:val="0"/>
        <w:autoSpaceDN w:val="0"/>
        <w:adjustRightInd w:val="0"/>
        <w:spacing w:after="0" w:line="360" w:lineRule="auto"/>
        <w:jc w:val="both"/>
        <w:rPr>
          <w:rFonts w:cstheme="minorHAnsi"/>
          <w:sz w:val="28"/>
          <w:szCs w:val="28"/>
        </w:rPr>
      </w:pPr>
      <w:r w:rsidRPr="005E1103">
        <w:rPr>
          <w:rFonts w:cstheme="minorHAnsi"/>
          <w:sz w:val="28"/>
          <w:szCs w:val="28"/>
        </w:rPr>
        <w:t>Todas las carreras, tomando como base el año 2012, tienen o han tenido estudiantes con algún tipo de adecuación. Carreras como Informática, Orientación, Administración tienen mayor presencia de estudiantes con adecuación.</w:t>
      </w:r>
    </w:p>
    <w:p w:rsidR="0046263B" w:rsidRPr="005E1103" w:rsidRDefault="0046263B" w:rsidP="0046263B">
      <w:pPr>
        <w:numPr>
          <w:ilvl w:val="0"/>
          <w:numId w:val="93"/>
        </w:numPr>
        <w:autoSpaceDE w:val="0"/>
        <w:autoSpaceDN w:val="0"/>
        <w:adjustRightInd w:val="0"/>
        <w:spacing w:after="0" w:line="360" w:lineRule="auto"/>
        <w:jc w:val="both"/>
        <w:rPr>
          <w:rFonts w:cstheme="minorHAnsi"/>
          <w:sz w:val="28"/>
          <w:szCs w:val="28"/>
        </w:rPr>
      </w:pPr>
      <w:r w:rsidRPr="005E1103">
        <w:rPr>
          <w:rFonts w:cstheme="minorHAnsi"/>
          <w:sz w:val="28"/>
          <w:szCs w:val="28"/>
        </w:rPr>
        <w:t xml:space="preserve">Las áreas predominantes de estudiantes que solicitan adecuación son del área de aprendizaje seguido con un número importante del área emocional. </w:t>
      </w:r>
    </w:p>
    <w:p w:rsidR="0046263B" w:rsidRPr="005E1103" w:rsidRDefault="0046263B" w:rsidP="0046263B">
      <w:pPr>
        <w:autoSpaceDE w:val="0"/>
        <w:autoSpaceDN w:val="0"/>
        <w:adjustRightInd w:val="0"/>
        <w:spacing w:after="0" w:line="480" w:lineRule="auto"/>
        <w:ind w:left="720"/>
        <w:jc w:val="both"/>
        <w:rPr>
          <w:rFonts w:cstheme="minorHAnsi"/>
          <w:sz w:val="28"/>
          <w:szCs w:val="28"/>
        </w:rPr>
      </w:pPr>
    </w:p>
    <w:p w:rsidR="0046263B" w:rsidRPr="005E1103" w:rsidRDefault="0046263B" w:rsidP="0046263B">
      <w:pPr>
        <w:autoSpaceDE w:val="0"/>
        <w:autoSpaceDN w:val="0"/>
        <w:adjustRightInd w:val="0"/>
        <w:spacing w:after="0" w:line="480" w:lineRule="auto"/>
        <w:ind w:left="720"/>
        <w:jc w:val="both"/>
        <w:rPr>
          <w:rFonts w:cstheme="minorHAnsi"/>
          <w:sz w:val="28"/>
          <w:szCs w:val="28"/>
        </w:rPr>
      </w:pPr>
    </w:p>
    <w:p w:rsidR="0046263B" w:rsidRPr="005E1103" w:rsidRDefault="0046263B" w:rsidP="0046263B">
      <w:pPr>
        <w:autoSpaceDE w:val="0"/>
        <w:autoSpaceDN w:val="0"/>
        <w:adjustRightInd w:val="0"/>
        <w:spacing w:after="0" w:line="480" w:lineRule="auto"/>
        <w:ind w:left="720"/>
        <w:jc w:val="both"/>
        <w:rPr>
          <w:rFonts w:cstheme="minorHAnsi"/>
          <w:sz w:val="28"/>
          <w:szCs w:val="28"/>
        </w:rPr>
      </w:pPr>
    </w:p>
    <w:p w:rsidR="0046263B" w:rsidRPr="005E1103" w:rsidRDefault="0046263B" w:rsidP="0046263B">
      <w:pPr>
        <w:autoSpaceDE w:val="0"/>
        <w:autoSpaceDN w:val="0"/>
        <w:adjustRightInd w:val="0"/>
        <w:spacing w:after="0" w:line="480" w:lineRule="auto"/>
        <w:jc w:val="both"/>
        <w:rPr>
          <w:rFonts w:cstheme="minorHAnsi"/>
          <w:b/>
          <w:sz w:val="28"/>
          <w:szCs w:val="28"/>
        </w:rPr>
      </w:pPr>
      <w:r w:rsidRPr="005E1103">
        <w:rPr>
          <w:rFonts w:cstheme="minorHAnsi"/>
          <w:b/>
          <w:sz w:val="28"/>
          <w:szCs w:val="28"/>
        </w:rPr>
        <w:t xml:space="preserve">Retos:  </w:t>
      </w:r>
    </w:p>
    <w:p w:rsidR="0046263B" w:rsidRPr="005E1103" w:rsidRDefault="0046263B" w:rsidP="0046263B">
      <w:pPr>
        <w:numPr>
          <w:ilvl w:val="0"/>
          <w:numId w:val="94"/>
        </w:numPr>
        <w:autoSpaceDE w:val="0"/>
        <w:autoSpaceDN w:val="0"/>
        <w:adjustRightInd w:val="0"/>
        <w:spacing w:after="0" w:line="360" w:lineRule="auto"/>
        <w:jc w:val="both"/>
        <w:rPr>
          <w:rFonts w:cstheme="minorHAnsi"/>
          <w:sz w:val="28"/>
          <w:szCs w:val="28"/>
        </w:rPr>
      </w:pPr>
      <w:r w:rsidRPr="005E1103">
        <w:rPr>
          <w:rFonts w:cstheme="minorHAnsi"/>
          <w:sz w:val="28"/>
          <w:szCs w:val="28"/>
          <w:lang w:val="es-MX"/>
        </w:rPr>
        <w:lastRenderedPageBreak/>
        <w:t xml:space="preserve">La actualización de los miembros de la Unidad de admisión en temas como del área emocional, visual y auditivo que son áreas de las cuales la población estudiantil está llegando para realizar el examen de admisión. </w:t>
      </w:r>
    </w:p>
    <w:p w:rsidR="0046263B" w:rsidRPr="005E1103" w:rsidRDefault="0046263B" w:rsidP="0046263B">
      <w:pPr>
        <w:numPr>
          <w:ilvl w:val="0"/>
          <w:numId w:val="94"/>
        </w:numPr>
        <w:autoSpaceDE w:val="0"/>
        <w:autoSpaceDN w:val="0"/>
        <w:adjustRightInd w:val="0"/>
        <w:spacing w:after="0" w:line="360" w:lineRule="auto"/>
        <w:jc w:val="both"/>
        <w:rPr>
          <w:rFonts w:cstheme="minorHAnsi"/>
          <w:sz w:val="28"/>
          <w:szCs w:val="28"/>
        </w:rPr>
      </w:pPr>
      <w:r w:rsidRPr="005E1103">
        <w:rPr>
          <w:rFonts w:cstheme="minorHAnsi"/>
          <w:sz w:val="28"/>
          <w:szCs w:val="28"/>
          <w:lang w:val="es-MX"/>
        </w:rPr>
        <w:t xml:space="preserve">La importancia de la actualización de los académicos, no sólo de la Sede Central, sino de las Sedes Regionales esto debido a que muchas veces las y los docentes no saben cómo actuar y facilitar su lecciones, cuando están ante un estudiante con una condición  específica.  </w:t>
      </w:r>
    </w:p>
    <w:p w:rsidR="0046263B" w:rsidRPr="005E1103" w:rsidRDefault="0046263B" w:rsidP="0046263B">
      <w:pPr>
        <w:numPr>
          <w:ilvl w:val="0"/>
          <w:numId w:val="94"/>
        </w:numPr>
        <w:autoSpaceDE w:val="0"/>
        <w:autoSpaceDN w:val="0"/>
        <w:adjustRightInd w:val="0"/>
        <w:spacing w:after="0" w:line="360" w:lineRule="auto"/>
        <w:jc w:val="both"/>
        <w:rPr>
          <w:rFonts w:cstheme="minorHAnsi"/>
          <w:sz w:val="28"/>
          <w:szCs w:val="28"/>
        </w:rPr>
      </w:pPr>
      <w:r w:rsidRPr="005E1103">
        <w:rPr>
          <w:rFonts w:cstheme="minorHAnsi"/>
          <w:sz w:val="28"/>
          <w:szCs w:val="28"/>
        </w:rPr>
        <w:t xml:space="preserve">Mejorar la sistematización de datos que ayude a las diferentes Facultades, Centros y Sedes a tener la información de los estudiantes con alguna condición asociada o no a la discapacidad. </w:t>
      </w:r>
    </w:p>
    <w:p w:rsidR="0046263B" w:rsidRPr="005E1103" w:rsidRDefault="0046263B" w:rsidP="0046263B">
      <w:pPr>
        <w:autoSpaceDE w:val="0"/>
        <w:autoSpaceDN w:val="0"/>
        <w:adjustRightInd w:val="0"/>
        <w:spacing w:after="0" w:line="480" w:lineRule="auto"/>
        <w:jc w:val="both"/>
        <w:rPr>
          <w:rFonts w:cstheme="minorHAnsi"/>
          <w:b/>
          <w:sz w:val="28"/>
          <w:szCs w:val="28"/>
        </w:rPr>
      </w:pPr>
    </w:p>
    <w:p w:rsidR="0046263B" w:rsidRPr="005E1103" w:rsidRDefault="0046263B" w:rsidP="0046263B">
      <w:pPr>
        <w:autoSpaceDE w:val="0"/>
        <w:autoSpaceDN w:val="0"/>
        <w:adjustRightInd w:val="0"/>
        <w:spacing w:after="0" w:line="480" w:lineRule="auto"/>
        <w:jc w:val="both"/>
        <w:rPr>
          <w:rFonts w:cstheme="minorHAnsi"/>
          <w:b/>
          <w:sz w:val="28"/>
          <w:szCs w:val="28"/>
        </w:rPr>
      </w:pPr>
      <w:r w:rsidRPr="005E1103">
        <w:rPr>
          <w:rFonts w:cstheme="minorHAnsi"/>
          <w:b/>
          <w:sz w:val="28"/>
          <w:szCs w:val="28"/>
        </w:rPr>
        <w:t xml:space="preserve">Bibliografía </w:t>
      </w:r>
    </w:p>
    <w:p w:rsidR="0046263B" w:rsidRPr="005E1103" w:rsidRDefault="0046263B" w:rsidP="0046263B">
      <w:pPr>
        <w:autoSpaceDE w:val="0"/>
        <w:autoSpaceDN w:val="0"/>
        <w:adjustRightInd w:val="0"/>
        <w:spacing w:line="360" w:lineRule="auto"/>
        <w:ind w:left="709" w:hanging="709"/>
        <w:jc w:val="both"/>
        <w:rPr>
          <w:rFonts w:cstheme="minorHAnsi"/>
          <w:color w:val="000000"/>
          <w:sz w:val="28"/>
          <w:szCs w:val="28"/>
          <w:shd w:val="clear" w:color="auto" w:fill="FFFFFF"/>
        </w:rPr>
      </w:pPr>
      <w:r w:rsidRPr="005E1103">
        <w:rPr>
          <w:rFonts w:cstheme="minorHAnsi"/>
          <w:color w:val="000000"/>
          <w:sz w:val="28"/>
          <w:szCs w:val="28"/>
          <w:shd w:val="clear" w:color="auto" w:fill="FFFFFF"/>
        </w:rPr>
        <w:t xml:space="preserve">Costa Rica, Estatuto Orgánico de la Universidad Nacional, </w:t>
      </w:r>
      <w:r w:rsidRPr="005E1103">
        <w:rPr>
          <w:rFonts w:cstheme="minorHAnsi"/>
          <w:i/>
          <w:color w:val="000000"/>
          <w:sz w:val="28"/>
          <w:szCs w:val="28"/>
          <w:shd w:val="clear" w:color="auto" w:fill="FFFFFF"/>
        </w:rPr>
        <w:t>Gaceta Ordinaria N°8-2015</w:t>
      </w:r>
      <w:r w:rsidRPr="005E1103">
        <w:rPr>
          <w:rFonts w:cstheme="minorHAnsi"/>
          <w:color w:val="000000"/>
          <w:sz w:val="28"/>
          <w:szCs w:val="28"/>
          <w:shd w:val="clear" w:color="auto" w:fill="FFFFFF"/>
        </w:rPr>
        <w:t>, 11 de Agosto del 2015, N° 3, págs. 80.</w:t>
      </w:r>
    </w:p>
    <w:p w:rsidR="0046263B" w:rsidRPr="005E1103" w:rsidRDefault="0046263B" w:rsidP="0046263B">
      <w:pPr>
        <w:spacing w:line="360" w:lineRule="auto"/>
        <w:ind w:left="709" w:hanging="709"/>
        <w:jc w:val="both"/>
        <w:rPr>
          <w:rFonts w:cstheme="minorHAnsi"/>
          <w:sz w:val="28"/>
          <w:szCs w:val="28"/>
        </w:rPr>
      </w:pPr>
      <w:r w:rsidRPr="005E1103">
        <w:rPr>
          <w:rFonts w:cstheme="minorHAnsi"/>
          <w:sz w:val="28"/>
          <w:szCs w:val="28"/>
        </w:rPr>
        <w:t xml:space="preserve">Costa Rica, Ley 8661, Aprobación de la Convención sobre los Derechos Humanos de las Personas con Discapacidad, </w:t>
      </w:r>
      <w:r w:rsidRPr="005E1103">
        <w:rPr>
          <w:rFonts w:cstheme="minorHAnsi"/>
          <w:i/>
          <w:sz w:val="28"/>
          <w:szCs w:val="28"/>
        </w:rPr>
        <w:t>La Gaceta 187,</w:t>
      </w:r>
      <w:r w:rsidRPr="005E1103">
        <w:rPr>
          <w:rFonts w:cstheme="minorHAnsi"/>
          <w:sz w:val="28"/>
          <w:szCs w:val="28"/>
        </w:rPr>
        <w:t xml:space="preserve"> 29 Setiembre 2008, págs. 1-35. </w:t>
      </w:r>
    </w:p>
    <w:p w:rsidR="0046263B" w:rsidRPr="005E1103" w:rsidRDefault="0046263B" w:rsidP="0046263B">
      <w:pPr>
        <w:autoSpaceDE w:val="0"/>
        <w:autoSpaceDN w:val="0"/>
        <w:adjustRightInd w:val="0"/>
        <w:spacing w:line="360" w:lineRule="auto"/>
        <w:ind w:left="709" w:hanging="709"/>
        <w:jc w:val="both"/>
        <w:rPr>
          <w:rFonts w:cstheme="minorHAnsi"/>
          <w:color w:val="000000"/>
          <w:sz w:val="28"/>
          <w:szCs w:val="28"/>
          <w:shd w:val="clear" w:color="auto" w:fill="FFFFFF"/>
        </w:rPr>
      </w:pPr>
      <w:r w:rsidRPr="005E1103">
        <w:rPr>
          <w:rFonts w:cstheme="minorHAnsi"/>
          <w:color w:val="000000"/>
          <w:sz w:val="28"/>
          <w:szCs w:val="28"/>
          <w:shd w:val="clear" w:color="auto" w:fill="FFFFFF"/>
        </w:rPr>
        <w:t xml:space="preserve">Costa Rica, Ley Fundamental de Educación (Ley No. 2160), </w:t>
      </w:r>
      <w:r w:rsidRPr="005E1103">
        <w:rPr>
          <w:rFonts w:cstheme="minorHAnsi"/>
          <w:i/>
          <w:color w:val="000000"/>
          <w:sz w:val="28"/>
          <w:szCs w:val="28"/>
          <w:shd w:val="clear" w:color="auto" w:fill="FFFFFF"/>
        </w:rPr>
        <w:t>Asamblea Legislativa de la Republica de Costa Rica,</w:t>
      </w:r>
      <w:r w:rsidRPr="005E1103">
        <w:rPr>
          <w:rFonts w:cstheme="minorHAnsi"/>
          <w:color w:val="000000"/>
          <w:sz w:val="28"/>
          <w:szCs w:val="28"/>
          <w:shd w:val="clear" w:color="auto" w:fill="FFFFFF"/>
        </w:rPr>
        <w:t xml:space="preserve"> </w:t>
      </w:r>
      <w:r w:rsidRPr="005E1103">
        <w:rPr>
          <w:rFonts w:cstheme="minorHAnsi"/>
          <w:bCs/>
          <w:color w:val="000000"/>
          <w:sz w:val="28"/>
          <w:szCs w:val="28"/>
          <w:shd w:val="clear" w:color="auto" w:fill="FFFFFF"/>
        </w:rPr>
        <w:t xml:space="preserve">25 de setiembre de </w:t>
      </w:r>
      <w:r w:rsidRPr="005E1103">
        <w:rPr>
          <w:rFonts w:cstheme="minorHAnsi"/>
          <w:color w:val="000000"/>
          <w:sz w:val="28"/>
          <w:szCs w:val="28"/>
          <w:shd w:val="clear" w:color="auto" w:fill="FFFFFF"/>
        </w:rPr>
        <w:t>1957, págs. 205.  </w:t>
      </w:r>
    </w:p>
    <w:p w:rsidR="0046263B" w:rsidRPr="005E1103" w:rsidRDefault="0046263B" w:rsidP="0046263B">
      <w:pPr>
        <w:autoSpaceDE w:val="0"/>
        <w:autoSpaceDN w:val="0"/>
        <w:adjustRightInd w:val="0"/>
        <w:spacing w:line="360" w:lineRule="auto"/>
        <w:ind w:left="709" w:hanging="709"/>
        <w:jc w:val="both"/>
        <w:rPr>
          <w:rFonts w:cstheme="minorHAnsi"/>
          <w:color w:val="000000"/>
          <w:sz w:val="28"/>
          <w:szCs w:val="28"/>
          <w:shd w:val="clear" w:color="auto" w:fill="FFFFFF"/>
        </w:rPr>
      </w:pPr>
      <w:r w:rsidRPr="005E1103">
        <w:rPr>
          <w:rFonts w:cstheme="minorHAnsi"/>
          <w:i/>
          <w:color w:val="000000"/>
          <w:sz w:val="28"/>
          <w:szCs w:val="28"/>
          <w:shd w:val="clear" w:color="auto" w:fill="FFFFFF"/>
        </w:rPr>
        <w:t>Cuarto Informe Estado de la Educación</w:t>
      </w:r>
      <w:r w:rsidRPr="005E1103">
        <w:rPr>
          <w:rFonts w:cstheme="minorHAnsi"/>
          <w:color w:val="000000"/>
          <w:sz w:val="28"/>
          <w:szCs w:val="28"/>
          <w:shd w:val="clear" w:color="auto" w:fill="FFFFFF"/>
        </w:rPr>
        <w:t>, Programa Estado de la Nación, 4 ed., ISBN 978-9968-806-71-8, 2013, San José, Editorama S.A.</w:t>
      </w:r>
    </w:p>
    <w:p w:rsidR="0046263B" w:rsidRPr="005E1103" w:rsidRDefault="0046263B" w:rsidP="0046263B">
      <w:pPr>
        <w:spacing w:line="360" w:lineRule="auto"/>
        <w:ind w:left="709" w:hanging="709"/>
        <w:jc w:val="both"/>
        <w:rPr>
          <w:rFonts w:cstheme="minorHAnsi"/>
          <w:sz w:val="28"/>
          <w:szCs w:val="28"/>
        </w:rPr>
      </w:pPr>
      <w:r w:rsidRPr="005E1103">
        <w:rPr>
          <w:rFonts w:cstheme="minorHAnsi"/>
          <w:sz w:val="28"/>
          <w:szCs w:val="28"/>
        </w:rPr>
        <w:lastRenderedPageBreak/>
        <w:t xml:space="preserve">Estados Unidos, «Convención Internacional sobre los Derechos de las Personas con Discapacidad», </w:t>
      </w:r>
      <w:r w:rsidRPr="005E1103">
        <w:rPr>
          <w:rFonts w:cstheme="minorHAnsi"/>
          <w:i/>
          <w:sz w:val="28"/>
          <w:szCs w:val="28"/>
        </w:rPr>
        <w:t>Organización de las Naciones Unidas/Oficina del Alto Comisionado para los Derechos Humanos [ONU/OACDH],</w:t>
      </w:r>
      <w:r w:rsidRPr="005E1103">
        <w:rPr>
          <w:rFonts w:cstheme="minorHAnsi"/>
          <w:sz w:val="28"/>
          <w:szCs w:val="28"/>
        </w:rPr>
        <w:t xml:space="preserve"> (2006), págs. 1-35. </w:t>
      </w:r>
    </w:p>
    <w:p w:rsidR="0046263B" w:rsidRPr="005E1103" w:rsidRDefault="0046263B" w:rsidP="0046263B">
      <w:pPr>
        <w:spacing w:line="360" w:lineRule="auto"/>
        <w:ind w:left="709" w:hanging="709"/>
        <w:jc w:val="both"/>
        <w:rPr>
          <w:rFonts w:cstheme="minorHAnsi"/>
          <w:sz w:val="28"/>
          <w:szCs w:val="28"/>
        </w:rPr>
      </w:pPr>
      <w:r w:rsidRPr="005E1103">
        <w:rPr>
          <w:rFonts w:cstheme="minorHAnsi"/>
          <w:sz w:val="28"/>
          <w:szCs w:val="28"/>
        </w:rPr>
        <w:t xml:space="preserve">Francia, «Guidelines for inclusion. Ensuring access to education for all», </w:t>
      </w:r>
      <w:r w:rsidRPr="005E1103">
        <w:rPr>
          <w:rFonts w:cstheme="minorHAnsi"/>
          <w:i/>
          <w:sz w:val="28"/>
          <w:szCs w:val="28"/>
        </w:rPr>
        <w:t>Organización de las Naciones Unidas para la Educación, la Ciencia y la Cultura [UNESCO],</w:t>
      </w:r>
      <w:r w:rsidRPr="005E1103">
        <w:rPr>
          <w:rFonts w:cstheme="minorHAnsi"/>
          <w:sz w:val="28"/>
          <w:szCs w:val="28"/>
        </w:rPr>
        <w:t xml:space="preserve"> (2005), págs. 1-41.</w:t>
      </w:r>
    </w:p>
    <w:p w:rsidR="0046263B" w:rsidRPr="005E1103" w:rsidRDefault="0046263B" w:rsidP="0046263B">
      <w:pPr>
        <w:spacing w:line="360" w:lineRule="auto"/>
        <w:ind w:left="709" w:hanging="709"/>
        <w:jc w:val="both"/>
        <w:rPr>
          <w:rFonts w:cstheme="minorHAnsi"/>
          <w:sz w:val="28"/>
          <w:szCs w:val="28"/>
        </w:rPr>
      </w:pPr>
      <w:r w:rsidRPr="005E1103">
        <w:rPr>
          <w:rFonts w:cstheme="minorHAnsi"/>
          <w:sz w:val="28"/>
          <w:szCs w:val="28"/>
        </w:rPr>
        <w:t>Organización Panamericana de la Salud [OPS], «La discapacidad en Costa Rica: Situación actual y perspectivas»</w:t>
      </w:r>
      <w:r w:rsidRPr="005E1103">
        <w:rPr>
          <w:rFonts w:cstheme="minorHAnsi"/>
          <w:i/>
          <w:sz w:val="28"/>
          <w:szCs w:val="28"/>
        </w:rPr>
        <w:t>,</w:t>
      </w:r>
      <w:r w:rsidRPr="005E1103">
        <w:rPr>
          <w:rFonts w:cstheme="minorHAnsi"/>
          <w:sz w:val="28"/>
          <w:szCs w:val="28"/>
        </w:rPr>
        <w:t xml:space="preserve"> </w:t>
      </w:r>
      <w:r w:rsidRPr="005E1103">
        <w:rPr>
          <w:rFonts w:cstheme="minorHAnsi"/>
          <w:i/>
          <w:sz w:val="28"/>
          <w:szCs w:val="28"/>
        </w:rPr>
        <w:t>Serie Análisis de Situación de Salud</w:t>
      </w:r>
      <w:r w:rsidRPr="005E1103">
        <w:rPr>
          <w:rFonts w:cstheme="minorHAnsi"/>
          <w:sz w:val="28"/>
          <w:szCs w:val="28"/>
        </w:rPr>
        <w:t>, n° 14 (2004), págs. 1-76.</w:t>
      </w:r>
    </w:p>
    <w:p w:rsidR="0046263B" w:rsidRPr="005E1103" w:rsidRDefault="0046263B" w:rsidP="0046263B">
      <w:pPr>
        <w:spacing w:line="360" w:lineRule="auto"/>
        <w:ind w:left="709" w:hanging="709"/>
        <w:jc w:val="both"/>
        <w:rPr>
          <w:rFonts w:cstheme="minorHAnsi"/>
          <w:sz w:val="28"/>
          <w:szCs w:val="28"/>
        </w:rPr>
      </w:pPr>
      <w:r w:rsidRPr="005E1103">
        <w:rPr>
          <w:rFonts w:cstheme="minorHAnsi"/>
          <w:sz w:val="28"/>
          <w:szCs w:val="28"/>
        </w:rPr>
        <w:t xml:space="preserve">Salinas, Marcela; Rosa, María; Medrano, Daniela; Zuzulich, María-Soledad y Hojas, Ana-María, «La inclusión en la educación superior: Desde la voz de estudiantes chilenos con discapacidad», </w:t>
      </w:r>
      <w:r w:rsidRPr="005E1103">
        <w:rPr>
          <w:rFonts w:cstheme="minorHAnsi"/>
          <w:i/>
          <w:sz w:val="28"/>
          <w:szCs w:val="28"/>
        </w:rPr>
        <w:t>Revista Iberoamericana de Educación</w:t>
      </w:r>
      <w:r w:rsidRPr="005E1103">
        <w:rPr>
          <w:rFonts w:cstheme="minorHAnsi"/>
          <w:sz w:val="28"/>
          <w:szCs w:val="28"/>
        </w:rPr>
        <w:t xml:space="preserve">, n°63 (2013), págs. 77-98. </w:t>
      </w:r>
    </w:p>
    <w:p w:rsidR="0046263B" w:rsidRPr="005E1103" w:rsidRDefault="0046263B" w:rsidP="0046263B">
      <w:pPr>
        <w:autoSpaceDE w:val="0"/>
        <w:autoSpaceDN w:val="0"/>
        <w:adjustRightInd w:val="0"/>
        <w:spacing w:line="360" w:lineRule="auto"/>
        <w:ind w:left="709" w:hanging="709"/>
        <w:jc w:val="both"/>
        <w:rPr>
          <w:rFonts w:cstheme="minorHAnsi"/>
          <w:color w:val="000000"/>
          <w:sz w:val="28"/>
          <w:szCs w:val="28"/>
          <w:shd w:val="clear" w:color="auto" w:fill="FFFFFF"/>
        </w:rPr>
      </w:pPr>
      <w:r w:rsidRPr="005E1103">
        <w:rPr>
          <w:rFonts w:cstheme="minorHAnsi"/>
          <w:color w:val="000000"/>
          <w:sz w:val="28"/>
          <w:szCs w:val="28"/>
          <w:shd w:val="clear" w:color="auto" w:fill="FFFFFF"/>
        </w:rPr>
        <w:t>CIAES (2015). Manual de procedimientos para la revisión conjunta. Proyecto: Articulación de Políticas de Accesibilidad a la Educación Superior. Heredia: Universidad Nacional.</w:t>
      </w:r>
    </w:p>
    <w:p w:rsidR="0046263B" w:rsidRPr="005E1103" w:rsidRDefault="0046263B" w:rsidP="0046263B">
      <w:pPr>
        <w:autoSpaceDE w:val="0"/>
        <w:autoSpaceDN w:val="0"/>
        <w:adjustRightInd w:val="0"/>
        <w:spacing w:line="360" w:lineRule="auto"/>
        <w:ind w:left="709" w:hanging="709"/>
        <w:jc w:val="both"/>
        <w:rPr>
          <w:rFonts w:cstheme="minorHAnsi"/>
          <w:color w:val="000000"/>
          <w:sz w:val="28"/>
          <w:szCs w:val="28"/>
          <w:shd w:val="clear" w:color="auto" w:fill="FFFFFF"/>
        </w:rPr>
      </w:pPr>
      <w:r w:rsidRPr="005E1103">
        <w:rPr>
          <w:rFonts w:cstheme="minorHAnsi"/>
          <w:color w:val="000000"/>
          <w:sz w:val="28"/>
          <w:szCs w:val="28"/>
          <w:shd w:val="clear" w:color="auto" w:fill="FFFFFF"/>
        </w:rPr>
        <w:t>OIT,PNUD, UNA (2015). Caja de herramientas: Redes locales de intermediación de empleo para personas con discapacidad. Heredia: Universidad Nacional.</w:t>
      </w:r>
    </w:p>
    <w:p w:rsidR="0046263B" w:rsidRPr="005E1103" w:rsidRDefault="0046263B" w:rsidP="0046263B">
      <w:pPr>
        <w:autoSpaceDE w:val="0"/>
        <w:autoSpaceDN w:val="0"/>
        <w:adjustRightInd w:val="0"/>
        <w:spacing w:line="360" w:lineRule="auto"/>
        <w:ind w:left="709" w:hanging="709"/>
        <w:jc w:val="both"/>
        <w:rPr>
          <w:rFonts w:cstheme="minorHAnsi"/>
          <w:sz w:val="28"/>
          <w:szCs w:val="28"/>
        </w:rPr>
      </w:pPr>
      <w:r w:rsidRPr="005E1103">
        <w:rPr>
          <w:rFonts w:cstheme="minorHAnsi"/>
          <w:sz w:val="28"/>
          <w:szCs w:val="28"/>
        </w:rPr>
        <w:t>Vicerrectoría de Vida estudiantil (2014). I Informe Comisión Institucional en Materia de Discapacidad, Universidad Nacional</w:t>
      </w:r>
    </w:p>
    <w:p w:rsidR="0046263B" w:rsidRPr="005E1103" w:rsidRDefault="0046263B" w:rsidP="0046263B">
      <w:pPr>
        <w:autoSpaceDE w:val="0"/>
        <w:autoSpaceDN w:val="0"/>
        <w:adjustRightInd w:val="0"/>
        <w:spacing w:line="360" w:lineRule="auto"/>
        <w:ind w:left="709" w:hanging="709"/>
        <w:jc w:val="both"/>
        <w:rPr>
          <w:rFonts w:cstheme="minorHAnsi"/>
          <w:sz w:val="28"/>
          <w:szCs w:val="28"/>
        </w:rPr>
      </w:pPr>
      <w:r w:rsidRPr="005E1103">
        <w:rPr>
          <w:rFonts w:cstheme="minorHAnsi"/>
          <w:sz w:val="28"/>
          <w:szCs w:val="28"/>
        </w:rPr>
        <w:t xml:space="preserve">Valverde, T (2014). Informe Admisión de estudiantes con adecuación. </w:t>
      </w:r>
      <w:r w:rsidRPr="005E1103">
        <w:rPr>
          <w:rFonts w:cstheme="minorHAnsi"/>
          <w:color w:val="222222"/>
          <w:sz w:val="28"/>
          <w:szCs w:val="28"/>
          <w:shd w:val="clear" w:color="auto" w:fill="FFFFFF"/>
        </w:rPr>
        <w:t xml:space="preserve">La </w:t>
      </w:r>
      <w:r w:rsidRPr="005E1103">
        <w:rPr>
          <w:rFonts w:cstheme="minorHAnsi"/>
          <w:sz w:val="28"/>
          <w:szCs w:val="28"/>
        </w:rPr>
        <w:t xml:space="preserve">Universidad    </w:t>
      </w:r>
      <w:r w:rsidRPr="005E1103">
        <w:rPr>
          <w:rFonts w:cstheme="minorHAnsi"/>
          <w:sz w:val="28"/>
          <w:szCs w:val="28"/>
        </w:rPr>
        <w:tab/>
        <w:t>Nacional. Departamento de Registro.</w:t>
      </w:r>
    </w:p>
    <w:p w:rsidR="0046263B" w:rsidRPr="005E1103" w:rsidRDefault="0046263B">
      <w:pPr>
        <w:rPr>
          <w:rFonts w:cstheme="minorHAnsi"/>
          <w:sz w:val="28"/>
          <w:szCs w:val="28"/>
        </w:rPr>
      </w:pPr>
      <w:r w:rsidRPr="005E1103">
        <w:rPr>
          <w:rFonts w:cstheme="minorHAnsi"/>
          <w:sz w:val="28"/>
          <w:szCs w:val="28"/>
        </w:rPr>
        <w:br w:type="page"/>
      </w:r>
    </w:p>
    <w:p w:rsidR="0046263B" w:rsidRPr="005E1103" w:rsidRDefault="0046263B" w:rsidP="0046263B">
      <w:pPr>
        <w:spacing w:line="360" w:lineRule="auto"/>
        <w:jc w:val="center"/>
        <w:rPr>
          <w:rFonts w:cstheme="minorHAnsi"/>
          <w:b/>
          <w:sz w:val="28"/>
          <w:szCs w:val="28"/>
        </w:rPr>
      </w:pPr>
      <w:r w:rsidRPr="005E1103">
        <w:rPr>
          <w:rFonts w:cstheme="minorHAnsi"/>
          <w:b/>
          <w:sz w:val="28"/>
          <w:szCs w:val="28"/>
        </w:rPr>
        <w:lastRenderedPageBreak/>
        <w:t>COMUNICACIÓN 6</w:t>
      </w:r>
    </w:p>
    <w:tbl>
      <w:tblPr>
        <w:tblW w:w="9636" w:type="dxa"/>
        <w:tblInd w:w="2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636"/>
      </w:tblGrid>
      <w:tr w:rsidR="0046263B" w:rsidRPr="005E1103" w:rsidTr="0046263B">
        <w:trPr>
          <w:trHeight w:val="984"/>
        </w:trPr>
        <w:tc>
          <w:tcPr>
            <w:tcW w:w="9636" w:type="dxa"/>
          </w:tcPr>
          <w:p w:rsidR="0046263B" w:rsidRPr="005E1103" w:rsidRDefault="0046263B" w:rsidP="0046263B">
            <w:pPr>
              <w:jc w:val="center"/>
              <w:rPr>
                <w:rFonts w:cstheme="minorHAnsi"/>
                <w:b/>
                <w:sz w:val="28"/>
                <w:szCs w:val="28"/>
              </w:rPr>
            </w:pPr>
            <w:r w:rsidRPr="005E1103">
              <w:rPr>
                <w:rFonts w:cstheme="minorHAnsi"/>
                <w:b/>
                <w:sz w:val="28"/>
                <w:szCs w:val="28"/>
              </w:rPr>
              <w:t>LA EDUCACIÓN UNIVERSITARIA INCLUSIVA: FORMACIÓN PARA EL PROFESORADO Y DERECHO PARA EL ALUMNO</w:t>
            </w:r>
          </w:p>
        </w:tc>
      </w:tr>
    </w:tbl>
    <w:p w:rsidR="0046263B" w:rsidRPr="005E1103" w:rsidRDefault="0046263B" w:rsidP="0046263B">
      <w:pPr>
        <w:rPr>
          <w:rFonts w:cstheme="minorHAnsi"/>
          <w:sz w:val="28"/>
          <w:szCs w:val="28"/>
        </w:rPr>
      </w:pPr>
    </w:p>
    <w:p w:rsidR="0046263B" w:rsidRPr="005E1103" w:rsidRDefault="0046263B" w:rsidP="0046263B">
      <w:pPr>
        <w:jc w:val="right"/>
        <w:rPr>
          <w:rFonts w:cstheme="minorHAnsi"/>
          <w:sz w:val="28"/>
          <w:szCs w:val="28"/>
        </w:rPr>
      </w:pPr>
      <w:r w:rsidRPr="005E1103">
        <w:rPr>
          <w:rFonts w:cstheme="minorHAnsi"/>
          <w:sz w:val="28"/>
          <w:szCs w:val="28"/>
        </w:rPr>
        <w:t>Prof. Dra. Dña. Pilar López de la Osa Escribano</w:t>
      </w:r>
    </w:p>
    <w:p w:rsidR="0046263B" w:rsidRPr="005E1103" w:rsidRDefault="0046263B" w:rsidP="0046263B">
      <w:pPr>
        <w:jc w:val="right"/>
        <w:rPr>
          <w:rFonts w:cstheme="minorHAnsi"/>
          <w:sz w:val="28"/>
          <w:szCs w:val="28"/>
        </w:rPr>
      </w:pPr>
      <w:r w:rsidRPr="005E1103">
        <w:rPr>
          <w:rFonts w:cstheme="minorHAnsi"/>
          <w:sz w:val="28"/>
          <w:szCs w:val="28"/>
        </w:rPr>
        <w:t>Coordinadora de 2º Grado en Derecho y de la Clínica Jurídica Villanueva</w:t>
      </w:r>
    </w:p>
    <w:p w:rsidR="0046263B" w:rsidRPr="005E1103" w:rsidRDefault="0046263B" w:rsidP="0046263B">
      <w:pPr>
        <w:jc w:val="right"/>
        <w:rPr>
          <w:rFonts w:cstheme="minorHAnsi"/>
          <w:sz w:val="28"/>
          <w:szCs w:val="28"/>
        </w:rPr>
      </w:pPr>
      <w:r w:rsidRPr="005E1103">
        <w:rPr>
          <w:rFonts w:cstheme="minorHAnsi"/>
          <w:sz w:val="28"/>
          <w:szCs w:val="28"/>
        </w:rPr>
        <w:t>Centro Universitario Villanueva</w:t>
      </w:r>
    </w:p>
    <w:p w:rsidR="0046263B" w:rsidRPr="005E1103" w:rsidRDefault="0046263B" w:rsidP="0046263B">
      <w:pPr>
        <w:jc w:val="right"/>
        <w:rPr>
          <w:rFonts w:cstheme="minorHAnsi"/>
          <w:sz w:val="28"/>
          <w:szCs w:val="28"/>
        </w:rPr>
      </w:pPr>
      <w:r w:rsidRPr="005E1103">
        <w:rPr>
          <w:rFonts w:cstheme="minorHAnsi"/>
          <w:sz w:val="28"/>
          <w:szCs w:val="28"/>
        </w:rPr>
        <w:t>Prof. Dr. D. José Maria Carabante Muntada</w:t>
      </w:r>
    </w:p>
    <w:p w:rsidR="0046263B" w:rsidRPr="005E1103" w:rsidRDefault="0046263B" w:rsidP="0046263B">
      <w:pPr>
        <w:jc w:val="right"/>
        <w:rPr>
          <w:rFonts w:cstheme="minorHAnsi"/>
          <w:sz w:val="28"/>
          <w:szCs w:val="28"/>
        </w:rPr>
      </w:pPr>
      <w:r w:rsidRPr="005E1103">
        <w:rPr>
          <w:rFonts w:cstheme="minorHAnsi"/>
          <w:sz w:val="28"/>
          <w:szCs w:val="28"/>
        </w:rPr>
        <w:t>Coordinador de 3º Grado en Derecho y miembro del Consejo Asesor de la Clínica Jurídica Villanueva</w:t>
      </w:r>
    </w:p>
    <w:p w:rsidR="0046263B" w:rsidRPr="005E1103" w:rsidRDefault="0046263B" w:rsidP="0046263B">
      <w:pPr>
        <w:jc w:val="right"/>
        <w:rPr>
          <w:rFonts w:cstheme="minorHAnsi"/>
          <w:sz w:val="28"/>
          <w:szCs w:val="28"/>
        </w:rPr>
      </w:pPr>
      <w:r w:rsidRPr="005E1103">
        <w:rPr>
          <w:rFonts w:cstheme="minorHAnsi"/>
          <w:sz w:val="28"/>
          <w:szCs w:val="28"/>
        </w:rPr>
        <w:t>Prof. Dra. Dña. Mercedes de Prada Rodríguez-</w:t>
      </w:r>
    </w:p>
    <w:p w:rsidR="0046263B" w:rsidRPr="005E1103" w:rsidRDefault="0046263B" w:rsidP="0046263B">
      <w:pPr>
        <w:jc w:val="right"/>
        <w:rPr>
          <w:rFonts w:cstheme="minorHAnsi"/>
          <w:sz w:val="28"/>
          <w:szCs w:val="28"/>
        </w:rPr>
      </w:pPr>
      <w:r w:rsidRPr="005E1103">
        <w:rPr>
          <w:rFonts w:cstheme="minorHAnsi"/>
          <w:sz w:val="28"/>
          <w:szCs w:val="28"/>
        </w:rPr>
        <w:t>Directora del Grado en Derecho y Máster de Acceso a la Abogacía</w:t>
      </w:r>
    </w:p>
    <w:p w:rsidR="0046263B" w:rsidRPr="005E1103" w:rsidRDefault="0046263B" w:rsidP="0046263B">
      <w:pPr>
        <w:jc w:val="right"/>
        <w:rPr>
          <w:rFonts w:cstheme="minorHAnsi"/>
          <w:sz w:val="28"/>
          <w:szCs w:val="28"/>
        </w:rPr>
      </w:pPr>
      <w:r w:rsidRPr="005E1103">
        <w:rPr>
          <w:rFonts w:cstheme="minorHAnsi"/>
          <w:sz w:val="28"/>
          <w:szCs w:val="28"/>
        </w:rPr>
        <w:t>Centro Universitario Villanueva</w:t>
      </w:r>
    </w:p>
    <w:p w:rsidR="0046263B" w:rsidRPr="005E1103" w:rsidRDefault="0046263B" w:rsidP="0046263B">
      <w:pPr>
        <w:jc w:val="right"/>
        <w:rPr>
          <w:rFonts w:cstheme="minorHAnsi"/>
          <w:sz w:val="28"/>
          <w:szCs w:val="28"/>
        </w:rPr>
      </w:pPr>
    </w:p>
    <w:p w:rsidR="0046263B" w:rsidRPr="005E1103" w:rsidRDefault="0046263B" w:rsidP="0046263B">
      <w:pPr>
        <w:spacing w:line="360" w:lineRule="auto"/>
        <w:jc w:val="both"/>
        <w:rPr>
          <w:rFonts w:cstheme="minorHAnsi"/>
          <w:b/>
          <w:sz w:val="28"/>
          <w:szCs w:val="28"/>
        </w:rPr>
      </w:pPr>
      <w:r w:rsidRPr="005E1103">
        <w:rPr>
          <w:rFonts w:cstheme="minorHAnsi"/>
          <w:sz w:val="28"/>
          <w:szCs w:val="28"/>
        </w:rPr>
        <w:tab/>
      </w:r>
      <w:r w:rsidRPr="005E1103">
        <w:rPr>
          <w:rFonts w:cstheme="minorHAnsi"/>
          <w:b/>
          <w:sz w:val="28"/>
          <w:szCs w:val="28"/>
        </w:rPr>
        <w:t>I.</w:t>
      </w:r>
      <w:r w:rsidRPr="005E1103">
        <w:rPr>
          <w:rFonts w:cstheme="minorHAnsi"/>
          <w:sz w:val="28"/>
          <w:szCs w:val="28"/>
        </w:rPr>
        <w:t xml:space="preserve">- </w:t>
      </w:r>
      <w:r w:rsidRPr="005E1103">
        <w:rPr>
          <w:rFonts w:cstheme="minorHAnsi"/>
          <w:b/>
          <w:sz w:val="28"/>
          <w:szCs w:val="28"/>
        </w:rPr>
        <w:t>La formación del profesorado para la educación inclusiva</w:t>
      </w:r>
    </w:p>
    <w:p w:rsidR="0046263B" w:rsidRPr="005E1103" w:rsidRDefault="0046263B" w:rsidP="0046263B">
      <w:pPr>
        <w:spacing w:line="360" w:lineRule="auto"/>
        <w:jc w:val="both"/>
        <w:rPr>
          <w:rFonts w:cstheme="minorHAnsi"/>
          <w:sz w:val="28"/>
          <w:szCs w:val="28"/>
        </w:rPr>
      </w:pPr>
      <w:r w:rsidRPr="005E1103">
        <w:rPr>
          <w:rFonts w:cstheme="minorHAnsi"/>
          <w:sz w:val="28"/>
          <w:szCs w:val="28"/>
        </w:rPr>
        <w:tab/>
        <w:t xml:space="preserve">La Convención de Naciones Unidas para los Derechos de las Personas con Discapacidad reconoce, en el artículo 24, el derecho a la educación de las personas con discapacidad en igualdad de condiciones y oportunidades. Y, en su  artículo 24.5, recoge el acceso a la enseñanza superior, donde para el presente análisis, incluimos la educación universitaria.  </w:t>
      </w:r>
    </w:p>
    <w:p w:rsidR="0046263B" w:rsidRPr="005E1103" w:rsidRDefault="0046263B" w:rsidP="0046263B">
      <w:pPr>
        <w:spacing w:line="360" w:lineRule="auto"/>
        <w:jc w:val="both"/>
        <w:rPr>
          <w:rFonts w:cstheme="minorHAnsi"/>
          <w:sz w:val="28"/>
          <w:szCs w:val="28"/>
        </w:rPr>
      </w:pPr>
      <w:r w:rsidRPr="005E1103">
        <w:rPr>
          <w:rFonts w:cstheme="minorHAnsi"/>
          <w:sz w:val="28"/>
          <w:szCs w:val="28"/>
        </w:rPr>
        <w:tab/>
        <w:t xml:space="preserve">Antes de centrarnos en cómo mejorar la formación de los docentes universitarios, es necesario que éstos tomen conciencia y se sensibilicen respecto de los alumnos con discapacidad y su inclusión en la vida académica y universitaria. Es importante recalcar que a raíz del contenido del mencionado artículo 24, el derecho a la educación en personas con </w:t>
      </w:r>
      <w:r w:rsidRPr="005E1103">
        <w:rPr>
          <w:rFonts w:cstheme="minorHAnsi"/>
          <w:sz w:val="28"/>
          <w:szCs w:val="28"/>
        </w:rPr>
        <w:lastRenderedPageBreak/>
        <w:t>discapacidad se ha centrado, sobre todo, en el ámbito escolar, mientras que el entorno universitario se ha abordado en menor medida. Posiblemente sea debido a que la enseñanza universitaria no se considera obligatoria y, por tanto, estadísticamente, el número de alumnos con discapacidad que quiere obtener una formación universitaria es inferior al que podría ser si la educación inclusiva también se aplicara de manera regular en la Universidad Española. Cuánto más avanzan los cursos de la etapa escolar en un alumno con discapacidad, menor número de alumnos hay en las aulas, pues la enseñanza ya no se convierte en obligatoria en Bachillerato y FP y el número de alumnos disminuye</w:t>
      </w:r>
      <w:r w:rsidRPr="005E1103">
        <w:rPr>
          <w:rStyle w:val="Refdenotaalpie"/>
          <w:rFonts w:cstheme="minorHAnsi"/>
          <w:sz w:val="28"/>
          <w:szCs w:val="28"/>
        </w:rPr>
        <w:footnoteReference w:id="49"/>
      </w:r>
      <w:r w:rsidRPr="005E1103">
        <w:rPr>
          <w:rFonts w:cstheme="minorHAnsi"/>
          <w:sz w:val="28"/>
          <w:szCs w:val="28"/>
        </w:rPr>
        <w:t>.</w:t>
      </w:r>
    </w:p>
    <w:p w:rsidR="0046263B" w:rsidRPr="005E1103" w:rsidRDefault="0046263B" w:rsidP="0046263B">
      <w:pPr>
        <w:spacing w:line="360" w:lineRule="auto"/>
        <w:jc w:val="both"/>
        <w:rPr>
          <w:rFonts w:cstheme="minorHAnsi"/>
          <w:sz w:val="28"/>
          <w:szCs w:val="28"/>
        </w:rPr>
      </w:pPr>
      <w:r w:rsidRPr="005E1103">
        <w:rPr>
          <w:rFonts w:cstheme="minorHAnsi"/>
          <w:sz w:val="28"/>
          <w:szCs w:val="28"/>
        </w:rPr>
        <w:tab/>
        <w:t>Si hemos conseguido que, lentamente, la educación inclusiva llegue a los centros escolares y actualmente contemple tener en el aula alumnos con discapacidad, a los que el centro educativo acoge valorando no solo su trabajo sino, al igual que sus compañeros, el logro de valiosos resultados académicos; debemos pasar del “discurso” a las “evidencias” universitarias y comprometernos a aplicar nuevas técnicas educativas</w:t>
      </w:r>
      <w:r w:rsidRPr="005E1103">
        <w:rPr>
          <w:rStyle w:val="Refdenotaalpie"/>
          <w:rFonts w:cstheme="minorHAnsi"/>
          <w:sz w:val="28"/>
          <w:szCs w:val="28"/>
        </w:rPr>
        <w:footnoteReference w:id="50"/>
      </w:r>
      <w:r w:rsidRPr="005E1103">
        <w:rPr>
          <w:rFonts w:cstheme="minorHAnsi"/>
          <w:sz w:val="28"/>
          <w:szCs w:val="28"/>
        </w:rPr>
        <w:t xml:space="preserve">.  </w:t>
      </w:r>
    </w:p>
    <w:p w:rsidR="0046263B" w:rsidRPr="005E1103" w:rsidRDefault="0046263B" w:rsidP="0046263B">
      <w:pPr>
        <w:spacing w:line="360" w:lineRule="auto"/>
        <w:ind w:firstLine="708"/>
        <w:jc w:val="both"/>
        <w:rPr>
          <w:rFonts w:cstheme="minorHAnsi"/>
          <w:sz w:val="28"/>
          <w:szCs w:val="28"/>
        </w:rPr>
      </w:pPr>
      <w:r w:rsidRPr="005E1103">
        <w:rPr>
          <w:rFonts w:cstheme="minorHAnsi"/>
          <w:sz w:val="28"/>
          <w:szCs w:val="28"/>
        </w:rPr>
        <w:t>Debemos, en primer lugar, entender por “inclusión” un modo de mejorar la universidad con la participación activa y colaborativa de todos los docentes. Tener alumnos con discapacidad en el aula aporta un mayor valor educativo</w:t>
      </w:r>
      <w:r w:rsidRPr="005E1103">
        <w:rPr>
          <w:rStyle w:val="Refdenotaalpie"/>
          <w:rFonts w:cstheme="minorHAnsi"/>
          <w:sz w:val="28"/>
          <w:szCs w:val="28"/>
        </w:rPr>
        <w:footnoteReference w:id="51"/>
      </w:r>
      <w:r w:rsidRPr="005E1103">
        <w:rPr>
          <w:rFonts w:cstheme="minorHAnsi"/>
          <w:sz w:val="28"/>
          <w:szCs w:val="28"/>
        </w:rPr>
        <w:t xml:space="preserve">; a menudo la sociedad entiende que la educación </w:t>
      </w:r>
      <w:r w:rsidRPr="005E1103">
        <w:rPr>
          <w:rFonts w:cstheme="minorHAnsi"/>
          <w:sz w:val="28"/>
          <w:szCs w:val="28"/>
        </w:rPr>
        <w:lastRenderedPageBreak/>
        <w:t>inclusiva va únicamente destinada a las personas con discapacidad que se encuentran en el aula, mientras que en realidad se trata de un enfoque dirigido a todos los alumnos</w:t>
      </w:r>
      <w:r w:rsidRPr="005E1103">
        <w:rPr>
          <w:rStyle w:val="Refdenotaalpie"/>
          <w:rFonts w:cstheme="minorHAnsi"/>
          <w:sz w:val="28"/>
          <w:szCs w:val="28"/>
        </w:rPr>
        <w:footnoteReference w:id="52"/>
      </w:r>
      <w:r w:rsidRPr="005E1103">
        <w:rPr>
          <w:rFonts w:cstheme="minorHAnsi"/>
          <w:sz w:val="28"/>
          <w:szCs w:val="28"/>
        </w:rPr>
        <w:t>.</w:t>
      </w:r>
    </w:p>
    <w:p w:rsidR="0046263B" w:rsidRPr="005E1103" w:rsidRDefault="0046263B" w:rsidP="0046263B">
      <w:pPr>
        <w:spacing w:line="360" w:lineRule="auto"/>
        <w:ind w:firstLine="708"/>
        <w:jc w:val="both"/>
        <w:rPr>
          <w:rFonts w:cstheme="minorHAnsi"/>
          <w:sz w:val="28"/>
          <w:szCs w:val="28"/>
        </w:rPr>
      </w:pPr>
      <w:r w:rsidRPr="005E1103">
        <w:rPr>
          <w:rFonts w:cstheme="minorHAnsi"/>
          <w:sz w:val="28"/>
          <w:szCs w:val="28"/>
        </w:rPr>
        <w:t>En este sentido, formar a los docentes universitarios en materia de discapacidad se convierte en una necesidad que descansa sobre una serie de valores esenciales: la actitud, los conocimientos y las habilidades del profesorado; todas ellas necesarias para poder alcanzar los objetivos deseados y conseguir una  educación inclusiva universitaria.</w:t>
      </w:r>
    </w:p>
    <w:p w:rsidR="0046263B" w:rsidRPr="005E1103" w:rsidRDefault="0046263B" w:rsidP="0046263B">
      <w:pPr>
        <w:spacing w:line="360" w:lineRule="auto"/>
        <w:ind w:firstLine="708"/>
        <w:jc w:val="both"/>
        <w:rPr>
          <w:rFonts w:cstheme="minorHAnsi"/>
          <w:sz w:val="28"/>
          <w:szCs w:val="28"/>
        </w:rPr>
      </w:pPr>
      <w:r w:rsidRPr="005E1103">
        <w:rPr>
          <w:rFonts w:cstheme="minorHAnsi"/>
          <w:sz w:val="28"/>
          <w:szCs w:val="28"/>
        </w:rPr>
        <w:t xml:space="preserve">En primer lugar, la </w:t>
      </w:r>
      <w:r w:rsidRPr="005E1103">
        <w:rPr>
          <w:rFonts w:cstheme="minorHAnsi"/>
          <w:b/>
          <w:sz w:val="28"/>
          <w:szCs w:val="28"/>
        </w:rPr>
        <w:t>actitud</w:t>
      </w:r>
      <w:r w:rsidRPr="005E1103">
        <w:rPr>
          <w:rFonts w:cstheme="minorHAnsi"/>
          <w:sz w:val="28"/>
          <w:szCs w:val="28"/>
        </w:rPr>
        <w:t xml:space="preserve"> del docente es esencial en el aula, debe esperar obtener  siempre lo mejor de cada uno de sus alumnos y valorar positivamente la diversidad y las diferencias existentes entre unos y otros. Si el profesor universitario entiende que educación inclusiva y calidad educativa están intrínsecamente unidos</w:t>
      </w:r>
      <w:r w:rsidRPr="005E1103">
        <w:rPr>
          <w:rStyle w:val="Refdenotaalpie"/>
          <w:rFonts w:cstheme="minorHAnsi"/>
          <w:sz w:val="28"/>
          <w:szCs w:val="28"/>
        </w:rPr>
        <w:footnoteReference w:id="53"/>
      </w:r>
      <w:r w:rsidRPr="005E1103">
        <w:rPr>
          <w:rFonts w:cstheme="minorHAnsi"/>
          <w:sz w:val="28"/>
          <w:szCs w:val="28"/>
        </w:rPr>
        <w:t>, adquirirá la actitud adecuada para poner en funcionamiento técnicas de aprendizaje que permitan al alumno con discapacidad participar de la clase con normalidad.  Un comportamiento ético y respetuoso permitirá no solo motivar al alumno en cuestión en los contenidos de la asignatura, sino también integrarle con facilidad en el entorno académico.</w:t>
      </w:r>
    </w:p>
    <w:p w:rsidR="0046263B" w:rsidRPr="005E1103" w:rsidRDefault="0046263B" w:rsidP="0046263B">
      <w:pPr>
        <w:spacing w:line="360" w:lineRule="auto"/>
        <w:ind w:firstLine="708"/>
        <w:jc w:val="both"/>
        <w:rPr>
          <w:rFonts w:cstheme="minorHAnsi"/>
          <w:sz w:val="28"/>
          <w:szCs w:val="28"/>
        </w:rPr>
      </w:pPr>
      <w:r w:rsidRPr="005E1103">
        <w:rPr>
          <w:rFonts w:cstheme="minorHAnsi"/>
          <w:sz w:val="28"/>
          <w:szCs w:val="28"/>
        </w:rPr>
        <w:t xml:space="preserve">María del Mar García Garrido es Licenciada en Periodismo por la Universidad Complutense de Madrid, tiene una enfermedad degenerativa, un tipo de leucodistrofia sin diagnóstico, ella la denomina “la enfermedad de Marimar”. Tras preguntarle cómo cree que un docente debe actuar </w:t>
      </w:r>
      <w:r w:rsidRPr="005E1103">
        <w:rPr>
          <w:rFonts w:cstheme="minorHAnsi"/>
          <w:sz w:val="28"/>
          <w:szCs w:val="28"/>
        </w:rPr>
        <w:lastRenderedPageBreak/>
        <w:t xml:space="preserve">ante la presencia en el aula de un alumno con discapacidad, responde: </w:t>
      </w:r>
      <w:r w:rsidRPr="005E1103">
        <w:rPr>
          <w:rFonts w:cstheme="minorHAnsi"/>
          <w:i/>
          <w:sz w:val="28"/>
          <w:szCs w:val="28"/>
        </w:rPr>
        <w:t>“El ser humano por naturaleza es un ser social, por eso cuando entra una persona con inferioridad de condiciones a la Universidad tenemos que ser</w:t>
      </w:r>
      <w:r w:rsidRPr="005E1103">
        <w:rPr>
          <w:rFonts w:cstheme="minorHAnsi"/>
          <w:sz w:val="28"/>
          <w:szCs w:val="28"/>
        </w:rPr>
        <w:t xml:space="preserve"> </w:t>
      </w:r>
      <w:r w:rsidRPr="005E1103">
        <w:rPr>
          <w:rFonts w:cstheme="minorHAnsi"/>
          <w:i/>
          <w:sz w:val="28"/>
          <w:szCs w:val="28"/>
        </w:rPr>
        <w:t>humanos ante todo, brindarle nuestro apoyo e ir incorporando a nuestro mapa mental distintos significados de un mismo término. Le podemos ayudar con recursos, ya sean electrónicos, documentos físicos, libros, etc. Todo esto, le servirá como motivación para emprender su carrera universitaria”</w:t>
      </w:r>
      <w:r w:rsidRPr="005E1103">
        <w:rPr>
          <w:rFonts w:cstheme="minorHAnsi"/>
          <w:sz w:val="28"/>
          <w:szCs w:val="28"/>
        </w:rPr>
        <w:t xml:space="preserve">. </w:t>
      </w:r>
    </w:p>
    <w:p w:rsidR="0046263B" w:rsidRPr="005E1103" w:rsidRDefault="0046263B" w:rsidP="0046263B">
      <w:pPr>
        <w:spacing w:line="360" w:lineRule="auto"/>
        <w:ind w:firstLine="708"/>
        <w:jc w:val="both"/>
        <w:rPr>
          <w:rFonts w:cstheme="minorHAnsi"/>
          <w:sz w:val="28"/>
          <w:szCs w:val="28"/>
        </w:rPr>
      </w:pPr>
      <w:r w:rsidRPr="005E1103">
        <w:rPr>
          <w:rFonts w:cstheme="minorHAnsi"/>
          <w:sz w:val="28"/>
          <w:szCs w:val="28"/>
        </w:rPr>
        <w:t>Es necesario, por tanto que el docente busque la empatía entendida como cercanía y uso del lenguaje correcto hacia el alumno con discapacidad, esto provoca, indirectamente y de forma natural, un respeto entre todos los alumnos. A menudo, el problema radica en una falta de actitud positiva ante algo que no debe verse como un problema, sino como un reto que, con respeto y valores, es posible obtener resultados positivos.</w:t>
      </w:r>
    </w:p>
    <w:p w:rsidR="0046263B" w:rsidRPr="005E1103" w:rsidRDefault="0046263B" w:rsidP="0046263B">
      <w:pPr>
        <w:spacing w:line="360" w:lineRule="auto"/>
        <w:ind w:firstLine="708"/>
        <w:jc w:val="both"/>
        <w:rPr>
          <w:rFonts w:cstheme="minorHAnsi"/>
          <w:sz w:val="28"/>
          <w:szCs w:val="28"/>
        </w:rPr>
      </w:pPr>
      <w:r w:rsidRPr="005E1103">
        <w:rPr>
          <w:rFonts w:cstheme="minorHAnsi"/>
          <w:sz w:val="28"/>
          <w:szCs w:val="28"/>
        </w:rPr>
        <w:t xml:space="preserve">En segundo lugar, la formación del profesorado debe verse complementada con </w:t>
      </w:r>
      <w:r w:rsidRPr="005E1103">
        <w:rPr>
          <w:rFonts w:cstheme="minorHAnsi"/>
          <w:b/>
          <w:sz w:val="28"/>
          <w:szCs w:val="28"/>
        </w:rPr>
        <w:t>conocimientos</w:t>
      </w:r>
      <w:r w:rsidRPr="005E1103">
        <w:rPr>
          <w:rFonts w:cstheme="minorHAnsi"/>
          <w:sz w:val="28"/>
          <w:szCs w:val="28"/>
        </w:rPr>
        <w:t xml:space="preserve"> acerca del alumno y su discapacidad.  La docencia es una actividad de aprendizaje y los docentes tienen la responsabilidad de aprender a lo largo de su trayectoria profesional. </w:t>
      </w:r>
    </w:p>
    <w:p w:rsidR="0046263B" w:rsidRPr="005E1103" w:rsidRDefault="0046263B" w:rsidP="0046263B">
      <w:pPr>
        <w:spacing w:line="360" w:lineRule="auto"/>
        <w:ind w:firstLine="708"/>
        <w:jc w:val="both"/>
        <w:rPr>
          <w:rFonts w:cstheme="minorHAnsi"/>
          <w:sz w:val="28"/>
          <w:szCs w:val="28"/>
        </w:rPr>
      </w:pPr>
      <w:r w:rsidRPr="005E1103">
        <w:rPr>
          <w:rFonts w:cstheme="minorHAnsi"/>
          <w:sz w:val="28"/>
          <w:szCs w:val="28"/>
        </w:rPr>
        <w:t xml:space="preserve">Las asociaciones brindan su ayuda a los centros escolares con profesionales de la educación que facilitan la inclusión del alumno y comprensión de los contenidos; de la misma manera, esa ayuda debe brindarse en la Universidad. El profesorado debe estar al tanto del tipo de enfermedad, las dificultades que puede encontrar el alumno en su asignatura y así, a través de un trabajo en equipo, cubrir sus necesidades académicas.  María del Mar nos recuerda que </w:t>
      </w:r>
      <w:r w:rsidRPr="005E1103">
        <w:rPr>
          <w:rFonts w:cstheme="minorHAnsi"/>
          <w:i/>
          <w:sz w:val="28"/>
          <w:szCs w:val="28"/>
        </w:rPr>
        <w:t xml:space="preserve">“No queremos un trato de </w:t>
      </w:r>
      <w:r w:rsidRPr="005E1103">
        <w:rPr>
          <w:rFonts w:cstheme="minorHAnsi"/>
          <w:i/>
          <w:sz w:val="28"/>
          <w:szCs w:val="28"/>
        </w:rPr>
        <w:lastRenderedPageBreak/>
        <w:t>preferencia, tan solo queremos que nos traten como les gustaría que les trataran a ustedes que no tienen las mismas complicaciones en el camino… Es verdad que existe un desconocimiento de la situación, pero en ocasiones es cuestión de querer ayudar, una actitud activa y no pasiva… el docente tiene que saber a quién tiene en su clase, sus situaciones personales, familiares y las necesidades que pueda requerir”.</w:t>
      </w:r>
    </w:p>
    <w:p w:rsidR="0046263B" w:rsidRPr="005E1103" w:rsidRDefault="0046263B" w:rsidP="0046263B">
      <w:pPr>
        <w:spacing w:line="360" w:lineRule="auto"/>
        <w:ind w:firstLine="708"/>
        <w:jc w:val="both"/>
        <w:rPr>
          <w:rFonts w:cstheme="minorHAnsi"/>
          <w:sz w:val="28"/>
          <w:szCs w:val="28"/>
        </w:rPr>
      </w:pPr>
      <w:r w:rsidRPr="005E1103">
        <w:rPr>
          <w:rFonts w:cstheme="minorHAnsi"/>
          <w:sz w:val="28"/>
          <w:szCs w:val="28"/>
        </w:rPr>
        <w:t xml:space="preserve">En tercer y último lugar, las </w:t>
      </w:r>
      <w:r w:rsidRPr="005E1103">
        <w:rPr>
          <w:rFonts w:cstheme="minorHAnsi"/>
          <w:b/>
          <w:sz w:val="28"/>
          <w:szCs w:val="28"/>
        </w:rPr>
        <w:t xml:space="preserve">habilidades </w:t>
      </w:r>
      <w:r w:rsidRPr="005E1103">
        <w:rPr>
          <w:rFonts w:cstheme="minorHAnsi"/>
          <w:sz w:val="28"/>
          <w:szCs w:val="28"/>
        </w:rPr>
        <w:t>del docente requieren de un mayor trabajo ante un alumno con discapacidad en el aula. Es necesario hacer uso de la imaginación y la creatividad para hacer que el desarrollo de la asignatura sea lo más positivo posible.  Las metodologías utilizadas en clase que faciliten el grado de aprendizaje de todos los alumnos, y la colaboración permanente entre profesores buscando llevar a cabo una docencia compartida son algunas de las estrategias de educación inclusiva que se deben llevar a cabo en la Universidad</w:t>
      </w:r>
      <w:r w:rsidRPr="005E1103">
        <w:rPr>
          <w:rStyle w:val="Refdenotaalpie"/>
          <w:rFonts w:cstheme="minorHAnsi"/>
          <w:sz w:val="28"/>
          <w:szCs w:val="28"/>
        </w:rPr>
        <w:footnoteReference w:id="54"/>
      </w:r>
      <w:r w:rsidRPr="005E1103">
        <w:rPr>
          <w:rFonts w:cstheme="minorHAnsi"/>
          <w:sz w:val="28"/>
          <w:szCs w:val="28"/>
        </w:rPr>
        <w:t>.</w:t>
      </w:r>
    </w:p>
    <w:p w:rsidR="0046263B" w:rsidRPr="005E1103" w:rsidRDefault="0046263B" w:rsidP="0046263B">
      <w:pPr>
        <w:spacing w:line="360" w:lineRule="auto"/>
        <w:ind w:firstLine="708"/>
        <w:jc w:val="both"/>
        <w:rPr>
          <w:rFonts w:cstheme="minorHAnsi"/>
          <w:sz w:val="28"/>
          <w:szCs w:val="28"/>
        </w:rPr>
      </w:pPr>
      <w:r w:rsidRPr="005E1103">
        <w:rPr>
          <w:rFonts w:cstheme="minorHAnsi"/>
          <w:sz w:val="28"/>
          <w:szCs w:val="28"/>
        </w:rPr>
        <w:t>Es posible que el docente en estos casos tenga que “alterar” su práctica educativa</w:t>
      </w:r>
      <w:r w:rsidRPr="005E1103">
        <w:rPr>
          <w:rStyle w:val="Refdenotaalpie"/>
          <w:rFonts w:cstheme="minorHAnsi"/>
          <w:sz w:val="28"/>
          <w:szCs w:val="28"/>
        </w:rPr>
        <w:footnoteReference w:id="55"/>
      </w:r>
      <w:r w:rsidRPr="005E1103">
        <w:rPr>
          <w:rFonts w:cstheme="minorHAnsi"/>
          <w:sz w:val="28"/>
          <w:szCs w:val="28"/>
        </w:rPr>
        <w:t>, pero la mayoría de los que la han llevado a cabo consideran que es positivo y muy enriquecedor.  El ejemplo más claro está en el comentario de una profesora de la Facultad de Ciencias de la Información que durante la carrera impartió clase a María del Mar : “Gracias por todo, simplemente gracias por estar”.</w:t>
      </w:r>
    </w:p>
    <w:p w:rsidR="0046263B" w:rsidRPr="005E1103" w:rsidRDefault="0046263B" w:rsidP="0046263B">
      <w:pPr>
        <w:spacing w:line="360" w:lineRule="auto"/>
        <w:jc w:val="both"/>
        <w:rPr>
          <w:rFonts w:cstheme="minorHAnsi"/>
          <w:b/>
          <w:sz w:val="28"/>
          <w:szCs w:val="28"/>
        </w:rPr>
      </w:pPr>
      <w:r w:rsidRPr="005E1103">
        <w:rPr>
          <w:rFonts w:cstheme="minorHAnsi"/>
          <w:b/>
          <w:sz w:val="28"/>
          <w:szCs w:val="28"/>
        </w:rPr>
        <w:tab/>
        <w:t xml:space="preserve">II.- Formas de garantizar el derecho a la enseñanza superior </w:t>
      </w:r>
    </w:p>
    <w:p w:rsidR="0046263B" w:rsidRPr="005E1103" w:rsidRDefault="0046263B" w:rsidP="0046263B">
      <w:pPr>
        <w:spacing w:line="360" w:lineRule="auto"/>
        <w:ind w:firstLine="708"/>
        <w:jc w:val="both"/>
        <w:rPr>
          <w:rFonts w:cstheme="minorHAnsi"/>
          <w:sz w:val="28"/>
          <w:szCs w:val="28"/>
          <w:lang w:eastAsia="es-ES"/>
        </w:rPr>
      </w:pPr>
      <w:r w:rsidRPr="005E1103">
        <w:rPr>
          <w:rFonts w:cstheme="minorHAnsi"/>
          <w:sz w:val="28"/>
          <w:szCs w:val="28"/>
          <w:lang w:eastAsia="es-ES"/>
        </w:rPr>
        <w:t xml:space="preserve">Parece razonable concluir, a partir de lo dispuesto en el artículo 24.5 de la Convención de Naciones Unidas y de su artículo 21, como del reconocimiento constitucional del derecho a la educación (artículo 27) y </w:t>
      </w:r>
      <w:r w:rsidRPr="005E1103">
        <w:rPr>
          <w:rFonts w:cstheme="minorHAnsi"/>
          <w:sz w:val="28"/>
          <w:szCs w:val="28"/>
          <w:lang w:eastAsia="es-ES"/>
        </w:rPr>
        <w:lastRenderedPageBreak/>
        <w:t>de la exigencia de igualdad, que los poderes públicos y privados tienen de garantizar el acceso a la universidad de este colectivo. Sin embargo, sigue faltando a nivel general un diseño de políticas concretas que acerquen y faciliten el acceso de los estudios universitarios de las personas con discapacidad. Es cierto que, si se repasan las decisiones de las universidades españolas, la mayoría de ellas ha puesto en marcha programas de atención, destinados sobre todo a la supresión de barreas arquitectónicas. Pero, por suerte, gracias a la labor de las asociaciones, que han conseguido concienciar a la ciudadanía, no puede decirse que sean hoy las barreras físicas las que alejan o dificultan que las personas con discapacidad accedan a sus estudios universitarios. Son, más bien, los diseños curriculares los que, pese al reconocimiento del derecho a los estudios universitarios, impiden el ejercicio efectivo del mismo a este colectivo.</w:t>
      </w:r>
    </w:p>
    <w:p w:rsidR="0046263B" w:rsidRPr="005E1103" w:rsidRDefault="0046263B" w:rsidP="0046263B">
      <w:pPr>
        <w:spacing w:line="360" w:lineRule="auto"/>
        <w:ind w:firstLine="708"/>
        <w:jc w:val="both"/>
        <w:rPr>
          <w:rFonts w:cstheme="minorHAnsi"/>
          <w:sz w:val="28"/>
          <w:szCs w:val="28"/>
          <w:lang w:eastAsia="es-ES"/>
        </w:rPr>
      </w:pPr>
      <w:r w:rsidRPr="005E1103">
        <w:rPr>
          <w:rFonts w:cstheme="minorHAnsi"/>
          <w:sz w:val="28"/>
          <w:szCs w:val="28"/>
          <w:lang w:eastAsia="es-ES"/>
        </w:rPr>
        <w:t>Es sintomático de ello que todavía se discuta si la universidad debe prever adaptaciones curriculares, entendiendo por tales “las modificaciones que se hacen en los objetivos, contenidos, criterios y procedimientos de evaluación”</w:t>
      </w:r>
      <w:r w:rsidRPr="005E1103">
        <w:rPr>
          <w:rFonts w:cstheme="minorHAnsi"/>
          <w:sz w:val="28"/>
          <w:szCs w:val="28"/>
          <w:vertAlign w:val="superscript"/>
          <w:lang w:eastAsia="es-ES"/>
        </w:rPr>
        <w:footnoteReference w:id="56"/>
      </w:r>
      <w:r w:rsidRPr="005E1103">
        <w:rPr>
          <w:rFonts w:cstheme="minorHAnsi"/>
          <w:sz w:val="28"/>
          <w:szCs w:val="28"/>
          <w:lang w:eastAsia="es-ES"/>
        </w:rPr>
        <w:t>, es decir, aquellas que afectan a las exigencias académicas docentes, las denominadas adaptaciones curriculares significativas –modificaciones y excepciones en la propia programación en atención a las necesidades individuales de los alumnos con discapacidad-. Se ha indicado así que en el ámbito de una educación no obligatoria, como es la universitaria, la adaptación no sería exigible</w:t>
      </w:r>
      <w:r w:rsidRPr="005E1103">
        <w:rPr>
          <w:rStyle w:val="Refdenotaalpie"/>
          <w:rFonts w:cstheme="minorHAnsi"/>
          <w:sz w:val="28"/>
          <w:szCs w:val="28"/>
          <w:lang w:eastAsia="es-ES"/>
        </w:rPr>
        <w:footnoteReference w:id="57"/>
      </w:r>
      <w:r w:rsidRPr="005E1103">
        <w:rPr>
          <w:rFonts w:cstheme="minorHAnsi"/>
          <w:sz w:val="28"/>
          <w:szCs w:val="28"/>
          <w:lang w:eastAsia="es-ES"/>
        </w:rPr>
        <w:t xml:space="preserve">. A nuestro juicio, estas opiniones, que no son mayoritarias y que están cada vez más desprestigiadas, parten de una concepción errónea de la </w:t>
      </w:r>
      <w:r w:rsidRPr="005E1103">
        <w:rPr>
          <w:rFonts w:cstheme="minorHAnsi"/>
          <w:sz w:val="28"/>
          <w:szCs w:val="28"/>
          <w:lang w:eastAsia="es-ES"/>
        </w:rPr>
        <w:lastRenderedPageBreak/>
        <w:t>discapacidad. Desde este punto de vista, los colectivos de personas con discapacidad serían rebajados a seres cuyas necesidades especiales deberían ser satisfechas por quienes no las tienen, pero con esta perspectiva el riesgo es la elaboración de políticas condescendientes que no tienen en cuenta ni subrayan el enriquecimiento que su inclusión depara a la sociedad. Si la adaptación curricular significativa es exigible, lo es principalmente por las aportaciones que las personas con discapacidad pueden realizar a la vida universitaria, entendida esta no solo como la adquisición de competencias profesionales, sino en su sentido original, formativo, en el que la diversidad ha de ser la norma y no la excepción</w:t>
      </w:r>
      <w:r w:rsidRPr="005E1103">
        <w:rPr>
          <w:rStyle w:val="Refdenotaalpie"/>
          <w:rFonts w:cstheme="minorHAnsi"/>
          <w:sz w:val="28"/>
          <w:szCs w:val="28"/>
          <w:lang w:eastAsia="es-ES"/>
        </w:rPr>
        <w:footnoteReference w:id="58"/>
      </w:r>
      <w:r w:rsidRPr="005E1103">
        <w:rPr>
          <w:rFonts w:cstheme="minorHAnsi"/>
          <w:sz w:val="28"/>
          <w:szCs w:val="28"/>
          <w:lang w:eastAsia="es-ES"/>
        </w:rPr>
        <w:t>.</w:t>
      </w:r>
    </w:p>
    <w:p w:rsidR="0046263B" w:rsidRPr="005E1103" w:rsidRDefault="0046263B" w:rsidP="0046263B">
      <w:pPr>
        <w:spacing w:line="360" w:lineRule="auto"/>
        <w:ind w:firstLine="708"/>
        <w:jc w:val="both"/>
        <w:rPr>
          <w:rFonts w:cstheme="minorHAnsi"/>
          <w:sz w:val="28"/>
          <w:szCs w:val="28"/>
          <w:lang w:eastAsia="es-ES"/>
        </w:rPr>
      </w:pPr>
      <w:r w:rsidRPr="005E1103">
        <w:rPr>
          <w:rFonts w:cstheme="minorHAnsi"/>
          <w:sz w:val="28"/>
          <w:szCs w:val="28"/>
          <w:lang w:eastAsia="es-ES"/>
        </w:rPr>
        <w:t>La adaptación curricular significativa no implica, per se, una alteración de los estándares de exigencia académicos. Asimismo, los cambios introducidos por el Espacio Europeo de Educación Superior, más atento a evaluar el despliegue paulatino de competencias, también y sobre todo de las básicas</w:t>
      </w:r>
      <w:r w:rsidRPr="005E1103">
        <w:rPr>
          <w:rFonts w:cstheme="minorHAnsi"/>
          <w:sz w:val="28"/>
          <w:szCs w:val="28"/>
          <w:vertAlign w:val="superscript"/>
          <w:lang w:eastAsia="es-ES"/>
        </w:rPr>
        <w:footnoteReference w:id="59"/>
      </w:r>
      <w:r w:rsidRPr="005E1103">
        <w:rPr>
          <w:rFonts w:cstheme="minorHAnsi"/>
          <w:sz w:val="28"/>
          <w:szCs w:val="28"/>
          <w:lang w:eastAsia="es-ES"/>
        </w:rPr>
        <w:t xml:space="preserve">, y a valorar el protagonismo del alumno en su propio iter formativo, más que atenerse en exclusiva a los resultados, abren la posibilidad de introducir estrategias docentes que ajusten la adquisición de conocimientos, así como su evaluación, a las necesidades personales del alumnado. </w:t>
      </w:r>
    </w:p>
    <w:p w:rsidR="0046263B" w:rsidRPr="005E1103" w:rsidRDefault="0046263B" w:rsidP="0046263B">
      <w:pPr>
        <w:spacing w:line="360" w:lineRule="auto"/>
        <w:ind w:firstLine="708"/>
        <w:jc w:val="both"/>
        <w:rPr>
          <w:rFonts w:cstheme="minorHAnsi"/>
          <w:sz w:val="28"/>
          <w:szCs w:val="28"/>
          <w:lang w:eastAsia="es-ES"/>
        </w:rPr>
      </w:pPr>
      <w:r w:rsidRPr="005E1103">
        <w:rPr>
          <w:rFonts w:cstheme="minorHAnsi"/>
          <w:sz w:val="28"/>
          <w:szCs w:val="28"/>
          <w:lang w:eastAsia="es-ES"/>
        </w:rPr>
        <w:t xml:space="preserve">Ciertamente, es difícil establecer una normativa genérica que recoja cuáles han de ser los criterios de actuación en concreto, teniendo en cuenta no solo la diversidad de situaciones de discapacidad, sino también la peculiaridad de los grados y estudios a los que accede. Creemos, sin embargo, que, a nivel general, habría que partir de un compromiso de los </w:t>
      </w:r>
      <w:r w:rsidRPr="005E1103">
        <w:rPr>
          <w:rFonts w:cstheme="minorHAnsi"/>
          <w:sz w:val="28"/>
          <w:szCs w:val="28"/>
          <w:lang w:eastAsia="es-ES"/>
        </w:rPr>
        <w:lastRenderedPageBreak/>
        <w:t xml:space="preserve">órganos rectores y profesores con la atención a la diversidad, como hemos puesto de manifiesto en el apartado anterior. </w:t>
      </w:r>
    </w:p>
    <w:p w:rsidR="0046263B" w:rsidRPr="005E1103" w:rsidRDefault="0046263B" w:rsidP="0046263B">
      <w:pPr>
        <w:spacing w:line="360" w:lineRule="auto"/>
        <w:ind w:firstLine="708"/>
        <w:jc w:val="both"/>
        <w:rPr>
          <w:rFonts w:cstheme="minorHAnsi"/>
          <w:sz w:val="28"/>
          <w:szCs w:val="28"/>
          <w:lang w:eastAsia="es-ES"/>
        </w:rPr>
      </w:pPr>
      <w:r w:rsidRPr="005E1103">
        <w:rPr>
          <w:rFonts w:cstheme="minorHAnsi"/>
          <w:sz w:val="28"/>
          <w:szCs w:val="28"/>
          <w:lang w:eastAsia="es-ES"/>
        </w:rPr>
        <w:t xml:space="preserve">A nuestro juicio, la mejor forma de garantizar el acceso de las personas con discapacidad a los estudios universitarios es mediante la implantación de planes de formación personalizados. En nuestro caso, el Centro Universitario Villanueva se ha distinguido por ofrecer atención personal y tutorial a todos sus alumnos desde que comenzara su andadura. Hoy las tutorías académicas constituyen una obligación del profesor universitario. Es en ellas en las que, sin disminuir sus exigencias, puede llevar a cabo las adaptaciones curriculares. </w:t>
      </w:r>
    </w:p>
    <w:p w:rsidR="0046263B" w:rsidRPr="005E1103" w:rsidRDefault="0046263B" w:rsidP="0046263B">
      <w:pPr>
        <w:spacing w:line="360" w:lineRule="auto"/>
        <w:ind w:firstLine="708"/>
        <w:jc w:val="both"/>
        <w:rPr>
          <w:rFonts w:cstheme="minorHAnsi"/>
          <w:sz w:val="28"/>
          <w:szCs w:val="28"/>
          <w:lang w:eastAsia="es-ES"/>
        </w:rPr>
      </w:pPr>
      <w:r w:rsidRPr="005E1103">
        <w:rPr>
          <w:rFonts w:cstheme="minorHAnsi"/>
          <w:sz w:val="28"/>
          <w:szCs w:val="28"/>
          <w:lang w:eastAsia="es-ES"/>
        </w:rPr>
        <w:t xml:space="preserve">En nuestra Universidad, sin embargo, cada alumno cuenta con un asistente personal que, mediante entrevistas periódicas, le orienta para asegurar su pleno desarrollo académico y personal a lo largo de todos sus estudios universitarios. El asistente sabe las necesidades del alumno, conoce su evolución y desarrolla con él determinadas estrategias académicas con el fin de que logre los objetivos académicos marcados. Pero el asistente, que coordina también la labor del claustro docente, conoce también las exigencias de cada uno de los planes de estudios, los contenidos, el sistema de evaluación y las finalidades de las disciplinas que integran un determinado plan de estudios. Gracias a ello puede canalizar los esfuerzos del alumnado y diseñar con él técnicas de aprendizaje personalizadas a su situación, así como establecer con el profesorado y el resto del alumnado decisiones en atención a la diversidad. Entre otras, en nuestro centro se ha ofrecido, teniendo en cuenta las necesidades especiales de determinados alumnos, la posibilidad de exámenes orales y/o escritos, más tiempo en la realización de las pruebas, adaptación de determinadas prácticas docentes, supervisión del material por parte del </w:t>
      </w:r>
      <w:r w:rsidRPr="005E1103">
        <w:rPr>
          <w:rFonts w:cstheme="minorHAnsi"/>
          <w:sz w:val="28"/>
          <w:szCs w:val="28"/>
          <w:lang w:eastAsia="es-ES"/>
        </w:rPr>
        <w:lastRenderedPageBreak/>
        <w:t xml:space="preserve">profesor, ampliación de horario de atención tutorial, trabajos alternativos pero evaluables,; orientación psicoeducativa especializada, etc. Se trataba de alumnos con déficits de aprendizaje, pero como veremos a continuación, este plan, destinado a todo el alumnado del Centro, ha mostrado ser en el caso de los alumnos con discapacidad especialmente adecuado. </w:t>
      </w:r>
    </w:p>
    <w:p w:rsidR="0046263B" w:rsidRPr="005E1103" w:rsidRDefault="0046263B" w:rsidP="0046263B">
      <w:pPr>
        <w:spacing w:line="360" w:lineRule="auto"/>
        <w:ind w:firstLine="708"/>
        <w:jc w:val="both"/>
        <w:rPr>
          <w:rFonts w:cstheme="minorHAnsi"/>
          <w:sz w:val="28"/>
          <w:szCs w:val="28"/>
          <w:lang w:eastAsia="es-ES"/>
        </w:rPr>
      </w:pPr>
      <w:r w:rsidRPr="005E1103">
        <w:rPr>
          <w:rFonts w:cstheme="minorHAnsi"/>
          <w:sz w:val="28"/>
          <w:szCs w:val="28"/>
          <w:lang w:eastAsia="es-ES"/>
        </w:rPr>
        <w:t xml:space="preserve">Desde hace unos años, se ha implementado un Programa de Adquisición de Competencias específico para cada alumno. La finalidad de este último es asegurar la evolución intelectual y personal del alumno durante su carrera académica, así como incidir, ya en los últimos cursos, en aquellas destrezas que faciliten su acceso al mercado laboral. Las competencias que primero se trabajan son aquellas instrumentales –entre otras, gestión del tiempo, lectura y escritura, trabajo en equipo, autoconocimiento, relación social, presentación en público, etc.-, pero que la experiencia demuestra que marcan la diferencia en la consolidación y aprovechamiento de los estudios universitarios. Hay que destacar que la elaboración de los programas se realiza sobre la base de test de personalidad y otros exámenes psicológicos especializados y que, al contar con un departamento de orientación psicoeducativa, se logra un diseño muy personalizado y existe la posibilidad de derivar a especialistas el caso o diseñar junto a ellos un programa de seguimiento del alumnado. </w:t>
      </w:r>
    </w:p>
    <w:p w:rsidR="0046263B" w:rsidRPr="005E1103" w:rsidRDefault="0046263B" w:rsidP="0046263B">
      <w:pPr>
        <w:spacing w:line="360" w:lineRule="auto"/>
        <w:ind w:firstLine="708"/>
        <w:jc w:val="both"/>
        <w:rPr>
          <w:rFonts w:cstheme="minorHAnsi"/>
          <w:sz w:val="28"/>
          <w:szCs w:val="28"/>
          <w:lang w:eastAsia="es-ES"/>
        </w:rPr>
      </w:pPr>
      <w:r w:rsidRPr="005E1103">
        <w:rPr>
          <w:rFonts w:cstheme="minorHAnsi"/>
          <w:sz w:val="28"/>
          <w:szCs w:val="28"/>
          <w:lang w:eastAsia="es-ES"/>
        </w:rPr>
        <w:t xml:space="preserve">Por otra parte, este programa está integrado transversalmente en cada uno de los planes de estudios que se ofertan, lo que significa que se ha establecido teniendo en cuenta las exigencias académicas y la peculiaridad de los estudios y las asignaturas. Es evidentemente una oferta que reclama un compromiso de todo el claustro de profesores que, </w:t>
      </w:r>
      <w:r w:rsidRPr="005E1103">
        <w:rPr>
          <w:rFonts w:cstheme="minorHAnsi"/>
          <w:sz w:val="28"/>
          <w:szCs w:val="28"/>
          <w:lang w:eastAsia="es-ES"/>
        </w:rPr>
        <w:lastRenderedPageBreak/>
        <w:t>en la actualidad, no solo conoce y valora este programa, sino que con su colaboración y atención facilita la implementación del mismo.</w:t>
      </w:r>
    </w:p>
    <w:p w:rsidR="0046263B" w:rsidRPr="005E1103" w:rsidRDefault="0046263B" w:rsidP="0046263B">
      <w:pPr>
        <w:spacing w:line="360" w:lineRule="auto"/>
        <w:ind w:firstLine="708"/>
        <w:jc w:val="both"/>
        <w:rPr>
          <w:rFonts w:cstheme="minorHAnsi"/>
          <w:b/>
          <w:sz w:val="28"/>
          <w:szCs w:val="28"/>
          <w:lang w:eastAsia="es-ES"/>
        </w:rPr>
      </w:pPr>
      <w:r w:rsidRPr="005E1103">
        <w:rPr>
          <w:rFonts w:cstheme="minorHAnsi"/>
          <w:b/>
          <w:sz w:val="28"/>
          <w:szCs w:val="28"/>
          <w:lang w:eastAsia="es-ES"/>
        </w:rPr>
        <w:t>III.- Un ejemplo de superación y esfuerzo por parte de una alumna con discapacidad auditiva, en una universidad inclusiva (Centro Universitario Villanueva, UCM)</w:t>
      </w:r>
    </w:p>
    <w:p w:rsidR="0046263B" w:rsidRPr="005E1103" w:rsidRDefault="0046263B" w:rsidP="0046263B">
      <w:pPr>
        <w:spacing w:line="360" w:lineRule="auto"/>
        <w:ind w:firstLine="708"/>
        <w:jc w:val="both"/>
        <w:rPr>
          <w:rFonts w:cstheme="minorHAnsi"/>
          <w:sz w:val="28"/>
          <w:szCs w:val="28"/>
          <w:lang w:eastAsia="es-ES"/>
        </w:rPr>
      </w:pPr>
      <w:r w:rsidRPr="005E1103">
        <w:rPr>
          <w:rFonts w:cstheme="minorHAnsi"/>
          <w:sz w:val="28"/>
          <w:szCs w:val="28"/>
          <w:lang w:eastAsia="es-ES"/>
        </w:rPr>
        <w:t>Nos gustaría trasladar en este punto el trabajo realizado y la evolución de nuestra primera alumna con una hipoacusia neurosensorial bilateral profunda, portadora de un Implante Coclear, desde los 11 años, oralista y que al inicio de sus estudios universitarios no conocía el lenguaje de signos.</w:t>
      </w:r>
    </w:p>
    <w:p w:rsidR="0046263B" w:rsidRPr="005E1103" w:rsidRDefault="0046263B" w:rsidP="0046263B">
      <w:pPr>
        <w:spacing w:line="360" w:lineRule="auto"/>
        <w:ind w:firstLine="708"/>
        <w:jc w:val="both"/>
        <w:rPr>
          <w:rFonts w:cstheme="minorHAnsi"/>
          <w:sz w:val="28"/>
          <w:szCs w:val="28"/>
          <w:lang w:eastAsia="es-ES"/>
        </w:rPr>
      </w:pPr>
      <w:r w:rsidRPr="005E1103">
        <w:rPr>
          <w:rFonts w:cstheme="minorHAnsi"/>
          <w:sz w:val="28"/>
          <w:szCs w:val="28"/>
          <w:lang w:eastAsia="es-ES"/>
        </w:rPr>
        <w:t>Las dificultades con las que se encontró en su etapa escolar  llegaron al punto de tener que cambiar de ciudad por los pocos medios que existían a su alcance para conseguir los objetivos académicos. Hasta segundo de Bachillerato, no tuvo una especial adaptación curricular porque suplía con trabajo y esfuerzo su discapacidad en un colegio de integración. Tras una triste experiencia en las Pruebas de Selectividad, por la falta de sensibilidad y escasa profesionalidad del tribunal</w:t>
      </w:r>
      <w:r w:rsidRPr="005E1103">
        <w:rPr>
          <w:rStyle w:val="Refdenotaalpie"/>
          <w:rFonts w:cstheme="minorHAnsi"/>
          <w:sz w:val="28"/>
          <w:szCs w:val="28"/>
          <w:lang w:eastAsia="es-ES"/>
        </w:rPr>
        <w:footnoteReference w:id="60"/>
      </w:r>
      <w:r w:rsidRPr="005E1103">
        <w:rPr>
          <w:rFonts w:cstheme="minorHAnsi"/>
          <w:sz w:val="28"/>
          <w:szCs w:val="28"/>
          <w:lang w:eastAsia="es-ES"/>
        </w:rPr>
        <w:t xml:space="preserve">, accedió a estudiar al Centro Universitario Villanueva. Desde el primer momento, fuimos conscientes de que no era capaz de escuchar las explicaciones de los profesores, aun siendo portadora de un implante, era fundamental la lectura labial para poder incorporar la información. Se detectó que no </w:t>
      </w:r>
      <w:r w:rsidRPr="005E1103">
        <w:rPr>
          <w:rFonts w:cstheme="minorHAnsi"/>
          <w:sz w:val="28"/>
          <w:szCs w:val="28"/>
          <w:lang w:eastAsia="es-ES"/>
        </w:rPr>
        <w:lastRenderedPageBreak/>
        <w:t>disponía de un nivel de vocabulario, ni de estructuras de frases como el resto de sus compañeros, lo que determinó la necesidad de “traducir” algunos textos e información a un lenguaje más elemental y sencillo de frases cortas o propuestas de textos alternativos. Nos encontramos que las dificultades de acceso a la información transmitida a través de los distintos medios de comunicación (prensa escrita, radio, televisión, etc.) hacían que el volumen de información y opiniones que había recibido durante sus años de formación fuera mucho menor que las de sus compañeros. Algo que lógicamente, repercutía en una mayor dificultad para relacionar ideas e interpretaciones. Las estructuras lingüísticas que manejaba eran más limitadas: incurriendo en omisiones de palabras, errores de concordancia y otras alteraciones fruto de su patología.</w:t>
      </w:r>
    </w:p>
    <w:p w:rsidR="0046263B" w:rsidRPr="005E1103" w:rsidRDefault="0046263B" w:rsidP="0046263B">
      <w:pPr>
        <w:spacing w:line="360" w:lineRule="auto"/>
        <w:ind w:firstLine="708"/>
        <w:jc w:val="both"/>
        <w:rPr>
          <w:rFonts w:cstheme="minorHAnsi"/>
          <w:sz w:val="28"/>
          <w:szCs w:val="28"/>
          <w:lang w:eastAsia="es-ES"/>
        </w:rPr>
      </w:pPr>
      <w:r w:rsidRPr="005E1103">
        <w:rPr>
          <w:rFonts w:cstheme="minorHAnsi"/>
          <w:sz w:val="28"/>
          <w:szCs w:val="28"/>
          <w:lang w:eastAsia="es-ES"/>
        </w:rPr>
        <w:t xml:space="preserve">Para conseguir la mejor adaptación en sus estudios, se asignó un coordinador que trabajaba de forma transversal en todos los cursos y, cada año, un  profesor tutor, ambas figuras trabajaban conjuntamente y servían de conexión con los distintos miembros del claustro. Además, asesoraban en las diferentes cuestiones que se iban planteando que eran de mayor dificultad para ella. Algunas de las medidas que se adoptaron para conseguir la plena inclusión de la alumna y que se transmitieron a todo el claustro de profesores fueron tan básicas y sencillas como: reservar la primera fila para poder ver y escuchar mejor al profesor;  asegurarse de atraer su atención antes de comenzar a hablar;  hablar siempre de frente, mirando a los ojos y con un ritmo normal, ni rápido, ni lento, sin gritar; no taparse la boca con un bolígrafo o la mano, a fin de permitir la lectura labia; asegurarse que comprendía haciendo preguntas abiertas; facilitar con antelación y por escrito todo lo relacionado a la asignatura: la programación, contenidos, plazos de presentación de </w:t>
      </w:r>
      <w:r w:rsidRPr="005E1103">
        <w:rPr>
          <w:rFonts w:cstheme="minorHAnsi"/>
          <w:sz w:val="28"/>
          <w:szCs w:val="28"/>
          <w:lang w:eastAsia="es-ES"/>
        </w:rPr>
        <w:lastRenderedPageBreak/>
        <w:t>trabajos, fechas de exámenes; repetir siempre las preguntas realizadas por sus compañeros; en los debates y trabajos en grupo, explicar al inicio el objetivo y las normas de funcionamiento en cuanto a los turnos, uso de micrófonos, entre otras muchas que iban surgiendo en el día a día.</w:t>
      </w:r>
    </w:p>
    <w:p w:rsidR="0046263B" w:rsidRPr="005E1103" w:rsidRDefault="0046263B" w:rsidP="0046263B">
      <w:pPr>
        <w:spacing w:line="360" w:lineRule="auto"/>
        <w:ind w:firstLine="708"/>
        <w:jc w:val="both"/>
        <w:rPr>
          <w:rFonts w:cstheme="minorHAnsi"/>
          <w:sz w:val="28"/>
          <w:szCs w:val="28"/>
          <w:lang w:eastAsia="es-ES"/>
        </w:rPr>
      </w:pPr>
      <w:r w:rsidRPr="005E1103">
        <w:rPr>
          <w:rFonts w:cstheme="minorHAnsi"/>
          <w:sz w:val="28"/>
          <w:szCs w:val="28"/>
          <w:lang w:eastAsia="es-ES"/>
        </w:rPr>
        <w:t>Respecto a la metodología y organización del aula, en el transcurso de los cursos en los que estudió en nuestra Universidad, se echaron en falta  determinados aspectos que se fueron subsanando, así, por ejemplo: impartir las clases en aulas con buena acústica e iluminación y alejadas de las fuentes de ruidos; utilizar, en la medida de lo posible, vídeos subtitulados; utilizar las ayudas técnicas, como los sistemas de Frecuencia Modulada (FM) o bucle magnético, que use habitualmente el alumno, etc.</w:t>
      </w:r>
    </w:p>
    <w:p w:rsidR="0046263B" w:rsidRPr="005E1103" w:rsidRDefault="0046263B" w:rsidP="0046263B">
      <w:pPr>
        <w:spacing w:line="360" w:lineRule="auto"/>
        <w:ind w:firstLine="708"/>
        <w:jc w:val="both"/>
        <w:rPr>
          <w:rFonts w:cstheme="minorHAnsi"/>
          <w:sz w:val="28"/>
          <w:szCs w:val="28"/>
          <w:lang w:eastAsia="es-ES"/>
        </w:rPr>
      </w:pPr>
      <w:r w:rsidRPr="005E1103">
        <w:rPr>
          <w:rFonts w:cstheme="minorHAnsi"/>
          <w:sz w:val="28"/>
          <w:szCs w:val="28"/>
          <w:lang w:eastAsia="es-ES"/>
        </w:rPr>
        <w:t>Un punto fundamental de trabajo fue el concienciar a los profesores de las características de los exámenes. Siempre se realizaron por escrito y se trasladaron los siguientes aspectos claves: incrementar el tiempo de la prueba (se recomienda un 25%); reservar la primera fila; dar las preguntas por escrito, debiendo ser muy claras para evitar posibles confusiones; proporcionar por escrito toda la información (errores en las preguntas, tiempo para finalizar, comentarios, etc.);  escribir en la pizarra la información proporcionada como respuesta a las preguntas formuladas por los alumnos sobre el examen; permitir la utilización de diccionario de sinónimos y antónimos, etc.</w:t>
      </w:r>
      <w:r w:rsidRPr="005E1103">
        <w:rPr>
          <w:rStyle w:val="Refdenotaalpie"/>
          <w:rFonts w:cstheme="minorHAnsi"/>
          <w:sz w:val="28"/>
          <w:szCs w:val="28"/>
          <w:lang w:eastAsia="es-ES"/>
        </w:rPr>
        <w:footnoteReference w:id="61"/>
      </w:r>
      <w:r w:rsidRPr="005E1103">
        <w:rPr>
          <w:rFonts w:cstheme="minorHAnsi"/>
          <w:sz w:val="28"/>
          <w:szCs w:val="28"/>
          <w:lang w:eastAsia="es-ES"/>
        </w:rPr>
        <w:t xml:space="preserve">. </w:t>
      </w:r>
    </w:p>
    <w:p w:rsidR="0046263B" w:rsidRPr="005E1103" w:rsidRDefault="0046263B" w:rsidP="0046263B">
      <w:pPr>
        <w:spacing w:line="360" w:lineRule="auto"/>
        <w:jc w:val="both"/>
        <w:rPr>
          <w:rFonts w:cstheme="minorHAnsi"/>
          <w:sz w:val="28"/>
          <w:szCs w:val="28"/>
          <w:lang w:eastAsia="es-ES"/>
        </w:rPr>
      </w:pPr>
      <w:r w:rsidRPr="005E1103">
        <w:rPr>
          <w:rFonts w:cstheme="minorHAnsi"/>
          <w:sz w:val="28"/>
          <w:szCs w:val="28"/>
          <w:lang w:eastAsia="es-ES"/>
        </w:rPr>
        <w:tab/>
        <w:t xml:space="preserve">Todo lo anterior no podría haberse conseguido sin la implicación del claustro de profesores así como de los compañeros que acogieron a esta alumna como una igual pero siendo conscientes de las dificultades a las </w:t>
      </w:r>
      <w:r w:rsidRPr="005E1103">
        <w:rPr>
          <w:rFonts w:cstheme="minorHAnsi"/>
          <w:sz w:val="28"/>
          <w:szCs w:val="28"/>
          <w:lang w:eastAsia="es-ES"/>
        </w:rPr>
        <w:lastRenderedPageBreak/>
        <w:t xml:space="preserve">que se enfrentaba y prestándole la ayuda y atención necesarias. Pero, sin duda, lo más importante para llegar al éxito en su carrera universitaria fue la tenacidad, capacidad de superación, generosidad y ganas de aprender de la alumna. </w:t>
      </w:r>
    </w:p>
    <w:p w:rsidR="0046263B" w:rsidRPr="005E1103" w:rsidRDefault="0046263B" w:rsidP="0046263B">
      <w:pPr>
        <w:spacing w:line="360" w:lineRule="auto"/>
        <w:jc w:val="both"/>
        <w:rPr>
          <w:rFonts w:cstheme="minorHAnsi"/>
          <w:b/>
          <w:sz w:val="28"/>
          <w:szCs w:val="28"/>
          <w:lang w:eastAsia="es-ES"/>
        </w:rPr>
      </w:pPr>
      <w:r w:rsidRPr="005E1103">
        <w:rPr>
          <w:rFonts w:cstheme="minorHAnsi"/>
          <w:sz w:val="28"/>
          <w:szCs w:val="28"/>
          <w:lang w:eastAsia="es-ES"/>
        </w:rPr>
        <w:tab/>
        <w:t xml:space="preserve">En la actualidad, está trabajando desde que finalizó sus estudios. De su extenso CV destacamos que es licenciada en </w:t>
      </w:r>
      <w:r w:rsidRPr="005E1103">
        <w:rPr>
          <w:rFonts w:cstheme="minorHAnsi"/>
          <w:b/>
          <w:bCs/>
          <w:sz w:val="28"/>
          <w:szCs w:val="28"/>
          <w:lang w:eastAsia="es-ES"/>
        </w:rPr>
        <w:t xml:space="preserve"> </w:t>
      </w:r>
      <w:r w:rsidRPr="005E1103">
        <w:rPr>
          <w:rFonts w:cstheme="minorHAnsi"/>
          <w:bCs/>
          <w:sz w:val="28"/>
          <w:szCs w:val="28"/>
          <w:lang w:eastAsia="es-ES"/>
        </w:rPr>
        <w:t xml:space="preserve">Psicopedagogía, </w:t>
      </w:r>
      <w:r w:rsidRPr="005E1103">
        <w:rPr>
          <w:rFonts w:cstheme="minorHAnsi"/>
          <w:sz w:val="28"/>
          <w:szCs w:val="28"/>
          <w:lang w:eastAsia="es-ES"/>
        </w:rPr>
        <w:t xml:space="preserve">Diplomada en Magisterio de Educación Primaria y </w:t>
      </w:r>
      <w:r w:rsidRPr="005E1103">
        <w:rPr>
          <w:rFonts w:cstheme="minorHAnsi"/>
          <w:bCs/>
          <w:sz w:val="28"/>
          <w:szCs w:val="28"/>
          <w:lang w:eastAsia="es-ES"/>
        </w:rPr>
        <w:t>Educación Infantil</w:t>
      </w:r>
      <w:r w:rsidRPr="005E1103">
        <w:rPr>
          <w:rFonts w:cstheme="minorHAnsi"/>
          <w:sz w:val="28"/>
          <w:szCs w:val="28"/>
          <w:lang w:eastAsia="es-ES"/>
        </w:rPr>
        <w:t>, Máster en Discapacidad, Autonomía Personal y Atención a la Dependencia y Titulada en Educación Personalizada. Ha escrito artículos, colaborado en diversas publicaciones y participado en diferentes ponencias y congresos.</w:t>
      </w:r>
    </w:p>
    <w:p w:rsidR="0046263B" w:rsidRPr="005E1103" w:rsidRDefault="0046263B" w:rsidP="0046263B">
      <w:pPr>
        <w:spacing w:line="360" w:lineRule="auto"/>
        <w:ind w:firstLine="708"/>
        <w:jc w:val="both"/>
        <w:rPr>
          <w:rFonts w:cstheme="minorHAnsi"/>
          <w:sz w:val="28"/>
          <w:szCs w:val="28"/>
          <w:lang w:eastAsia="es-ES"/>
        </w:rPr>
      </w:pPr>
      <w:r w:rsidRPr="005E1103">
        <w:rPr>
          <w:rFonts w:cstheme="minorHAnsi"/>
          <w:b/>
          <w:sz w:val="28"/>
          <w:szCs w:val="28"/>
          <w:lang w:eastAsia="es-ES"/>
        </w:rPr>
        <w:t>IV.- Conclusiones</w:t>
      </w:r>
    </w:p>
    <w:p w:rsidR="0046263B" w:rsidRPr="005E1103" w:rsidRDefault="0046263B" w:rsidP="0046263B">
      <w:pPr>
        <w:spacing w:line="360" w:lineRule="auto"/>
        <w:jc w:val="both"/>
        <w:rPr>
          <w:rFonts w:cstheme="minorHAnsi"/>
          <w:sz w:val="28"/>
          <w:szCs w:val="28"/>
          <w:lang w:eastAsia="es-ES"/>
        </w:rPr>
      </w:pPr>
      <w:r w:rsidRPr="005E1103">
        <w:rPr>
          <w:rFonts w:cstheme="minorHAnsi"/>
          <w:sz w:val="28"/>
          <w:szCs w:val="28"/>
          <w:lang w:eastAsia="es-ES"/>
        </w:rPr>
        <w:tab/>
        <w:t xml:space="preserve">En conclusión, podemos decir que el reto de la Universidad del siglo XXI es afrontar la integración académica de los alumnos con discapacidad, con el fin de constituir un entorno educativo y cultural diverso. Para ello, es menester actuar en dos frentes: en primer lugar, el de la concienciación del profesorado, sobre la que hemos sugerido algunas formas de llevarla a cabo; ello exige el compromiso por parte del claustro de profesorados, pero también de la dirección de los centros. Y, en segundo lugar, establecer mecanismos de adaptación curricular para lograr la plena integración de estos estudiantes. A nuestro juicio, incidir en la personalización de la enseñanza universitaria, como hemos señalado, no es una estrategia que pretende rebajar la exigencia académica ni la rigurosidad en la enseñanza superior, sino acercarla a las personas con discapacidad y hacerles posible el ejercicio pleno de su derecho. </w:t>
      </w:r>
    </w:p>
    <w:p w:rsidR="0046263B" w:rsidRPr="005E1103" w:rsidRDefault="0046263B" w:rsidP="0046263B">
      <w:pPr>
        <w:spacing w:line="360" w:lineRule="auto"/>
        <w:ind w:firstLine="708"/>
        <w:jc w:val="both"/>
        <w:rPr>
          <w:rFonts w:cstheme="minorHAnsi"/>
          <w:sz w:val="28"/>
          <w:szCs w:val="28"/>
          <w:lang w:eastAsia="es-ES"/>
        </w:rPr>
      </w:pPr>
      <w:r w:rsidRPr="005E1103">
        <w:rPr>
          <w:rFonts w:cstheme="minorHAnsi"/>
          <w:sz w:val="28"/>
          <w:szCs w:val="28"/>
          <w:lang w:eastAsia="es-ES"/>
        </w:rPr>
        <w:t xml:space="preserve">Por otra parte, aunque la formación del profesorado en materia de educación inclusiva es absolutamente necesaria en el ámbito universitario </w:t>
      </w:r>
      <w:r w:rsidRPr="005E1103">
        <w:rPr>
          <w:rFonts w:cstheme="minorHAnsi"/>
          <w:sz w:val="28"/>
          <w:szCs w:val="28"/>
          <w:lang w:eastAsia="es-ES"/>
        </w:rPr>
        <w:lastRenderedPageBreak/>
        <w:t>español, no es sólo la formación lo que necesitan los docentes, no podemos dejar toda la responsabilidad en sus manos, sino que debe haber una colaboración por parte de la sociedad y apoyados siempre por profesionales de la educación y asociaciones que permitan facilitar las técnicas de aprendizaje adaptadas a cada caso en particular. Es necesario romper el tabú de la ignorancia, esa barrera que, aparentemente en el ámbito académico, separa al docente del alumno con discapacidad. El docente debe preguntar al alumno directamente y sin miedo cómo puede ayudarle y si éste no puede hablar, el docente debe acudir a su familia, que son los que más le conocen; saben muy bien los caminos y las trabas que se ha encontrado y conocen de primera mano todas las que ha superado con éxito.</w:t>
      </w:r>
    </w:p>
    <w:p w:rsidR="0046263B" w:rsidRPr="005E1103" w:rsidRDefault="0046263B">
      <w:pPr>
        <w:rPr>
          <w:rFonts w:cstheme="minorHAnsi"/>
          <w:sz w:val="28"/>
          <w:szCs w:val="28"/>
          <w:lang w:eastAsia="es-ES"/>
        </w:rPr>
      </w:pPr>
      <w:r w:rsidRPr="005E1103">
        <w:rPr>
          <w:rFonts w:cstheme="minorHAnsi"/>
          <w:sz w:val="28"/>
          <w:szCs w:val="28"/>
          <w:lang w:eastAsia="es-ES"/>
        </w:rPr>
        <w:br w:type="page"/>
      </w:r>
    </w:p>
    <w:p w:rsidR="0046263B" w:rsidRPr="005E1103" w:rsidRDefault="0046263B" w:rsidP="0046263B">
      <w:pPr>
        <w:spacing w:line="360" w:lineRule="auto"/>
        <w:jc w:val="center"/>
        <w:rPr>
          <w:rFonts w:cstheme="minorHAnsi"/>
          <w:b/>
          <w:sz w:val="28"/>
          <w:szCs w:val="28"/>
        </w:rPr>
      </w:pPr>
      <w:r w:rsidRPr="005E1103">
        <w:rPr>
          <w:rFonts w:cstheme="minorHAnsi"/>
          <w:b/>
          <w:sz w:val="28"/>
          <w:szCs w:val="28"/>
        </w:rPr>
        <w:lastRenderedPageBreak/>
        <w:t>COMUNICACIÓN 7</w:t>
      </w:r>
    </w:p>
    <w:tbl>
      <w:tblPr>
        <w:tblW w:w="10632" w:type="dxa"/>
        <w:tblInd w:w="-5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0632"/>
      </w:tblGrid>
      <w:tr w:rsidR="0046263B" w:rsidRPr="005E1103" w:rsidTr="0046263B">
        <w:trPr>
          <w:trHeight w:val="1098"/>
        </w:trPr>
        <w:tc>
          <w:tcPr>
            <w:tcW w:w="10632" w:type="dxa"/>
          </w:tcPr>
          <w:p w:rsidR="0046263B" w:rsidRPr="005E1103" w:rsidRDefault="0046263B" w:rsidP="0046263B">
            <w:pPr>
              <w:spacing w:line="240" w:lineRule="auto"/>
              <w:ind w:left="588"/>
              <w:jc w:val="center"/>
              <w:rPr>
                <w:rFonts w:cstheme="minorHAnsi"/>
                <w:b/>
                <w:sz w:val="28"/>
                <w:szCs w:val="28"/>
              </w:rPr>
            </w:pPr>
            <w:r w:rsidRPr="005E1103">
              <w:rPr>
                <w:rFonts w:cstheme="minorHAnsi"/>
                <w:b/>
                <w:sz w:val="28"/>
                <w:szCs w:val="28"/>
              </w:rPr>
              <w:t>El rol de la Universidad en los procesos de Inclusión social de personas con discapacidad.</w:t>
            </w:r>
          </w:p>
        </w:tc>
      </w:tr>
    </w:tbl>
    <w:p w:rsidR="0046263B" w:rsidRPr="005E1103" w:rsidRDefault="0046263B" w:rsidP="0046263B">
      <w:pPr>
        <w:spacing w:line="360" w:lineRule="auto"/>
        <w:rPr>
          <w:rFonts w:cstheme="minorHAnsi"/>
          <w:b/>
          <w:sz w:val="28"/>
          <w:szCs w:val="28"/>
        </w:rPr>
      </w:pPr>
    </w:p>
    <w:p w:rsidR="0046263B" w:rsidRPr="005E1103" w:rsidRDefault="0046263B" w:rsidP="0046263B">
      <w:pPr>
        <w:spacing w:line="240" w:lineRule="auto"/>
        <w:rPr>
          <w:rFonts w:cstheme="minorHAnsi"/>
          <w:sz w:val="28"/>
          <w:szCs w:val="28"/>
        </w:rPr>
      </w:pPr>
      <w:r w:rsidRPr="005E1103">
        <w:rPr>
          <w:rFonts w:cstheme="minorHAnsi"/>
          <w:sz w:val="28"/>
          <w:szCs w:val="28"/>
        </w:rPr>
        <w:t>Resumen</w:t>
      </w:r>
    </w:p>
    <w:p w:rsidR="0046263B" w:rsidRPr="005E1103" w:rsidRDefault="0046263B" w:rsidP="0046263B">
      <w:pPr>
        <w:spacing w:line="240" w:lineRule="auto"/>
        <w:jc w:val="both"/>
        <w:rPr>
          <w:rFonts w:cstheme="minorHAnsi"/>
          <w:i/>
          <w:sz w:val="28"/>
          <w:szCs w:val="28"/>
        </w:rPr>
      </w:pPr>
      <w:r w:rsidRPr="005E1103">
        <w:rPr>
          <w:rFonts w:cstheme="minorHAnsi"/>
          <w:i/>
          <w:sz w:val="28"/>
          <w:szCs w:val="28"/>
        </w:rPr>
        <w:t>A partir de lo propuesto por  la Convención Internacional sobre los Derechos de las Personas con Discapacidad de la ONU, el Instituto Universitario del Gran Rosario (IUGR) ha estado comprometido con la temática de la discapacidad en todas las dimensiones pertinentes a la actividad académica, Investigación, docencia y extensión Universitaria. Ampliar ese compromiso llevó a  la creación del Centro Universitario Rosario Inclusiva-CURI- cuya finalidad es promover la inclusión social de las personas con discapacidad y grupos vulnerables a fin de asegurar su plena participación en todos los ámbitos de la vida. Desde el CURI se llevaron y se llevan adelante proyectos de investigación junto a universidades de Latinoamérica, en el campo de los derechos humanos y la discapacidad. Los resultados de los mismos nos indican que la Universidad tiene el potencial para constituirse como un articulador institucional de los procesos de inclusión social de las Personas con Discapacidad. Se debe trabajar con más intensidad en la investigación de problemas, elaboración de proyectos y dispositivos tecnológicos e institucionales de inclusión,  buscando agendar esta gama de problemas a las prioridades de las políticas estatales.</w:t>
      </w:r>
    </w:p>
    <w:p w:rsidR="0046263B" w:rsidRPr="005E1103" w:rsidRDefault="0046263B" w:rsidP="0046263B">
      <w:pPr>
        <w:spacing w:line="240" w:lineRule="auto"/>
        <w:jc w:val="both"/>
        <w:rPr>
          <w:rFonts w:cstheme="minorHAnsi"/>
          <w:i/>
          <w:sz w:val="28"/>
          <w:szCs w:val="28"/>
          <w:lang w:val="en-GB"/>
        </w:rPr>
      </w:pPr>
      <w:r w:rsidRPr="005E1103">
        <w:rPr>
          <w:rFonts w:cstheme="minorHAnsi"/>
          <w:i/>
          <w:sz w:val="28"/>
          <w:szCs w:val="28"/>
          <w:lang w:val="en-GB"/>
        </w:rPr>
        <w:t>Abstract</w:t>
      </w:r>
    </w:p>
    <w:p w:rsidR="0046263B" w:rsidRPr="005E1103" w:rsidRDefault="0046263B" w:rsidP="0046263B">
      <w:pPr>
        <w:spacing w:line="240" w:lineRule="auto"/>
        <w:jc w:val="both"/>
        <w:rPr>
          <w:rFonts w:cstheme="minorHAnsi"/>
          <w:i/>
          <w:sz w:val="28"/>
          <w:szCs w:val="28"/>
          <w:lang w:val="en-GB"/>
        </w:rPr>
      </w:pPr>
      <w:r w:rsidRPr="005E1103">
        <w:rPr>
          <w:rFonts w:cstheme="minorHAnsi"/>
          <w:i/>
          <w:sz w:val="28"/>
          <w:szCs w:val="28"/>
          <w:lang w:val="en-GB"/>
        </w:rPr>
        <w:t>Since the</w:t>
      </w:r>
      <w:r w:rsidRPr="005E1103">
        <w:rPr>
          <w:rFonts w:cstheme="minorHAnsi"/>
          <w:sz w:val="28"/>
          <w:szCs w:val="28"/>
          <w:lang w:val="en-GB"/>
        </w:rPr>
        <w:t xml:space="preserve"> </w:t>
      </w:r>
      <w:r w:rsidRPr="005E1103">
        <w:rPr>
          <w:rFonts w:cstheme="minorHAnsi"/>
          <w:i/>
          <w:sz w:val="28"/>
          <w:szCs w:val="28"/>
          <w:lang w:val="en-GB"/>
        </w:rPr>
        <w:t>proposition of the International Convention of Human Rights regarding the</w:t>
      </w:r>
      <w:r w:rsidRPr="005E1103">
        <w:rPr>
          <w:rFonts w:cstheme="minorHAnsi"/>
          <w:sz w:val="28"/>
          <w:szCs w:val="28"/>
          <w:lang w:val="en-GB"/>
        </w:rPr>
        <w:t xml:space="preserve"> </w:t>
      </w:r>
      <w:r w:rsidRPr="005E1103">
        <w:rPr>
          <w:rFonts w:cstheme="minorHAnsi"/>
          <w:i/>
          <w:sz w:val="28"/>
          <w:szCs w:val="28"/>
          <w:lang w:val="en-GB"/>
        </w:rPr>
        <w:t xml:space="preserve">rights of Persons with Disabilities from the UN, the Instituto Universitario del Gran Rosario (IUGR) has been committed with this topic in every dimension concerning the academic activity, research, teaching and outreach. In order to extend this commitment, Centro Universitario Rosario Inclusiva –CURI- was created; its aim is to promote the social inclusion of Persons with Disabilities and vulnerable groups in order to assurance their full participation in every aspect of life. CURI, with participation of Latin-American universities, has developed and continues developing research projects regarding human rights and disability. The results indicate that the University has the potential of becoming the institutional framework in charge of social inclusion processes of Persons </w:t>
      </w:r>
      <w:r w:rsidRPr="005E1103">
        <w:rPr>
          <w:rFonts w:cstheme="minorHAnsi"/>
          <w:i/>
          <w:sz w:val="28"/>
          <w:szCs w:val="28"/>
          <w:lang w:val="en-GB"/>
        </w:rPr>
        <w:lastRenderedPageBreak/>
        <w:t>with Disabilities. It is needed to work harder researching these issues, to develop joint projects, and to create inclusive technological and institutional devices, with the purpose of setting these matters into the agenda of the state policies.</w:t>
      </w:r>
    </w:p>
    <w:p w:rsidR="0046263B" w:rsidRPr="005E1103" w:rsidRDefault="0046263B" w:rsidP="0046263B">
      <w:pPr>
        <w:spacing w:line="240" w:lineRule="auto"/>
        <w:jc w:val="both"/>
        <w:rPr>
          <w:rFonts w:cstheme="minorHAnsi"/>
          <w:i/>
          <w:sz w:val="28"/>
          <w:szCs w:val="28"/>
          <w:lang w:val="en-GB"/>
        </w:rPr>
      </w:pPr>
    </w:p>
    <w:p w:rsidR="0046263B" w:rsidRPr="005E1103" w:rsidRDefault="0046263B" w:rsidP="0046263B">
      <w:pPr>
        <w:spacing w:line="360" w:lineRule="auto"/>
        <w:jc w:val="both"/>
        <w:rPr>
          <w:rFonts w:cstheme="minorHAnsi"/>
          <w:sz w:val="28"/>
          <w:szCs w:val="28"/>
        </w:rPr>
      </w:pPr>
      <w:r w:rsidRPr="005E1103">
        <w:rPr>
          <w:rFonts w:cstheme="minorHAnsi"/>
          <w:sz w:val="28"/>
          <w:szCs w:val="28"/>
        </w:rPr>
        <w:t xml:space="preserve">A partir de lo propuesto por  la Convención Internacional sobre los Derechos de las Personas con Discapacidad de la ONU, ratificada por la República Argentina mediante la Ley 26.378 y la Resolución Nº 170 de CONADIS (Consejo Federal de Discapacidad), de septiembre de 2009, que en su Artículo 1º establece “solicitar a las Universidades e Institutos Terciarios Públicos y Privados la inclusión en sus currícula de materias relacionadas con la temática de la discapacidad”, el Instituto Universitario del Gran Rosario (IUGR) ha estado comprometido con la temática de la discapacidad en todas las dimensiones pertinentes a la actividad académica, Investigación, docencia y extensión Universitaria. </w:t>
      </w:r>
    </w:p>
    <w:p w:rsidR="0046263B" w:rsidRPr="005E1103" w:rsidRDefault="0046263B" w:rsidP="0046263B">
      <w:pPr>
        <w:spacing w:line="360" w:lineRule="auto"/>
        <w:jc w:val="both"/>
        <w:rPr>
          <w:rFonts w:cstheme="minorHAnsi"/>
          <w:sz w:val="28"/>
          <w:szCs w:val="28"/>
        </w:rPr>
      </w:pPr>
      <w:r w:rsidRPr="005E1103">
        <w:rPr>
          <w:rFonts w:cstheme="minorHAnsi"/>
          <w:sz w:val="28"/>
          <w:szCs w:val="28"/>
        </w:rPr>
        <w:t xml:space="preserve">El IUGR en el enunciado de su misión, se compromete con la atención y el desarrollo de actividades destinadas a mejorar la calidad de vida de este colectivo. A nivel curricular, todas las carreras dictadas en el Instituto (Licenciaturas en Kinesiología y Fisiatría; Terapia Ocupacional; Psicopedagogía y Ortesis  y Prótesis) están orientadas, a la atención de personas que sufren algún tipo de discapacidad, ya sea física, sensorial, mental o intelectual. En este sentido, todas las prácticas pre-profesionales que realizan los estudiantes de las diferentes carreras tienen lugar en Unidades Docente Asistencial (UDA) ubicadas en instituciones de salud públicas y privadas de la ciudad de Rosario y sus alrededores, brindando un servicio asistencial gratuito e integral. Asimismo, el IUGR ha destinado de forma permanente recursos tanto pedagógicos como materiales a la generación de oportunidades de inclusión laboral y educativa, así como a </w:t>
      </w:r>
      <w:r w:rsidRPr="005E1103">
        <w:rPr>
          <w:rFonts w:cstheme="minorHAnsi"/>
          <w:sz w:val="28"/>
          <w:szCs w:val="28"/>
        </w:rPr>
        <w:lastRenderedPageBreak/>
        <w:t>la producción de actividades curriculares y extracurriculares destinadas a la promoción de los derechos de las personas con discapacidad o en situación de vulnerabilidad. Además, El IUGR es miembro de Red Interuniversitaria Latinoamericana y del Caribe sobre Discapacidad y Derechos Humanos</w:t>
      </w:r>
    </w:p>
    <w:p w:rsidR="0046263B" w:rsidRPr="005E1103" w:rsidRDefault="0046263B" w:rsidP="0046263B">
      <w:pPr>
        <w:spacing w:line="360" w:lineRule="auto"/>
        <w:jc w:val="both"/>
        <w:rPr>
          <w:rFonts w:cstheme="minorHAnsi"/>
          <w:sz w:val="28"/>
          <w:szCs w:val="28"/>
        </w:rPr>
      </w:pPr>
      <w:r w:rsidRPr="005E1103">
        <w:rPr>
          <w:rFonts w:cstheme="minorHAnsi"/>
          <w:sz w:val="28"/>
          <w:szCs w:val="28"/>
        </w:rPr>
        <w:t>Con el objetivo de ampliar ese compromiso se crea el  Centro Universitario Rosario Inclusiva-CURI- cuya finalidad es promover la inclusión social de las personas con discapacidad y grupos vulnerables a fin de asegurar su plena participación en todos los ámbitos de la vida.</w:t>
      </w:r>
    </w:p>
    <w:p w:rsidR="0046263B" w:rsidRPr="005E1103" w:rsidRDefault="0046263B" w:rsidP="0046263B">
      <w:pPr>
        <w:spacing w:line="360" w:lineRule="auto"/>
        <w:jc w:val="both"/>
        <w:rPr>
          <w:rFonts w:cstheme="minorHAnsi"/>
          <w:sz w:val="28"/>
          <w:szCs w:val="28"/>
        </w:rPr>
      </w:pPr>
      <w:r w:rsidRPr="005E1103">
        <w:rPr>
          <w:rFonts w:cstheme="minorHAnsi"/>
          <w:sz w:val="28"/>
          <w:szCs w:val="28"/>
        </w:rPr>
        <w:t>Desde el CURI se busca promover estrategias de inclusión y participación social para que más personas puedan ejercer sus Derechos, partiendo de los principios que formula la Convención Internacional sobre los Derechos de las Personas con Discapacidad, a saber: la valoración y el respeto de la diferencia, potenciando la dignidad humana, la igualdad de oportunidades y la autonomía para planificar la propia vida. Esos principios direccionan las estrategias y acciones del CURI cuando se  incula con la comunidad.</w:t>
      </w:r>
    </w:p>
    <w:p w:rsidR="0046263B" w:rsidRPr="005E1103" w:rsidRDefault="0046263B" w:rsidP="0046263B">
      <w:pPr>
        <w:spacing w:line="360" w:lineRule="auto"/>
        <w:jc w:val="both"/>
        <w:rPr>
          <w:rFonts w:cstheme="minorHAnsi"/>
          <w:sz w:val="28"/>
          <w:szCs w:val="28"/>
        </w:rPr>
      </w:pPr>
      <w:r w:rsidRPr="005E1103">
        <w:rPr>
          <w:rFonts w:cstheme="minorHAnsi"/>
          <w:sz w:val="28"/>
          <w:szCs w:val="28"/>
        </w:rPr>
        <w:t>El CURI cuenta con 5 áreas de intervención:</w:t>
      </w:r>
    </w:p>
    <w:p w:rsidR="0046263B" w:rsidRPr="005E1103" w:rsidRDefault="0046263B" w:rsidP="0046263B">
      <w:pPr>
        <w:spacing w:line="360" w:lineRule="auto"/>
        <w:jc w:val="both"/>
        <w:rPr>
          <w:rFonts w:cstheme="minorHAnsi"/>
          <w:sz w:val="28"/>
          <w:szCs w:val="28"/>
        </w:rPr>
      </w:pPr>
      <w:r w:rsidRPr="005E1103">
        <w:rPr>
          <w:rFonts w:cstheme="minorHAnsi"/>
          <w:sz w:val="28"/>
          <w:szCs w:val="28"/>
          <w:u w:val="single"/>
        </w:rPr>
        <w:t>FORMACIÓN DE FORMADORES</w:t>
      </w:r>
      <w:r w:rsidRPr="005E1103">
        <w:rPr>
          <w:rFonts w:cstheme="minorHAnsi"/>
          <w:sz w:val="28"/>
          <w:szCs w:val="28"/>
        </w:rPr>
        <w:t>: generamos múltiples formaciones internas y externas en alianza estratégica con actores nacionales del ámbito público y privado a fin de formar agentes multiplicadores de los principios inscriptos en la Convención Internacional sobre los Derechos de las Personas con Discapacidad</w:t>
      </w:r>
    </w:p>
    <w:p w:rsidR="0046263B" w:rsidRPr="005E1103" w:rsidRDefault="0046263B" w:rsidP="0046263B">
      <w:pPr>
        <w:spacing w:line="360" w:lineRule="auto"/>
        <w:jc w:val="both"/>
        <w:rPr>
          <w:rFonts w:cstheme="minorHAnsi"/>
          <w:sz w:val="28"/>
          <w:szCs w:val="28"/>
        </w:rPr>
      </w:pPr>
      <w:r w:rsidRPr="005E1103">
        <w:rPr>
          <w:rFonts w:cstheme="minorHAnsi"/>
          <w:sz w:val="28"/>
          <w:szCs w:val="28"/>
          <w:u w:val="single"/>
        </w:rPr>
        <w:t>INVESTIGACIÓN Y DOCENCIA</w:t>
      </w:r>
      <w:r w:rsidRPr="005E1103">
        <w:rPr>
          <w:rFonts w:cstheme="minorHAnsi"/>
          <w:sz w:val="28"/>
          <w:szCs w:val="28"/>
        </w:rPr>
        <w:t>: promovemos la producción de conocimiento en la temática, internamente y en conjunto con instituciones locales, nacionales e internacionales.</w:t>
      </w:r>
    </w:p>
    <w:p w:rsidR="0046263B" w:rsidRPr="005E1103" w:rsidRDefault="0046263B" w:rsidP="0046263B">
      <w:pPr>
        <w:spacing w:line="360" w:lineRule="auto"/>
        <w:jc w:val="both"/>
        <w:rPr>
          <w:rFonts w:cstheme="minorHAnsi"/>
          <w:sz w:val="28"/>
          <w:szCs w:val="28"/>
        </w:rPr>
      </w:pPr>
      <w:r w:rsidRPr="005E1103">
        <w:rPr>
          <w:rFonts w:cstheme="minorHAnsi"/>
          <w:sz w:val="28"/>
          <w:szCs w:val="28"/>
          <w:u w:val="single"/>
        </w:rPr>
        <w:lastRenderedPageBreak/>
        <w:t>REDES CON LA COMUNIDAD</w:t>
      </w:r>
      <w:r w:rsidRPr="005E1103">
        <w:rPr>
          <w:rFonts w:cstheme="minorHAnsi"/>
          <w:sz w:val="28"/>
          <w:szCs w:val="28"/>
        </w:rPr>
        <w:t>: realizamos talleres, jornadas, acciones, proyectos, charlas, eventos, etc. en vinculación con asociaciones públicas y privadas de la ciudad, Provincia y Nación ligadas a la discapacidad para que de este modo todos seamos agentes productores y multiplicadores de sentido a la hora de incluir.</w:t>
      </w:r>
    </w:p>
    <w:p w:rsidR="0046263B" w:rsidRPr="005E1103" w:rsidRDefault="0046263B" w:rsidP="0046263B">
      <w:pPr>
        <w:spacing w:line="360" w:lineRule="auto"/>
        <w:jc w:val="both"/>
        <w:rPr>
          <w:rFonts w:cstheme="minorHAnsi"/>
          <w:sz w:val="28"/>
          <w:szCs w:val="28"/>
        </w:rPr>
      </w:pPr>
      <w:r w:rsidRPr="005E1103">
        <w:rPr>
          <w:rFonts w:cstheme="minorHAnsi"/>
          <w:sz w:val="28"/>
          <w:szCs w:val="28"/>
          <w:u w:val="single"/>
        </w:rPr>
        <w:t>COMUNICACIÓN INCLUSIVA</w:t>
      </w:r>
      <w:r w:rsidRPr="005E1103">
        <w:rPr>
          <w:rFonts w:cstheme="minorHAnsi"/>
          <w:sz w:val="28"/>
          <w:szCs w:val="28"/>
        </w:rPr>
        <w:t>: promovemos la accesibilidad en toda actividad, entorno, proyecto o formación partiendo de la premisa de que el acceso a la información, los servicios y la comunicación son un Derecho y un Deber de todos.</w:t>
      </w:r>
    </w:p>
    <w:p w:rsidR="0046263B" w:rsidRPr="005E1103" w:rsidRDefault="0046263B" w:rsidP="0046263B">
      <w:pPr>
        <w:spacing w:line="360" w:lineRule="auto"/>
        <w:jc w:val="both"/>
        <w:rPr>
          <w:rFonts w:cstheme="minorHAnsi"/>
          <w:sz w:val="28"/>
          <w:szCs w:val="28"/>
        </w:rPr>
      </w:pPr>
      <w:r w:rsidRPr="005E1103">
        <w:rPr>
          <w:rFonts w:cstheme="minorHAnsi"/>
          <w:sz w:val="28"/>
          <w:szCs w:val="28"/>
          <w:u w:val="single"/>
        </w:rPr>
        <w:t>CAPACITACION LABORAL</w:t>
      </w:r>
      <w:r w:rsidRPr="005E1103">
        <w:rPr>
          <w:rFonts w:cstheme="minorHAnsi"/>
          <w:sz w:val="28"/>
          <w:szCs w:val="28"/>
        </w:rPr>
        <w:t>.: se llevan adelante espacios de capacitación laboral con PcD  en diferentes artes y oficios, relacionados con la demanda del mercado laboral actual, y se gestiona la inclusión laboral de esas personas en el mismo.</w:t>
      </w:r>
    </w:p>
    <w:p w:rsidR="0046263B" w:rsidRPr="005E1103" w:rsidRDefault="0046263B" w:rsidP="0046263B">
      <w:pPr>
        <w:spacing w:line="360" w:lineRule="auto"/>
        <w:jc w:val="both"/>
        <w:rPr>
          <w:rFonts w:cstheme="minorHAnsi"/>
          <w:b/>
          <w:sz w:val="28"/>
          <w:szCs w:val="28"/>
        </w:rPr>
      </w:pPr>
      <w:r w:rsidRPr="005E1103">
        <w:rPr>
          <w:rFonts w:cstheme="minorHAnsi"/>
          <w:b/>
          <w:sz w:val="28"/>
          <w:szCs w:val="28"/>
        </w:rPr>
        <w:t>Propuestas y líneas de trabajo surgidas desde la Investigación.</w:t>
      </w:r>
    </w:p>
    <w:p w:rsidR="0046263B" w:rsidRPr="005E1103" w:rsidRDefault="0046263B" w:rsidP="0046263B">
      <w:pPr>
        <w:spacing w:line="360" w:lineRule="auto"/>
        <w:jc w:val="both"/>
        <w:rPr>
          <w:rFonts w:cstheme="minorHAnsi"/>
          <w:sz w:val="28"/>
          <w:szCs w:val="28"/>
        </w:rPr>
      </w:pPr>
      <w:r w:rsidRPr="005E1103">
        <w:rPr>
          <w:rFonts w:cstheme="minorHAnsi"/>
          <w:sz w:val="28"/>
          <w:szCs w:val="28"/>
        </w:rPr>
        <w:t xml:space="preserve">El Ministerio de Educación Nacional, desde el año 2010, promueva un programa de investigación denominado REDES. Este programa se lleva adelante entre universidades argentinas y de Latinoamérica. Nuestro Instituto ha llevado a cabo tres proyectos con la Universidad Nacional de Chile, la Universidad Nacional de Guatemala y la Universidad Nacional de Colombia,  y entre las Universidades Argentinas contamos con la Universidad Nacional del Sur y la Universidad ISalud. Estos proyectos abordaron y abordan las problemáticas vinculadas a la accesibilidad en general y en particular a la Universidad de Personas con Discapacidad. </w:t>
      </w:r>
    </w:p>
    <w:p w:rsidR="0046263B" w:rsidRPr="005E1103" w:rsidRDefault="0046263B" w:rsidP="0046263B">
      <w:pPr>
        <w:spacing w:line="360" w:lineRule="auto"/>
        <w:jc w:val="both"/>
        <w:rPr>
          <w:rFonts w:cstheme="minorHAnsi"/>
          <w:sz w:val="28"/>
          <w:szCs w:val="28"/>
        </w:rPr>
      </w:pPr>
      <w:r w:rsidRPr="005E1103">
        <w:rPr>
          <w:rFonts w:cstheme="minorHAnsi"/>
          <w:sz w:val="28"/>
          <w:szCs w:val="28"/>
        </w:rPr>
        <w:t xml:space="preserve">En el primer proyecto de investigación consistente en el “Diseño de una herramienta educativa para sensibilizar a estudiantes universitarios en la temática de la discapacidad”, obtuvimos resultados muy interesantes y </w:t>
      </w:r>
      <w:r w:rsidRPr="005E1103">
        <w:rPr>
          <w:rFonts w:cstheme="minorHAnsi"/>
          <w:sz w:val="28"/>
          <w:szCs w:val="28"/>
        </w:rPr>
        <w:lastRenderedPageBreak/>
        <w:t xml:space="preserve">que marcaron un rumbo para posteriores investigaciones y actividades de docencia y extensión.  El trabajo consistió en: </w:t>
      </w:r>
    </w:p>
    <w:p w:rsidR="0046263B" w:rsidRPr="005E1103" w:rsidRDefault="0046263B" w:rsidP="0046263B">
      <w:pPr>
        <w:pStyle w:val="Prrafodelista"/>
        <w:numPr>
          <w:ilvl w:val="0"/>
          <w:numId w:val="95"/>
        </w:numPr>
        <w:spacing w:before="0" w:after="160" w:line="360" w:lineRule="auto"/>
        <w:jc w:val="both"/>
        <w:rPr>
          <w:rFonts w:asciiTheme="minorHAnsi" w:hAnsiTheme="minorHAnsi" w:cstheme="minorHAnsi"/>
          <w:sz w:val="28"/>
          <w:szCs w:val="28"/>
        </w:rPr>
      </w:pPr>
      <w:r w:rsidRPr="005E1103">
        <w:rPr>
          <w:rFonts w:asciiTheme="minorHAnsi" w:hAnsiTheme="minorHAnsi" w:cstheme="minorHAnsi"/>
          <w:sz w:val="28"/>
          <w:szCs w:val="28"/>
        </w:rPr>
        <w:t xml:space="preserve">Indagar en las currículas de todas las carreras de grado de 40 universidades latinoamericanas, las más importantes, la presencia de temáticas relacionadas a los derechos y problemáticas de las personas con discapacidad. </w:t>
      </w:r>
    </w:p>
    <w:p w:rsidR="0046263B" w:rsidRPr="005E1103" w:rsidRDefault="0046263B" w:rsidP="0046263B">
      <w:pPr>
        <w:pStyle w:val="Prrafodelista"/>
        <w:numPr>
          <w:ilvl w:val="0"/>
          <w:numId w:val="95"/>
        </w:numPr>
        <w:spacing w:before="0" w:after="160" w:line="360" w:lineRule="auto"/>
        <w:jc w:val="both"/>
        <w:rPr>
          <w:rFonts w:asciiTheme="minorHAnsi" w:hAnsiTheme="minorHAnsi" w:cstheme="minorHAnsi"/>
          <w:sz w:val="28"/>
          <w:szCs w:val="28"/>
        </w:rPr>
      </w:pPr>
      <w:r w:rsidRPr="005E1103">
        <w:rPr>
          <w:rFonts w:asciiTheme="minorHAnsi" w:hAnsiTheme="minorHAnsi" w:cstheme="minorHAnsi"/>
          <w:sz w:val="28"/>
          <w:szCs w:val="28"/>
        </w:rPr>
        <w:t>Identificar aptitudes, representaciones y prácticas de los actores institucionales de la Universidad para con las Personas con Discapacidad.</w:t>
      </w:r>
    </w:p>
    <w:p w:rsidR="0046263B" w:rsidRPr="005E1103" w:rsidRDefault="0046263B" w:rsidP="0046263B">
      <w:pPr>
        <w:rPr>
          <w:rFonts w:cstheme="minorHAnsi"/>
          <w:sz w:val="28"/>
          <w:szCs w:val="28"/>
        </w:rPr>
      </w:pPr>
      <w:r w:rsidRPr="005E1103">
        <w:rPr>
          <w:rFonts w:cstheme="minorHAnsi"/>
          <w:sz w:val="28"/>
          <w:szCs w:val="28"/>
        </w:rPr>
        <w:br w:type="page"/>
      </w:r>
      <w:r w:rsidRPr="005E1103">
        <w:rPr>
          <w:rFonts w:cstheme="minorHAnsi"/>
          <w:sz w:val="28"/>
          <w:szCs w:val="28"/>
        </w:rPr>
        <w:lastRenderedPageBreak/>
        <w:t>En un análisis FODA surgido del trabajo obtenemos que:</w:t>
      </w:r>
    </w:p>
    <w:p w:rsidR="0046263B" w:rsidRPr="005E1103" w:rsidRDefault="0046263B" w:rsidP="0046263B">
      <w:pPr>
        <w:spacing w:after="0" w:line="240" w:lineRule="auto"/>
        <w:rPr>
          <w:rFonts w:eastAsia="Times New Roman" w:cstheme="minorHAnsi"/>
          <w:sz w:val="28"/>
          <w:szCs w:val="28"/>
          <w:lang w:eastAsia="es-AR"/>
        </w:rPr>
      </w:pPr>
    </w:p>
    <w:tbl>
      <w:tblPr>
        <w:tblW w:w="0" w:type="auto"/>
        <w:tblCellMar>
          <w:top w:w="15" w:type="dxa"/>
          <w:left w:w="15" w:type="dxa"/>
          <w:bottom w:w="15" w:type="dxa"/>
          <w:right w:w="15" w:type="dxa"/>
        </w:tblCellMar>
        <w:tblLook w:val="04A0" w:firstRow="1" w:lastRow="0" w:firstColumn="1" w:lastColumn="0" w:noHBand="0" w:noVBand="1"/>
      </w:tblPr>
      <w:tblGrid>
        <w:gridCol w:w="4932"/>
        <w:gridCol w:w="3782"/>
      </w:tblGrid>
      <w:tr w:rsidR="0046263B" w:rsidRPr="005E1103" w:rsidTr="0046263B">
        <w:trPr>
          <w:trHeight w:val="3480"/>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46263B" w:rsidRPr="005E1103" w:rsidRDefault="0046263B" w:rsidP="0046263B">
            <w:pPr>
              <w:spacing w:after="0" w:line="240" w:lineRule="auto"/>
              <w:rPr>
                <w:rFonts w:eastAsia="Times New Roman" w:cstheme="minorHAnsi"/>
                <w:sz w:val="28"/>
                <w:szCs w:val="28"/>
                <w:lang w:eastAsia="es-AR"/>
              </w:rPr>
            </w:pPr>
          </w:p>
          <w:p w:rsidR="0046263B" w:rsidRPr="005E1103" w:rsidRDefault="0046263B" w:rsidP="0046263B">
            <w:pPr>
              <w:spacing w:after="0" w:line="240" w:lineRule="auto"/>
              <w:jc w:val="center"/>
              <w:rPr>
                <w:rFonts w:eastAsia="Times New Roman" w:cstheme="minorHAnsi"/>
                <w:sz w:val="28"/>
                <w:szCs w:val="28"/>
                <w:lang w:eastAsia="es-AR"/>
              </w:rPr>
            </w:pPr>
            <w:r w:rsidRPr="005E1103">
              <w:rPr>
                <w:rFonts w:eastAsia="Times New Roman" w:cstheme="minorHAnsi"/>
                <w:b/>
                <w:bCs/>
                <w:color w:val="000000"/>
                <w:sz w:val="28"/>
                <w:szCs w:val="28"/>
                <w:lang w:eastAsia="es-AR"/>
              </w:rPr>
              <w:t>FORTALEZAS</w:t>
            </w:r>
          </w:p>
          <w:p w:rsidR="0046263B" w:rsidRPr="005E1103" w:rsidRDefault="0046263B" w:rsidP="0046263B">
            <w:pPr>
              <w:spacing w:after="0" w:line="240" w:lineRule="auto"/>
              <w:rPr>
                <w:rFonts w:eastAsia="Times New Roman" w:cstheme="minorHAnsi"/>
                <w:sz w:val="28"/>
                <w:szCs w:val="28"/>
                <w:lang w:eastAsia="es-AR"/>
              </w:rPr>
            </w:pPr>
          </w:p>
          <w:p w:rsidR="0046263B" w:rsidRPr="005E1103" w:rsidRDefault="0046263B" w:rsidP="0046263B">
            <w:pPr>
              <w:numPr>
                <w:ilvl w:val="0"/>
                <w:numId w:val="96"/>
              </w:numPr>
              <w:spacing w:after="0" w:line="240" w:lineRule="auto"/>
              <w:ind w:left="360"/>
              <w:jc w:val="both"/>
              <w:textAlignment w:val="baseline"/>
              <w:rPr>
                <w:rFonts w:eastAsia="Times New Roman" w:cstheme="minorHAnsi"/>
                <w:color w:val="000000"/>
                <w:sz w:val="28"/>
                <w:szCs w:val="28"/>
                <w:lang w:eastAsia="es-AR"/>
              </w:rPr>
            </w:pPr>
            <w:r w:rsidRPr="005E1103">
              <w:rPr>
                <w:rFonts w:eastAsia="Times New Roman" w:cstheme="minorHAnsi"/>
                <w:color w:val="000000"/>
                <w:sz w:val="28"/>
                <w:szCs w:val="28"/>
                <w:lang w:eastAsia="es-AR"/>
              </w:rPr>
              <w:t xml:space="preserve">Reconocimiento de las autoridades universitarias de la necesidad de implementar programas de sensibilización a la comunidad universitaria sobre derechos de EcD. </w:t>
            </w:r>
          </w:p>
          <w:p w:rsidR="0046263B" w:rsidRPr="005E1103" w:rsidRDefault="0046263B" w:rsidP="0046263B">
            <w:pPr>
              <w:numPr>
                <w:ilvl w:val="0"/>
                <w:numId w:val="96"/>
              </w:numPr>
              <w:spacing w:after="0" w:line="240" w:lineRule="auto"/>
              <w:ind w:left="360"/>
              <w:jc w:val="both"/>
              <w:textAlignment w:val="baseline"/>
              <w:rPr>
                <w:rFonts w:eastAsia="Times New Roman" w:cstheme="minorHAnsi"/>
                <w:color w:val="000000"/>
                <w:sz w:val="28"/>
                <w:szCs w:val="28"/>
                <w:lang w:eastAsia="es-AR"/>
              </w:rPr>
            </w:pPr>
            <w:r w:rsidRPr="005E1103">
              <w:rPr>
                <w:rFonts w:eastAsia="Times New Roman" w:cstheme="minorHAnsi"/>
                <w:color w:val="000000"/>
                <w:sz w:val="28"/>
                <w:szCs w:val="28"/>
                <w:lang w:eastAsia="es-AR"/>
              </w:rPr>
              <w:t>Buena predisposición a desarrollar e impulsar proyectos vinculados con la temática de la inclusión de EcD en las universidades.</w:t>
            </w:r>
          </w:p>
          <w:p w:rsidR="0046263B" w:rsidRPr="005E1103" w:rsidRDefault="0046263B" w:rsidP="0046263B">
            <w:pPr>
              <w:numPr>
                <w:ilvl w:val="0"/>
                <w:numId w:val="96"/>
              </w:numPr>
              <w:spacing w:after="0" w:line="240" w:lineRule="auto"/>
              <w:ind w:left="360"/>
              <w:jc w:val="both"/>
              <w:textAlignment w:val="baseline"/>
              <w:rPr>
                <w:rFonts w:eastAsia="Times New Roman" w:cstheme="minorHAnsi"/>
                <w:color w:val="000000"/>
                <w:sz w:val="28"/>
                <w:szCs w:val="28"/>
                <w:lang w:eastAsia="es-AR"/>
              </w:rPr>
            </w:pPr>
            <w:r w:rsidRPr="005E1103">
              <w:rPr>
                <w:rFonts w:eastAsia="Times New Roman" w:cstheme="minorHAnsi"/>
                <w:color w:val="000000"/>
                <w:sz w:val="28"/>
                <w:szCs w:val="28"/>
                <w:lang w:eastAsia="es-AR"/>
              </w:rPr>
              <w:t>Posibilidad de que la universidad se constituya en un modelo inclusivo de PcD.</w:t>
            </w:r>
          </w:p>
          <w:p w:rsidR="0046263B" w:rsidRPr="005E1103" w:rsidRDefault="0046263B" w:rsidP="0046263B">
            <w:pPr>
              <w:numPr>
                <w:ilvl w:val="0"/>
                <w:numId w:val="96"/>
              </w:numPr>
              <w:spacing w:after="0" w:line="240" w:lineRule="auto"/>
              <w:ind w:left="360"/>
              <w:jc w:val="both"/>
              <w:textAlignment w:val="baseline"/>
              <w:rPr>
                <w:rFonts w:eastAsia="Times New Roman" w:cstheme="minorHAnsi"/>
                <w:color w:val="000000"/>
                <w:sz w:val="28"/>
                <w:szCs w:val="28"/>
                <w:lang w:eastAsia="es-AR"/>
              </w:rPr>
            </w:pPr>
            <w:r w:rsidRPr="005E1103">
              <w:rPr>
                <w:rFonts w:eastAsia="Times New Roman" w:cstheme="minorHAnsi"/>
                <w:color w:val="000000"/>
                <w:sz w:val="28"/>
                <w:szCs w:val="28"/>
                <w:lang w:eastAsia="es-AR"/>
              </w:rPr>
              <w:t xml:space="preserve">Reconocimiento de todos los actores universitarios sobre la importancia de la inclusión de PcD en la Universidad ya que contribuiría al fomento de valores de diversidad, equidad y solidaridad. </w:t>
            </w:r>
          </w:p>
        </w:tc>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46263B" w:rsidRPr="005E1103" w:rsidRDefault="0046263B" w:rsidP="0046263B">
            <w:pPr>
              <w:spacing w:after="0" w:line="240" w:lineRule="auto"/>
              <w:rPr>
                <w:rFonts w:eastAsia="Times New Roman" w:cstheme="minorHAnsi"/>
                <w:sz w:val="28"/>
                <w:szCs w:val="28"/>
                <w:lang w:eastAsia="es-AR"/>
              </w:rPr>
            </w:pPr>
          </w:p>
          <w:p w:rsidR="0046263B" w:rsidRPr="005E1103" w:rsidRDefault="0046263B" w:rsidP="0046263B">
            <w:pPr>
              <w:spacing w:after="0" w:line="240" w:lineRule="auto"/>
              <w:ind w:hanging="2"/>
              <w:jc w:val="center"/>
              <w:rPr>
                <w:rFonts w:eastAsia="Times New Roman" w:cstheme="minorHAnsi"/>
                <w:sz w:val="28"/>
                <w:szCs w:val="28"/>
                <w:lang w:eastAsia="es-AR"/>
              </w:rPr>
            </w:pPr>
            <w:r w:rsidRPr="005E1103">
              <w:rPr>
                <w:rFonts w:eastAsia="Times New Roman" w:cstheme="minorHAnsi"/>
                <w:b/>
                <w:bCs/>
                <w:color w:val="000000"/>
                <w:sz w:val="28"/>
                <w:szCs w:val="28"/>
                <w:lang w:eastAsia="es-AR"/>
              </w:rPr>
              <w:t>DEBILIDADES</w:t>
            </w:r>
          </w:p>
          <w:p w:rsidR="0046263B" w:rsidRPr="005E1103" w:rsidRDefault="0046263B" w:rsidP="0046263B">
            <w:pPr>
              <w:spacing w:after="0" w:line="240" w:lineRule="auto"/>
              <w:rPr>
                <w:rFonts w:eastAsia="Times New Roman" w:cstheme="minorHAnsi"/>
                <w:sz w:val="28"/>
                <w:szCs w:val="28"/>
                <w:lang w:eastAsia="es-AR"/>
              </w:rPr>
            </w:pPr>
          </w:p>
          <w:p w:rsidR="0046263B" w:rsidRPr="005E1103" w:rsidRDefault="0046263B" w:rsidP="0046263B">
            <w:pPr>
              <w:numPr>
                <w:ilvl w:val="0"/>
                <w:numId w:val="97"/>
              </w:numPr>
              <w:spacing w:after="0" w:line="240" w:lineRule="auto"/>
              <w:ind w:left="360"/>
              <w:jc w:val="both"/>
              <w:textAlignment w:val="baseline"/>
              <w:rPr>
                <w:rFonts w:eastAsia="Times New Roman" w:cstheme="minorHAnsi"/>
                <w:color w:val="000000"/>
                <w:sz w:val="28"/>
                <w:szCs w:val="28"/>
                <w:lang w:eastAsia="es-AR"/>
              </w:rPr>
            </w:pPr>
            <w:r w:rsidRPr="005E1103">
              <w:rPr>
                <w:rFonts w:eastAsia="Times New Roman" w:cstheme="minorHAnsi"/>
                <w:color w:val="000000"/>
                <w:sz w:val="28"/>
                <w:szCs w:val="28"/>
                <w:lang w:eastAsia="es-AR"/>
              </w:rPr>
              <w:t>Falta de información sobre cantidad de EcD que forman parte del alumnado en las universidades.</w:t>
            </w:r>
          </w:p>
          <w:p w:rsidR="0046263B" w:rsidRPr="005E1103" w:rsidRDefault="0046263B" w:rsidP="0046263B">
            <w:pPr>
              <w:numPr>
                <w:ilvl w:val="0"/>
                <w:numId w:val="97"/>
              </w:numPr>
              <w:spacing w:after="0" w:line="240" w:lineRule="auto"/>
              <w:ind w:left="360"/>
              <w:jc w:val="both"/>
              <w:textAlignment w:val="baseline"/>
              <w:rPr>
                <w:rFonts w:eastAsia="Times New Roman" w:cstheme="minorHAnsi"/>
                <w:color w:val="000000"/>
                <w:sz w:val="28"/>
                <w:szCs w:val="28"/>
                <w:lang w:eastAsia="es-AR"/>
              </w:rPr>
            </w:pPr>
            <w:r w:rsidRPr="005E1103">
              <w:rPr>
                <w:rFonts w:eastAsia="Times New Roman" w:cstheme="minorHAnsi"/>
                <w:color w:val="000000"/>
                <w:sz w:val="28"/>
                <w:szCs w:val="28"/>
                <w:lang w:eastAsia="es-AR"/>
              </w:rPr>
              <w:t>Falta de visibilidad de EcD entre el alumnado y demás miembros de la comunidad universitaria.</w:t>
            </w:r>
          </w:p>
          <w:p w:rsidR="0046263B" w:rsidRPr="005E1103" w:rsidRDefault="0046263B" w:rsidP="0046263B">
            <w:pPr>
              <w:numPr>
                <w:ilvl w:val="0"/>
                <w:numId w:val="97"/>
              </w:numPr>
              <w:spacing w:after="0" w:line="240" w:lineRule="auto"/>
              <w:ind w:left="360"/>
              <w:jc w:val="both"/>
              <w:textAlignment w:val="baseline"/>
              <w:rPr>
                <w:rFonts w:eastAsia="Times New Roman" w:cstheme="minorHAnsi"/>
                <w:color w:val="000000"/>
                <w:sz w:val="28"/>
                <w:szCs w:val="28"/>
                <w:lang w:eastAsia="es-AR"/>
              </w:rPr>
            </w:pPr>
            <w:r w:rsidRPr="005E1103">
              <w:rPr>
                <w:rFonts w:eastAsia="Times New Roman" w:cstheme="minorHAnsi"/>
                <w:color w:val="000000"/>
                <w:sz w:val="28"/>
                <w:szCs w:val="28"/>
                <w:lang w:eastAsia="es-AR"/>
              </w:rPr>
              <w:t>Escasa presencia de contenidos sobre la temática de la discapacidad en la currícula de las diferentes carreras universitarias.</w:t>
            </w:r>
          </w:p>
          <w:p w:rsidR="0046263B" w:rsidRPr="005E1103" w:rsidRDefault="0046263B" w:rsidP="0046263B">
            <w:pPr>
              <w:numPr>
                <w:ilvl w:val="0"/>
                <w:numId w:val="97"/>
              </w:numPr>
              <w:spacing w:after="0" w:line="240" w:lineRule="auto"/>
              <w:ind w:left="360"/>
              <w:jc w:val="both"/>
              <w:textAlignment w:val="baseline"/>
              <w:rPr>
                <w:rFonts w:eastAsia="Times New Roman" w:cstheme="minorHAnsi"/>
                <w:color w:val="000000"/>
                <w:sz w:val="28"/>
                <w:szCs w:val="28"/>
                <w:lang w:eastAsia="es-AR"/>
              </w:rPr>
            </w:pPr>
            <w:r w:rsidRPr="005E1103">
              <w:rPr>
                <w:rFonts w:eastAsia="Times New Roman" w:cstheme="minorHAnsi"/>
                <w:color w:val="000000"/>
                <w:sz w:val="28"/>
                <w:szCs w:val="28"/>
                <w:lang w:eastAsia="es-AR"/>
              </w:rPr>
              <w:t>Deficitaria accesibilidad física y tecnológica en las universidades.</w:t>
            </w:r>
          </w:p>
          <w:p w:rsidR="0046263B" w:rsidRPr="005E1103" w:rsidRDefault="0046263B" w:rsidP="0046263B">
            <w:pPr>
              <w:numPr>
                <w:ilvl w:val="0"/>
                <w:numId w:val="97"/>
              </w:numPr>
              <w:spacing w:after="0" w:line="240" w:lineRule="auto"/>
              <w:ind w:left="360"/>
              <w:jc w:val="both"/>
              <w:textAlignment w:val="baseline"/>
              <w:rPr>
                <w:rFonts w:eastAsia="Times New Roman" w:cstheme="minorHAnsi"/>
                <w:color w:val="000000"/>
                <w:sz w:val="28"/>
                <w:szCs w:val="28"/>
                <w:lang w:eastAsia="es-AR"/>
              </w:rPr>
            </w:pPr>
            <w:r w:rsidRPr="005E1103">
              <w:rPr>
                <w:rFonts w:eastAsia="Times New Roman" w:cstheme="minorHAnsi"/>
                <w:color w:val="000000"/>
                <w:sz w:val="28"/>
                <w:szCs w:val="28"/>
                <w:lang w:eastAsia="es-AR"/>
              </w:rPr>
              <w:t>Pobre formación de los docentes en la estrategia didáctica y pedagógica para adaptarse a las necesidades de EcD.</w:t>
            </w:r>
          </w:p>
        </w:tc>
      </w:tr>
      <w:tr w:rsidR="0046263B" w:rsidRPr="005E1103" w:rsidTr="0046263B">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46263B" w:rsidRPr="005E1103" w:rsidRDefault="0046263B" w:rsidP="0046263B">
            <w:pPr>
              <w:spacing w:after="0" w:line="240" w:lineRule="auto"/>
              <w:rPr>
                <w:rFonts w:eastAsia="Times New Roman" w:cstheme="minorHAnsi"/>
                <w:sz w:val="28"/>
                <w:szCs w:val="28"/>
                <w:lang w:eastAsia="es-AR"/>
              </w:rPr>
            </w:pPr>
          </w:p>
          <w:p w:rsidR="0046263B" w:rsidRPr="005E1103" w:rsidRDefault="0046263B" w:rsidP="0046263B">
            <w:pPr>
              <w:spacing w:after="0" w:line="240" w:lineRule="auto"/>
              <w:jc w:val="center"/>
              <w:rPr>
                <w:rFonts w:eastAsia="Times New Roman" w:cstheme="minorHAnsi"/>
                <w:sz w:val="28"/>
                <w:szCs w:val="28"/>
                <w:lang w:eastAsia="es-AR"/>
              </w:rPr>
            </w:pPr>
            <w:r w:rsidRPr="005E1103">
              <w:rPr>
                <w:rFonts w:eastAsia="Times New Roman" w:cstheme="minorHAnsi"/>
                <w:b/>
                <w:bCs/>
                <w:color w:val="000000"/>
                <w:sz w:val="28"/>
                <w:szCs w:val="28"/>
                <w:lang w:eastAsia="es-AR"/>
              </w:rPr>
              <w:t>OPORTUNIDADES</w:t>
            </w:r>
          </w:p>
          <w:p w:rsidR="0046263B" w:rsidRPr="005E1103" w:rsidRDefault="0046263B" w:rsidP="0046263B">
            <w:pPr>
              <w:spacing w:after="0" w:line="240" w:lineRule="auto"/>
              <w:rPr>
                <w:rFonts w:eastAsia="Times New Roman" w:cstheme="minorHAnsi"/>
                <w:sz w:val="28"/>
                <w:szCs w:val="28"/>
                <w:lang w:eastAsia="es-AR"/>
              </w:rPr>
            </w:pPr>
          </w:p>
          <w:p w:rsidR="0046263B" w:rsidRPr="005E1103" w:rsidRDefault="0046263B" w:rsidP="0046263B">
            <w:pPr>
              <w:numPr>
                <w:ilvl w:val="0"/>
                <w:numId w:val="98"/>
              </w:numPr>
              <w:spacing w:after="0" w:line="240" w:lineRule="auto"/>
              <w:ind w:left="360"/>
              <w:jc w:val="both"/>
              <w:textAlignment w:val="baseline"/>
              <w:rPr>
                <w:rFonts w:eastAsia="Times New Roman" w:cstheme="minorHAnsi"/>
                <w:color w:val="000000"/>
                <w:sz w:val="28"/>
                <w:szCs w:val="28"/>
                <w:lang w:eastAsia="es-AR"/>
              </w:rPr>
            </w:pPr>
            <w:r w:rsidRPr="005E1103">
              <w:rPr>
                <w:rFonts w:eastAsia="Times New Roman" w:cstheme="minorHAnsi"/>
                <w:color w:val="000000"/>
                <w:sz w:val="28"/>
                <w:szCs w:val="28"/>
                <w:lang w:eastAsia="es-AR"/>
              </w:rPr>
              <w:t>Marco normativo favorable al desarrollo de iniciativas tendientes a la inclusión de las PcD en Argentina y Chile.</w:t>
            </w:r>
          </w:p>
          <w:p w:rsidR="0046263B" w:rsidRPr="005E1103" w:rsidRDefault="0046263B" w:rsidP="0046263B">
            <w:pPr>
              <w:numPr>
                <w:ilvl w:val="0"/>
                <w:numId w:val="98"/>
              </w:numPr>
              <w:spacing w:after="0" w:line="240" w:lineRule="auto"/>
              <w:ind w:left="360"/>
              <w:jc w:val="both"/>
              <w:textAlignment w:val="baseline"/>
              <w:rPr>
                <w:rFonts w:eastAsia="Times New Roman" w:cstheme="minorHAnsi"/>
                <w:color w:val="000000"/>
                <w:sz w:val="28"/>
                <w:szCs w:val="28"/>
                <w:lang w:eastAsia="es-AR"/>
              </w:rPr>
            </w:pPr>
            <w:r w:rsidRPr="005E1103">
              <w:rPr>
                <w:rFonts w:eastAsia="Times New Roman" w:cstheme="minorHAnsi"/>
                <w:color w:val="000000"/>
                <w:sz w:val="28"/>
                <w:szCs w:val="28"/>
                <w:lang w:eastAsia="es-AR"/>
              </w:rPr>
              <w:t>Apoyo gubernamental para el desarrollo de políticas inclusivas dentro del ámbito universitario en Argentina (Resolución 170 de CONADIS).</w:t>
            </w:r>
          </w:p>
          <w:p w:rsidR="0046263B" w:rsidRPr="005E1103" w:rsidRDefault="0046263B" w:rsidP="0046263B">
            <w:pPr>
              <w:numPr>
                <w:ilvl w:val="0"/>
                <w:numId w:val="98"/>
              </w:numPr>
              <w:spacing w:after="0" w:line="240" w:lineRule="auto"/>
              <w:ind w:left="360"/>
              <w:jc w:val="both"/>
              <w:textAlignment w:val="baseline"/>
              <w:rPr>
                <w:rFonts w:eastAsia="Times New Roman" w:cstheme="minorHAnsi"/>
                <w:color w:val="000000"/>
                <w:sz w:val="28"/>
                <w:szCs w:val="28"/>
                <w:lang w:eastAsia="es-AR"/>
              </w:rPr>
            </w:pPr>
            <w:r w:rsidRPr="005E1103">
              <w:rPr>
                <w:rFonts w:eastAsia="Times New Roman" w:cstheme="minorHAnsi"/>
                <w:color w:val="000000"/>
                <w:sz w:val="28"/>
                <w:szCs w:val="28"/>
                <w:lang w:eastAsia="es-AR"/>
              </w:rPr>
              <w:t xml:space="preserve">Programas de apoyo gestionados por </w:t>
            </w:r>
            <w:r w:rsidRPr="005E1103">
              <w:rPr>
                <w:rFonts w:eastAsia="Times New Roman" w:cstheme="minorHAnsi"/>
                <w:color w:val="000000"/>
                <w:sz w:val="28"/>
                <w:szCs w:val="28"/>
                <w:lang w:eastAsia="es-AR"/>
              </w:rPr>
              <w:lastRenderedPageBreak/>
              <w:t>la Secretaría de Políticas Universitarias (Argentina).</w:t>
            </w:r>
          </w:p>
          <w:p w:rsidR="0046263B" w:rsidRPr="005E1103" w:rsidRDefault="0046263B" w:rsidP="0046263B">
            <w:pPr>
              <w:numPr>
                <w:ilvl w:val="0"/>
                <w:numId w:val="98"/>
              </w:numPr>
              <w:spacing w:after="0" w:line="0" w:lineRule="atLeast"/>
              <w:ind w:left="360"/>
              <w:jc w:val="both"/>
              <w:textAlignment w:val="baseline"/>
              <w:rPr>
                <w:rFonts w:eastAsia="Times New Roman" w:cstheme="minorHAnsi"/>
                <w:color w:val="000000"/>
                <w:sz w:val="28"/>
                <w:szCs w:val="28"/>
                <w:lang w:eastAsia="es-AR"/>
              </w:rPr>
            </w:pPr>
            <w:r w:rsidRPr="005E1103">
              <w:rPr>
                <w:rFonts w:eastAsia="Times New Roman" w:cstheme="minorHAnsi"/>
                <w:color w:val="000000"/>
                <w:sz w:val="28"/>
                <w:szCs w:val="28"/>
                <w:lang w:eastAsia="es-AR"/>
              </w:rPr>
              <w:t>Creciente desarrollo de la Red Latinoamericana de Inclusión y Discapacidad a la educación superior.</w:t>
            </w:r>
          </w:p>
        </w:tc>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46263B" w:rsidRPr="005E1103" w:rsidRDefault="0046263B" w:rsidP="0046263B">
            <w:pPr>
              <w:spacing w:after="0" w:line="240" w:lineRule="auto"/>
              <w:rPr>
                <w:rFonts w:eastAsia="Times New Roman" w:cstheme="minorHAnsi"/>
                <w:sz w:val="28"/>
                <w:szCs w:val="28"/>
                <w:lang w:eastAsia="es-AR"/>
              </w:rPr>
            </w:pPr>
          </w:p>
          <w:p w:rsidR="0046263B" w:rsidRPr="005E1103" w:rsidRDefault="0046263B" w:rsidP="0046263B">
            <w:pPr>
              <w:spacing w:after="0" w:line="240" w:lineRule="auto"/>
              <w:jc w:val="center"/>
              <w:rPr>
                <w:rFonts w:eastAsia="Times New Roman" w:cstheme="minorHAnsi"/>
                <w:sz w:val="28"/>
                <w:szCs w:val="28"/>
                <w:lang w:eastAsia="es-AR"/>
              </w:rPr>
            </w:pPr>
            <w:r w:rsidRPr="005E1103">
              <w:rPr>
                <w:rFonts w:eastAsia="Times New Roman" w:cstheme="minorHAnsi"/>
                <w:b/>
                <w:bCs/>
                <w:color w:val="000000"/>
                <w:sz w:val="28"/>
                <w:szCs w:val="28"/>
                <w:lang w:eastAsia="es-AR"/>
              </w:rPr>
              <w:t>AMENAZAS</w:t>
            </w:r>
          </w:p>
          <w:p w:rsidR="0046263B" w:rsidRPr="005E1103" w:rsidRDefault="0046263B" w:rsidP="0046263B">
            <w:pPr>
              <w:spacing w:after="0" w:line="240" w:lineRule="auto"/>
              <w:rPr>
                <w:rFonts w:eastAsia="Times New Roman" w:cstheme="minorHAnsi"/>
                <w:sz w:val="28"/>
                <w:szCs w:val="28"/>
                <w:lang w:eastAsia="es-AR"/>
              </w:rPr>
            </w:pPr>
          </w:p>
          <w:p w:rsidR="0046263B" w:rsidRPr="005E1103" w:rsidRDefault="0046263B" w:rsidP="0046263B">
            <w:pPr>
              <w:numPr>
                <w:ilvl w:val="0"/>
                <w:numId w:val="99"/>
              </w:numPr>
              <w:spacing w:after="0" w:line="240" w:lineRule="auto"/>
              <w:ind w:left="360"/>
              <w:jc w:val="both"/>
              <w:textAlignment w:val="baseline"/>
              <w:rPr>
                <w:rFonts w:eastAsia="Times New Roman" w:cstheme="minorHAnsi"/>
                <w:color w:val="000000"/>
                <w:sz w:val="28"/>
                <w:szCs w:val="28"/>
                <w:lang w:eastAsia="es-AR"/>
              </w:rPr>
            </w:pPr>
            <w:r w:rsidRPr="005E1103">
              <w:rPr>
                <w:rFonts w:eastAsia="Times New Roman" w:cstheme="minorHAnsi"/>
                <w:color w:val="000000"/>
                <w:sz w:val="28"/>
                <w:szCs w:val="28"/>
                <w:lang w:eastAsia="es-AR"/>
              </w:rPr>
              <w:t>Escaso financiamiento para mejorar la accesibilidad en la universidad.</w:t>
            </w:r>
          </w:p>
          <w:p w:rsidR="0046263B" w:rsidRPr="005E1103" w:rsidRDefault="0046263B" w:rsidP="0046263B">
            <w:pPr>
              <w:numPr>
                <w:ilvl w:val="0"/>
                <w:numId w:val="99"/>
              </w:numPr>
              <w:spacing w:after="0" w:line="240" w:lineRule="auto"/>
              <w:ind w:left="360"/>
              <w:jc w:val="both"/>
              <w:textAlignment w:val="baseline"/>
              <w:rPr>
                <w:rFonts w:eastAsia="Times New Roman" w:cstheme="minorHAnsi"/>
                <w:color w:val="000000"/>
                <w:sz w:val="28"/>
                <w:szCs w:val="28"/>
                <w:lang w:eastAsia="es-AR"/>
              </w:rPr>
            </w:pPr>
            <w:r w:rsidRPr="005E1103">
              <w:rPr>
                <w:rFonts w:eastAsia="Times New Roman" w:cstheme="minorHAnsi"/>
                <w:color w:val="000000"/>
                <w:sz w:val="28"/>
                <w:szCs w:val="28"/>
                <w:lang w:eastAsia="es-AR"/>
              </w:rPr>
              <w:t>Falta de financiamiento para la incorporación de los dispositivos propuestos.</w:t>
            </w:r>
          </w:p>
          <w:p w:rsidR="0046263B" w:rsidRPr="005E1103" w:rsidRDefault="0046263B" w:rsidP="0046263B">
            <w:pPr>
              <w:numPr>
                <w:ilvl w:val="0"/>
                <w:numId w:val="99"/>
              </w:numPr>
              <w:spacing w:after="0" w:line="240" w:lineRule="auto"/>
              <w:ind w:left="360"/>
              <w:jc w:val="both"/>
              <w:textAlignment w:val="baseline"/>
              <w:rPr>
                <w:rFonts w:eastAsia="Times New Roman" w:cstheme="minorHAnsi"/>
                <w:color w:val="000000"/>
                <w:sz w:val="28"/>
                <w:szCs w:val="28"/>
                <w:lang w:eastAsia="es-AR"/>
              </w:rPr>
            </w:pPr>
            <w:r w:rsidRPr="005E1103">
              <w:rPr>
                <w:rFonts w:eastAsia="Times New Roman" w:cstheme="minorHAnsi"/>
                <w:color w:val="000000"/>
                <w:sz w:val="28"/>
                <w:szCs w:val="28"/>
                <w:lang w:eastAsia="es-AR"/>
              </w:rPr>
              <w:t xml:space="preserve">Dificultad de incorporación de la modificación de la currícula para incluir materias específicas </w:t>
            </w:r>
            <w:r w:rsidRPr="005E1103">
              <w:rPr>
                <w:rFonts w:eastAsia="Times New Roman" w:cstheme="minorHAnsi"/>
                <w:color w:val="000000"/>
                <w:sz w:val="28"/>
                <w:szCs w:val="28"/>
                <w:lang w:eastAsia="es-AR"/>
              </w:rPr>
              <w:lastRenderedPageBreak/>
              <w:t>relacionadas con la temática de la discapacidad.</w:t>
            </w:r>
          </w:p>
          <w:p w:rsidR="0046263B" w:rsidRPr="005E1103" w:rsidRDefault="0046263B" w:rsidP="0046263B">
            <w:pPr>
              <w:numPr>
                <w:ilvl w:val="0"/>
                <w:numId w:val="99"/>
              </w:numPr>
              <w:spacing w:after="0" w:line="240" w:lineRule="auto"/>
              <w:ind w:left="360"/>
              <w:jc w:val="both"/>
              <w:textAlignment w:val="baseline"/>
              <w:rPr>
                <w:rFonts w:eastAsia="Times New Roman" w:cstheme="minorHAnsi"/>
                <w:color w:val="000000"/>
                <w:sz w:val="28"/>
                <w:szCs w:val="28"/>
                <w:lang w:eastAsia="es-AR"/>
              </w:rPr>
            </w:pPr>
            <w:r w:rsidRPr="005E1103">
              <w:rPr>
                <w:rFonts w:eastAsia="Times New Roman" w:cstheme="minorHAnsi"/>
                <w:color w:val="000000"/>
                <w:sz w:val="28"/>
                <w:szCs w:val="28"/>
                <w:lang w:eastAsia="es-AR"/>
              </w:rPr>
              <w:t>La no inclusión de un alto porcentaje de PcD en toda la trayectoria educativa.</w:t>
            </w:r>
          </w:p>
          <w:p w:rsidR="0046263B" w:rsidRPr="005E1103" w:rsidRDefault="0046263B" w:rsidP="0046263B">
            <w:pPr>
              <w:numPr>
                <w:ilvl w:val="0"/>
                <w:numId w:val="99"/>
              </w:numPr>
              <w:spacing w:after="0" w:line="0" w:lineRule="atLeast"/>
              <w:ind w:left="360"/>
              <w:textAlignment w:val="baseline"/>
              <w:rPr>
                <w:rFonts w:eastAsia="Times New Roman" w:cstheme="minorHAnsi"/>
                <w:color w:val="000000"/>
                <w:sz w:val="28"/>
                <w:szCs w:val="28"/>
                <w:lang w:eastAsia="es-AR"/>
              </w:rPr>
            </w:pPr>
            <w:r w:rsidRPr="005E1103">
              <w:rPr>
                <w:rFonts w:eastAsia="Times New Roman" w:cstheme="minorHAnsi"/>
                <w:color w:val="000000"/>
                <w:sz w:val="28"/>
                <w:szCs w:val="28"/>
                <w:lang w:eastAsia="es-AR"/>
              </w:rPr>
              <w:t>Insuficiente nivel de formación en toda la educación inicial y media.</w:t>
            </w:r>
          </w:p>
        </w:tc>
      </w:tr>
    </w:tbl>
    <w:p w:rsidR="0046263B" w:rsidRPr="005E1103" w:rsidRDefault="0046263B" w:rsidP="0046263B">
      <w:pPr>
        <w:rPr>
          <w:rFonts w:eastAsia="Calibri" w:cstheme="minorHAnsi"/>
          <w:b/>
          <w:sz w:val="28"/>
          <w:szCs w:val="28"/>
        </w:rPr>
      </w:pPr>
    </w:p>
    <w:p w:rsidR="0046263B" w:rsidRPr="005E1103" w:rsidRDefault="0046263B" w:rsidP="0046263B">
      <w:pPr>
        <w:spacing w:line="360" w:lineRule="auto"/>
        <w:jc w:val="both"/>
        <w:rPr>
          <w:rFonts w:cstheme="minorHAnsi"/>
          <w:sz w:val="28"/>
          <w:szCs w:val="28"/>
          <w:u w:val="single"/>
        </w:rPr>
      </w:pPr>
      <w:r w:rsidRPr="005E1103">
        <w:rPr>
          <w:rFonts w:cstheme="minorHAnsi"/>
          <w:sz w:val="28"/>
          <w:szCs w:val="28"/>
          <w:u w:val="single"/>
        </w:rPr>
        <w:t xml:space="preserve">Conclusiones del trabajo de Investigación: </w:t>
      </w:r>
    </w:p>
    <w:p w:rsidR="0046263B" w:rsidRPr="005E1103" w:rsidRDefault="0046263B" w:rsidP="0046263B">
      <w:pPr>
        <w:spacing w:line="360" w:lineRule="auto"/>
        <w:jc w:val="both"/>
        <w:rPr>
          <w:rFonts w:cstheme="minorHAnsi"/>
          <w:sz w:val="28"/>
          <w:szCs w:val="28"/>
        </w:rPr>
      </w:pPr>
      <w:r w:rsidRPr="005E1103">
        <w:rPr>
          <w:rFonts w:cstheme="minorHAnsi"/>
          <w:sz w:val="28"/>
          <w:szCs w:val="28"/>
        </w:rPr>
        <w:t>La existencia de asignaturas o contenidos vinculados con la temática de la discapacidad es escasa y prácticamente nula en muchos casos. Los mismos están relacionados, sobre todo, a las miradas planteadas desde una perspectiva biológica y biomédica en las ciencias de la salud y en las ciencias sociales y humanas encontramos perspectivas teóricas ancladas en la teoría del tutelaje y alejadas de las perspectivas de derechos humanos</w:t>
      </w:r>
    </w:p>
    <w:p w:rsidR="0046263B" w:rsidRPr="005E1103" w:rsidRDefault="0046263B" w:rsidP="0046263B">
      <w:pPr>
        <w:spacing w:line="360" w:lineRule="auto"/>
        <w:jc w:val="both"/>
        <w:rPr>
          <w:rFonts w:cstheme="minorHAnsi"/>
          <w:sz w:val="28"/>
          <w:szCs w:val="28"/>
        </w:rPr>
      </w:pPr>
      <w:r w:rsidRPr="005E1103">
        <w:rPr>
          <w:rFonts w:cstheme="minorHAnsi"/>
          <w:sz w:val="28"/>
          <w:szCs w:val="28"/>
        </w:rPr>
        <w:t>Los problemas para el acceso y la permanencia en la universidad de las PcD se sitúan más allá del dispositivo institucional de las mismas. Estos problemas tienen sus determinaciones, básicamente, en situaciones de exclusión social en general y educativa en particular, visibles en la imposibilidad, por ejemplo, de ingresar a la escuela primaria y de completar los estudios secundarios. Son muy pocas las PcD que llegan a la universidad y menos aun las que concluyen una carrera.</w:t>
      </w:r>
    </w:p>
    <w:p w:rsidR="0046263B" w:rsidRPr="005E1103" w:rsidRDefault="0046263B" w:rsidP="0046263B">
      <w:pPr>
        <w:spacing w:line="360" w:lineRule="auto"/>
        <w:jc w:val="both"/>
        <w:rPr>
          <w:rFonts w:cstheme="minorHAnsi"/>
          <w:sz w:val="28"/>
          <w:szCs w:val="28"/>
        </w:rPr>
      </w:pPr>
      <w:r w:rsidRPr="005E1103">
        <w:rPr>
          <w:rFonts w:cstheme="minorHAnsi"/>
          <w:sz w:val="28"/>
          <w:szCs w:val="28"/>
        </w:rPr>
        <w:t xml:space="preserve">Por otra parte, las actitudes de los diferentes actores institucionales, sobre todo los docentes tanto más que la de alumnos, no es lo suficientemente adecuada para la inclusión educativa universitaria de las PcD. Debe darse un continuo e intenso cambio curricular para incorporar asignaturas y </w:t>
      </w:r>
      <w:r w:rsidRPr="005E1103">
        <w:rPr>
          <w:rFonts w:cstheme="minorHAnsi"/>
          <w:sz w:val="28"/>
          <w:szCs w:val="28"/>
        </w:rPr>
        <w:lastRenderedPageBreak/>
        <w:t>contenidos que aborden la problemática de los derechos de las PcD, como así también una capacitación y sensibilización en la comunidad educativa sobre la problemática. Se visibilizan problemas persistentes en cuanto a la accesibilidad de las PcD en todas las dimensiones de la misma (infraestructura edilicia, tecnología adecuada) y a su permanencia dentro del ámbito universitario.</w:t>
      </w:r>
    </w:p>
    <w:p w:rsidR="0046263B" w:rsidRPr="005E1103" w:rsidRDefault="0046263B" w:rsidP="0046263B">
      <w:pPr>
        <w:spacing w:line="360" w:lineRule="auto"/>
        <w:jc w:val="both"/>
        <w:rPr>
          <w:rFonts w:cstheme="minorHAnsi"/>
          <w:sz w:val="28"/>
          <w:szCs w:val="28"/>
        </w:rPr>
      </w:pPr>
      <w:r w:rsidRPr="005E1103">
        <w:rPr>
          <w:rFonts w:cstheme="minorHAnsi"/>
          <w:sz w:val="28"/>
          <w:szCs w:val="28"/>
        </w:rPr>
        <w:t xml:space="preserve">También observamos una buena predisposición por parte de los diferentes actores institucionales a incorporar contenidos sobre la problemática y a realizar esfuerzos para ampliar la accesibilidad de las PcD a la universidad. </w:t>
      </w:r>
    </w:p>
    <w:p w:rsidR="0046263B" w:rsidRPr="005E1103" w:rsidRDefault="0046263B" w:rsidP="0046263B">
      <w:pPr>
        <w:spacing w:line="360" w:lineRule="auto"/>
        <w:jc w:val="both"/>
        <w:rPr>
          <w:rFonts w:cstheme="minorHAnsi"/>
          <w:sz w:val="28"/>
          <w:szCs w:val="28"/>
        </w:rPr>
      </w:pPr>
      <w:r w:rsidRPr="005E1103">
        <w:rPr>
          <w:rFonts w:cstheme="minorHAnsi"/>
          <w:sz w:val="28"/>
          <w:szCs w:val="28"/>
        </w:rPr>
        <w:t xml:space="preserve">Encontramos también, marcos jurídicos posibilitadores de estas acciones en los dos países y un anhelo de toda la comunidad educativa universitaria de realizar una universidad inclusiva para todas las personas que deseen ingresar a las mismas, promoviendo la inclusión, el respeto y la equidad, como valores, en el resto de la comunidad. </w:t>
      </w:r>
    </w:p>
    <w:p w:rsidR="0046263B" w:rsidRPr="005E1103" w:rsidRDefault="0046263B" w:rsidP="0046263B">
      <w:pPr>
        <w:spacing w:line="360" w:lineRule="auto"/>
        <w:jc w:val="both"/>
        <w:rPr>
          <w:rFonts w:cstheme="minorHAnsi"/>
          <w:sz w:val="28"/>
          <w:szCs w:val="28"/>
        </w:rPr>
      </w:pPr>
      <w:r w:rsidRPr="005E1103">
        <w:rPr>
          <w:rFonts w:cstheme="minorHAnsi"/>
          <w:sz w:val="28"/>
          <w:szCs w:val="28"/>
        </w:rPr>
        <w:t xml:space="preserve">Estos resultados nos posicionan a trabajar en un sentido que aporte a la inclusión social de las personas con discapacidad, no solamente en el sentido estricto del ingreso y permanencia en la universidad, sino más allá de esta. </w:t>
      </w:r>
    </w:p>
    <w:p w:rsidR="0046263B" w:rsidRPr="005E1103" w:rsidRDefault="0046263B" w:rsidP="0046263B">
      <w:pPr>
        <w:spacing w:line="360" w:lineRule="auto"/>
        <w:jc w:val="both"/>
        <w:rPr>
          <w:rFonts w:cstheme="minorHAnsi"/>
          <w:sz w:val="28"/>
          <w:szCs w:val="28"/>
        </w:rPr>
      </w:pPr>
      <w:r w:rsidRPr="005E1103">
        <w:rPr>
          <w:rFonts w:cstheme="minorHAnsi"/>
          <w:sz w:val="28"/>
          <w:szCs w:val="28"/>
        </w:rPr>
        <w:t>Nuestra experiencia como espacio educativo y los resultados de nuestros estudios indican que la Universidad tiene el potencial para constituirse como un articulador institucional de los procesos de inclusión social de las Personas con Discapacidad.</w:t>
      </w:r>
    </w:p>
    <w:p w:rsidR="0046263B" w:rsidRPr="005E1103" w:rsidRDefault="0046263B" w:rsidP="0046263B">
      <w:pPr>
        <w:spacing w:line="360" w:lineRule="auto"/>
        <w:ind w:firstLine="708"/>
        <w:jc w:val="both"/>
        <w:rPr>
          <w:rFonts w:cstheme="minorHAnsi"/>
          <w:sz w:val="28"/>
          <w:szCs w:val="28"/>
        </w:rPr>
      </w:pPr>
      <w:r w:rsidRPr="005E1103">
        <w:rPr>
          <w:rFonts w:cstheme="minorHAnsi"/>
          <w:sz w:val="28"/>
          <w:szCs w:val="28"/>
        </w:rPr>
        <w:t xml:space="preserve">Este es el  gran desafío para nosotros, en Argentina y Latinoamérica, constituir como referencia y modelo de inclusión y permanencia a la Universidad. También debemos ubicarla como un actor político central de </w:t>
      </w:r>
      <w:r w:rsidRPr="005E1103">
        <w:rPr>
          <w:rFonts w:cstheme="minorHAnsi"/>
          <w:sz w:val="28"/>
          <w:szCs w:val="28"/>
        </w:rPr>
        <w:lastRenderedPageBreak/>
        <w:t>estos procesos. La Universidad tiene la potencia de desarrollar agendas para los Estados en las áreas de la garantía y el acceso de los derechos humanos de las personas con discapacidad. Esa potencia es identificada por la ciudadanía, respetada y escuchada. Debemos trabajar con más intensidad en la investigación de problemas, elaboración de proyectos y dispositivos tecnológicos e institucionales de inclusión, y agendar esta gama de problemas a las prioridades de las políticas estatales.</w:t>
      </w:r>
    </w:p>
    <w:p w:rsidR="0046263B" w:rsidRPr="005E1103" w:rsidRDefault="0046263B">
      <w:pPr>
        <w:rPr>
          <w:rFonts w:cstheme="minorHAnsi"/>
          <w:sz w:val="28"/>
          <w:szCs w:val="28"/>
        </w:rPr>
      </w:pPr>
      <w:r w:rsidRPr="005E1103">
        <w:rPr>
          <w:rFonts w:cstheme="minorHAnsi"/>
          <w:sz w:val="28"/>
          <w:szCs w:val="28"/>
        </w:rPr>
        <w:br w:type="page"/>
      </w:r>
    </w:p>
    <w:p w:rsidR="0046263B" w:rsidRPr="005E1103" w:rsidRDefault="0046263B" w:rsidP="0046263B">
      <w:pPr>
        <w:spacing w:line="360" w:lineRule="auto"/>
        <w:jc w:val="center"/>
        <w:rPr>
          <w:rFonts w:cstheme="minorHAnsi"/>
          <w:b/>
          <w:sz w:val="28"/>
          <w:szCs w:val="28"/>
        </w:rPr>
      </w:pPr>
      <w:r w:rsidRPr="005E1103">
        <w:rPr>
          <w:rFonts w:cstheme="minorHAnsi"/>
          <w:b/>
          <w:sz w:val="28"/>
          <w:szCs w:val="28"/>
        </w:rPr>
        <w:lastRenderedPageBreak/>
        <w:t>COMUNICACIÓN 8</w:t>
      </w:r>
    </w:p>
    <w:p w:rsidR="0046263B" w:rsidRPr="005E1103" w:rsidRDefault="0046263B" w:rsidP="0046263B">
      <w:pPr>
        <w:pBdr>
          <w:top w:val="single" w:sz="4" w:space="1" w:color="auto"/>
          <w:left w:val="single" w:sz="4" w:space="4" w:color="auto"/>
          <w:bottom w:val="single" w:sz="4" w:space="1" w:color="auto"/>
          <w:right w:val="single" w:sz="4" w:space="4" w:color="auto"/>
        </w:pBdr>
        <w:spacing w:line="360" w:lineRule="auto"/>
        <w:jc w:val="center"/>
        <w:rPr>
          <w:rFonts w:cstheme="minorHAnsi"/>
          <w:b/>
          <w:sz w:val="28"/>
          <w:szCs w:val="28"/>
        </w:rPr>
      </w:pPr>
      <w:r w:rsidRPr="005E1103">
        <w:rPr>
          <w:rFonts w:cstheme="minorHAnsi"/>
          <w:b/>
          <w:sz w:val="28"/>
          <w:szCs w:val="28"/>
        </w:rPr>
        <w:t>Haciendo accesible la accesibilidad: Un Modelo de la  Participación Social Inclusiva</w:t>
      </w:r>
    </w:p>
    <w:p w:rsidR="0046263B" w:rsidRPr="005E1103" w:rsidRDefault="0046263B" w:rsidP="0046263B">
      <w:pPr>
        <w:pBdr>
          <w:top w:val="single" w:sz="4" w:space="1" w:color="auto"/>
          <w:left w:val="single" w:sz="4" w:space="4" w:color="auto"/>
          <w:bottom w:val="single" w:sz="4" w:space="1" w:color="auto"/>
          <w:right w:val="single" w:sz="4" w:space="4" w:color="auto"/>
        </w:pBdr>
        <w:spacing w:line="360" w:lineRule="auto"/>
        <w:jc w:val="center"/>
        <w:rPr>
          <w:rFonts w:cstheme="minorHAnsi"/>
          <w:b/>
          <w:sz w:val="28"/>
          <w:szCs w:val="28"/>
          <w:lang w:val="en-US"/>
        </w:rPr>
      </w:pPr>
      <w:r w:rsidRPr="005E1103">
        <w:rPr>
          <w:rFonts w:cstheme="minorHAnsi"/>
          <w:b/>
          <w:sz w:val="28"/>
          <w:szCs w:val="28"/>
          <w:lang w:val="en-US"/>
        </w:rPr>
        <w:t>MAKING ACCESSIBLE ACCESSIBILITY: A MODEL OF INCLUSIVE SOCIAL PARTICIPATION</w:t>
      </w:r>
    </w:p>
    <w:p w:rsidR="0046263B" w:rsidRPr="005E1103" w:rsidRDefault="0046263B" w:rsidP="0046263B">
      <w:pPr>
        <w:jc w:val="center"/>
        <w:rPr>
          <w:rFonts w:cstheme="minorHAnsi"/>
          <w:b/>
          <w:sz w:val="28"/>
          <w:szCs w:val="28"/>
          <w:lang w:val="en-US"/>
        </w:rPr>
      </w:pPr>
    </w:p>
    <w:p w:rsidR="0046263B" w:rsidRPr="005E1103" w:rsidRDefault="0046263B" w:rsidP="0046263B">
      <w:pPr>
        <w:jc w:val="center"/>
        <w:rPr>
          <w:rFonts w:cstheme="minorHAnsi"/>
          <w:b/>
          <w:sz w:val="28"/>
          <w:szCs w:val="28"/>
          <w:lang w:val="en-US"/>
        </w:rPr>
      </w:pPr>
    </w:p>
    <w:p w:rsidR="0046263B" w:rsidRPr="005E1103" w:rsidRDefault="0046263B" w:rsidP="0046263B">
      <w:pPr>
        <w:pStyle w:val="Sinespaciado"/>
        <w:jc w:val="center"/>
        <w:rPr>
          <w:rFonts w:asciiTheme="minorHAnsi" w:hAnsiTheme="minorHAnsi" w:cstheme="minorHAnsi"/>
          <w:b/>
          <w:sz w:val="28"/>
          <w:szCs w:val="28"/>
          <w:lang w:val="en-US"/>
        </w:rPr>
      </w:pPr>
    </w:p>
    <w:p w:rsidR="0046263B" w:rsidRPr="005E1103" w:rsidRDefault="0046263B" w:rsidP="0046263B">
      <w:pPr>
        <w:pStyle w:val="Sinespaciado"/>
        <w:jc w:val="center"/>
        <w:rPr>
          <w:rFonts w:asciiTheme="minorHAnsi" w:hAnsiTheme="minorHAnsi" w:cstheme="minorHAnsi"/>
          <w:b/>
          <w:sz w:val="28"/>
          <w:szCs w:val="28"/>
        </w:rPr>
      </w:pPr>
      <w:r w:rsidRPr="005E1103">
        <w:rPr>
          <w:rFonts w:asciiTheme="minorHAnsi" w:hAnsiTheme="minorHAnsi" w:cstheme="minorHAnsi"/>
          <w:b/>
          <w:sz w:val="28"/>
          <w:szCs w:val="28"/>
        </w:rPr>
        <w:t>Jesus Manuel Cedeira Costales.</w:t>
      </w:r>
    </w:p>
    <w:p w:rsidR="0046263B" w:rsidRPr="005E1103" w:rsidRDefault="0046263B" w:rsidP="0046263B">
      <w:pPr>
        <w:pStyle w:val="Sinespaciado"/>
        <w:jc w:val="center"/>
        <w:rPr>
          <w:rFonts w:asciiTheme="minorHAnsi" w:hAnsiTheme="minorHAnsi" w:cstheme="minorHAnsi"/>
          <w:b/>
          <w:sz w:val="28"/>
          <w:szCs w:val="28"/>
        </w:rPr>
      </w:pPr>
    </w:p>
    <w:p w:rsidR="0046263B" w:rsidRPr="005E1103" w:rsidRDefault="0046263B" w:rsidP="0046263B">
      <w:pPr>
        <w:jc w:val="center"/>
        <w:rPr>
          <w:rFonts w:cstheme="minorHAnsi"/>
          <w:b/>
          <w:i/>
          <w:sz w:val="28"/>
          <w:szCs w:val="28"/>
        </w:rPr>
      </w:pPr>
      <w:r w:rsidRPr="005E1103">
        <w:rPr>
          <w:rFonts w:cstheme="minorHAnsi"/>
          <w:b/>
          <w:i/>
          <w:sz w:val="28"/>
          <w:szCs w:val="28"/>
        </w:rPr>
        <w:t>Universidad de Oviedo. Facultad de Psicología.</w:t>
      </w:r>
    </w:p>
    <w:p w:rsidR="0046263B" w:rsidRPr="005E1103" w:rsidRDefault="0046263B" w:rsidP="0046263B">
      <w:pPr>
        <w:jc w:val="center"/>
        <w:rPr>
          <w:rFonts w:cstheme="minorHAnsi"/>
          <w:b/>
          <w:sz w:val="28"/>
          <w:szCs w:val="28"/>
        </w:rPr>
      </w:pPr>
      <w:r w:rsidRPr="005E1103">
        <w:rPr>
          <w:rFonts w:cstheme="minorHAnsi"/>
          <w:b/>
          <w:i/>
          <w:sz w:val="28"/>
          <w:szCs w:val="28"/>
        </w:rPr>
        <w:t xml:space="preserve">Facultad de Psicología. Plaza Feijoo s/n. Despacho 212. 33003 Oviedo, España. </w:t>
      </w:r>
      <w:hyperlink r:id="rId140" w:history="1">
        <w:r w:rsidRPr="005E1103">
          <w:rPr>
            <w:rStyle w:val="Hipervnculo"/>
            <w:rFonts w:cstheme="minorHAnsi"/>
            <w:b/>
            <w:sz w:val="28"/>
            <w:szCs w:val="28"/>
          </w:rPr>
          <w:t>jesmac@telecable.es</w:t>
        </w:r>
      </w:hyperlink>
    </w:p>
    <w:p w:rsidR="0046263B" w:rsidRPr="005E1103" w:rsidRDefault="0046263B" w:rsidP="0046263B">
      <w:pPr>
        <w:pStyle w:val="Sinespaciado"/>
        <w:jc w:val="center"/>
        <w:rPr>
          <w:rFonts w:asciiTheme="minorHAnsi" w:hAnsiTheme="minorHAnsi" w:cstheme="minorHAnsi"/>
          <w:sz w:val="28"/>
          <w:szCs w:val="28"/>
        </w:rPr>
      </w:pPr>
    </w:p>
    <w:p w:rsidR="0046263B" w:rsidRPr="005E1103" w:rsidRDefault="0046263B" w:rsidP="0046263B">
      <w:pPr>
        <w:spacing w:line="360" w:lineRule="auto"/>
        <w:jc w:val="both"/>
        <w:rPr>
          <w:rFonts w:cstheme="minorHAnsi"/>
          <w:sz w:val="28"/>
          <w:szCs w:val="28"/>
        </w:rPr>
      </w:pPr>
      <w:r w:rsidRPr="005E1103">
        <w:rPr>
          <w:rFonts w:cstheme="minorHAnsi"/>
          <w:sz w:val="28"/>
          <w:szCs w:val="28"/>
        </w:rPr>
        <w:t>RESUMEN</w:t>
      </w:r>
    </w:p>
    <w:p w:rsidR="0046263B" w:rsidRPr="005E1103" w:rsidRDefault="0046263B" w:rsidP="0046263B">
      <w:pPr>
        <w:spacing w:line="360" w:lineRule="auto"/>
        <w:jc w:val="both"/>
        <w:rPr>
          <w:rFonts w:cstheme="minorHAnsi"/>
          <w:sz w:val="28"/>
          <w:szCs w:val="28"/>
        </w:rPr>
      </w:pPr>
      <w:r w:rsidRPr="005E1103">
        <w:rPr>
          <w:rFonts w:cstheme="minorHAnsi"/>
          <w:sz w:val="28"/>
          <w:szCs w:val="28"/>
        </w:rPr>
        <w:t>Haciendo accesible la accesibilidad, es un modelo que fomenta la participación social de manera inclusiva.</w:t>
      </w:r>
    </w:p>
    <w:p w:rsidR="0046263B" w:rsidRPr="005E1103" w:rsidRDefault="0046263B" w:rsidP="0046263B">
      <w:pPr>
        <w:spacing w:line="360" w:lineRule="auto"/>
        <w:jc w:val="both"/>
        <w:rPr>
          <w:rFonts w:cstheme="minorHAnsi"/>
          <w:sz w:val="28"/>
          <w:szCs w:val="28"/>
        </w:rPr>
      </w:pPr>
      <w:r w:rsidRPr="005E1103">
        <w:rPr>
          <w:rFonts w:cstheme="minorHAnsi"/>
          <w:sz w:val="28"/>
          <w:szCs w:val="28"/>
        </w:rPr>
        <w:t>Esta inclusión social, se consigue a través de cinco puntos a seguir:</w:t>
      </w:r>
    </w:p>
    <w:p w:rsidR="0046263B" w:rsidRPr="005E1103" w:rsidRDefault="0046263B" w:rsidP="0046263B">
      <w:pPr>
        <w:spacing w:line="360" w:lineRule="auto"/>
        <w:jc w:val="both"/>
        <w:rPr>
          <w:rFonts w:cstheme="minorHAnsi"/>
          <w:sz w:val="28"/>
          <w:szCs w:val="28"/>
        </w:rPr>
      </w:pPr>
      <w:r w:rsidRPr="005E1103">
        <w:rPr>
          <w:rFonts w:cstheme="minorHAnsi"/>
          <w:sz w:val="28"/>
          <w:szCs w:val="28"/>
        </w:rPr>
        <w:t>1.</w:t>
      </w:r>
      <w:r w:rsidRPr="005E1103">
        <w:rPr>
          <w:rFonts w:cstheme="minorHAnsi"/>
          <w:sz w:val="28"/>
          <w:szCs w:val="28"/>
        </w:rPr>
        <w:tab/>
        <w:t>A través de las iniciativas e ideas que nos promueven a participar.</w:t>
      </w:r>
    </w:p>
    <w:p w:rsidR="0046263B" w:rsidRPr="005E1103" w:rsidRDefault="0046263B" w:rsidP="0046263B">
      <w:pPr>
        <w:spacing w:line="360" w:lineRule="auto"/>
        <w:jc w:val="both"/>
        <w:rPr>
          <w:rFonts w:cstheme="minorHAnsi"/>
          <w:sz w:val="28"/>
          <w:szCs w:val="28"/>
        </w:rPr>
      </w:pPr>
      <w:r w:rsidRPr="005E1103">
        <w:rPr>
          <w:rFonts w:cstheme="minorHAnsi"/>
          <w:sz w:val="28"/>
          <w:szCs w:val="28"/>
        </w:rPr>
        <w:t>2.</w:t>
      </w:r>
      <w:r w:rsidRPr="005E1103">
        <w:rPr>
          <w:rFonts w:cstheme="minorHAnsi"/>
          <w:sz w:val="28"/>
          <w:szCs w:val="28"/>
        </w:rPr>
        <w:tab/>
        <w:t>Utilizando y localizando los recursos que mejoran y apoyan la participación social.</w:t>
      </w:r>
    </w:p>
    <w:p w:rsidR="0046263B" w:rsidRPr="005E1103" w:rsidRDefault="0046263B" w:rsidP="0046263B">
      <w:pPr>
        <w:spacing w:line="360" w:lineRule="auto"/>
        <w:jc w:val="both"/>
        <w:rPr>
          <w:rFonts w:cstheme="minorHAnsi"/>
          <w:sz w:val="28"/>
          <w:szCs w:val="28"/>
        </w:rPr>
      </w:pPr>
      <w:r w:rsidRPr="005E1103">
        <w:rPr>
          <w:rFonts w:cstheme="minorHAnsi"/>
          <w:sz w:val="28"/>
          <w:szCs w:val="28"/>
        </w:rPr>
        <w:t>3.</w:t>
      </w:r>
      <w:r w:rsidRPr="005E1103">
        <w:rPr>
          <w:rFonts w:cstheme="minorHAnsi"/>
          <w:sz w:val="28"/>
          <w:szCs w:val="28"/>
        </w:rPr>
        <w:tab/>
        <w:t>Ejecutando y poniendo en marcha, iniciativas con el fin de promover la participación social.</w:t>
      </w:r>
    </w:p>
    <w:p w:rsidR="0046263B" w:rsidRPr="005E1103" w:rsidRDefault="0046263B" w:rsidP="0046263B">
      <w:pPr>
        <w:spacing w:line="360" w:lineRule="auto"/>
        <w:jc w:val="both"/>
        <w:rPr>
          <w:rFonts w:cstheme="minorHAnsi"/>
          <w:sz w:val="28"/>
          <w:szCs w:val="28"/>
        </w:rPr>
      </w:pPr>
      <w:r w:rsidRPr="005E1103">
        <w:rPr>
          <w:rFonts w:cstheme="minorHAnsi"/>
          <w:sz w:val="28"/>
          <w:szCs w:val="28"/>
        </w:rPr>
        <w:lastRenderedPageBreak/>
        <w:t>4.</w:t>
      </w:r>
      <w:r w:rsidRPr="005E1103">
        <w:rPr>
          <w:rFonts w:cstheme="minorHAnsi"/>
          <w:sz w:val="28"/>
          <w:szCs w:val="28"/>
        </w:rPr>
        <w:tab/>
        <w:t>Obteniendo y elaborando materiales, fruto de la ejecución de las iniciativas participativas.</w:t>
      </w:r>
    </w:p>
    <w:p w:rsidR="0046263B" w:rsidRPr="005E1103" w:rsidRDefault="0046263B" w:rsidP="0046263B">
      <w:pPr>
        <w:spacing w:line="360" w:lineRule="auto"/>
        <w:jc w:val="both"/>
        <w:rPr>
          <w:rFonts w:cstheme="minorHAnsi"/>
          <w:sz w:val="28"/>
          <w:szCs w:val="28"/>
        </w:rPr>
      </w:pPr>
      <w:r w:rsidRPr="005E1103">
        <w:rPr>
          <w:rFonts w:cstheme="minorHAnsi"/>
          <w:sz w:val="28"/>
          <w:szCs w:val="28"/>
        </w:rPr>
        <w:t>5.</w:t>
      </w:r>
      <w:r w:rsidRPr="005E1103">
        <w:rPr>
          <w:rFonts w:cstheme="minorHAnsi"/>
          <w:sz w:val="28"/>
          <w:szCs w:val="28"/>
        </w:rPr>
        <w:tab/>
        <w:t xml:space="preserve">Obtención y medición de todo el proyecto participativo inclusivo. </w:t>
      </w:r>
    </w:p>
    <w:p w:rsidR="0046263B" w:rsidRPr="005E1103" w:rsidRDefault="0046263B" w:rsidP="0046263B">
      <w:pPr>
        <w:spacing w:line="360" w:lineRule="auto"/>
        <w:jc w:val="both"/>
        <w:rPr>
          <w:rFonts w:cstheme="minorHAnsi"/>
          <w:sz w:val="28"/>
          <w:szCs w:val="28"/>
        </w:rPr>
      </w:pPr>
      <w:r w:rsidRPr="005E1103">
        <w:rPr>
          <w:rFonts w:cstheme="minorHAnsi"/>
          <w:b/>
          <w:sz w:val="28"/>
          <w:szCs w:val="28"/>
        </w:rPr>
        <w:t>Palabras Clave</w:t>
      </w:r>
      <w:r w:rsidRPr="005E1103">
        <w:rPr>
          <w:rFonts w:cstheme="minorHAnsi"/>
          <w:sz w:val="28"/>
          <w:szCs w:val="28"/>
        </w:rPr>
        <w:t>: Participación social, Inclusión, Discapacidad.</w:t>
      </w:r>
    </w:p>
    <w:p w:rsidR="0046263B" w:rsidRPr="005E1103" w:rsidRDefault="0046263B" w:rsidP="0046263B">
      <w:pPr>
        <w:spacing w:line="360" w:lineRule="auto"/>
        <w:jc w:val="both"/>
        <w:rPr>
          <w:rFonts w:cstheme="minorHAnsi"/>
          <w:sz w:val="28"/>
          <w:szCs w:val="28"/>
        </w:rPr>
      </w:pPr>
    </w:p>
    <w:p w:rsidR="0046263B" w:rsidRPr="005E1103" w:rsidRDefault="0046263B" w:rsidP="0046263B">
      <w:pPr>
        <w:spacing w:line="360" w:lineRule="auto"/>
        <w:jc w:val="both"/>
        <w:rPr>
          <w:rFonts w:cstheme="minorHAnsi"/>
          <w:b/>
          <w:sz w:val="28"/>
          <w:szCs w:val="28"/>
          <w:lang w:val="en-US"/>
        </w:rPr>
      </w:pPr>
      <w:r w:rsidRPr="005E1103">
        <w:rPr>
          <w:rFonts w:cstheme="minorHAnsi"/>
          <w:b/>
          <w:sz w:val="28"/>
          <w:szCs w:val="28"/>
          <w:lang w:val="en-US"/>
        </w:rPr>
        <w:t>SUMMARY</w:t>
      </w:r>
    </w:p>
    <w:p w:rsidR="0046263B" w:rsidRPr="005E1103" w:rsidRDefault="0046263B" w:rsidP="0046263B">
      <w:pPr>
        <w:spacing w:line="360" w:lineRule="auto"/>
        <w:jc w:val="both"/>
        <w:rPr>
          <w:rFonts w:cstheme="minorHAnsi"/>
          <w:sz w:val="28"/>
          <w:szCs w:val="28"/>
          <w:lang w:val="en-US"/>
        </w:rPr>
      </w:pPr>
      <w:r w:rsidRPr="005E1103">
        <w:rPr>
          <w:rFonts w:cstheme="minorHAnsi"/>
          <w:sz w:val="28"/>
          <w:szCs w:val="28"/>
          <w:lang w:val="en-US"/>
        </w:rPr>
        <w:t xml:space="preserve"> Making accessibility accessible, is a model that promotes an inclusive social participation.</w:t>
      </w:r>
    </w:p>
    <w:p w:rsidR="0046263B" w:rsidRPr="005E1103" w:rsidRDefault="0046263B" w:rsidP="0046263B">
      <w:pPr>
        <w:spacing w:line="360" w:lineRule="auto"/>
        <w:jc w:val="both"/>
        <w:rPr>
          <w:rFonts w:cstheme="minorHAnsi"/>
          <w:sz w:val="28"/>
          <w:szCs w:val="28"/>
          <w:lang w:val="en-US"/>
        </w:rPr>
      </w:pPr>
      <w:r w:rsidRPr="005E1103">
        <w:rPr>
          <w:rFonts w:cstheme="minorHAnsi"/>
          <w:sz w:val="28"/>
          <w:szCs w:val="28"/>
          <w:lang w:val="en-US"/>
        </w:rPr>
        <w:t xml:space="preserve"> This inclusion is achieved through five points to follow:</w:t>
      </w:r>
    </w:p>
    <w:p w:rsidR="0046263B" w:rsidRPr="005E1103" w:rsidRDefault="0046263B" w:rsidP="0046263B">
      <w:pPr>
        <w:spacing w:line="360" w:lineRule="auto"/>
        <w:jc w:val="both"/>
        <w:rPr>
          <w:rFonts w:cstheme="minorHAnsi"/>
          <w:sz w:val="28"/>
          <w:szCs w:val="28"/>
          <w:lang w:val="en-US"/>
        </w:rPr>
      </w:pPr>
      <w:r w:rsidRPr="005E1103">
        <w:rPr>
          <w:rFonts w:cstheme="minorHAnsi"/>
          <w:sz w:val="28"/>
          <w:szCs w:val="28"/>
          <w:lang w:val="en-US"/>
        </w:rPr>
        <w:t xml:space="preserve"> 1. Through the initiatives and ideas that encourage us to participate.</w:t>
      </w:r>
    </w:p>
    <w:p w:rsidR="0046263B" w:rsidRPr="005E1103" w:rsidRDefault="0046263B" w:rsidP="0046263B">
      <w:pPr>
        <w:spacing w:line="360" w:lineRule="auto"/>
        <w:jc w:val="both"/>
        <w:rPr>
          <w:rFonts w:cstheme="minorHAnsi"/>
          <w:sz w:val="28"/>
          <w:szCs w:val="28"/>
          <w:lang w:val="en-US"/>
        </w:rPr>
      </w:pPr>
      <w:r w:rsidRPr="005E1103">
        <w:rPr>
          <w:rFonts w:cstheme="minorHAnsi"/>
          <w:sz w:val="28"/>
          <w:szCs w:val="28"/>
          <w:lang w:val="en-US"/>
        </w:rPr>
        <w:t xml:space="preserve"> 2. Using and locating the resources that enhance and support social participation.</w:t>
      </w:r>
    </w:p>
    <w:p w:rsidR="0046263B" w:rsidRPr="005E1103" w:rsidRDefault="0046263B" w:rsidP="0046263B">
      <w:pPr>
        <w:spacing w:line="360" w:lineRule="auto"/>
        <w:jc w:val="both"/>
        <w:rPr>
          <w:rFonts w:cstheme="minorHAnsi"/>
          <w:sz w:val="28"/>
          <w:szCs w:val="28"/>
          <w:lang w:val="en-US"/>
        </w:rPr>
      </w:pPr>
      <w:r w:rsidRPr="005E1103">
        <w:rPr>
          <w:rFonts w:cstheme="minorHAnsi"/>
          <w:sz w:val="28"/>
          <w:szCs w:val="28"/>
          <w:lang w:val="en-US"/>
        </w:rPr>
        <w:t xml:space="preserve"> 3. Running and launching initiatives to promote social participation.</w:t>
      </w:r>
    </w:p>
    <w:p w:rsidR="0046263B" w:rsidRPr="005E1103" w:rsidRDefault="0046263B" w:rsidP="0046263B">
      <w:pPr>
        <w:spacing w:line="360" w:lineRule="auto"/>
        <w:jc w:val="both"/>
        <w:rPr>
          <w:rFonts w:cstheme="minorHAnsi"/>
          <w:sz w:val="28"/>
          <w:szCs w:val="28"/>
          <w:lang w:val="en-US"/>
        </w:rPr>
      </w:pPr>
      <w:r w:rsidRPr="005E1103">
        <w:rPr>
          <w:rFonts w:cstheme="minorHAnsi"/>
          <w:sz w:val="28"/>
          <w:szCs w:val="28"/>
          <w:lang w:val="en-US"/>
        </w:rPr>
        <w:t xml:space="preserve"> 4. Obtaining and preparing materials, resulting from the implementation of participatory initiatives.</w:t>
      </w:r>
    </w:p>
    <w:p w:rsidR="0046263B" w:rsidRPr="005E1103" w:rsidRDefault="0046263B" w:rsidP="0046263B">
      <w:pPr>
        <w:spacing w:line="360" w:lineRule="auto"/>
        <w:jc w:val="both"/>
        <w:rPr>
          <w:rFonts w:cstheme="minorHAnsi"/>
          <w:sz w:val="28"/>
          <w:szCs w:val="28"/>
          <w:lang w:val="en-US"/>
        </w:rPr>
      </w:pPr>
      <w:r w:rsidRPr="005E1103">
        <w:rPr>
          <w:rFonts w:cstheme="minorHAnsi"/>
          <w:sz w:val="28"/>
          <w:szCs w:val="28"/>
          <w:lang w:val="en-US"/>
        </w:rPr>
        <w:t xml:space="preserve"> 5. Collection and measurement of all inclusive participatory project.</w:t>
      </w:r>
    </w:p>
    <w:p w:rsidR="0046263B" w:rsidRPr="005E1103" w:rsidRDefault="0046263B" w:rsidP="0046263B">
      <w:pPr>
        <w:spacing w:line="360" w:lineRule="auto"/>
        <w:jc w:val="both"/>
        <w:rPr>
          <w:rFonts w:cstheme="minorHAnsi"/>
          <w:sz w:val="28"/>
          <w:szCs w:val="28"/>
          <w:lang w:val="en-US"/>
        </w:rPr>
      </w:pPr>
      <w:r w:rsidRPr="005E1103">
        <w:rPr>
          <w:rFonts w:cstheme="minorHAnsi"/>
          <w:sz w:val="28"/>
          <w:szCs w:val="28"/>
          <w:lang w:val="en-US"/>
        </w:rPr>
        <w:t xml:space="preserve"> </w:t>
      </w:r>
      <w:r w:rsidRPr="005E1103">
        <w:rPr>
          <w:rFonts w:cstheme="minorHAnsi"/>
          <w:b/>
          <w:sz w:val="28"/>
          <w:szCs w:val="28"/>
          <w:lang w:val="en-US"/>
        </w:rPr>
        <w:t>Keywords:</w:t>
      </w:r>
      <w:r w:rsidRPr="005E1103">
        <w:rPr>
          <w:rFonts w:cstheme="minorHAnsi"/>
          <w:sz w:val="28"/>
          <w:szCs w:val="28"/>
          <w:lang w:val="en-US"/>
        </w:rPr>
        <w:t xml:space="preserve"> Social Participation, Inclusion, Disability</w:t>
      </w:r>
    </w:p>
    <w:p w:rsidR="0046263B" w:rsidRPr="005E1103" w:rsidRDefault="0046263B" w:rsidP="0046263B">
      <w:pPr>
        <w:spacing w:line="360" w:lineRule="auto"/>
        <w:jc w:val="both"/>
        <w:rPr>
          <w:rFonts w:cstheme="minorHAnsi"/>
          <w:sz w:val="28"/>
          <w:szCs w:val="28"/>
          <w:lang w:val="en-US"/>
        </w:rPr>
      </w:pPr>
    </w:p>
    <w:p w:rsidR="0046263B" w:rsidRPr="005E1103" w:rsidRDefault="0046263B" w:rsidP="0046263B">
      <w:pPr>
        <w:spacing w:line="360" w:lineRule="auto"/>
        <w:jc w:val="both"/>
        <w:rPr>
          <w:rFonts w:cstheme="minorHAnsi"/>
          <w:b/>
          <w:sz w:val="28"/>
          <w:szCs w:val="28"/>
          <w:lang w:val="en-US"/>
        </w:rPr>
      </w:pPr>
      <w:r w:rsidRPr="005E1103">
        <w:rPr>
          <w:rFonts w:cstheme="minorHAnsi"/>
          <w:b/>
          <w:sz w:val="28"/>
          <w:szCs w:val="28"/>
          <w:lang w:val="en-US"/>
        </w:rPr>
        <w:t>INTRODUCION</w:t>
      </w:r>
    </w:p>
    <w:p w:rsidR="0046263B" w:rsidRPr="005E1103" w:rsidRDefault="0046263B" w:rsidP="0046263B">
      <w:pPr>
        <w:ind w:left="360"/>
        <w:rPr>
          <w:rFonts w:cstheme="minorHAnsi"/>
          <w:sz w:val="28"/>
          <w:szCs w:val="28"/>
        </w:rPr>
      </w:pPr>
      <w:r w:rsidRPr="005E1103">
        <w:rPr>
          <w:rFonts w:cstheme="minorHAnsi"/>
          <w:sz w:val="28"/>
          <w:szCs w:val="28"/>
        </w:rPr>
        <w:t>Para llevar a cabo este proyecto, se utilizaron los Antecedentes y trabajos previos que vamos a aprovechar:</w:t>
      </w:r>
    </w:p>
    <w:p w:rsidR="0046263B" w:rsidRPr="005E1103" w:rsidRDefault="0046263B" w:rsidP="0046263B">
      <w:pPr>
        <w:numPr>
          <w:ilvl w:val="1"/>
          <w:numId w:val="100"/>
        </w:numPr>
        <w:spacing w:after="0" w:line="240" w:lineRule="auto"/>
        <w:rPr>
          <w:rFonts w:cstheme="minorHAnsi"/>
          <w:sz w:val="28"/>
          <w:szCs w:val="28"/>
        </w:rPr>
      </w:pPr>
      <w:r w:rsidRPr="005E1103">
        <w:rPr>
          <w:rFonts w:cstheme="minorHAnsi"/>
          <w:sz w:val="28"/>
          <w:szCs w:val="28"/>
        </w:rPr>
        <w:t>“Estudiantes con discapacidad en la Universidad de Oviedo: situación y necesidades” Antonio Aguado</w:t>
      </w:r>
    </w:p>
    <w:p w:rsidR="0046263B" w:rsidRPr="005E1103" w:rsidRDefault="0046263B" w:rsidP="0046263B">
      <w:pPr>
        <w:numPr>
          <w:ilvl w:val="1"/>
          <w:numId w:val="100"/>
        </w:numPr>
        <w:spacing w:after="0" w:line="240" w:lineRule="auto"/>
        <w:rPr>
          <w:rFonts w:cstheme="minorHAnsi"/>
          <w:sz w:val="28"/>
          <w:szCs w:val="28"/>
        </w:rPr>
      </w:pPr>
      <w:r w:rsidRPr="005E1103">
        <w:rPr>
          <w:rFonts w:cstheme="minorHAnsi"/>
          <w:sz w:val="28"/>
          <w:szCs w:val="28"/>
        </w:rPr>
        <w:lastRenderedPageBreak/>
        <w:t xml:space="preserve">“Mapeo de la Facultad de Psicología desde la perspectiva de la discapacidad y las nuevas tecnologías” Jesús Cedeira </w:t>
      </w:r>
    </w:p>
    <w:p w:rsidR="0046263B" w:rsidRPr="005E1103" w:rsidRDefault="0046263B" w:rsidP="0046263B">
      <w:pPr>
        <w:numPr>
          <w:ilvl w:val="1"/>
          <w:numId w:val="100"/>
        </w:numPr>
        <w:spacing w:after="0" w:line="240" w:lineRule="auto"/>
        <w:rPr>
          <w:rFonts w:cstheme="minorHAnsi"/>
          <w:sz w:val="28"/>
          <w:szCs w:val="28"/>
        </w:rPr>
      </w:pPr>
      <w:r w:rsidRPr="005E1103">
        <w:rPr>
          <w:rFonts w:cstheme="minorHAnsi"/>
          <w:sz w:val="28"/>
          <w:szCs w:val="28"/>
        </w:rPr>
        <w:t>Tesina “Haciendo accesible la accesibilidad: mapeo de la facultad de Psicología de la Universidad de Oviedo” Jesús Cedeira, dirigida por el Profesor Francisco de Asís Martín del Buey.</w:t>
      </w:r>
    </w:p>
    <w:p w:rsidR="0046263B" w:rsidRPr="005E1103" w:rsidRDefault="0046263B" w:rsidP="0046263B">
      <w:pPr>
        <w:spacing w:line="360" w:lineRule="auto"/>
        <w:jc w:val="both"/>
        <w:rPr>
          <w:rFonts w:cstheme="minorHAnsi"/>
          <w:sz w:val="28"/>
          <w:szCs w:val="28"/>
        </w:rPr>
      </w:pPr>
      <w:r w:rsidRPr="005E1103">
        <w:rPr>
          <w:rFonts w:cstheme="minorHAnsi"/>
          <w:sz w:val="28"/>
          <w:szCs w:val="28"/>
        </w:rPr>
        <w:t xml:space="preserve">Y el modelo de la participación social </w:t>
      </w:r>
      <w:r w:rsidRPr="005E1103">
        <w:rPr>
          <w:rFonts w:cstheme="minorHAnsi"/>
          <w:b/>
          <w:sz w:val="28"/>
          <w:szCs w:val="28"/>
        </w:rPr>
        <w:t>inclusiva</w:t>
      </w:r>
      <w:r w:rsidRPr="005E1103">
        <w:rPr>
          <w:rFonts w:cstheme="minorHAnsi"/>
          <w:sz w:val="28"/>
          <w:szCs w:val="28"/>
        </w:rPr>
        <w:t>, que consta de cinco puntos a seguir:</w:t>
      </w:r>
    </w:p>
    <w:p w:rsidR="0046263B" w:rsidRPr="005E1103" w:rsidRDefault="0046263B" w:rsidP="0046263B">
      <w:pPr>
        <w:spacing w:line="360" w:lineRule="auto"/>
        <w:jc w:val="both"/>
        <w:rPr>
          <w:rFonts w:cstheme="minorHAnsi"/>
          <w:sz w:val="28"/>
          <w:szCs w:val="28"/>
        </w:rPr>
      </w:pPr>
    </w:p>
    <w:p w:rsidR="0046263B" w:rsidRPr="005E1103" w:rsidRDefault="0046263B" w:rsidP="0046263B">
      <w:pPr>
        <w:pStyle w:val="Prrafodelista1"/>
        <w:numPr>
          <w:ilvl w:val="0"/>
          <w:numId w:val="105"/>
        </w:numPr>
        <w:suppressAutoHyphens w:val="0"/>
        <w:spacing w:line="360" w:lineRule="auto"/>
        <w:contextualSpacing/>
        <w:jc w:val="both"/>
        <w:rPr>
          <w:rFonts w:asciiTheme="minorHAnsi" w:hAnsiTheme="minorHAnsi" w:cstheme="minorHAnsi"/>
          <w:sz w:val="28"/>
          <w:szCs w:val="28"/>
        </w:rPr>
      </w:pPr>
      <w:r w:rsidRPr="005E1103">
        <w:rPr>
          <w:rFonts w:asciiTheme="minorHAnsi" w:hAnsiTheme="minorHAnsi" w:cstheme="minorHAnsi"/>
          <w:sz w:val="28"/>
          <w:szCs w:val="28"/>
        </w:rPr>
        <w:t>Excusas: Iniciativas e ideas que nos promueven a participar.</w:t>
      </w:r>
    </w:p>
    <w:p w:rsidR="0046263B" w:rsidRPr="005E1103" w:rsidRDefault="0046263B" w:rsidP="0046263B">
      <w:pPr>
        <w:pStyle w:val="Prrafodelista1"/>
        <w:spacing w:line="360" w:lineRule="auto"/>
        <w:jc w:val="both"/>
        <w:rPr>
          <w:rFonts w:asciiTheme="minorHAnsi" w:hAnsiTheme="minorHAnsi" w:cstheme="minorHAnsi"/>
          <w:sz w:val="28"/>
          <w:szCs w:val="28"/>
        </w:rPr>
      </w:pPr>
    </w:p>
    <w:p w:rsidR="0046263B" w:rsidRPr="005E1103" w:rsidRDefault="0046263B" w:rsidP="0046263B">
      <w:pPr>
        <w:pStyle w:val="Prrafodelista1"/>
        <w:numPr>
          <w:ilvl w:val="0"/>
          <w:numId w:val="105"/>
        </w:numPr>
        <w:suppressAutoHyphens w:val="0"/>
        <w:spacing w:line="360" w:lineRule="auto"/>
        <w:contextualSpacing/>
        <w:jc w:val="both"/>
        <w:rPr>
          <w:rFonts w:asciiTheme="minorHAnsi" w:hAnsiTheme="minorHAnsi" w:cstheme="minorHAnsi"/>
          <w:sz w:val="28"/>
          <w:szCs w:val="28"/>
        </w:rPr>
      </w:pPr>
      <w:r w:rsidRPr="005E1103">
        <w:rPr>
          <w:rFonts w:asciiTheme="minorHAnsi" w:hAnsiTheme="minorHAnsi" w:cstheme="minorHAnsi"/>
          <w:sz w:val="28"/>
          <w:szCs w:val="28"/>
        </w:rPr>
        <w:t>Recursos: Utilización y localización de los recursos que mejoran y apoyan la participación social.</w:t>
      </w:r>
    </w:p>
    <w:p w:rsidR="0046263B" w:rsidRPr="005E1103" w:rsidRDefault="0046263B" w:rsidP="0046263B">
      <w:pPr>
        <w:pStyle w:val="Prrafodelista1"/>
        <w:rPr>
          <w:rFonts w:asciiTheme="minorHAnsi" w:hAnsiTheme="minorHAnsi" w:cstheme="minorHAnsi"/>
          <w:sz w:val="28"/>
          <w:szCs w:val="28"/>
        </w:rPr>
      </w:pPr>
    </w:p>
    <w:p w:rsidR="0046263B" w:rsidRPr="005E1103" w:rsidRDefault="0046263B" w:rsidP="0046263B">
      <w:pPr>
        <w:pStyle w:val="Prrafodelista1"/>
        <w:numPr>
          <w:ilvl w:val="0"/>
          <w:numId w:val="105"/>
        </w:numPr>
        <w:suppressAutoHyphens w:val="0"/>
        <w:spacing w:line="360" w:lineRule="auto"/>
        <w:contextualSpacing/>
        <w:jc w:val="both"/>
        <w:rPr>
          <w:rFonts w:asciiTheme="minorHAnsi" w:hAnsiTheme="minorHAnsi" w:cstheme="minorHAnsi"/>
          <w:sz w:val="28"/>
          <w:szCs w:val="28"/>
        </w:rPr>
      </w:pPr>
      <w:r w:rsidRPr="005E1103">
        <w:rPr>
          <w:rFonts w:asciiTheme="minorHAnsi" w:hAnsiTheme="minorHAnsi" w:cstheme="minorHAnsi"/>
          <w:sz w:val="28"/>
          <w:szCs w:val="28"/>
        </w:rPr>
        <w:t>Acciones: La ejecución y puesta en marcha de las excusas con el fin de promover la participación social.</w:t>
      </w:r>
    </w:p>
    <w:p w:rsidR="0046263B" w:rsidRPr="005E1103" w:rsidRDefault="0046263B" w:rsidP="0046263B">
      <w:pPr>
        <w:pStyle w:val="Prrafodelista1"/>
        <w:spacing w:line="360" w:lineRule="auto"/>
        <w:jc w:val="both"/>
        <w:rPr>
          <w:rFonts w:asciiTheme="minorHAnsi" w:hAnsiTheme="minorHAnsi" w:cstheme="minorHAnsi"/>
          <w:sz w:val="28"/>
          <w:szCs w:val="28"/>
        </w:rPr>
      </w:pPr>
    </w:p>
    <w:p w:rsidR="0046263B" w:rsidRPr="005E1103" w:rsidRDefault="0046263B" w:rsidP="0046263B">
      <w:pPr>
        <w:pStyle w:val="Prrafodelista1"/>
        <w:numPr>
          <w:ilvl w:val="0"/>
          <w:numId w:val="105"/>
        </w:numPr>
        <w:suppressAutoHyphens w:val="0"/>
        <w:spacing w:line="360" w:lineRule="auto"/>
        <w:contextualSpacing/>
        <w:jc w:val="both"/>
        <w:rPr>
          <w:rFonts w:asciiTheme="minorHAnsi" w:hAnsiTheme="minorHAnsi" w:cstheme="minorHAnsi"/>
          <w:sz w:val="28"/>
          <w:szCs w:val="28"/>
        </w:rPr>
      </w:pPr>
      <w:r w:rsidRPr="005E1103">
        <w:rPr>
          <w:rFonts w:asciiTheme="minorHAnsi" w:hAnsiTheme="minorHAnsi" w:cstheme="minorHAnsi"/>
          <w:sz w:val="28"/>
          <w:szCs w:val="28"/>
        </w:rPr>
        <w:t>Productos: Materiales obtenidos y elaborados, fruto de la  y ejecución de las excusas-</w:t>
      </w:r>
    </w:p>
    <w:p w:rsidR="0046263B" w:rsidRPr="005E1103" w:rsidRDefault="0046263B" w:rsidP="0046263B">
      <w:pPr>
        <w:pStyle w:val="Prrafodelista1"/>
        <w:spacing w:line="360" w:lineRule="auto"/>
        <w:jc w:val="both"/>
        <w:rPr>
          <w:rFonts w:asciiTheme="minorHAnsi" w:hAnsiTheme="minorHAnsi" w:cstheme="minorHAnsi"/>
          <w:sz w:val="28"/>
          <w:szCs w:val="28"/>
        </w:rPr>
      </w:pPr>
    </w:p>
    <w:p w:rsidR="0046263B" w:rsidRPr="005E1103" w:rsidRDefault="0046263B" w:rsidP="0046263B">
      <w:pPr>
        <w:pStyle w:val="Prrafodelista1"/>
        <w:numPr>
          <w:ilvl w:val="0"/>
          <w:numId w:val="105"/>
        </w:numPr>
        <w:suppressAutoHyphens w:val="0"/>
        <w:spacing w:line="360" w:lineRule="auto"/>
        <w:contextualSpacing/>
        <w:jc w:val="both"/>
        <w:rPr>
          <w:rFonts w:asciiTheme="minorHAnsi" w:hAnsiTheme="minorHAnsi" w:cstheme="minorHAnsi"/>
          <w:sz w:val="28"/>
          <w:szCs w:val="28"/>
        </w:rPr>
      </w:pPr>
      <w:r w:rsidRPr="005E1103">
        <w:rPr>
          <w:rFonts w:asciiTheme="minorHAnsi" w:hAnsiTheme="minorHAnsi" w:cstheme="minorHAnsi"/>
          <w:sz w:val="28"/>
          <w:szCs w:val="28"/>
        </w:rPr>
        <w:t xml:space="preserve">Feedback: Resultados y mediciones de todo el proyecto. </w:t>
      </w:r>
    </w:p>
    <w:p w:rsidR="0046263B" w:rsidRPr="005E1103" w:rsidRDefault="0046263B" w:rsidP="0046263B">
      <w:pPr>
        <w:rPr>
          <w:rFonts w:cstheme="minorHAnsi"/>
          <w:b/>
          <w:sz w:val="28"/>
          <w:szCs w:val="28"/>
          <w:lang w:val="es-ES_tradnl"/>
        </w:rPr>
      </w:pPr>
    </w:p>
    <w:p w:rsidR="0046263B" w:rsidRPr="005E1103" w:rsidRDefault="0046263B" w:rsidP="0046263B">
      <w:pPr>
        <w:pStyle w:val="Prrafodelista"/>
        <w:numPr>
          <w:ilvl w:val="0"/>
          <w:numId w:val="103"/>
        </w:numPr>
        <w:autoSpaceDE w:val="0"/>
        <w:autoSpaceDN w:val="0"/>
        <w:adjustRightInd w:val="0"/>
        <w:spacing w:before="0" w:line="360" w:lineRule="auto"/>
        <w:contextualSpacing w:val="0"/>
        <w:jc w:val="both"/>
        <w:rPr>
          <w:rFonts w:asciiTheme="minorHAnsi" w:hAnsiTheme="minorHAnsi" w:cstheme="minorHAnsi"/>
          <w:b/>
          <w:sz w:val="28"/>
          <w:szCs w:val="28"/>
        </w:rPr>
      </w:pPr>
      <w:r w:rsidRPr="005E1103">
        <w:rPr>
          <w:rFonts w:asciiTheme="minorHAnsi" w:hAnsiTheme="minorHAnsi" w:cstheme="minorHAnsi"/>
          <w:b/>
          <w:sz w:val="28"/>
          <w:szCs w:val="28"/>
        </w:rPr>
        <w:t>OBJETIVO</w:t>
      </w:r>
    </w:p>
    <w:p w:rsidR="0046263B" w:rsidRPr="005E1103" w:rsidRDefault="0046263B" w:rsidP="0046263B">
      <w:pPr>
        <w:ind w:left="720"/>
        <w:rPr>
          <w:rFonts w:cstheme="minorHAnsi"/>
          <w:b/>
          <w:sz w:val="28"/>
          <w:szCs w:val="28"/>
        </w:rPr>
      </w:pPr>
      <w:r w:rsidRPr="005E1103">
        <w:rPr>
          <w:rFonts w:cstheme="minorHAnsi"/>
          <w:b/>
          <w:sz w:val="28"/>
          <w:szCs w:val="28"/>
        </w:rPr>
        <w:t>Excusa</w:t>
      </w:r>
    </w:p>
    <w:p w:rsidR="0046263B" w:rsidRPr="005E1103" w:rsidRDefault="0046263B" w:rsidP="0046263B">
      <w:pPr>
        <w:pStyle w:val="NormalWeb"/>
        <w:rPr>
          <w:rFonts w:asciiTheme="minorHAnsi" w:hAnsiTheme="minorHAnsi" w:cstheme="minorHAnsi"/>
          <w:sz w:val="28"/>
          <w:szCs w:val="28"/>
        </w:rPr>
      </w:pPr>
      <w:r w:rsidRPr="005E1103">
        <w:rPr>
          <w:rFonts w:asciiTheme="minorHAnsi" w:hAnsiTheme="minorHAnsi" w:cstheme="minorHAnsi"/>
          <w:sz w:val="28"/>
          <w:szCs w:val="28"/>
        </w:rPr>
        <w:t xml:space="preserve">Existen cantidad de recursos accesibles en nuestra región para las personas con discapacidad, sin embargo la mayoría se desconocen.  Por recursos accesibles entendemos aquellos lugares que están siendo utilizados por usuarios con alguna discapacidad y que mejoran la calidad de vida y la integración social de las personas con discapacidad en nuestra región. Ejemplos de estos recursos que queremos ayudar a visibilizar son la oferta de actividades de tiempo libre accesibles que hay en nuestra </w:t>
      </w:r>
      <w:r w:rsidRPr="005E1103">
        <w:rPr>
          <w:rFonts w:asciiTheme="minorHAnsi" w:hAnsiTheme="minorHAnsi" w:cstheme="minorHAnsi"/>
          <w:sz w:val="28"/>
          <w:szCs w:val="28"/>
        </w:rPr>
        <w:lastRenderedPageBreak/>
        <w:t>región, las asociaciones y organismos que trabajan con y por las personas con discapacidad y en general todos aquellos recursos que utilizan las personas con discapacidad para llevar una vida más autónoma e integrada en los distintos ámbitos de nuestra sociedad.  Queremos ayudar a visibilizarlos para que sean accesibles con la ayuda de las nuevas tecnologías. Queremos sensibilizar a la sociedad sobre la accesibilidad atraves de las artes digitales y acercando el mundo de las comunicaciones, a todos los interesados por este tema.</w:t>
      </w:r>
    </w:p>
    <w:p w:rsidR="0046263B" w:rsidRPr="005E1103" w:rsidRDefault="0046263B" w:rsidP="0046263B">
      <w:pPr>
        <w:rPr>
          <w:rFonts w:cstheme="minorHAnsi"/>
          <w:sz w:val="28"/>
          <w:szCs w:val="28"/>
        </w:rPr>
      </w:pPr>
    </w:p>
    <w:p w:rsidR="0046263B" w:rsidRPr="005E1103" w:rsidRDefault="0046263B" w:rsidP="0046263B">
      <w:pPr>
        <w:rPr>
          <w:rFonts w:cstheme="minorHAnsi"/>
          <w:sz w:val="28"/>
          <w:szCs w:val="28"/>
        </w:rPr>
      </w:pPr>
    </w:p>
    <w:p w:rsidR="0046263B" w:rsidRPr="005E1103" w:rsidRDefault="0046263B" w:rsidP="0046263B">
      <w:pPr>
        <w:pStyle w:val="Prrafodelista"/>
        <w:numPr>
          <w:ilvl w:val="0"/>
          <w:numId w:val="103"/>
        </w:numPr>
        <w:spacing w:before="0" w:line="360" w:lineRule="auto"/>
        <w:contextualSpacing w:val="0"/>
        <w:jc w:val="both"/>
        <w:rPr>
          <w:rFonts w:asciiTheme="minorHAnsi" w:hAnsiTheme="minorHAnsi" w:cstheme="minorHAnsi"/>
          <w:b/>
          <w:sz w:val="28"/>
          <w:szCs w:val="28"/>
        </w:rPr>
      </w:pPr>
      <w:r w:rsidRPr="005E1103">
        <w:rPr>
          <w:rFonts w:asciiTheme="minorHAnsi" w:hAnsiTheme="minorHAnsi" w:cstheme="minorHAnsi"/>
          <w:b/>
          <w:sz w:val="28"/>
          <w:szCs w:val="28"/>
        </w:rPr>
        <w:t>MÉTODO</w:t>
      </w:r>
    </w:p>
    <w:p w:rsidR="0046263B" w:rsidRPr="005E1103" w:rsidRDefault="0046263B" w:rsidP="0046263B">
      <w:pPr>
        <w:ind w:left="720"/>
        <w:rPr>
          <w:rFonts w:cstheme="minorHAnsi"/>
          <w:b/>
          <w:sz w:val="28"/>
          <w:szCs w:val="28"/>
        </w:rPr>
      </w:pPr>
      <w:r w:rsidRPr="005E1103">
        <w:rPr>
          <w:rFonts w:cstheme="minorHAnsi"/>
          <w:b/>
          <w:sz w:val="28"/>
          <w:szCs w:val="28"/>
        </w:rPr>
        <w:t>Recursos</w:t>
      </w:r>
    </w:p>
    <w:p w:rsidR="0046263B" w:rsidRPr="005E1103" w:rsidRDefault="0046263B" w:rsidP="0046263B">
      <w:pPr>
        <w:rPr>
          <w:rFonts w:cstheme="minorHAnsi"/>
          <w:sz w:val="28"/>
          <w:szCs w:val="28"/>
        </w:rPr>
      </w:pPr>
    </w:p>
    <w:p w:rsidR="0046263B" w:rsidRPr="005E1103" w:rsidRDefault="0046263B" w:rsidP="0046263B">
      <w:pPr>
        <w:numPr>
          <w:ilvl w:val="0"/>
          <w:numId w:val="100"/>
        </w:numPr>
        <w:spacing w:after="0" w:line="240" w:lineRule="auto"/>
        <w:rPr>
          <w:rFonts w:cstheme="minorHAnsi"/>
          <w:sz w:val="28"/>
          <w:szCs w:val="28"/>
        </w:rPr>
      </w:pPr>
      <w:r w:rsidRPr="005E1103">
        <w:rPr>
          <w:rFonts w:cstheme="minorHAnsi"/>
          <w:sz w:val="28"/>
          <w:szCs w:val="28"/>
        </w:rPr>
        <w:t xml:space="preserve">Mapeos: excursiones en las que grupos de personas, con o sin discapacidad, se juntan en su tiempo libre para localizar y compartir los recursos útiles, en este caso por su accesibilidad. En estas excursiones con la ayuda de las asociaciones de discapacitados y de voluntariado queremos descubrir y visibilizar, de manera atractiva mediante vídeos, los recursos con los que cuentan y que utilizan en su vida cotidiana. </w:t>
      </w:r>
    </w:p>
    <w:p w:rsidR="0046263B" w:rsidRPr="005E1103" w:rsidRDefault="0046263B" w:rsidP="0046263B">
      <w:pPr>
        <w:ind w:left="720"/>
        <w:rPr>
          <w:rFonts w:cstheme="minorHAnsi"/>
          <w:sz w:val="28"/>
          <w:szCs w:val="28"/>
        </w:rPr>
      </w:pPr>
    </w:p>
    <w:p w:rsidR="0046263B" w:rsidRPr="005E1103" w:rsidRDefault="0046263B" w:rsidP="0046263B">
      <w:pPr>
        <w:numPr>
          <w:ilvl w:val="0"/>
          <w:numId w:val="100"/>
        </w:numPr>
        <w:spacing w:after="0" w:line="240" w:lineRule="auto"/>
        <w:rPr>
          <w:rFonts w:cstheme="minorHAnsi"/>
          <w:sz w:val="28"/>
          <w:szCs w:val="28"/>
        </w:rPr>
      </w:pPr>
      <w:r w:rsidRPr="005E1103">
        <w:rPr>
          <w:rFonts w:cstheme="minorHAnsi"/>
          <w:sz w:val="28"/>
          <w:szCs w:val="28"/>
        </w:rPr>
        <w:t xml:space="preserve">Mapastur.com red social que permite facilitar la convocatoria y el contacto entre las personas con o sin discapacidad que nos conozcamos en las excursiones. Así mismo nos permitirá compartir aquellos recursos de ocio y tiempo libre accesibles. Tiene un buscador en el cual si se mete la etiqueta accesible nos mostrará todos aquellos recursos que se hayan introducido desde la perspectiva de la accesibilidad convirtiéndose así en un directorio dinámico de recursos accesibles de nuestra región. Lo ideal sería enlazar </w:t>
      </w:r>
      <w:hyperlink r:id="rId141" w:history="1">
        <w:r w:rsidRPr="005E1103">
          <w:rPr>
            <w:rStyle w:val="Hipervnculo"/>
            <w:rFonts w:cstheme="minorHAnsi"/>
            <w:sz w:val="28"/>
            <w:szCs w:val="28"/>
          </w:rPr>
          <w:t>www.mapastur.com/accesible</w:t>
        </w:r>
      </w:hyperlink>
      <w:r w:rsidRPr="005E1103">
        <w:rPr>
          <w:rFonts w:cstheme="minorHAnsi"/>
          <w:sz w:val="28"/>
          <w:szCs w:val="28"/>
        </w:rPr>
        <w:t xml:space="preserve">, sección dedicada a visibilizar recursos públicos y ayudas para personas con discapacidad.  </w:t>
      </w:r>
    </w:p>
    <w:p w:rsidR="0046263B" w:rsidRPr="005E1103" w:rsidRDefault="0046263B" w:rsidP="0046263B">
      <w:pPr>
        <w:rPr>
          <w:rFonts w:cstheme="minorHAnsi"/>
          <w:sz w:val="28"/>
          <w:szCs w:val="28"/>
        </w:rPr>
      </w:pPr>
    </w:p>
    <w:p w:rsidR="0046263B" w:rsidRPr="005E1103" w:rsidRDefault="0046263B" w:rsidP="0046263B">
      <w:pPr>
        <w:numPr>
          <w:ilvl w:val="0"/>
          <w:numId w:val="100"/>
        </w:numPr>
        <w:spacing w:after="0" w:line="240" w:lineRule="auto"/>
        <w:rPr>
          <w:rFonts w:cstheme="minorHAnsi"/>
          <w:sz w:val="28"/>
          <w:szCs w:val="28"/>
        </w:rPr>
      </w:pPr>
      <w:r w:rsidRPr="005E1103">
        <w:rPr>
          <w:rFonts w:cstheme="minorHAnsi"/>
          <w:sz w:val="28"/>
          <w:szCs w:val="28"/>
        </w:rPr>
        <w:t xml:space="preserve">Pegatinas: sirven para señalizar aquellos recursos accesibles que se vayan localizando y permitir que la persona que vea la pegatina en la calle pueda ir a la web </w:t>
      </w:r>
      <w:hyperlink r:id="rId142" w:history="1">
        <w:r w:rsidRPr="005E1103">
          <w:rPr>
            <w:rStyle w:val="Hipervnculo"/>
            <w:rFonts w:cstheme="minorHAnsi"/>
            <w:sz w:val="28"/>
            <w:szCs w:val="28"/>
          </w:rPr>
          <w:t>www.mapastur.com</w:t>
        </w:r>
      </w:hyperlink>
      <w:r w:rsidRPr="005E1103">
        <w:rPr>
          <w:rFonts w:cstheme="minorHAnsi"/>
          <w:sz w:val="28"/>
          <w:szCs w:val="28"/>
        </w:rPr>
        <w:t xml:space="preserve"> y conocer otros recursos de calle accesibles.</w:t>
      </w:r>
    </w:p>
    <w:p w:rsidR="0046263B" w:rsidRPr="005E1103" w:rsidRDefault="0046263B" w:rsidP="0046263B">
      <w:pPr>
        <w:rPr>
          <w:rFonts w:cstheme="minorHAnsi"/>
          <w:sz w:val="28"/>
          <w:szCs w:val="28"/>
        </w:rPr>
      </w:pPr>
    </w:p>
    <w:p w:rsidR="0046263B" w:rsidRPr="005E1103" w:rsidRDefault="0046263B" w:rsidP="0046263B">
      <w:pPr>
        <w:numPr>
          <w:ilvl w:val="0"/>
          <w:numId w:val="100"/>
        </w:numPr>
        <w:spacing w:after="0" w:line="240" w:lineRule="auto"/>
        <w:rPr>
          <w:rFonts w:cstheme="minorHAnsi"/>
          <w:sz w:val="28"/>
          <w:szCs w:val="28"/>
        </w:rPr>
      </w:pPr>
      <w:r w:rsidRPr="005E1103">
        <w:rPr>
          <w:rFonts w:cstheme="minorHAnsi"/>
          <w:sz w:val="28"/>
          <w:szCs w:val="28"/>
        </w:rPr>
        <w:t xml:space="preserve"> Publicación en la web </w:t>
      </w:r>
      <w:hyperlink r:id="rId143" w:anchor="!/pages/HACIENDO-ACCESIBLE-LA-ACCESIBILIDAD/188585834527135?sk=info" w:history="1">
        <w:r w:rsidRPr="005E1103">
          <w:rPr>
            <w:rStyle w:val="Hipervnculo"/>
            <w:rFonts w:cstheme="minorHAnsi"/>
            <w:sz w:val="28"/>
            <w:szCs w:val="28"/>
          </w:rPr>
          <w:t>https://www.facebook.com/pages/HACIENDO-ACCESIBLE-LA-ACCESIBILIDAD/188585834527135#!/pages/HACIENDO-ACCESIBLE-LA-ACCESIBILIDAD/188585834527135?sk=info</w:t>
        </w:r>
      </w:hyperlink>
      <w:r w:rsidRPr="005E1103">
        <w:rPr>
          <w:rFonts w:cstheme="minorHAnsi"/>
          <w:sz w:val="28"/>
          <w:szCs w:val="28"/>
        </w:rPr>
        <w:t xml:space="preserve"> en la que todos los pueden colaborar con todo tipo de artículos, desde noticias y reportajes, hasta poesías y relatos. </w:t>
      </w:r>
    </w:p>
    <w:p w:rsidR="0046263B" w:rsidRPr="005E1103" w:rsidRDefault="0046263B" w:rsidP="0046263B">
      <w:pPr>
        <w:rPr>
          <w:rFonts w:cstheme="minorHAnsi"/>
          <w:sz w:val="28"/>
          <w:szCs w:val="28"/>
        </w:rPr>
      </w:pPr>
    </w:p>
    <w:p w:rsidR="0046263B" w:rsidRPr="005E1103" w:rsidRDefault="0046263B" w:rsidP="0046263B">
      <w:pPr>
        <w:numPr>
          <w:ilvl w:val="0"/>
          <w:numId w:val="100"/>
        </w:numPr>
        <w:spacing w:after="0" w:line="240" w:lineRule="auto"/>
        <w:rPr>
          <w:rFonts w:cstheme="minorHAnsi"/>
          <w:sz w:val="28"/>
          <w:szCs w:val="28"/>
        </w:rPr>
      </w:pPr>
      <w:r w:rsidRPr="005E1103">
        <w:rPr>
          <w:rFonts w:cstheme="minorHAnsi"/>
          <w:sz w:val="28"/>
          <w:szCs w:val="28"/>
        </w:rPr>
        <w:t>talleres de radio y descubrir su naturalidad y espontaneidad.</w:t>
      </w:r>
    </w:p>
    <w:p w:rsidR="0046263B" w:rsidRPr="005E1103" w:rsidRDefault="0046263B" w:rsidP="0046263B">
      <w:pPr>
        <w:rPr>
          <w:rFonts w:cstheme="minorHAnsi"/>
          <w:sz w:val="28"/>
          <w:szCs w:val="28"/>
        </w:rPr>
      </w:pPr>
    </w:p>
    <w:p w:rsidR="0046263B" w:rsidRPr="005E1103" w:rsidRDefault="0046263B" w:rsidP="0046263B">
      <w:pPr>
        <w:numPr>
          <w:ilvl w:val="0"/>
          <w:numId w:val="100"/>
        </w:numPr>
        <w:spacing w:after="0" w:line="240" w:lineRule="auto"/>
        <w:rPr>
          <w:rFonts w:cstheme="minorHAnsi"/>
          <w:sz w:val="28"/>
          <w:szCs w:val="28"/>
        </w:rPr>
      </w:pPr>
      <w:r w:rsidRPr="005E1103">
        <w:rPr>
          <w:rFonts w:cstheme="minorHAnsi"/>
          <w:sz w:val="28"/>
          <w:szCs w:val="28"/>
        </w:rPr>
        <w:t xml:space="preserve"> serie virtual, en la que la gente puede aportar ideas del argumento, desde nuestra Web.</w:t>
      </w:r>
    </w:p>
    <w:p w:rsidR="0046263B" w:rsidRPr="005E1103" w:rsidRDefault="0046263B" w:rsidP="0046263B">
      <w:pPr>
        <w:rPr>
          <w:rFonts w:cstheme="minorHAnsi"/>
          <w:sz w:val="28"/>
          <w:szCs w:val="28"/>
        </w:rPr>
      </w:pPr>
    </w:p>
    <w:p w:rsidR="0046263B" w:rsidRPr="005E1103" w:rsidRDefault="0046263B" w:rsidP="0046263B">
      <w:pPr>
        <w:numPr>
          <w:ilvl w:val="0"/>
          <w:numId w:val="100"/>
        </w:numPr>
        <w:spacing w:after="0" w:line="240" w:lineRule="auto"/>
        <w:rPr>
          <w:rFonts w:cstheme="minorHAnsi"/>
          <w:sz w:val="28"/>
          <w:szCs w:val="28"/>
        </w:rPr>
      </w:pPr>
      <w:r w:rsidRPr="005E1103">
        <w:rPr>
          <w:rFonts w:cstheme="minorHAnsi"/>
          <w:sz w:val="28"/>
          <w:szCs w:val="28"/>
        </w:rPr>
        <w:t xml:space="preserve">Concurso de fotografia y video sobre accesibilidad en E.S.O. </w:t>
      </w:r>
    </w:p>
    <w:p w:rsidR="0046263B" w:rsidRPr="005E1103" w:rsidRDefault="0046263B" w:rsidP="0046263B">
      <w:pPr>
        <w:rPr>
          <w:rFonts w:cstheme="minorHAnsi"/>
          <w:noProof/>
          <w:sz w:val="28"/>
          <w:szCs w:val="28"/>
          <w:lang w:val="es-ES_tradnl" w:eastAsia="es-ES_tradnl"/>
        </w:rPr>
      </w:pPr>
    </w:p>
    <w:p w:rsidR="0046263B" w:rsidRPr="005E1103" w:rsidRDefault="0046263B" w:rsidP="0046263B">
      <w:pPr>
        <w:rPr>
          <w:rFonts w:cstheme="minorHAnsi"/>
          <w:b/>
          <w:sz w:val="28"/>
          <w:szCs w:val="28"/>
        </w:rPr>
      </w:pPr>
      <w:r w:rsidRPr="005E1103">
        <w:rPr>
          <w:rFonts w:cstheme="minorHAnsi"/>
          <w:b/>
          <w:sz w:val="28"/>
          <w:szCs w:val="28"/>
        </w:rPr>
        <w:t>Recursos necesarios:</w:t>
      </w:r>
    </w:p>
    <w:p w:rsidR="0046263B" w:rsidRPr="005E1103" w:rsidRDefault="0046263B" w:rsidP="0046263B">
      <w:pPr>
        <w:numPr>
          <w:ilvl w:val="0"/>
          <w:numId w:val="102"/>
        </w:numPr>
        <w:spacing w:after="0" w:line="240" w:lineRule="auto"/>
        <w:rPr>
          <w:rFonts w:cstheme="minorHAnsi"/>
          <w:sz w:val="28"/>
          <w:szCs w:val="28"/>
        </w:rPr>
      </w:pPr>
      <w:r w:rsidRPr="005E1103">
        <w:rPr>
          <w:rFonts w:cstheme="minorHAnsi"/>
          <w:sz w:val="28"/>
          <w:szCs w:val="28"/>
        </w:rPr>
        <w:t>Un animador, coordinador de un grupo de voluntarios que desarrollarán excursiones y visitas a recursos accesibles. También editarán vídeos, ayudarán con los desplazamientos, la señalización con pegatinas…</w:t>
      </w:r>
    </w:p>
    <w:p w:rsidR="0046263B" w:rsidRPr="005E1103" w:rsidRDefault="0046263B" w:rsidP="0046263B">
      <w:pPr>
        <w:numPr>
          <w:ilvl w:val="0"/>
          <w:numId w:val="102"/>
        </w:numPr>
        <w:spacing w:after="0" w:line="240" w:lineRule="auto"/>
        <w:rPr>
          <w:rFonts w:cstheme="minorHAnsi"/>
          <w:sz w:val="28"/>
          <w:szCs w:val="28"/>
        </w:rPr>
      </w:pPr>
      <w:r w:rsidRPr="005E1103">
        <w:rPr>
          <w:rFonts w:cstheme="minorHAnsi"/>
          <w:sz w:val="28"/>
          <w:szCs w:val="28"/>
        </w:rPr>
        <w:t xml:space="preserve">1 Jornada parcial </w:t>
      </w:r>
    </w:p>
    <w:p w:rsidR="0046263B" w:rsidRPr="005E1103" w:rsidRDefault="0046263B" w:rsidP="0046263B">
      <w:pPr>
        <w:numPr>
          <w:ilvl w:val="0"/>
          <w:numId w:val="102"/>
        </w:numPr>
        <w:spacing w:after="0" w:line="240" w:lineRule="auto"/>
        <w:rPr>
          <w:rFonts w:cstheme="minorHAnsi"/>
          <w:sz w:val="28"/>
          <w:szCs w:val="28"/>
        </w:rPr>
      </w:pPr>
      <w:r w:rsidRPr="005E1103">
        <w:rPr>
          <w:rFonts w:cstheme="minorHAnsi"/>
          <w:sz w:val="28"/>
          <w:szCs w:val="28"/>
        </w:rPr>
        <w:t>Desplazamientos</w:t>
      </w:r>
    </w:p>
    <w:p w:rsidR="0046263B" w:rsidRPr="005E1103" w:rsidRDefault="0046263B" w:rsidP="0046263B">
      <w:pPr>
        <w:numPr>
          <w:ilvl w:val="0"/>
          <w:numId w:val="102"/>
        </w:numPr>
        <w:spacing w:after="0" w:line="240" w:lineRule="auto"/>
        <w:rPr>
          <w:rFonts w:cstheme="minorHAnsi"/>
          <w:sz w:val="28"/>
          <w:szCs w:val="28"/>
        </w:rPr>
      </w:pPr>
      <w:r w:rsidRPr="005E1103">
        <w:rPr>
          <w:rFonts w:cstheme="minorHAnsi"/>
          <w:sz w:val="28"/>
          <w:szCs w:val="28"/>
        </w:rPr>
        <w:t xml:space="preserve"> dietas</w:t>
      </w:r>
    </w:p>
    <w:p w:rsidR="0046263B" w:rsidRPr="005E1103" w:rsidRDefault="0046263B" w:rsidP="0046263B">
      <w:pPr>
        <w:numPr>
          <w:ilvl w:val="0"/>
          <w:numId w:val="102"/>
        </w:numPr>
        <w:spacing w:after="0" w:line="240" w:lineRule="auto"/>
        <w:rPr>
          <w:rFonts w:cstheme="minorHAnsi"/>
          <w:sz w:val="28"/>
          <w:szCs w:val="28"/>
        </w:rPr>
      </w:pPr>
      <w:r w:rsidRPr="005E1103">
        <w:rPr>
          <w:rFonts w:cstheme="minorHAnsi"/>
          <w:sz w:val="28"/>
          <w:szCs w:val="28"/>
        </w:rPr>
        <w:t>Apoyo institucional que facilite la coordinación con asociaciones y organismos.</w:t>
      </w:r>
    </w:p>
    <w:p w:rsidR="0046263B" w:rsidRPr="005E1103" w:rsidRDefault="0046263B" w:rsidP="0046263B">
      <w:pPr>
        <w:numPr>
          <w:ilvl w:val="0"/>
          <w:numId w:val="102"/>
        </w:numPr>
        <w:spacing w:after="0" w:line="240" w:lineRule="auto"/>
        <w:rPr>
          <w:rFonts w:cstheme="minorHAnsi"/>
          <w:sz w:val="28"/>
          <w:szCs w:val="28"/>
        </w:rPr>
      </w:pPr>
      <w:r w:rsidRPr="005E1103">
        <w:rPr>
          <w:rFonts w:cstheme="minorHAnsi"/>
          <w:sz w:val="28"/>
          <w:szCs w:val="28"/>
        </w:rPr>
        <w:t>Apoyo a movilidad: animador, voluntariado, dietas.</w:t>
      </w:r>
    </w:p>
    <w:p w:rsidR="0046263B" w:rsidRPr="005E1103" w:rsidRDefault="0046263B" w:rsidP="0046263B">
      <w:pPr>
        <w:numPr>
          <w:ilvl w:val="0"/>
          <w:numId w:val="102"/>
        </w:numPr>
        <w:spacing w:after="0" w:line="240" w:lineRule="auto"/>
        <w:rPr>
          <w:rFonts w:cstheme="minorHAnsi"/>
          <w:sz w:val="28"/>
          <w:szCs w:val="28"/>
        </w:rPr>
      </w:pPr>
      <w:r w:rsidRPr="005E1103">
        <w:rPr>
          <w:rFonts w:cstheme="minorHAnsi"/>
          <w:sz w:val="28"/>
          <w:szCs w:val="28"/>
        </w:rPr>
        <w:t xml:space="preserve">Cámaras de fotos, vídeo… </w:t>
      </w:r>
    </w:p>
    <w:p w:rsidR="0046263B" w:rsidRPr="005E1103" w:rsidRDefault="0046263B" w:rsidP="0046263B">
      <w:pPr>
        <w:numPr>
          <w:ilvl w:val="0"/>
          <w:numId w:val="102"/>
        </w:numPr>
        <w:spacing w:after="0" w:line="240" w:lineRule="auto"/>
        <w:rPr>
          <w:rFonts w:cstheme="minorHAnsi"/>
          <w:sz w:val="28"/>
          <w:szCs w:val="28"/>
        </w:rPr>
      </w:pPr>
      <w:r w:rsidRPr="005E1103">
        <w:rPr>
          <w:rFonts w:cstheme="minorHAnsi"/>
          <w:sz w:val="28"/>
          <w:szCs w:val="28"/>
        </w:rPr>
        <w:t>Pegatinas para señalizar los lugares accesibles que localicemos.</w:t>
      </w:r>
    </w:p>
    <w:p w:rsidR="0046263B" w:rsidRPr="005E1103" w:rsidRDefault="0046263B" w:rsidP="0046263B">
      <w:pPr>
        <w:numPr>
          <w:ilvl w:val="0"/>
          <w:numId w:val="102"/>
        </w:numPr>
        <w:spacing w:after="0" w:line="240" w:lineRule="auto"/>
        <w:rPr>
          <w:rFonts w:cstheme="minorHAnsi"/>
          <w:sz w:val="28"/>
          <w:szCs w:val="28"/>
        </w:rPr>
      </w:pPr>
      <w:r w:rsidRPr="005E1103">
        <w:rPr>
          <w:rFonts w:cstheme="minorHAnsi"/>
          <w:sz w:val="28"/>
          <w:szCs w:val="28"/>
        </w:rPr>
        <w:t>Subvecion de la revista trimestral.</w:t>
      </w:r>
    </w:p>
    <w:p w:rsidR="0046263B" w:rsidRPr="005E1103" w:rsidRDefault="0046263B" w:rsidP="0046263B">
      <w:pPr>
        <w:numPr>
          <w:ilvl w:val="0"/>
          <w:numId w:val="102"/>
        </w:numPr>
        <w:spacing w:after="0" w:line="240" w:lineRule="auto"/>
        <w:rPr>
          <w:rFonts w:cstheme="minorHAnsi"/>
          <w:sz w:val="28"/>
          <w:szCs w:val="28"/>
        </w:rPr>
      </w:pPr>
      <w:r w:rsidRPr="005E1103">
        <w:rPr>
          <w:rFonts w:cstheme="minorHAnsi"/>
          <w:sz w:val="28"/>
          <w:szCs w:val="28"/>
        </w:rPr>
        <w:t>Eliminación de barreras a los equipos radiofonicos.</w:t>
      </w:r>
    </w:p>
    <w:p w:rsidR="0046263B" w:rsidRPr="005E1103" w:rsidRDefault="0046263B" w:rsidP="0046263B">
      <w:pPr>
        <w:numPr>
          <w:ilvl w:val="0"/>
          <w:numId w:val="102"/>
        </w:numPr>
        <w:spacing w:after="0" w:line="240" w:lineRule="auto"/>
        <w:rPr>
          <w:rFonts w:cstheme="minorHAnsi"/>
          <w:sz w:val="28"/>
          <w:szCs w:val="28"/>
        </w:rPr>
      </w:pPr>
      <w:r w:rsidRPr="005E1103">
        <w:rPr>
          <w:rFonts w:cstheme="minorHAnsi"/>
          <w:sz w:val="28"/>
          <w:szCs w:val="28"/>
        </w:rPr>
        <w:t>Divulgación de la serie virtual.</w:t>
      </w:r>
    </w:p>
    <w:p w:rsidR="0046263B" w:rsidRPr="005E1103" w:rsidRDefault="0046263B" w:rsidP="0046263B">
      <w:pPr>
        <w:numPr>
          <w:ilvl w:val="0"/>
          <w:numId w:val="102"/>
        </w:numPr>
        <w:spacing w:after="0" w:line="240" w:lineRule="auto"/>
        <w:rPr>
          <w:rFonts w:cstheme="minorHAnsi"/>
          <w:sz w:val="28"/>
          <w:szCs w:val="28"/>
        </w:rPr>
      </w:pPr>
      <w:r w:rsidRPr="005E1103">
        <w:rPr>
          <w:rFonts w:cstheme="minorHAnsi"/>
          <w:sz w:val="28"/>
          <w:szCs w:val="28"/>
        </w:rPr>
        <w:t xml:space="preserve">Apoyo material, economico, de coordinación y divulgacion para la realización del II concurso de foto y video accesible. </w:t>
      </w:r>
    </w:p>
    <w:p w:rsidR="0046263B" w:rsidRPr="005E1103" w:rsidRDefault="0046263B" w:rsidP="0046263B">
      <w:pPr>
        <w:rPr>
          <w:rFonts w:cstheme="minorHAnsi"/>
          <w:b/>
          <w:sz w:val="28"/>
          <w:szCs w:val="28"/>
        </w:rPr>
      </w:pPr>
    </w:p>
    <w:p w:rsidR="0046263B" w:rsidRPr="005E1103" w:rsidRDefault="0046263B" w:rsidP="0046263B">
      <w:pPr>
        <w:numPr>
          <w:ilvl w:val="0"/>
          <w:numId w:val="103"/>
        </w:numPr>
        <w:spacing w:after="0" w:line="240" w:lineRule="auto"/>
        <w:rPr>
          <w:rFonts w:cstheme="minorHAnsi"/>
          <w:b/>
          <w:sz w:val="28"/>
          <w:szCs w:val="28"/>
        </w:rPr>
      </w:pPr>
      <w:r w:rsidRPr="005E1103">
        <w:rPr>
          <w:rFonts w:cstheme="minorHAnsi"/>
          <w:b/>
          <w:sz w:val="28"/>
          <w:szCs w:val="28"/>
        </w:rPr>
        <w:t>Acción</w:t>
      </w:r>
    </w:p>
    <w:p w:rsidR="0046263B" w:rsidRPr="005E1103" w:rsidRDefault="0046263B" w:rsidP="0046263B">
      <w:pPr>
        <w:ind w:left="360"/>
        <w:rPr>
          <w:rFonts w:cstheme="minorHAnsi"/>
          <w:sz w:val="28"/>
          <w:szCs w:val="28"/>
        </w:rPr>
      </w:pPr>
      <w:r w:rsidRPr="005E1103">
        <w:rPr>
          <w:rFonts w:cstheme="minorHAnsi"/>
          <w:sz w:val="28"/>
          <w:szCs w:val="28"/>
        </w:rPr>
        <w:t xml:space="preserve">Queremos ponernos en contacto con las asociaciones y organismos que trabajan en nuestra región con las personas con discapacidad con </w:t>
      </w:r>
      <w:r w:rsidRPr="005E1103">
        <w:rPr>
          <w:rFonts w:cstheme="minorHAnsi"/>
          <w:sz w:val="28"/>
          <w:szCs w:val="28"/>
        </w:rPr>
        <w:lastRenderedPageBreak/>
        <w:t xml:space="preserve">dos objetivos. El primero sería conocerlos y elaborar un pequeño audiovisual de cada uno que visibilizaremos en Youtube y localizaremos en </w:t>
      </w:r>
      <w:hyperlink r:id="rId144" w:history="1">
        <w:r w:rsidRPr="005E1103">
          <w:rPr>
            <w:rStyle w:val="Hipervnculo"/>
            <w:rFonts w:cstheme="minorHAnsi"/>
            <w:sz w:val="28"/>
            <w:szCs w:val="28"/>
          </w:rPr>
          <w:t>www.mapastur.com</w:t>
        </w:r>
      </w:hyperlink>
      <w:r w:rsidRPr="005E1103">
        <w:rPr>
          <w:rFonts w:cstheme="minorHAnsi"/>
          <w:sz w:val="28"/>
          <w:szCs w:val="28"/>
        </w:rPr>
        <w:t xml:space="preserve">. Con esto pretendemos que estos recursos sean más conocidos y por tanto más accesibles. El segundo objetivo de este contacto es que estas asociaciones nos faciliten el contacto con sus usuarios para que estos  nos ayuden en la visibilización de otros tipos de recursos que utilicen, siempre desde diferentes perspectivas de la discapacidad. Este segundo objetivo se desarrollará mediante la acción principal de este proyecto que es el mapeo. En cualquier caso, buscamos conocer los recursos asociativos e institucionales y las personas que los están utilizando. Así, a partir de estas personas, podremos informarnos de los recursos más informales o de ocio y tiempo libre a los que éstas acuden, pudiendo de esta forma visibilizar tanto el ocio más institucionalizado como el cotidiano. Por lo tanto la actividad principal del animador consistirá, además de en el contacto con asociaciones y organismos y en su visibilización atractiva por medio de vídeos, en la organización, coordinación y dinamización de las excursiones-mapeo que fechemos. Estos mapeos los publicitaremos entre la comunidad  a través de la web </w:t>
      </w:r>
      <w:hyperlink r:id="rId145" w:anchor="!/pages/HACIENDO-ACCESIBLE-LA-ACCESIBILIDAD/188585834527135?sk=info" w:history="1">
        <w:r w:rsidRPr="005E1103">
          <w:rPr>
            <w:rStyle w:val="Hipervnculo"/>
            <w:rFonts w:cstheme="minorHAnsi"/>
            <w:sz w:val="28"/>
            <w:szCs w:val="28"/>
          </w:rPr>
          <w:t>https://www.facebook.com/pages/HACIENDO-ACCESIBLE-LA-ACCESIBILIDAD/188585834527135#!/pages/HACIENDO-ACCESIBLE-LA-ACCESIBILIDAD/188585834527135?sk=info</w:t>
        </w:r>
      </w:hyperlink>
      <w:r w:rsidRPr="005E1103">
        <w:rPr>
          <w:rFonts w:cstheme="minorHAnsi"/>
          <w:sz w:val="28"/>
          <w:szCs w:val="28"/>
        </w:rPr>
        <w:t xml:space="preserve">  En estas excursiones-mapeo, personas con problemas de accesibilidad o no, compartiremos visitas a distintas zonas de Asturias y espacios para localizar los recursos significativos que sean accesibles. En estas excursiones contaremos con un grupo de  personas voluntarias que quieran colaborar en esta iniciativa (en las que cada uno además de fijarnos en temas de accesibilidad será libre de fotografiar y localizar recursos desde otras inquietudes). En estas excursiones nos gustaría contar especialmente con la colaboración también de otras asociaciones con experiencia en el trabajo con distintos tipos de discapacidad: visual, motora… y que nos ayuden a que la gente que venga a las excursiones se ponga en distintas pieles, esto es, podamos vivir lo que significa vivir en Asturias si tienes una deficiencia visual, auditiva, motora… </w:t>
      </w:r>
    </w:p>
    <w:p w:rsidR="0046263B" w:rsidRPr="005E1103" w:rsidRDefault="0046263B" w:rsidP="0046263B">
      <w:pPr>
        <w:ind w:left="360"/>
        <w:rPr>
          <w:rFonts w:cstheme="minorHAnsi"/>
          <w:sz w:val="28"/>
          <w:szCs w:val="28"/>
        </w:rPr>
      </w:pPr>
      <w:r w:rsidRPr="005E1103">
        <w:rPr>
          <w:rFonts w:cstheme="minorHAnsi"/>
          <w:sz w:val="28"/>
          <w:szCs w:val="28"/>
        </w:rPr>
        <w:t>El esquema de nuestra intervención en esta primera fase de pilotaje será:</w:t>
      </w:r>
    </w:p>
    <w:p w:rsidR="0046263B" w:rsidRPr="005E1103" w:rsidRDefault="0046263B" w:rsidP="0046263B">
      <w:pPr>
        <w:numPr>
          <w:ilvl w:val="0"/>
          <w:numId w:val="101"/>
        </w:numPr>
        <w:spacing w:after="0" w:line="240" w:lineRule="auto"/>
        <w:rPr>
          <w:rFonts w:cstheme="minorHAnsi"/>
          <w:sz w:val="28"/>
          <w:szCs w:val="28"/>
        </w:rPr>
      </w:pPr>
      <w:r w:rsidRPr="005E1103">
        <w:rPr>
          <w:rFonts w:cstheme="minorHAnsi"/>
          <w:sz w:val="28"/>
          <w:szCs w:val="28"/>
        </w:rPr>
        <w:t>Contacto con asociaciones y planificación de visitas</w:t>
      </w:r>
    </w:p>
    <w:p w:rsidR="0046263B" w:rsidRPr="005E1103" w:rsidRDefault="0046263B" w:rsidP="0046263B">
      <w:pPr>
        <w:numPr>
          <w:ilvl w:val="0"/>
          <w:numId w:val="101"/>
        </w:numPr>
        <w:spacing w:after="0" w:line="240" w:lineRule="auto"/>
        <w:rPr>
          <w:rFonts w:cstheme="minorHAnsi"/>
          <w:sz w:val="28"/>
          <w:szCs w:val="28"/>
        </w:rPr>
      </w:pPr>
      <w:r w:rsidRPr="005E1103">
        <w:rPr>
          <w:rFonts w:cstheme="minorHAnsi"/>
          <w:sz w:val="28"/>
          <w:szCs w:val="28"/>
        </w:rPr>
        <w:lastRenderedPageBreak/>
        <w:t xml:space="preserve">Edición de vídeo y localización en </w:t>
      </w:r>
      <w:hyperlink r:id="rId146" w:anchor="!/pages/HACIENDO-ACCESIBLE-LA-ACCESIBILIDAD/188585834527135?sk=info" w:history="1">
        <w:r w:rsidRPr="005E1103">
          <w:rPr>
            <w:rStyle w:val="Hipervnculo"/>
            <w:rFonts w:cstheme="minorHAnsi"/>
            <w:sz w:val="28"/>
            <w:szCs w:val="28"/>
          </w:rPr>
          <w:t>https://www.facebook.com/pages/HACIENDO-ACCESIBLE-LA-ACCESIBILIDAD/188585834527135#!/pages/HACIENDO-ACCESIBLE-LA-ACCESIBILIDAD/188585834527135?sk=info</w:t>
        </w:r>
      </w:hyperlink>
      <w:r w:rsidRPr="005E1103">
        <w:rPr>
          <w:rFonts w:cstheme="minorHAnsi"/>
          <w:sz w:val="28"/>
          <w:szCs w:val="28"/>
        </w:rPr>
        <w:t xml:space="preserve"> de cada recurso que visitemos. </w:t>
      </w:r>
    </w:p>
    <w:p w:rsidR="0046263B" w:rsidRPr="005E1103" w:rsidRDefault="0046263B" w:rsidP="0046263B">
      <w:pPr>
        <w:numPr>
          <w:ilvl w:val="0"/>
          <w:numId w:val="101"/>
        </w:numPr>
        <w:spacing w:after="0" w:line="240" w:lineRule="auto"/>
        <w:rPr>
          <w:rFonts w:cstheme="minorHAnsi"/>
          <w:sz w:val="28"/>
          <w:szCs w:val="28"/>
        </w:rPr>
      </w:pPr>
      <w:r w:rsidRPr="005E1103">
        <w:rPr>
          <w:rFonts w:cstheme="minorHAnsi"/>
          <w:sz w:val="28"/>
          <w:szCs w:val="28"/>
        </w:rPr>
        <w:t>En coordinación con responsables de estas asociaciones planificación de las excursiones-mapeo a desarrollar en el tiempo libre con grupos de usuarios de cada asociación que visitemos en distintas zonas de Asturias.</w:t>
      </w:r>
    </w:p>
    <w:p w:rsidR="0046263B" w:rsidRPr="005E1103" w:rsidRDefault="0046263B" w:rsidP="0046263B">
      <w:pPr>
        <w:numPr>
          <w:ilvl w:val="0"/>
          <w:numId w:val="101"/>
        </w:numPr>
        <w:spacing w:after="0" w:line="240" w:lineRule="auto"/>
        <w:rPr>
          <w:rFonts w:cstheme="minorHAnsi"/>
          <w:sz w:val="28"/>
          <w:szCs w:val="28"/>
        </w:rPr>
      </w:pPr>
      <w:r w:rsidRPr="005E1103">
        <w:rPr>
          <w:rFonts w:cstheme="minorHAnsi"/>
          <w:sz w:val="28"/>
          <w:szCs w:val="28"/>
        </w:rPr>
        <w:t>Edición de vídeos que visibilicen los recursos que hemos descubierto en el mapeo. Lo ideal, aunque dependerá de cada grupo, sería que el audiovisual se editase por el mismo grupo, de no ser así, se realizaría con el grupo de voluntarios de este proyecto.</w:t>
      </w:r>
    </w:p>
    <w:p w:rsidR="0046263B" w:rsidRPr="005E1103" w:rsidRDefault="0046263B" w:rsidP="0046263B">
      <w:pPr>
        <w:rPr>
          <w:rFonts w:cstheme="minorHAnsi"/>
          <w:sz w:val="28"/>
          <w:szCs w:val="28"/>
        </w:rPr>
      </w:pPr>
    </w:p>
    <w:p w:rsidR="0046263B" w:rsidRPr="005E1103" w:rsidRDefault="0046263B" w:rsidP="0046263B">
      <w:pPr>
        <w:numPr>
          <w:ilvl w:val="0"/>
          <w:numId w:val="103"/>
        </w:numPr>
        <w:spacing w:after="0" w:line="240" w:lineRule="auto"/>
        <w:rPr>
          <w:rFonts w:cstheme="minorHAnsi"/>
          <w:b/>
          <w:sz w:val="28"/>
          <w:szCs w:val="28"/>
        </w:rPr>
      </w:pPr>
      <w:r w:rsidRPr="005E1103">
        <w:rPr>
          <w:rFonts w:cstheme="minorHAnsi"/>
          <w:b/>
          <w:sz w:val="28"/>
          <w:szCs w:val="28"/>
        </w:rPr>
        <w:t>Producto</w:t>
      </w:r>
    </w:p>
    <w:p w:rsidR="0046263B" w:rsidRPr="005E1103" w:rsidRDefault="0046263B" w:rsidP="0046263B">
      <w:pPr>
        <w:numPr>
          <w:ilvl w:val="0"/>
          <w:numId w:val="101"/>
        </w:numPr>
        <w:spacing w:after="0" w:line="240" w:lineRule="auto"/>
        <w:rPr>
          <w:rFonts w:cstheme="minorHAnsi"/>
          <w:sz w:val="28"/>
          <w:szCs w:val="28"/>
        </w:rPr>
      </w:pPr>
      <w:r w:rsidRPr="005E1103">
        <w:rPr>
          <w:rFonts w:cstheme="minorHAnsi"/>
          <w:sz w:val="28"/>
          <w:szCs w:val="28"/>
        </w:rPr>
        <w:t xml:space="preserve">Un directorio dinámico de recursos para personas con discapacidad en Asturias. </w:t>
      </w:r>
    </w:p>
    <w:p w:rsidR="0046263B" w:rsidRPr="005E1103" w:rsidRDefault="0046263B" w:rsidP="0046263B">
      <w:pPr>
        <w:numPr>
          <w:ilvl w:val="0"/>
          <w:numId w:val="101"/>
        </w:numPr>
        <w:spacing w:after="0" w:line="240" w:lineRule="auto"/>
        <w:rPr>
          <w:rFonts w:cstheme="minorHAnsi"/>
          <w:sz w:val="28"/>
          <w:szCs w:val="28"/>
        </w:rPr>
      </w:pPr>
      <w:r w:rsidRPr="005E1103">
        <w:rPr>
          <w:rFonts w:cstheme="minorHAnsi"/>
          <w:sz w:val="28"/>
          <w:szCs w:val="28"/>
        </w:rPr>
        <w:t>Tener un audiovisual de cada asociación u organismo que en Asturias que trabaja con y por las personas con discapacidad en Asturias.</w:t>
      </w:r>
    </w:p>
    <w:p w:rsidR="0046263B" w:rsidRPr="005E1103" w:rsidRDefault="0046263B" w:rsidP="0046263B">
      <w:pPr>
        <w:numPr>
          <w:ilvl w:val="0"/>
          <w:numId w:val="101"/>
        </w:numPr>
        <w:spacing w:after="0" w:line="240" w:lineRule="auto"/>
        <w:rPr>
          <w:rFonts w:cstheme="minorHAnsi"/>
          <w:sz w:val="28"/>
          <w:szCs w:val="28"/>
        </w:rPr>
      </w:pPr>
      <w:r w:rsidRPr="005E1103">
        <w:rPr>
          <w:rFonts w:cstheme="minorHAnsi"/>
          <w:sz w:val="28"/>
          <w:szCs w:val="28"/>
        </w:rPr>
        <w:t>Una oferta de ocio y tiempo libre para personas con o sin discapacidad en el Principado de Asturias.</w:t>
      </w:r>
    </w:p>
    <w:p w:rsidR="0046263B" w:rsidRPr="005E1103" w:rsidRDefault="0046263B" w:rsidP="0046263B">
      <w:pPr>
        <w:numPr>
          <w:ilvl w:val="0"/>
          <w:numId w:val="101"/>
        </w:numPr>
        <w:spacing w:after="0" w:line="240" w:lineRule="auto"/>
        <w:rPr>
          <w:rFonts w:cstheme="minorHAnsi"/>
          <w:sz w:val="28"/>
          <w:szCs w:val="28"/>
        </w:rPr>
      </w:pPr>
      <w:r w:rsidRPr="005E1103">
        <w:rPr>
          <w:rFonts w:cstheme="minorHAnsi"/>
          <w:sz w:val="28"/>
          <w:szCs w:val="28"/>
        </w:rPr>
        <w:t>Una red social que permitirá conectarse entre los usuarios de distintos organismos y compartir los recursos que cada uno de ellos utiliza.</w:t>
      </w:r>
    </w:p>
    <w:p w:rsidR="0046263B" w:rsidRPr="005E1103" w:rsidRDefault="0046263B" w:rsidP="0046263B">
      <w:pPr>
        <w:numPr>
          <w:ilvl w:val="0"/>
          <w:numId w:val="101"/>
        </w:numPr>
        <w:spacing w:after="0" w:line="240" w:lineRule="auto"/>
        <w:rPr>
          <w:rFonts w:cstheme="minorHAnsi"/>
          <w:sz w:val="28"/>
          <w:szCs w:val="28"/>
        </w:rPr>
      </w:pPr>
      <w:r w:rsidRPr="005E1103">
        <w:rPr>
          <w:rFonts w:cstheme="minorHAnsi"/>
          <w:sz w:val="28"/>
          <w:szCs w:val="28"/>
        </w:rPr>
        <w:t>Un audiovisual general del proyecto.</w:t>
      </w:r>
    </w:p>
    <w:p w:rsidR="0046263B" w:rsidRPr="005E1103" w:rsidRDefault="0046263B" w:rsidP="0046263B">
      <w:pPr>
        <w:ind w:left="360"/>
        <w:rPr>
          <w:rFonts w:cstheme="minorHAnsi"/>
          <w:sz w:val="28"/>
          <w:szCs w:val="28"/>
        </w:rPr>
      </w:pPr>
    </w:p>
    <w:p w:rsidR="0046263B" w:rsidRPr="005E1103" w:rsidRDefault="0046263B" w:rsidP="0046263B">
      <w:pPr>
        <w:ind w:left="360"/>
        <w:rPr>
          <w:rFonts w:cstheme="minorHAnsi"/>
          <w:sz w:val="28"/>
          <w:szCs w:val="28"/>
        </w:rPr>
      </w:pPr>
    </w:p>
    <w:p w:rsidR="0046263B" w:rsidRPr="005E1103" w:rsidRDefault="0046263B" w:rsidP="0046263B">
      <w:pPr>
        <w:pStyle w:val="NormalWeb"/>
        <w:spacing w:line="360" w:lineRule="auto"/>
        <w:jc w:val="both"/>
        <w:rPr>
          <w:rFonts w:asciiTheme="minorHAnsi" w:hAnsiTheme="minorHAnsi" w:cstheme="minorHAnsi"/>
          <w:b/>
          <w:bCs/>
          <w:sz w:val="28"/>
          <w:szCs w:val="28"/>
        </w:rPr>
      </w:pPr>
      <w:r w:rsidRPr="005E1103">
        <w:rPr>
          <w:rFonts w:asciiTheme="minorHAnsi" w:hAnsiTheme="minorHAnsi" w:cstheme="minorHAnsi"/>
          <w:b/>
          <w:bCs/>
          <w:sz w:val="28"/>
          <w:szCs w:val="28"/>
        </w:rPr>
        <w:t>PROCEDIMIENTO</w:t>
      </w:r>
    </w:p>
    <w:p w:rsidR="0046263B" w:rsidRPr="005E1103" w:rsidRDefault="0046263B" w:rsidP="0046263B">
      <w:pPr>
        <w:rPr>
          <w:rFonts w:cstheme="minorHAnsi"/>
          <w:sz w:val="28"/>
          <w:szCs w:val="28"/>
        </w:rPr>
      </w:pPr>
      <w:r w:rsidRPr="005E1103">
        <w:rPr>
          <w:rFonts w:cstheme="minorHAnsi"/>
          <w:sz w:val="28"/>
          <w:szCs w:val="28"/>
        </w:rPr>
        <w:t>Cronograma:</w:t>
      </w:r>
    </w:p>
    <w:p w:rsidR="0046263B" w:rsidRPr="005E1103" w:rsidRDefault="0046263B" w:rsidP="0046263B">
      <w:pPr>
        <w:rPr>
          <w:rFonts w:cstheme="minorHAnsi"/>
          <w:sz w:val="28"/>
          <w:szCs w:val="28"/>
        </w:rPr>
      </w:pPr>
      <w:r w:rsidRPr="005E1103">
        <w:rPr>
          <w:rFonts w:cstheme="minorHAnsi"/>
          <w:sz w:val="28"/>
          <w:szCs w:val="28"/>
        </w:rPr>
        <w:t xml:space="preserve">Pasamos a continuación a detallar cómo es la dinámica concreta de las acciones necesarias para desarrollar este proyecto con cada asociación o recurso que queremos conocer y ayudar a visibilizar. </w:t>
      </w:r>
    </w:p>
    <w:p w:rsidR="0046263B" w:rsidRPr="005E1103" w:rsidRDefault="0046263B" w:rsidP="0046263B">
      <w:pPr>
        <w:rPr>
          <w:rFonts w:cstheme="minorHAnsi"/>
          <w:sz w:val="28"/>
          <w:szCs w:val="28"/>
        </w:rPr>
      </w:pPr>
    </w:p>
    <w:p w:rsidR="0046263B" w:rsidRPr="005E1103" w:rsidRDefault="0046263B" w:rsidP="0046263B">
      <w:pPr>
        <w:pStyle w:val="Prrafodelista"/>
        <w:numPr>
          <w:ilvl w:val="0"/>
          <w:numId w:val="104"/>
        </w:numPr>
        <w:spacing w:before="0"/>
        <w:contextualSpacing w:val="0"/>
        <w:rPr>
          <w:rFonts w:asciiTheme="minorHAnsi" w:hAnsiTheme="minorHAnsi" w:cstheme="minorHAnsi"/>
          <w:sz w:val="28"/>
          <w:szCs w:val="28"/>
        </w:rPr>
      </w:pPr>
      <w:r w:rsidRPr="005E1103">
        <w:rPr>
          <w:rFonts w:asciiTheme="minorHAnsi" w:hAnsiTheme="minorHAnsi" w:cstheme="minorHAnsi"/>
          <w:sz w:val="28"/>
          <w:szCs w:val="28"/>
        </w:rPr>
        <w:lastRenderedPageBreak/>
        <w:t xml:space="preserve">Diseño de una serie de dinámicas que nos permitirán recoger la información necesaria para elaborar el audiovisual de cada recurso accesible que conozcamos. </w:t>
      </w:r>
    </w:p>
    <w:p w:rsidR="0046263B" w:rsidRPr="005E1103" w:rsidRDefault="0046263B" w:rsidP="0046263B">
      <w:pPr>
        <w:pStyle w:val="Prrafodelista"/>
        <w:numPr>
          <w:ilvl w:val="1"/>
          <w:numId w:val="104"/>
        </w:numPr>
        <w:spacing w:before="0"/>
        <w:contextualSpacing w:val="0"/>
        <w:rPr>
          <w:rFonts w:asciiTheme="minorHAnsi" w:hAnsiTheme="minorHAnsi" w:cstheme="minorHAnsi"/>
          <w:sz w:val="28"/>
          <w:szCs w:val="28"/>
        </w:rPr>
      </w:pPr>
      <w:r w:rsidRPr="005E1103">
        <w:rPr>
          <w:rFonts w:asciiTheme="minorHAnsi" w:hAnsiTheme="minorHAnsi" w:cstheme="minorHAnsi"/>
          <w:sz w:val="28"/>
          <w:szCs w:val="28"/>
        </w:rPr>
        <w:t xml:space="preserve">El taller creativo en el que diseñaremos las dinámicas lo haremos en la sede de la asociación ondarguellos intentando implicar en el mismo a nuestros voluntarios así como a nuevas personas que estén interesadas en colaborar con este proyecto. La invitación a esta reunión de trabajo la haremos a través de un artículo (2 horas) en </w:t>
      </w:r>
      <w:hyperlink r:id="rId147" w:anchor="!/pages/HACIENDO-ACCESIBLE-LA-ACCESIBILIDAD/188585834527135?sk=info" w:history="1">
        <w:r w:rsidRPr="005E1103">
          <w:rPr>
            <w:rStyle w:val="Hipervnculo"/>
            <w:rFonts w:asciiTheme="minorHAnsi" w:hAnsiTheme="minorHAnsi" w:cstheme="minorHAnsi"/>
            <w:sz w:val="28"/>
            <w:szCs w:val="28"/>
          </w:rPr>
          <w:t>https://www.facebook.com/pages/HACIENDO-ACCESIBLE-LA-ACCESIBILIDAD/188585834527135#!/pages/HACIENDO-ACCESIBLE-LA-ACCESIBILIDAD/188585834527135?sk=info</w:t>
        </w:r>
      </w:hyperlink>
      <w:r w:rsidRPr="005E1103">
        <w:rPr>
          <w:rFonts w:asciiTheme="minorHAnsi" w:hAnsiTheme="minorHAnsi" w:cstheme="minorHAnsi"/>
          <w:sz w:val="28"/>
          <w:szCs w:val="28"/>
        </w:rPr>
        <w:t xml:space="preserve"> así como introduciéndolo en nuestro calendario de próximas acciones. Con las dinámicas que compartamos n el taller (4 horas) las personas que nos reunamos haremos un documento (6 horas).</w:t>
      </w:r>
    </w:p>
    <w:p w:rsidR="0046263B" w:rsidRPr="005E1103" w:rsidRDefault="0046263B" w:rsidP="0046263B">
      <w:pPr>
        <w:pStyle w:val="Prrafodelista"/>
        <w:ind w:left="1440"/>
        <w:rPr>
          <w:rFonts w:asciiTheme="minorHAnsi" w:hAnsiTheme="minorHAnsi" w:cstheme="minorHAnsi"/>
          <w:sz w:val="28"/>
          <w:szCs w:val="28"/>
        </w:rPr>
      </w:pPr>
    </w:p>
    <w:p w:rsidR="0046263B" w:rsidRPr="005E1103" w:rsidRDefault="0046263B" w:rsidP="0046263B">
      <w:pPr>
        <w:rPr>
          <w:rFonts w:cstheme="minorHAnsi"/>
          <w:sz w:val="28"/>
          <w:szCs w:val="28"/>
        </w:rPr>
      </w:pPr>
      <w:r w:rsidRPr="005E1103">
        <w:rPr>
          <w:rFonts w:cstheme="minorHAnsi"/>
          <w:sz w:val="28"/>
          <w:szCs w:val="28"/>
        </w:rPr>
        <w:t xml:space="preserve">Necesidades: desplazamientos, apoyo a escritura. 12 horas. </w:t>
      </w:r>
    </w:p>
    <w:p w:rsidR="0046263B" w:rsidRPr="005E1103" w:rsidRDefault="0046263B" w:rsidP="0046263B">
      <w:pPr>
        <w:rPr>
          <w:rFonts w:cstheme="minorHAnsi"/>
          <w:sz w:val="28"/>
          <w:szCs w:val="28"/>
        </w:rPr>
      </w:pPr>
    </w:p>
    <w:p w:rsidR="0046263B" w:rsidRPr="005E1103" w:rsidRDefault="0046263B" w:rsidP="0046263B">
      <w:pPr>
        <w:pStyle w:val="Prrafodelista"/>
        <w:numPr>
          <w:ilvl w:val="0"/>
          <w:numId w:val="104"/>
        </w:numPr>
        <w:spacing w:before="0"/>
        <w:contextualSpacing w:val="0"/>
        <w:rPr>
          <w:rFonts w:asciiTheme="minorHAnsi" w:hAnsiTheme="minorHAnsi" w:cstheme="minorHAnsi"/>
          <w:sz w:val="28"/>
          <w:szCs w:val="28"/>
        </w:rPr>
      </w:pPr>
      <w:r w:rsidRPr="005E1103">
        <w:rPr>
          <w:rFonts w:asciiTheme="minorHAnsi" w:hAnsiTheme="minorHAnsi" w:cstheme="minorHAnsi"/>
          <w:sz w:val="28"/>
          <w:szCs w:val="28"/>
        </w:rPr>
        <w:t>Nos coordinamos, por medio de una vista (1 hora) al principio y, a medida que mejore nuestra coordinación a través de contacto telefónico o e-mail, con la Agencia Asturiana. El objetivo será que nos concreté qué asociaciones, ongs o recursos son más importantes para comenzar nuestra labor de hacer accesibles estos recursos. La agencia contactaría con estos recursos avisándolas de nuestra próxima visita.</w:t>
      </w:r>
    </w:p>
    <w:p w:rsidR="0046263B" w:rsidRPr="005E1103" w:rsidRDefault="0046263B" w:rsidP="0046263B">
      <w:pPr>
        <w:pStyle w:val="Prrafodelista"/>
        <w:rPr>
          <w:rFonts w:asciiTheme="minorHAnsi" w:hAnsiTheme="minorHAnsi" w:cstheme="minorHAnsi"/>
          <w:sz w:val="28"/>
          <w:szCs w:val="28"/>
        </w:rPr>
      </w:pPr>
    </w:p>
    <w:p w:rsidR="0046263B" w:rsidRPr="005E1103" w:rsidRDefault="0046263B" w:rsidP="0046263B">
      <w:pPr>
        <w:rPr>
          <w:rFonts w:cstheme="minorHAnsi"/>
          <w:sz w:val="28"/>
          <w:szCs w:val="28"/>
        </w:rPr>
      </w:pPr>
      <w:r w:rsidRPr="005E1103">
        <w:rPr>
          <w:rFonts w:cstheme="minorHAnsi"/>
          <w:sz w:val="28"/>
          <w:szCs w:val="28"/>
        </w:rPr>
        <w:t xml:space="preserve">Necesidades: desplazamientos, apoyo a escritura. 2 horas. </w:t>
      </w:r>
    </w:p>
    <w:p w:rsidR="0046263B" w:rsidRPr="005E1103" w:rsidRDefault="0046263B" w:rsidP="0046263B">
      <w:pPr>
        <w:pStyle w:val="Prrafodelista"/>
        <w:rPr>
          <w:rFonts w:asciiTheme="minorHAnsi" w:hAnsiTheme="minorHAnsi" w:cstheme="minorHAnsi"/>
          <w:sz w:val="28"/>
          <w:szCs w:val="28"/>
        </w:rPr>
      </w:pPr>
    </w:p>
    <w:p w:rsidR="0046263B" w:rsidRPr="005E1103" w:rsidRDefault="0046263B" w:rsidP="0046263B">
      <w:pPr>
        <w:pStyle w:val="Prrafodelista"/>
        <w:numPr>
          <w:ilvl w:val="0"/>
          <w:numId w:val="104"/>
        </w:numPr>
        <w:spacing w:before="0"/>
        <w:contextualSpacing w:val="0"/>
        <w:rPr>
          <w:rFonts w:asciiTheme="minorHAnsi" w:hAnsiTheme="minorHAnsi" w:cstheme="minorHAnsi"/>
          <w:sz w:val="28"/>
          <w:szCs w:val="28"/>
        </w:rPr>
      </w:pPr>
      <w:r w:rsidRPr="005E1103">
        <w:rPr>
          <w:rFonts w:asciiTheme="minorHAnsi" w:hAnsiTheme="minorHAnsi" w:cstheme="minorHAnsi"/>
          <w:sz w:val="28"/>
          <w:szCs w:val="28"/>
        </w:rPr>
        <w:t xml:space="preserve">Contacto via telefónica y e-mail con la primera asociación que elijamos para fijar la fecha de nuestra visita. </w:t>
      </w:r>
    </w:p>
    <w:p w:rsidR="0046263B" w:rsidRPr="005E1103" w:rsidRDefault="0046263B" w:rsidP="0046263B">
      <w:pPr>
        <w:pStyle w:val="Prrafodelista"/>
        <w:rPr>
          <w:rFonts w:asciiTheme="minorHAnsi" w:hAnsiTheme="minorHAnsi" w:cstheme="minorHAnsi"/>
          <w:sz w:val="28"/>
          <w:szCs w:val="28"/>
        </w:rPr>
      </w:pPr>
    </w:p>
    <w:p w:rsidR="0046263B" w:rsidRPr="005E1103" w:rsidRDefault="0046263B" w:rsidP="0046263B">
      <w:pPr>
        <w:rPr>
          <w:rFonts w:cstheme="minorHAnsi"/>
          <w:sz w:val="28"/>
          <w:szCs w:val="28"/>
        </w:rPr>
      </w:pPr>
      <w:r w:rsidRPr="005E1103">
        <w:rPr>
          <w:rFonts w:cstheme="minorHAnsi"/>
          <w:sz w:val="28"/>
          <w:szCs w:val="28"/>
        </w:rPr>
        <w:t xml:space="preserve">Necesidades: apoyo a escritura y acceso al teléfono. 1 hora. </w:t>
      </w:r>
    </w:p>
    <w:p w:rsidR="0046263B" w:rsidRPr="005E1103" w:rsidRDefault="0046263B" w:rsidP="0046263B">
      <w:pPr>
        <w:pStyle w:val="Prrafodelista"/>
        <w:rPr>
          <w:rFonts w:asciiTheme="minorHAnsi" w:hAnsiTheme="minorHAnsi" w:cstheme="minorHAnsi"/>
          <w:sz w:val="28"/>
          <w:szCs w:val="28"/>
        </w:rPr>
      </w:pPr>
    </w:p>
    <w:p w:rsidR="0046263B" w:rsidRPr="005E1103" w:rsidRDefault="0046263B" w:rsidP="0046263B">
      <w:pPr>
        <w:pStyle w:val="Prrafodelista"/>
        <w:numPr>
          <w:ilvl w:val="0"/>
          <w:numId w:val="104"/>
        </w:numPr>
        <w:spacing w:before="0"/>
        <w:contextualSpacing w:val="0"/>
        <w:rPr>
          <w:rFonts w:asciiTheme="minorHAnsi" w:hAnsiTheme="minorHAnsi" w:cstheme="minorHAnsi"/>
          <w:sz w:val="28"/>
          <w:szCs w:val="28"/>
        </w:rPr>
      </w:pPr>
      <w:r w:rsidRPr="005E1103">
        <w:rPr>
          <w:rFonts w:asciiTheme="minorHAnsi" w:hAnsiTheme="minorHAnsi" w:cstheme="minorHAnsi"/>
          <w:sz w:val="28"/>
          <w:szCs w:val="28"/>
        </w:rPr>
        <w:t xml:space="preserve">Nos desplazamos a la asociación, comentamos con la persona que nos vaya  atender la iniciativa que estamos desarrollando en coordinación con la agencia y que persigue el objetivo de conocer y hacer accesibles por medio de las nuevas tecnologías los recursos </w:t>
      </w:r>
      <w:r w:rsidRPr="005E1103">
        <w:rPr>
          <w:rFonts w:asciiTheme="minorHAnsi" w:hAnsiTheme="minorHAnsi" w:cstheme="minorHAnsi"/>
          <w:sz w:val="28"/>
          <w:szCs w:val="28"/>
        </w:rPr>
        <w:lastRenderedPageBreak/>
        <w:t>accesibles que las asociaciones, instituciones y otros recursos tienen en nuestra región y que pueden ayudar a las personas con discapacidades a llevar una mejor calidad de vida. Consensuamos la forma de darnos la información (conversación, dinámicas lúdicas, artísticas, más creativas…) en la que más a gusto se encuentre la  persona que nos atiende.</w:t>
      </w:r>
    </w:p>
    <w:p w:rsidR="0046263B" w:rsidRPr="005E1103" w:rsidRDefault="0046263B" w:rsidP="0046263B">
      <w:pPr>
        <w:pStyle w:val="Prrafodelista"/>
        <w:rPr>
          <w:rFonts w:asciiTheme="minorHAnsi" w:hAnsiTheme="minorHAnsi" w:cstheme="minorHAnsi"/>
          <w:sz w:val="28"/>
          <w:szCs w:val="28"/>
        </w:rPr>
      </w:pPr>
    </w:p>
    <w:p w:rsidR="0046263B" w:rsidRPr="005E1103" w:rsidRDefault="0046263B" w:rsidP="0046263B">
      <w:pPr>
        <w:rPr>
          <w:rFonts w:cstheme="minorHAnsi"/>
          <w:sz w:val="28"/>
          <w:szCs w:val="28"/>
        </w:rPr>
      </w:pPr>
      <w:r w:rsidRPr="005E1103">
        <w:rPr>
          <w:rFonts w:cstheme="minorHAnsi"/>
          <w:sz w:val="28"/>
          <w:szCs w:val="28"/>
        </w:rPr>
        <w:t xml:space="preserve">Necesidades: desplazamiento, apoyo a movilidad, apoyo a escritura a la hora de tomar información significativa sobre el recurso. 2 horas. </w:t>
      </w:r>
    </w:p>
    <w:p w:rsidR="0046263B" w:rsidRPr="005E1103" w:rsidRDefault="0046263B" w:rsidP="0046263B">
      <w:pPr>
        <w:rPr>
          <w:rFonts w:cstheme="minorHAnsi"/>
          <w:sz w:val="28"/>
          <w:szCs w:val="28"/>
        </w:rPr>
      </w:pPr>
    </w:p>
    <w:p w:rsidR="0046263B" w:rsidRPr="005E1103" w:rsidRDefault="0046263B" w:rsidP="0046263B">
      <w:pPr>
        <w:pStyle w:val="Prrafodelista"/>
        <w:numPr>
          <w:ilvl w:val="0"/>
          <w:numId w:val="104"/>
        </w:numPr>
        <w:spacing w:before="0"/>
        <w:contextualSpacing w:val="0"/>
        <w:rPr>
          <w:rFonts w:asciiTheme="minorHAnsi" w:hAnsiTheme="minorHAnsi" w:cstheme="minorHAnsi"/>
          <w:sz w:val="28"/>
          <w:szCs w:val="28"/>
        </w:rPr>
      </w:pPr>
      <w:r w:rsidRPr="005E1103">
        <w:rPr>
          <w:rFonts w:asciiTheme="minorHAnsi" w:hAnsiTheme="minorHAnsi" w:cstheme="minorHAnsi"/>
          <w:sz w:val="28"/>
          <w:szCs w:val="28"/>
        </w:rPr>
        <w:t xml:space="preserve">Comenzamos la visita en sí del recurso aplicando algunas de las dinámicas diseñadas anteriormente para recoger información en distintos formatos con la que posteriormente podamos montar el audiovisual de esta asociación. Los mínimos que se precisan para elaborar un audiovisual de un recurso accesibles son los siguientes: </w:t>
      </w:r>
    </w:p>
    <w:p w:rsidR="0046263B" w:rsidRPr="005E1103" w:rsidRDefault="0046263B" w:rsidP="0046263B">
      <w:pPr>
        <w:pStyle w:val="Prrafodelista"/>
        <w:numPr>
          <w:ilvl w:val="1"/>
          <w:numId w:val="104"/>
        </w:numPr>
        <w:spacing w:before="0"/>
        <w:contextualSpacing w:val="0"/>
        <w:rPr>
          <w:rFonts w:asciiTheme="minorHAnsi" w:hAnsiTheme="minorHAnsi" w:cstheme="minorHAnsi"/>
          <w:sz w:val="28"/>
          <w:szCs w:val="28"/>
        </w:rPr>
      </w:pPr>
      <w:r w:rsidRPr="005E1103">
        <w:rPr>
          <w:rFonts w:asciiTheme="minorHAnsi" w:hAnsiTheme="minorHAnsi" w:cstheme="minorHAnsi"/>
          <w:sz w:val="28"/>
          <w:szCs w:val="28"/>
        </w:rPr>
        <w:t>Foto de la sede, espacio de referencia de este recurso.</w:t>
      </w:r>
    </w:p>
    <w:p w:rsidR="0046263B" w:rsidRPr="005E1103" w:rsidRDefault="0046263B" w:rsidP="0046263B">
      <w:pPr>
        <w:pStyle w:val="Prrafodelista"/>
        <w:numPr>
          <w:ilvl w:val="1"/>
          <w:numId w:val="104"/>
        </w:numPr>
        <w:spacing w:before="0"/>
        <w:contextualSpacing w:val="0"/>
        <w:rPr>
          <w:rFonts w:asciiTheme="minorHAnsi" w:hAnsiTheme="minorHAnsi" w:cstheme="minorHAnsi"/>
          <w:sz w:val="28"/>
          <w:szCs w:val="28"/>
        </w:rPr>
      </w:pPr>
      <w:r w:rsidRPr="005E1103">
        <w:rPr>
          <w:rFonts w:asciiTheme="minorHAnsi" w:hAnsiTheme="minorHAnsi" w:cstheme="minorHAnsi"/>
          <w:sz w:val="28"/>
          <w:szCs w:val="28"/>
        </w:rPr>
        <w:t>Fotos de actividades, personas responsables, voluntarios… las que nos quieran facilitar o las que nos autoricen a tomar.</w:t>
      </w:r>
    </w:p>
    <w:p w:rsidR="0046263B" w:rsidRPr="005E1103" w:rsidRDefault="0046263B" w:rsidP="0046263B">
      <w:pPr>
        <w:pStyle w:val="Prrafodelista"/>
        <w:numPr>
          <w:ilvl w:val="1"/>
          <w:numId w:val="104"/>
        </w:numPr>
        <w:spacing w:before="0"/>
        <w:contextualSpacing w:val="0"/>
        <w:rPr>
          <w:rFonts w:asciiTheme="minorHAnsi" w:hAnsiTheme="minorHAnsi" w:cstheme="minorHAnsi"/>
          <w:sz w:val="28"/>
          <w:szCs w:val="28"/>
        </w:rPr>
      </w:pPr>
      <w:r w:rsidRPr="005E1103">
        <w:rPr>
          <w:rFonts w:asciiTheme="minorHAnsi" w:hAnsiTheme="minorHAnsi" w:cstheme="minorHAnsi"/>
          <w:sz w:val="28"/>
          <w:szCs w:val="28"/>
        </w:rPr>
        <w:t xml:space="preserve">Información relacionada con los recursos que poseen, que pueda ser útil que se conozca por otras personas: actividades, lugares en los que éstas se desarrollan, horarios, precio o coste en su caso de las actividades, forma de contacto… así como otra información que esta organización quiera visibilizar. </w:t>
      </w:r>
    </w:p>
    <w:p w:rsidR="0046263B" w:rsidRPr="005E1103" w:rsidRDefault="0046263B" w:rsidP="0046263B">
      <w:pPr>
        <w:pStyle w:val="Prrafodelista"/>
        <w:rPr>
          <w:rFonts w:asciiTheme="minorHAnsi" w:hAnsiTheme="minorHAnsi" w:cstheme="minorHAnsi"/>
          <w:sz w:val="28"/>
          <w:szCs w:val="28"/>
        </w:rPr>
      </w:pPr>
    </w:p>
    <w:p w:rsidR="0046263B" w:rsidRPr="005E1103" w:rsidRDefault="0046263B" w:rsidP="0046263B">
      <w:pPr>
        <w:rPr>
          <w:rFonts w:cstheme="minorHAnsi"/>
          <w:sz w:val="28"/>
          <w:szCs w:val="28"/>
        </w:rPr>
      </w:pPr>
      <w:r w:rsidRPr="005E1103">
        <w:rPr>
          <w:rFonts w:cstheme="minorHAnsi"/>
          <w:sz w:val="28"/>
          <w:szCs w:val="28"/>
        </w:rPr>
        <w:t xml:space="preserve">Necesidades: desplazamiento, apoyo a movilidad, apoyo a escritura a la hora de tomar información significativa sobre el recurso y a la hora de hacer fotos y vídeo. 4 horas. </w:t>
      </w:r>
    </w:p>
    <w:p w:rsidR="0046263B" w:rsidRPr="005E1103" w:rsidRDefault="0046263B" w:rsidP="0046263B">
      <w:pPr>
        <w:rPr>
          <w:rFonts w:cstheme="minorHAnsi"/>
          <w:sz w:val="28"/>
          <w:szCs w:val="28"/>
        </w:rPr>
      </w:pPr>
    </w:p>
    <w:p w:rsidR="0046263B" w:rsidRPr="005E1103" w:rsidRDefault="0046263B" w:rsidP="0046263B">
      <w:pPr>
        <w:pStyle w:val="Prrafodelista"/>
        <w:numPr>
          <w:ilvl w:val="0"/>
          <w:numId w:val="104"/>
        </w:numPr>
        <w:spacing w:before="0"/>
        <w:contextualSpacing w:val="0"/>
        <w:rPr>
          <w:rFonts w:asciiTheme="minorHAnsi" w:hAnsiTheme="minorHAnsi" w:cstheme="minorHAnsi"/>
          <w:sz w:val="28"/>
          <w:szCs w:val="28"/>
        </w:rPr>
      </w:pPr>
      <w:r w:rsidRPr="005E1103">
        <w:rPr>
          <w:rFonts w:asciiTheme="minorHAnsi" w:hAnsiTheme="minorHAnsi" w:cstheme="minorHAnsi"/>
          <w:sz w:val="28"/>
          <w:szCs w:val="28"/>
        </w:rPr>
        <w:t xml:space="preserve">Con los recursos obtenidos (fotos, post-it, dibujos…) montamos el vídeo desde nuestro d-espacio. Para ello necesitaremos la ayuda de voluntariado (al menos una persona) al que previamente formaremos en la edición audiovisual. </w:t>
      </w:r>
    </w:p>
    <w:p w:rsidR="0046263B" w:rsidRPr="005E1103" w:rsidRDefault="0046263B" w:rsidP="0046263B">
      <w:pPr>
        <w:rPr>
          <w:rFonts w:cstheme="minorHAnsi"/>
          <w:sz w:val="28"/>
          <w:szCs w:val="28"/>
        </w:rPr>
      </w:pPr>
    </w:p>
    <w:p w:rsidR="0046263B" w:rsidRPr="005E1103" w:rsidRDefault="0046263B" w:rsidP="0046263B">
      <w:pPr>
        <w:rPr>
          <w:rFonts w:cstheme="minorHAnsi"/>
          <w:sz w:val="28"/>
          <w:szCs w:val="28"/>
        </w:rPr>
      </w:pPr>
      <w:r w:rsidRPr="005E1103">
        <w:rPr>
          <w:rFonts w:cstheme="minorHAnsi"/>
          <w:sz w:val="28"/>
          <w:szCs w:val="28"/>
        </w:rPr>
        <w:t xml:space="preserve">Necesidades: desplazamiento, apoyo a movilidad, apoyo a preparación de los materiales con los que se va a editar el vídeo (fotos, post-it, dibujos, </w:t>
      </w:r>
      <w:r w:rsidRPr="005E1103">
        <w:rPr>
          <w:rFonts w:cstheme="minorHAnsi"/>
          <w:sz w:val="28"/>
          <w:szCs w:val="28"/>
        </w:rPr>
        <w:lastRenderedPageBreak/>
        <w:t xml:space="preserve">folletos, música…) apoyo a escritura y acceso a las nuevas tecnologías (programas de edición audiovisual). 16 horas. </w:t>
      </w:r>
    </w:p>
    <w:p w:rsidR="0046263B" w:rsidRPr="005E1103" w:rsidRDefault="0046263B" w:rsidP="0046263B">
      <w:pPr>
        <w:rPr>
          <w:rFonts w:cstheme="minorHAnsi"/>
          <w:sz w:val="28"/>
          <w:szCs w:val="28"/>
        </w:rPr>
      </w:pPr>
    </w:p>
    <w:p w:rsidR="0046263B" w:rsidRPr="005E1103" w:rsidRDefault="0046263B" w:rsidP="0046263B">
      <w:pPr>
        <w:rPr>
          <w:rFonts w:cstheme="minorHAnsi"/>
          <w:sz w:val="28"/>
          <w:szCs w:val="28"/>
        </w:rPr>
      </w:pPr>
    </w:p>
    <w:p w:rsidR="0046263B" w:rsidRPr="005E1103" w:rsidRDefault="0046263B" w:rsidP="0046263B">
      <w:pPr>
        <w:pStyle w:val="Prrafodelista"/>
        <w:numPr>
          <w:ilvl w:val="0"/>
          <w:numId w:val="104"/>
        </w:numPr>
        <w:spacing w:before="0"/>
        <w:contextualSpacing w:val="0"/>
        <w:rPr>
          <w:rFonts w:asciiTheme="minorHAnsi" w:hAnsiTheme="minorHAnsi" w:cstheme="minorHAnsi"/>
          <w:sz w:val="28"/>
          <w:szCs w:val="28"/>
        </w:rPr>
      </w:pPr>
      <w:r w:rsidRPr="005E1103">
        <w:rPr>
          <w:rFonts w:asciiTheme="minorHAnsi" w:hAnsiTheme="minorHAnsi" w:cstheme="minorHAnsi"/>
          <w:sz w:val="28"/>
          <w:szCs w:val="28"/>
        </w:rPr>
        <w:t>Presentación del vídeo a sus protagonistas y revisión del mismo (antes de colgarlo), previo contacto por teléfono o e-mail, con la persona de contacto del recurso. En la misma reunión con responsables del recurso para la revisión del vídeo, se les ofrece la posibilidad de realizar un taller con su red de usuarios y asociados que lo deseen. Este taller sería una opción de ocio y tiempo libre accesible en la que saldríamos a la calle a desarrollar mapeos con los que estas personas nos ayudarían a localizar otro tipo de recursos menos formales. En el caso de que aceptarán la invitación, fijaríamos una fecha para el mapeo.</w:t>
      </w:r>
    </w:p>
    <w:p w:rsidR="0046263B" w:rsidRPr="005E1103" w:rsidRDefault="0046263B" w:rsidP="0046263B">
      <w:pPr>
        <w:ind w:left="360"/>
        <w:rPr>
          <w:rFonts w:cstheme="minorHAnsi"/>
          <w:sz w:val="28"/>
          <w:szCs w:val="28"/>
        </w:rPr>
      </w:pPr>
    </w:p>
    <w:p w:rsidR="0046263B" w:rsidRPr="005E1103" w:rsidRDefault="0046263B" w:rsidP="0046263B">
      <w:pPr>
        <w:rPr>
          <w:rFonts w:cstheme="minorHAnsi"/>
          <w:sz w:val="28"/>
          <w:szCs w:val="28"/>
        </w:rPr>
      </w:pPr>
      <w:r w:rsidRPr="005E1103">
        <w:rPr>
          <w:rFonts w:cstheme="minorHAnsi"/>
          <w:sz w:val="28"/>
          <w:szCs w:val="28"/>
        </w:rPr>
        <w:t xml:space="preserve">Necesidades: desplazamiento, apoyo a movilidad, apoyo a escritura y a la hora de tomar nota sobre detalles del vídeo que quieren corregir así como de otros detalles para la excursión-mapeo a organizar con su grupo de asociados. 4 horas. </w:t>
      </w:r>
    </w:p>
    <w:p w:rsidR="0046263B" w:rsidRPr="005E1103" w:rsidRDefault="0046263B" w:rsidP="0046263B">
      <w:pPr>
        <w:rPr>
          <w:rFonts w:cstheme="minorHAnsi"/>
          <w:sz w:val="28"/>
          <w:szCs w:val="28"/>
        </w:rPr>
      </w:pPr>
    </w:p>
    <w:p w:rsidR="0046263B" w:rsidRPr="005E1103" w:rsidRDefault="0046263B" w:rsidP="0046263B">
      <w:pPr>
        <w:rPr>
          <w:rFonts w:cstheme="minorHAnsi"/>
          <w:sz w:val="28"/>
          <w:szCs w:val="28"/>
        </w:rPr>
      </w:pPr>
    </w:p>
    <w:p w:rsidR="0046263B" w:rsidRPr="005E1103" w:rsidRDefault="0046263B" w:rsidP="0046263B">
      <w:pPr>
        <w:pStyle w:val="Prrafodelista"/>
        <w:numPr>
          <w:ilvl w:val="0"/>
          <w:numId w:val="104"/>
        </w:numPr>
        <w:spacing w:before="0"/>
        <w:contextualSpacing w:val="0"/>
        <w:rPr>
          <w:rFonts w:asciiTheme="minorHAnsi" w:hAnsiTheme="minorHAnsi" w:cstheme="minorHAnsi"/>
          <w:sz w:val="28"/>
          <w:szCs w:val="28"/>
        </w:rPr>
      </w:pPr>
      <w:r w:rsidRPr="005E1103">
        <w:rPr>
          <w:rFonts w:asciiTheme="minorHAnsi" w:hAnsiTheme="minorHAnsi" w:cstheme="minorHAnsi"/>
          <w:sz w:val="28"/>
          <w:szCs w:val="28"/>
        </w:rPr>
        <w:t xml:space="preserve">Colgar el vídeo en </w:t>
      </w:r>
      <w:hyperlink r:id="rId148" w:history="1">
        <w:r w:rsidRPr="005E1103">
          <w:rPr>
            <w:rStyle w:val="Hipervnculo"/>
            <w:rFonts w:asciiTheme="minorHAnsi" w:hAnsiTheme="minorHAnsi" w:cstheme="minorHAnsi"/>
            <w:sz w:val="28"/>
            <w:szCs w:val="28"/>
          </w:rPr>
          <w:t>www.Youtube.es</w:t>
        </w:r>
      </w:hyperlink>
      <w:r w:rsidRPr="005E1103">
        <w:rPr>
          <w:rFonts w:asciiTheme="minorHAnsi" w:hAnsiTheme="minorHAnsi" w:cstheme="minorHAnsi"/>
          <w:sz w:val="28"/>
          <w:szCs w:val="28"/>
        </w:rPr>
        <w:t xml:space="preserve"> y localizarlo en </w:t>
      </w:r>
      <w:hyperlink r:id="rId149" w:history="1">
        <w:r w:rsidRPr="005E1103">
          <w:rPr>
            <w:rStyle w:val="Hipervnculo"/>
            <w:rFonts w:asciiTheme="minorHAnsi" w:hAnsiTheme="minorHAnsi" w:cstheme="minorHAnsi"/>
            <w:sz w:val="28"/>
            <w:szCs w:val="28"/>
          </w:rPr>
          <w:t>www.MapAstur.com</w:t>
        </w:r>
      </w:hyperlink>
      <w:r w:rsidRPr="005E1103">
        <w:rPr>
          <w:rFonts w:asciiTheme="minorHAnsi" w:hAnsiTheme="minorHAnsi" w:cstheme="minorHAnsi"/>
          <w:sz w:val="28"/>
          <w:szCs w:val="28"/>
        </w:rPr>
        <w:t xml:space="preserve"> </w:t>
      </w:r>
    </w:p>
    <w:p w:rsidR="0046263B" w:rsidRPr="005E1103" w:rsidRDefault="0046263B" w:rsidP="0046263B">
      <w:pPr>
        <w:rPr>
          <w:rFonts w:cstheme="minorHAnsi"/>
          <w:sz w:val="28"/>
          <w:szCs w:val="28"/>
        </w:rPr>
      </w:pPr>
    </w:p>
    <w:p w:rsidR="0046263B" w:rsidRPr="005E1103" w:rsidRDefault="0046263B" w:rsidP="0046263B">
      <w:pPr>
        <w:rPr>
          <w:rFonts w:cstheme="minorHAnsi"/>
          <w:sz w:val="28"/>
          <w:szCs w:val="28"/>
        </w:rPr>
      </w:pPr>
      <w:r w:rsidRPr="005E1103">
        <w:rPr>
          <w:rFonts w:cstheme="minorHAnsi"/>
          <w:sz w:val="28"/>
          <w:szCs w:val="28"/>
        </w:rPr>
        <w:t xml:space="preserve">Necesidades: desplazamiento, apoyo a utilizar el recurso tecnológico. 2 horas. </w:t>
      </w:r>
    </w:p>
    <w:p w:rsidR="0046263B" w:rsidRPr="005E1103" w:rsidRDefault="0046263B" w:rsidP="0046263B">
      <w:pPr>
        <w:rPr>
          <w:rFonts w:cstheme="minorHAnsi"/>
          <w:sz w:val="28"/>
          <w:szCs w:val="28"/>
        </w:rPr>
      </w:pPr>
    </w:p>
    <w:p w:rsidR="0046263B" w:rsidRPr="005E1103" w:rsidRDefault="0046263B" w:rsidP="0046263B">
      <w:pPr>
        <w:pStyle w:val="Prrafodelista"/>
        <w:numPr>
          <w:ilvl w:val="0"/>
          <w:numId w:val="104"/>
        </w:numPr>
        <w:spacing w:before="0"/>
        <w:contextualSpacing w:val="0"/>
        <w:rPr>
          <w:rFonts w:asciiTheme="minorHAnsi" w:hAnsiTheme="minorHAnsi" w:cstheme="minorHAnsi"/>
          <w:sz w:val="28"/>
          <w:szCs w:val="28"/>
        </w:rPr>
      </w:pPr>
      <w:r w:rsidRPr="005E1103">
        <w:rPr>
          <w:rFonts w:asciiTheme="minorHAnsi" w:hAnsiTheme="minorHAnsi" w:cstheme="minorHAnsi"/>
          <w:sz w:val="28"/>
          <w:szCs w:val="28"/>
        </w:rPr>
        <w:t xml:space="preserve"> Realización del mapeo (que previamente habremos diseñado en un taller creativo con nuestro grupo de voluntarios), acompañados por cámaras de fotos y vídeo, con ayuda de personas voluntarias de apoyo a las actividades de esta asociación, así como con los que nuestra asociación disponga. Animaremos la actividad en la que grabaremos material que servirá para conocer y localizar recursos accesibles que estas personas utilicen.</w:t>
      </w:r>
    </w:p>
    <w:p w:rsidR="0046263B" w:rsidRPr="005E1103" w:rsidRDefault="0046263B" w:rsidP="0046263B">
      <w:pPr>
        <w:rPr>
          <w:rFonts w:cstheme="minorHAnsi"/>
          <w:sz w:val="28"/>
          <w:szCs w:val="28"/>
        </w:rPr>
      </w:pPr>
    </w:p>
    <w:p w:rsidR="0046263B" w:rsidRPr="005E1103" w:rsidRDefault="0046263B" w:rsidP="0046263B">
      <w:pPr>
        <w:rPr>
          <w:rFonts w:cstheme="minorHAnsi"/>
          <w:sz w:val="28"/>
          <w:szCs w:val="28"/>
        </w:rPr>
      </w:pPr>
      <w:r w:rsidRPr="005E1103">
        <w:rPr>
          <w:rFonts w:cstheme="minorHAnsi"/>
          <w:sz w:val="28"/>
          <w:szCs w:val="28"/>
        </w:rPr>
        <w:lastRenderedPageBreak/>
        <w:t xml:space="preserve">Necesidades: desplazamiento, apoyo a movilidad, apoyo a escritura y a la hora de tomar nota sobre detalles de los recursos que descubramos, apoyo en la toma de fotos y grabación de vídeo así como, en general, en todo lo que tenga que ver con la animación de la excursión. 8 horas. </w:t>
      </w:r>
    </w:p>
    <w:p w:rsidR="0046263B" w:rsidRPr="005E1103" w:rsidRDefault="0046263B" w:rsidP="0046263B">
      <w:pPr>
        <w:rPr>
          <w:rFonts w:cstheme="minorHAnsi"/>
          <w:sz w:val="28"/>
          <w:szCs w:val="28"/>
        </w:rPr>
      </w:pPr>
    </w:p>
    <w:p w:rsidR="0046263B" w:rsidRPr="005E1103" w:rsidRDefault="0046263B" w:rsidP="0046263B">
      <w:pPr>
        <w:rPr>
          <w:rFonts w:cstheme="minorHAnsi"/>
          <w:sz w:val="28"/>
          <w:szCs w:val="28"/>
        </w:rPr>
      </w:pPr>
    </w:p>
    <w:p w:rsidR="0046263B" w:rsidRPr="005E1103" w:rsidRDefault="0046263B" w:rsidP="0046263B">
      <w:pPr>
        <w:pStyle w:val="Prrafodelista"/>
        <w:numPr>
          <w:ilvl w:val="0"/>
          <w:numId w:val="104"/>
        </w:numPr>
        <w:spacing w:before="0"/>
        <w:contextualSpacing w:val="0"/>
        <w:rPr>
          <w:rFonts w:asciiTheme="minorHAnsi" w:hAnsiTheme="minorHAnsi" w:cstheme="minorHAnsi"/>
          <w:sz w:val="28"/>
          <w:szCs w:val="28"/>
        </w:rPr>
      </w:pPr>
      <w:r w:rsidRPr="005E1103">
        <w:rPr>
          <w:rFonts w:asciiTheme="minorHAnsi" w:hAnsiTheme="minorHAnsi" w:cstheme="minorHAnsi"/>
          <w:sz w:val="28"/>
          <w:szCs w:val="28"/>
        </w:rPr>
        <w:t xml:space="preserve">Con los recursos localizados en el mapeo editamos un vídeo en un taller en el que invitaremos a participar a las personas que acudieron al mapeo. Este taller se hará en la sede de la asociación  Si las personas no quieren, por lo que sea, ayudar a editar el vídeo. Posteriormente subiríamos el vídeo a Youtube y localizaríamos los recursos descubiertos en MapAstur. </w:t>
      </w:r>
    </w:p>
    <w:p w:rsidR="0046263B" w:rsidRPr="005E1103" w:rsidRDefault="0046263B" w:rsidP="0046263B">
      <w:pPr>
        <w:rPr>
          <w:rFonts w:cstheme="minorHAnsi"/>
          <w:sz w:val="28"/>
          <w:szCs w:val="28"/>
        </w:rPr>
      </w:pPr>
    </w:p>
    <w:p w:rsidR="0046263B" w:rsidRPr="005E1103" w:rsidRDefault="0046263B" w:rsidP="0046263B">
      <w:pPr>
        <w:rPr>
          <w:rFonts w:cstheme="minorHAnsi"/>
          <w:sz w:val="28"/>
          <w:szCs w:val="28"/>
        </w:rPr>
      </w:pPr>
      <w:r w:rsidRPr="005E1103">
        <w:rPr>
          <w:rFonts w:cstheme="minorHAnsi"/>
          <w:sz w:val="28"/>
          <w:szCs w:val="28"/>
        </w:rPr>
        <w:t xml:space="preserve">Necesidades: desplazamiento, apoyo a movilidad, preparación de los materiales con los que con apoyo de personal voluntario editaremos el vídeo. 14 horas. </w:t>
      </w:r>
    </w:p>
    <w:p w:rsidR="0046263B" w:rsidRPr="005E1103" w:rsidRDefault="0046263B" w:rsidP="0046263B">
      <w:pPr>
        <w:rPr>
          <w:rFonts w:cstheme="minorHAnsi"/>
          <w:sz w:val="28"/>
          <w:szCs w:val="28"/>
        </w:rPr>
      </w:pPr>
    </w:p>
    <w:p w:rsidR="0046263B" w:rsidRPr="005E1103" w:rsidRDefault="0046263B" w:rsidP="0046263B">
      <w:pPr>
        <w:pStyle w:val="Prrafodelista"/>
        <w:numPr>
          <w:ilvl w:val="0"/>
          <w:numId w:val="104"/>
        </w:numPr>
        <w:spacing w:before="0"/>
        <w:contextualSpacing w:val="0"/>
        <w:rPr>
          <w:rFonts w:asciiTheme="minorHAnsi" w:hAnsiTheme="minorHAnsi" w:cstheme="minorHAnsi"/>
          <w:sz w:val="28"/>
          <w:szCs w:val="28"/>
        </w:rPr>
      </w:pPr>
      <w:r w:rsidRPr="005E1103">
        <w:rPr>
          <w:rFonts w:asciiTheme="minorHAnsi" w:hAnsiTheme="minorHAnsi" w:cstheme="minorHAnsi"/>
          <w:sz w:val="28"/>
          <w:szCs w:val="28"/>
        </w:rPr>
        <w:t>Posibilidad de que una vez que nos conozcamos gracias a esta excusa podamos seguir desarrollando acciones conjuntas.</w:t>
      </w:r>
    </w:p>
    <w:p w:rsidR="0046263B" w:rsidRPr="005E1103" w:rsidRDefault="0046263B" w:rsidP="0046263B">
      <w:pPr>
        <w:rPr>
          <w:rFonts w:cstheme="minorHAnsi"/>
          <w:sz w:val="28"/>
          <w:szCs w:val="28"/>
        </w:rPr>
      </w:pPr>
    </w:p>
    <w:p w:rsidR="0046263B" w:rsidRPr="005E1103" w:rsidRDefault="0046263B" w:rsidP="0046263B">
      <w:pPr>
        <w:rPr>
          <w:rFonts w:cstheme="minorHAnsi"/>
          <w:sz w:val="28"/>
          <w:szCs w:val="28"/>
        </w:rPr>
      </w:pPr>
    </w:p>
    <w:p w:rsidR="0046263B" w:rsidRPr="005E1103" w:rsidRDefault="0046263B" w:rsidP="0046263B">
      <w:pPr>
        <w:rPr>
          <w:rFonts w:cstheme="minorHAnsi"/>
          <w:sz w:val="28"/>
          <w:szCs w:val="28"/>
        </w:rPr>
      </w:pPr>
      <w:r w:rsidRPr="005E1103">
        <w:rPr>
          <w:rFonts w:cstheme="minorHAnsi"/>
          <w:sz w:val="28"/>
          <w:szCs w:val="28"/>
        </w:rPr>
        <w:t>En general, calculamos que cada 15 días obtendríamos un audiovisual que presentaría un recurso (asociación, organismo…) así como otro vídeo con los recursos menos formales que nos enseñen los usuarios de dicha asociación u organismo.</w:t>
      </w:r>
    </w:p>
    <w:p w:rsidR="0046263B" w:rsidRPr="005E1103" w:rsidRDefault="0046263B" w:rsidP="0046263B">
      <w:pPr>
        <w:rPr>
          <w:rFonts w:cstheme="minorHAnsi"/>
          <w:sz w:val="28"/>
          <w:szCs w:val="28"/>
        </w:rPr>
      </w:pPr>
    </w:p>
    <w:p w:rsidR="0046263B" w:rsidRPr="005E1103" w:rsidRDefault="0046263B" w:rsidP="0046263B">
      <w:pPr>
        <w:rPr>
          <w:rFonts w:cstheme="minorHAnsi"/>
          <w:b/>
          <w:sz w:val="28"/>
          <w:szCs w:val="28"/>
        </w:rPr>
      </w:pPr>
      <w:r w:rsidRPr="005E1103">
        <w:rPr>
          <w:rFonts w:cstheme="minorHAnsi"/>
          <w:b/>
          <w:sz w:val="28"/>
          <w:szCs w:val="28"/>
        </w:rPr>
        <w:t>Cómputo total de horas de 1 organismo y 1 mapeo informal: 65 horas (32,5 horas x 2 semanas)</w:t>
      </w:r>
    </w:p>
    <w:p w:rsidR="0046263B" w:rsidRPr="005E1103" w:rsidRDefault="0046263B" w:rsidP="0046263B">
      <w:pPr>
        <w:rPr>
          <w:rFonts w:cstheme="minorHAnsi"/>
          <w:b/>
          <w:sz w:val="28"/>
          <w:szCs w:val="28"/>
        </w:rPr>
      </w:pPr>
    </w:p>
    <w:p w:rsidR="0046263B" w:rsidRPr="005E1103" w:rsidRDefault="0046263B" w:rsidP="0046263B">
      <w:pPr>
        <w:rPr>
          <w:rFonts w:cstheme="minorHAnsi"/>
          <w:b/>
          <w:sz w:val="28"/>
          <w:szCs w:val="28"/>
        </w:rPr>
      </w:pPr>
    </w:p>
    <w:p w:rsidR="0046263B" w:rsidRPr="005E1103" w:rsidRDefault="0046263B" w:rsidP="0046263B">
      <w:pPr>
        <w:pStyle w:val="NormalWeb"/>
        <w:spacing w:line="360" w:lineRule="auto"/>
        <w:jc w:val="both"/>
        <w:rPr>
          <w:rFonts w:asciiTheme="minorHAnsi" w:hAnsiTheme="minorHAnsi" w:cstheme="minorHAnsi"/>
          <w:b/>
          <w:sz w:val="28"/>
          <w:szCs w:val="28"/>
        </w:rPr>
      </w:pPr>
      <w:r w:rsidRPr="005E1103">
        <w:rPr>
          <w:rFonts w:asciiTheme="minorHAnsi" w:hAnsiTheme="minorHAnsi" w:cstheme="minorHAnsi"/>
          <w:b/>
          <w:sz w:val="28"/>
          <w:szCs w:val="28"/>
        </w:rPr>
        <w:t>EXPERIENCIA PILOTO:</w:t>
      </w:r>
    </w:p>
    <w:p w:rsidR="0046263B" w:rsidRPr="005E1103" w:rsidRDefault="0046263B" w:rsidP="0046263B">
      <w:pPr>
        <w:pStyle w:val="NormalWeb"/>
        <w:spacing w:line="360" w:lineRule="auto"/>
        <w:jc w:val="both"/>
        <w:rPr>
          <w:rFonts w:asciiTheme="minorHAnsi" w:hAnsiTheme="minorHAnsi" w:cstheme="minorHAnsi"/>
          <w:color w:val="000000"/>
          <w:sz w:val="28"/>
          <w:szCs w:val="28"/>
        </w:rPr>
      </w:pPr>
      <w:r w:rsidRPr="005E1103">
        <w:rPr>
          <w:rFonts w:asciiTheme="minorHAnsi" w:hAnsiTheme="minorHAnsi" w:cstheme="minorHAnsi"/>
          <w:color w:val="000000"/>
          <w:sz w:val="28"/>
          <w:szCs w:val="28"/>
        </w:rPr>
        <w:lastRenderedPageBreak/>
        <w:t>Elegimos como centro piloto de nuestra experiencia la Facultad de Psicología.</w:t>
      </w:r>
    </w:p>
    <w:p w:rsidR="0046263B" w:rsidRPr="005E1103" w:rsidRDefault="0046263B" w:rsidP="0046263B">
      <w:pPr>
        <w:pStyle w:val="NormalWeb"/>
        <w:spacing w:line="360" w:lineRule="auto"/>
        <w:jc w:val="both"/>
        <w:rPr>
          <w:rFonts w:asciiTheme="minorHAnsi" w:hAnsiTheme="minorHAnsi" w:cstheme="minorHAnsi"/>
          <w:sz w:val="28"/>
          <w:szCs w:val="28"/>
        </w:rPr>
      </w:pPr>
      <w:r w:rsidRPr="005E1103">
        <w:rPr>
          <w:rFonts w:asciiTheme="minorHAnsi" w:hAnsiTheme="minorHAnsi" w:cstheme="minorHAnsi"/>
          <w:color w:val="000000"/>
          <w:sz w:val="28"/>
          <w:szCs w:val="28"/>
        </w:rPr>
        <w:t xml:space="preserve">Con motivo del </w:t>
      </w:r>
      <w:hyperlink r:id="rId150" w:tgtFrame="_blank" w:history="1">
        <w:r w:rsidRPr="005E1103">
          <w:rPr>
            <w:rStyle w:val="Hipervnculo"/>
            <w:rFonts w:asciiTheme="minorHAnsi" w:hAnsiTheme="minorHAnsi" w:cstheme="minorHAnsi"/>
            <w:sz w:val="28"/>
            <w:szCs w:val="28"/>
          </w:rPr>
          <w:t>Congreso de Estudiantes de Psicología</w:t>
        </w:r>
      </w:hyperlink>
      <w:r w:rsidRPr="005E1103">
        <w:rPr>
          <w:rFonts w:asciiTheme="minorHAnsi" w:hAnsiTheme="minorHAnsi" w:cstheme="minorHAnsi"/>
          <w:color w:val="000000"/>
          <w:sz w:val="28"/>
          <w:szCs w:val="28"/>
        </w:rPr>
        <w:t> animamos un taller en el que mapeamos la Facultad de Psicología.</w:t>
      </w:r>
    </w:p>
    <w:p w:rsidR="0046263B" w:rsidRPr="005E1103" w:rsidRDefault="0046263B" w:rsidP="0046263B">
      <w:pPr>
        <w:pStyle w:val="NormalWeb"/>
        <w:spacing w:line="360" w:lineRule="auto"/>
        <w:jc w:val="both"/>
        <w:rPr>
          <w:rFonts w:asciiTheme="minorHAnsi" w:hAnsiTheme="minorHAnsi" w:cstheme="minorHAnsi"/>
          <w:color w:val="000000"/>
          <w:sz w:val="28"/>
          <w:szCs w:val="28"/>
        </w:rPr>
      </w:pPr>
      <w:r w:rsidRPr="005E1103">
        <w:rPr>
          <w:rFonts w:asciiTheme="minorHAnsi" w:hAnsiTheme="minorHAnsi" w:cstheme="minorHAnsi"/>
          <w:color w:val="000000"/>
          <w:sz w:val="28"/>
          <w:szCs w:val="28"/>
        </w:rPr>
        <w:t>El taller se dividió en 3 momentos:</w:t>
      </w:r>
    </w:p>
    <w:p w:rsidR="0046263B" w:rsidRPr="005E1103" w:rsidRDefault="0046263B" w:rsidP="0046263B">
      <w:pPr>
        <w:pStyle w:val="NormalWeb"/>
        <w:spacing w:line="360" w:lineRule="auto"/>
        <w:jc w:val="both"/>
        <w:rPr>
          <w:rFonts w:asciiTheme="minorHAnsi" w:hAnsiTheme="minorHAnsi" w:cstheme="minorHAnsi"/>
          <w:color w:val="000000"/>
          <w:sz w:val="28"/>
          <w:szCs w:val="28"/>
        </w:rPr>
      </w:pPr>
      <w:r w:rsidRPr="005E1103">
        <w:rPr>
          <w:rFonts w:asciiTheme="minorHAnsi" w:hAnsiTheme="minorHAnsi" w:cstheme="minorHAnsi"/>
          <w:color w:val="000000"/>
          <w:sz w:val="28"/>
          <w:szCs w:val="28"/>
        </w:rPr>
        <w:t>1. Dinámica de presentación: consistió en exponer cuales eras las acciones en que no necesitaban ayudas y cuáles eran las que si necesitaban ayuda. De las 17 personas integrantes de la experiencia tan sólo una presentaban discapacidad motórica. El resto no.</w:t>
      </w:r>
    </w:p>
    <w:p w:rsidR="0046263B" w:rsidRPr="005E1103" w:rsidRDefault="0046263B" w:rsidP="0046263B">
      <w:pPr>
        <w:pStyle w:val="NormalWeb"/>
        <w:spacing w:line="360" w:lineRule="auto"/>
        <w:jc w:val="both"/>
        <w:rPr>
          <w:rFonts w:asciiTheme="minorHAnsi" w:hAnsiTheme="minorHAnsi" w:cstheme="minorHAnsi"/>
          <w:color w:val="000000"/>
          <w:sz w:val="28"/>
          <w:szCs w:val="28"/>
        </w:rPr>
      </w:pPr>
      <w:r w:rsidRPr="005E1103">
        <w:rPr>
          <w:rFonts w:asciiTheme="minorHAnsi" w:hAnsiTheme="minorHAnsi" w:cstheme="minorHAnsi"/>
          <w:color w:val="000000"/>
          <w:sz w:val="28"/>
          <w:szCs w:val="28"/>
        </w:rPr>
        <w:t>2. Lluvia de ideas sobre la relación entre nuevas tecnologías y discapacidad</w:t>
      </w:r>
    </w:p>
    <w:p w:rsidR="0046263B" w:rsidRPr="005E1103" w:rsidRDefault="0046263B" w:rsidP="0046263B">
      <w:pPr>
        <w:pStyle w:val="NormalWeb"/>
        <w:spacing w:line="360" w:lineRule="auto"/>
        <w:jc w:val="both"/>
        <w:rPr>
          <w:rFonts w:asciiTheme="minorHAnsi" w:hAnsiTheme="minorHAnsi" w:cstheme="minorHAnsi"/>
          <w:color w:val="000000"/>
          <w:sz w:val="28"/>
          <w:szCs w:val="28"/>
        </w:rPr>
      </w:pPr>
      <w:r w:rsidRPr="005E1103">
        <w:rPr>
          <w:rFonts w:asciiTheme="minorHAnsi" w:hAnsiTheme="minorHAnsi" w:cstheme="minorHAnsi"/>
          <w:color w:val="000000"/>
          <w:sz w:val="28"/>
          <w:szCs w:val="28"/>
        </w:rPr>
        <w:t xml:space="preserve">3. Mapeo en el que "sometimos" a los 17 </w:t>
      </w:r>
      <w:r w:rsidRPr="005E1103">
        <w:rPr>
          <w:rFonts w:asciiTheme="minorHAnsi" w:hAnsiTheme="minorHAnsi" w:cstheme="minorHAnsi"/>
          <w:sz w:val="28"/>
          <w:szCs w:val="28"/>
        </w:rPr>
        <w:t>participantes</w:t>
      </w:r>
      <w:r w:rsidRPr="005E1103">
        <w:rPr>
          <w:rFonts w:asciiTheme="minorHAnsi" w:hAnsiTheme="minorHAnsi" w:cstheme="minorHAnsi"/>
          <w:color w:val="000000"/>
          <w:sz w:val="28"/>
          <w:szCs w:val="28"/>
        </w:rPr>
        <w:t> a una situación de discapacidad auditiva, visual, de comunicación oral y discapacidad física (por medio de antifaces, cuerdas, tapones, esparadrapo...) para recorrer la Facultad de Psicología a simulación de una jornada lectiva normal. Así conseguimos que los participantes vivieran en sus propias carnes la gymkana de obstáculos que todo estudiante con discapacidad tienen que salvar cada día si quiere llevar a cabo sus estudios en este edificio.</w:t>
      </w:r>
    </w:p>
    <w:p w:rsidR="0046263B" w:rsidRPr="005E1103" w:rsidRDefault="0046263B" w:rsidP="0046263B">
      <w:pPr>
        <w:rPr>
          <w:rFonts w:cstheme="minorHAnsi"/>
          <w:sz w:val="28"/>
          <w:szCs w:val="28"/>
        </w:rPr>
      </w:pPr>
    </w:p>
    <w:p w:rsidR="0046263B" w:rsidRPr="005E1103" w:rsidRDefault="0046263B" w:rsidP="0046263B">
      <w:pPr>
        <w:pStyle w:val="NormalJustificado"/>
        <w:rPr>
          <w:rFonts w:asciiTheme="minorHAnsi" w:hAnsiTheme="minorHAnsi" w:cstheme="minorHAnsi"/>
          <w:b/>
          <w:sz w:val="28"/>
          <w:szCs w:val="28"/>
        </w:rPr>
      </w:pPr>
      <w:r w:rsidRPr="005E1103">
        <w:rPr>
          <w:rFonts w:asciiTheme="minorHAnsi" w:hAnsiTheme="minorHAnsi" w:cstheme="minorHAnsi"/>
          <w:b/>
          <w:sz w:val="28"/>
          <w:szCs w:val="28"/>
        </w:rPr>
        <w:t>RESULTADOS</w:t>
      </w:r>
    </w:p>
    <w:p w:rsidR="0046263B" w:rsidRPr="005E1103" w:rsidRDefault="0046263B" w:rsidP="0046263B">
      <w:pPr>
        <w:ind w:left="360"/>
        <w:rPr>
          <w:rFonts w:cstheme="minorHAnsi"/>
          <w:sz w:val="28"/>
          <w:szCs w:val="28"/>
        </w:rPr>
      </w:pPr>
    </w:p>
    <w:p w:rsidR="0046263B" w:rsidRPr="005E1103" w:rsidRDefault="0046263B" w:rsidP="0046263B">
      <w:pPr>
        <w:ind w:left="720"/>
        <w:rPr>
          <w:rFonts w:cstheme="minorHAnsi"/>
          <w:b/>
          <w:sz w:val="28"/>
          <w:szCs w:val="28"/>
        </w:rPr>
      </w:pPr>
      <w:r w:rsidRPr="005E1103">
        <w:rPr>
          <w:rFonts w:cstheme="minorHAnsi"/>
          <w:b/>
          <w:sz w:val="28"/>
          <w:szCs w:val="28"/>
        </w:rPr>
        <w:t>Feedback</w:t>
      </w:r>
    </w:p>
    <w:p w:rsidR="0046263B" w:rsidRPr="005E1103" w:rsidRDefault="0046263B" w:rsidP="0046263B">
      <w:pPr>
        <w:ind w:left="708"/>
        <w:rPr>
          <w:rFonts w:cstheme="minorHAnsi"/>
          <w:sz w:val="28"/>
          <w:szCs w:val="28"/>
        </w:rPr>
      </w:pPr>
      <w:r w:rsidRPr="005E1103">
        <w:rPr>
          <w:rFonts w:cstheme="minorHAnsi"/>
          <w:sz w:val="28"/>
          <w:szCs w:val="28"/>
        </w:rPr>
        <w:lastRenderedPageBreak/>
        <w:t>Pretendemos evaluar cuál es el nivel de aceptación de este proyecto, para lo que tenemos en cuenta los siguientes indicadores, tanto al final del proyecto como durante su desarrollo:</w:t>
      </w:r>
    </w:p>
    <w:p w:rsidR="0046263B" w:rsidRPr="005E1103" w:rsidRDefault="0046263B" w:rsidP="0046263B">
      <w:pPr>
        <w:pStyle w:val="Prrafodelista"/>
        <w:numPr>
          <w:ilvl w:val="0"/>
          <w:numId w:val="101"/>
        </w:numPr>
        <w:spacing w:before="0"/>
        <w:contextualSpacing w:val="0"/>
        <w:rPr>
          <w:rFonts w:asciiTheme="minorHAnsi" w:hAnsiTheme="minorHAnsi" w:cstheme="minorHAnsi"/>
          <w:sz w:val="28"/>
          <w:szCs w:val="28"/>
        </w:rPr>
      </w:pPr>
      <w:r w:rsidRPr="005E1103">
        <w:rPr>
          <w:rFonts w:asciiTheme="minorHAnsi" w:hAnsiTheme="minorHAnsi" w:cstheme="minorHAnsi"/>
          <w:sz w:val="28"/>
          <w:szCs w:val="28"/>
        </w:rPr>
        <w:t>Número de visitas a la página web de mapastur.</w:t>
      </w:r>
    </w:p>
    <w:p w:rsidR="0046263B" w:rsidRPr="005E1103" w:rsidRDefault="0046263B" w:rsidP="0046263B">
      <w:pPr>
        <w:pStyle w:val="Prrafodelista"/>
        <w:numPr>
          <w:ilvl w:val="0"/>
          <w:numId w:val="101"/>
        </w:numPr>
        <w:spacing w:before="0"/>
        <w:contextualSpacing w:val="0"/>
        <w:rPr>
          <w:rFonts w:asciiTheme="minorHAnsi" w:hAnsiTheme="minorHAnsi" w:cstheme="minorHAnsi"/>
          <w:sz w:val="28"/>
          <w:szCs w:val="28"/>
        </w:rPr>
      </w:pPr>
      <w:r w:rsidRPr="005E1103">
        <w:rPr>
          <w:rFonts w:asciiTheme="minorHAnsi" w:hAnsiTheme="minorHAnsi" w:cstheme="minorHAnsi"/>
          <w:sz w:val="28"/>
          <w:szCs w:val="28"/>
        </w:rPr>
        <w:t>Número de usuarios que se registran para compartir puntos accesibles.</w:t>
      </w:r>
    </w:p>
    <w:p w:rsidR="0046263B" w:rsidRPr="005E1103" w:rsidRDefault="0046263B" w:rsidP="0046263B">
      <w:pPr>
        <w:pStyle w:val="Prrafodelista"/>
        <w:numPr>
          <w:ilvl w:val="0"/>
          <w:numId w:val="101"/>
        </w:numPr>
        <w:spacing w:before="0"/>
        <w:contextualSpacing w:val="0"/>
        <w:rPr>
          <w:rFonts w:asciiTheme="minorHAnsi" w:hAnsiTheme="minorHAnsi" w:cstheme="minorHAnsi"/>
          <w:sz w:val="28"/>
          <w:szCs w:val="28"/>
        </w:rPr>
      </w:pPr>
      <w:r w:rsidRPr="005E1103">
        <w:rPr>
          <w:rFonts w:asciiTheme="minorHAnsi" w:hAnsiTheme="minorHAnsi" w:cstheme="minorHAnsi"/>
          <w:sz w:val="28"/>
          <w:szCs w:val="28"/>
        </w:rPr>
        <w:t>Número de participantes en los mapeos.</w:t>
      </w:r>
    </w:p>
    <w:p w:rsidR="0046263B" w:rsidRPr="005E1103" w:rsidRDefault="0046263B" w:rsidP="0046263B">
      <w:pPr>
        <w:pStyle w:val="Prrafodelista"/>
        <w:numPr>
          <w:ilvl w:val="0"/>
          <w:numId w:val="101"/>
        </w:numPr>
        <w:spacing w:before="0"/>
        <w:contextualSpacing w:val="0"/>
        <w:rPr>
          <w:rFonts w:asciiTheme="minorHAnsi" w:hAnsiTheme="minorHAnsi" w:cstheme="minorHAnsi"/>
          <w:sz w:val="28"/>
          <w:szCs w:val="28"/>
        </w:rPr>
      </w:pPr>
      <w:r w:rsidRPr="005E1103">
        <w:rPr>
          <w:rFonts w:asciiTheme="minorHAnsi" w:hAnsiTheme="minorHAnsi" w:cstheme="minorHAnsi"/>
          <w:sz w:val="28"/>
          <w:szCs w:val="28"/>
        </w:rPr>
        <w:t>Número de entidades, asociaciones y organismos visitados.</w:t>
      </w:r>
    </w:p>
    <w:p w:rsidR="0046263B" w:rsidRPr="005E1103" w:rsidRDefault="0046263B" w:rsidP="0046263B">
      <w:pPr>
        <w:pStyle w:val="Prrafodelista"/>
        <w:numPr>
          <w:ilvl w:val="0"/>
          <w:numId w:val="101"/>
        </w:numPr>
        <w:spacing w:before="0"/>
        <w:contextualSpacing w:val="0"/>
        <w:rPr>
          <w:rFonts w:asciiTheme="minorHAnsi" w:hAnsiTheme="minorHAnsi" w:cstheme="minorHAnsi"/>
          <w:sz w:val="28"/>
          <w:szCs w:val="28"/>
        </w:rPr>
      </w:pPr>
      <w:r w:rsidRPr="005E1103">
        <w:rPr>
          <w:rFonts w:asciiTheme="minorHAnsi" w:hAnsiTheme="minorHAnsi" w:cstheme="minorHAnsi"/>
          <w:sz w:val="28"/>
          <w:szCs w:val="28"/>
        </w:rPr>
        <w:t>Número de entornos informales de ocio visitados.</w:t>
      </w:r>
    </w:p>
    <w:p w:rsidR="0046263B" w:rsidRPr="005E1103" w:rsidRDefault="0046263B" w:rsidP="0046263B">
      <w:pPr>
        <w:pStyle w:val="Prrafodelista"/>
        <w:numPr>
          <w:ilvl w:val="0"/>
          <w:numId w:val="101"/>
        </w:numPr>
        <w:spacing w:before="0"/>
        <w:contextualSpacing w:val="0"/>
        <w:rPr>
          <w:rFonts w:asciiTheme="minorHAnsi" w:hAnsiTheme="minorHAnsi" w:cstheme="minorHAnsi"/>
          <w:sz w:val="28"/>
          <w:szCs w:val="28"/>
        </w:rPr>
      </w:pPr>
      <w:r w:rsidRPr="005E1103">
        <w:rPr>
          <w:rFonts w:asciiTheme="minorHAnsi" w:hAnsiTheme="minorHAnsi" w:cstheme="minorHAnsi"/>
          <w:sz w:val="28"/>
          <w:szCs w:val="28"/>
        </w:rPr>
        <w:t>Número de puntos accesibles y no accesibles encontrados y compartidos en la página web de mapastur.</w:t>
      </w:r>
    </w:p>
    <w:p w:rsidR="0046263B" w:rsidRPr="005E1103" w:rsidRDefault="0046263B" w:rsidP="0046263B">
      <w:pPr>
        <w:pStyle w:val="Prrafodelista"/>
        <w:numPr>
          <w:ilvl w:val="0"/>
          <w:numId w:val="101"/>
        </w:numPr>
        <w:spacing w:before="0"/>
        <w:contextualSpacing w:val="0"/>
        <w:rPr>
          <w:rFonts w:asciiTheme="minorHAnsi" w:hAnsiTheme="minorHAnsi" w:cstheme="minorHAnsi"/>
          <w:sz w:val="28"/>
          <w:szCs w:val="28"/>
        </w:rPr>
      </w:pPr>
      <w:r w:rsidRPr="005E1103">
        <w:rPr>
          <w:rFonts w:asciiTheme="minorHAnsi" w:hAnsiTheme="minorHAnsi" w:cstheme="minorHAnsi"/>
          <w:sz w:val="28"/>
          <w:szCs w:val="28"/>
        </w:rPr>
        <w:t>Frecuencia de participación de las personas que hayan colaborado en los mapeos.</w:t>
      </w:r>
    </w:p>
    <w:p w:rsidR="0046263B" w:rsidRPr="005E1103" w:rsidRDefault="0046263B" w:rsidP="0046263B">
      <w:pPr>
        <w:pStyle w:val="Prrafodelista"/>
        <w:numPr>
          <w:ilvl w:val="0"/>
          <w:numId w:val="101"/>
        </w:numPr>
        <w:spacing w:before="0"/>
        <w:contextualSpacing w:val="0"/>
        <w:rPr>
          <w:rFonts w:asciiTheme="minorHAnsi" w:hAnsiTheme="minorHAnsi" w:cstheme="minorHAnsi"/>
          <w:sz w:val="28"/>
          <w:szCs w:val="28"/>
        </w:rPr>
      </w:pPr>
      <w:r w:rsidRPr="005E1103">
        <w:rPr>
          <w:rFonts w:asciiTheme="minorHAnsi" w:hAnsiTheme="minorHAnsi" w:cstheme="minorHAnsi"/>
          <w:sz w:val="28"/>
          <w:szCs w:val="28"/>
        </w:rPr>
        <w:t xml:space="preserve">Opiniones y comentarios recogidos en las web </w:t>
      </w:r>
      <w:hyperlink r:id="rId151" w:anchor="!/pages/HACIENDO-ACCESIBLE-LA-ACCESIBILIDAD/188585834527135?sk=info" w:history="1">
        <w:r w:rsidRPr="005E1103">
          <w:rPr>
            <w:rStyle w:val="Hipervnculo"/>
            <w:rFonts w:asciiTheme="minorHAnsi" w:hAnsiTheme="minorHAnsi" w:cstheme="minorHAnsi"/>
            <w:sz w:val="28"/>
            <w:szCs w:val="28"/>
          </w:rPr>
          <w:t>https://www.facebook.com/pages/HACIENDO-ACCESIBLE-LA-ACCESIBILIDAD/188585834527135#!/pages/HACIENDO-ACCESIBLE-LA-ACCESIBILIDAD/188585834527135?sk=info</w:t>
        </w:r>
      </w:hyperlink>
      <w:r w:rsidRPr="005E1103">
        <w:rPr>
          <w:rFonts w:asciiTheme="minorHAnsi" w:hAnsiTheme="minorHAnsi" w:cstheme="minorHAnsi"/>
          <w:sz w:val="28"/>
          <w:szCs w:val="28"/>
        </w:rPr>
        <w:t xml:space="preserve">  y </w:t>
      </w:r>
      <w:hyperlink r:id="rId152" w:history="1">
        <w:r w:rsidRPr="005E1103">
          <w:rPr>
            <w:rStyle w:val="Hipervnculo"/>
            <w:rFonts w:asciiTheme="minorHAnsi" w:hAnsiTheme="minorHAnsi" w:cstheme="minorHAnsi"/>
            <w:sz w:val="28"/>
            <w:szCs w:val="28"/>
          </w:rPr>
          <w:t>www.mapastur.com</w:t>
        </w:r>
      </w:hyperlink>
      <w:r w:rsidRPr="005E1103">
        <w:rPr>
          <w:rFonts w:asciiTheme="minorHAnsi" w:hAnsiTheme="minorHAnsi" w:cstheme="minorHAnsi"/>
          <w:sz w:val="28"/>
          <w:szCs w:val="28"/>
        </w:rPr>
        <w:t xml:space="preserve"> </w:t>
      </w:r>
    </w:p>
    <w:p w:rsidR="0046263B" w:rsidRPr="005E1103" w:rsidRDefault="0046263B" w:rsidP="0046263B">
      <w:pPr>
        <w:pStyle w:val="Prrafodelista"/>
        <w:numPr>
          <w:ilvl w:val="0"/>
          <w:numId w:val="101"/>
        </w:numPr>
        <w:spacing w:before="0"/>
        <w:contextualSpacing w:val="0"/>
        <w:rPr>
          <w:rFonts w:asciiTheme="minorHAnsi" w:hAnsiTheme="minorHAnsi" w:cstheme="minorHAnsi"/>
          <w:sz w:val="28"/>
          <w:szCs w:val="28"/>
        </w:rPr>
      </w:pPr>
      <w:r w:rsidRPr="005E1103">
        <w:rPr>
          <w:rFonts w:asciiTheme="minorHAnsi" w:hAnsiTheme="minorHAnsi" w:cstheme="minorHAnsi"/>
          <w:sz w:val="28"/>
          <w:szCs w:val="28"/>
        </w:rPr>
        <w:t>Encuesta de satisfacción de los participantes y colaboradores en el proyecto.</w:t>
      </w:r>
    </w:p>
    <w:p w:rsidR="0046263B" w:rsidRPr="005E1103" w:rsidRDefault="0046263B" w:rsidP="0046263B">
      <w:pPr>
        <w:ind w:left="360"/>
        <w:rPr>
          <w:rFonts w:cstheme="minorHAnsi"/>
          <w:sz w:val="28"/>
          <w:szCs w:val="28"/>
        </w:rPr>
      </w:pPr>
    </w:p>
    <w:p w:rsidR="0046263B" w:rsidRPr="005E1103" w:rsidRDefault="0046263B" w:rsidP="0046263B">
      <w:pPr>
        <w:ind w:left="360"/>
        <w:rPr>
          <w:rFonts w:cstheme="minorHAnsi"/>
          <w:sz w:val="28"/>
          <w:szCs w:val="28"/>
        </w:rPr>
      </w:pPr>
      <w:r w:rsidRPr="005E1103">
        <w:rPr>
          <w:rFonts w:cstheme="minorHAnsi"/>
          <w:sz w:val="28"/>
          <w:szCs w:val="28"/>
        </w:rPr>
        <w:t>Este feedback ha de servir para incorporar mejoras de forma continua a este proyecto y adaptarnos mejor a las necesidades de las personas con discapacidad. Pretendemos también medir el impacto de la intervención a partir del número de personas que visiten mapastur y de las personas que se acerquen a este proyecto de manera informal o espontánea una vez que se haya puesto en marcha.</w:t>
      </w:r>
    </w:p>
    <w:p w:rsidR="0046263B" w:rsidRPr="005E1103" w:rsidRDefault="0046263B" w:rsidP="0046263B">
      <w:pPr>
        <w:spacing w:line="360" w:lineRule="auto"/>
        <w:jc w:val="both"/>
        <w:rPr>
          <w:rFonts w:cstheme="minorHAnsi"/>
          <w:b/>
          <w:sz w:val="28"/>
          <w:szCs w:val="28"/>
        </w:rPr>
      </w:pPr>
      <w:r w:rsidRPr="005E1103">
        <w:rPr>
          <w:rFonts w:cstheme="minorHAnsi"/>
          <w:b/>
          <w:sz w:val="28"/>
          <w:szCs w:val="28"/>
        </w:rPr>
        <w:t>CONCLULUSIONES:</w:t>
      </w:r>
    </w:p>
    <w:p w:rsidR="0046263B" w:rsidRPr="005E1103" w:rsidRDefault="0046263B" w:rsidP="0046263B">
      <w:pPr>
        <w:spacing w:line="360" w:lineRule="auto"/>
        <w:jc w:val="both"/>
        <w:rPr>
          <w:rFonts w:cstheme="minorHAnsi"/>
          <w:sz w:val="28"/>
          <w:szCs w:val="28"/>
        </w:rPr>
      </w:pPr>
      <w:r w:rsidRPr="005E1103">
        <w:rPr>
          <w:rFonts w:cstheme="minorHAnsi"/>
          <w:b/>
          <w:sz w:val="28"/>
          <w:szCs w:val="28"/>
        </w:rPr>
        <w:t>EXPERIENCIAS RECOGIDAS</w:t>
      </w:r>
      <w:r w:rsidRPr="005E1103">
        <w:rPr>
          <w:rFonts w:cstheme="minorHAnsi"/>
          <w:sz w:val="28"/>
          <w:szCs w:val="28"/>
        </w:rPr>
        <w:t>:</w:t>
      </w:r>
    </w:p>
    <w:p w:rsidR="0046263B" w:rsidRPr="005E1103" w:rsidRDefault="0046263B" w:rsidP="0046263B">
      <w:pPr>
        <w:spacing w:line="360" w:lineRule="auto"/>
        <w:jc w:val="both"/>
        <w:rPr>
          <w:rFonts w:cstheme="minorHAnsi"/>
          <w:sz w:val="28"/>
          <w:szCs w:val="28"/>
        </w:rPr>
      </w:pPr>
      <w:r w:rsidRPr="005E1103">
        <w:rPr>
          <w:rFonts w:cstheme="minorHAnsi"/>
          <w:sz w:val="28"/>
          <w:szCs w:val="28"/>
        </w:rPr>
        <w:t>Algunas experiencias y emociones recogidas, tras haber recorrido, la facultad:</w:t>
      </w:r>
    </w:p>
    <w:p w:rsidR="0046263B" w:rsidRPr="005E1103" w:rsidRDefault="0046263B" w:rsidP="0046263B">
      <w:pPr>
        <w:pStyle w:val="Prrafodelista"/>
        <w:numPr>
          <w:ilvl w:val="0"/>
          <w:numId w:val="106"/>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“La entrada está muy mal me he sentido marginada”</w:t>
      </w:r>
    </w:p>
    <w:p w:rsidR="0046263B" w:rsidRPr="005E1103" w:rsidRDefault="0046263B" w:rsidP="0046263B">
      <w:pPr>
        <w:pStyle w:val="Prrafodelista"/>
        <w:numPr>
          <w:ilvl w:val="0"/>
          <w:numId w:val="106"/>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lastRenderedPageBreak/>
        <w:t>“No hay ascensor que llegue al tercer piso, no sabía dónde estaba y no podía preguntar”</w:t>
      </w:r>
    </w:p>
    <w:p w:rsidR="0046263B" w:rsidRPr="005E1103" w:rsidRDefault="0046263B" w:rsidP="0046263B">
      <w:pPr>
        <w:pStyle w:val="Prrafodelista"/>
        <w:numPr>
          <w:ilvl w:val="0"/>
          <w:numId w:val="106"/>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“Tutorías bien mas o menos”</w:t>
      </w:r>
    </w:p>
    <w:p w:rsidR="0046263B" w:rsidRPr="005E1103" w:rsidRDefault="0046263B" w:rsidP="0046263B">
      <w:pPr>
        <w:pStyle w:val="Prrafodelista"/>
        <w:numPr>
          <w:ilvl w:val="0"/>
          <w:numId w:val="106"/>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“En la cafetería bien, buen entendimiento”</w:t>
      </w:r>
    </w:p>
    <w:p w:rsidR="0046263B" w:rsidRPr="005E1103" w:rsidRDefault="0046263B" w:rsidP="0046263B">
      <w:pPr>
        <w:pStyle w:val="Prrafodelista"/>
        <w:numPr>
          <w:ilvl w:val="0"/>
          <w:numId w:val="106"/>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“Hasta el baño bien, pero está cerrado”</w:t>
      </w:r>
    </w:p>
    <w:p w:rsidR="0046263B" w:rsidRPr="005E1103" w:rsidRDefault="0046263B" w:rsidP="0046263B">
      <w:pPr>
        <w:pStyle w:val="Prrafodelista"/>
        <w:numPr>
          <w:ilvl w:val="0"/>
          <w:numId w:val="106"/>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“Biblioteca, muchas escaleras, dificultad para pedir un libro, no hay libros que puedan leer los ciegos, solo la sorda estaba en su salsa”</w:t>
      </w:r>
    </w:p>
    <w:p w:rsidR="0046263B" w:rsidRPr="005E1103" w:rsidRDefault="0046263B" w:rsidP="0046263B">
      <w:pPr>
        <w:pStyle w:val="Prrafodelista"/>
        <w:numPr>
          <w:ilvl w:val="0"/>
          <w:numId w:val="106"/>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“Sala de estudios difícil acceso y columnas”</w:t>
      </w:r>
    </w:p>
    <w:p w:rsidR="0046263B" w:rsidRPr="005E1103" w:rsidRDefault="0046263B" w:rsidP="0046263B">
      <w:pPr>
        <w:pStyle w:val="Prrafodelista"/>
        <w:numPr>
          <w:ilvl w:val="0"/>
          <w:numId w:val="106"/>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“Sala de representantes tiene escaleras”</w:t>
      </w:r>
    </w:p>
    <w:p w:rsidR="0046263B" w:rsidRPr="005E1103" w:rsidRDefault="0046263B" w:rsidP="0046263B">
      <w:pPr>
        <w:pStyle w:val="Prrafodelista"/>
        <w:numPr>
          <w:ilvl w:val="0"/>
          <w:numId w:val="106"/>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“La salida con escalera, está muy mal”</w:t>
      </w:r>
    </w:p>
    <w:p w:rsidR="0046263B" w:rsidRPr="005E1103" w:rsidRDefault="0046263B" w:rsidP="0046263B">
      <w:pPr>
        <w:spacing w:line="360" w:lineRule="auto"/>
        <w:jc w:val="both"/>
        <w:rPr>
          <w:rFonts w:cstheme="minorHAnsi"/>
          <w:sz w:val="28"/>
          <w:szCs w:val="28"/>
        </w:rPr>
      </w:pPr>
      <w:r w:rsidRPr="005E1103">
        <w:rPr>
          <w:rFonts w:cstheme="minorHAnsi"/>
          <w:sz w:val="28"/>
          <w:szCs w:val="28"/>
        </w:rPr>
        <w:t>10-“No llegue bien al mostrador, no pude pedir algo”.</w:t>
      </w:r>
    </w:p>
    <w:p w:rsidR="0046263B" w:rsidRPr="005E1103" w:rsidRDefault="0046263B" w:rsidP="0046263B">
      <w:pPr>
        <w:pStyle w:val="NormalWeb"/>
        <w:spacing w:line="360" w:lineRule="auto"/>
        <w:jc w:val="both"/>
        <w:rPr>
          <w:rFonts w:asciiTheme="minorHAnsi" w:hAnsiTheme="minorHAnsi" w:cstheme="minorHAnsi"/>
          <w:sz w:val="28"/>
          <w:szCs w:val="28"/>
        </w:rPr>
      </w:pPr>
      <w:r w:rsidRPr="005E1103">
        <w:rPr>
          <w:rFonts w:asciiTheme="minorHAnsi" w:hAnsiTheme="minorHAnsi" w:cstheme="minorHAnsi"/>
          <w:b/>
          <w:sz w:val="28"/>
          <w:szCs w:val="28"/>
        </w:rPr>
        <w:t>CONCLUSIONES DE LA EXPERIENCIA</w:t>
      </w:r>
      <w:r w:rsidRPr="005E1103">
        <w:rPr>
          <w:rFonts w:asciiTheme="minorHAnsi" w:hAnsiTheme="minorHAnsi" w:cstheme="minorHAnsi"/>
          <w:sz w:val="28"/>
          <w:szCs w:val="28"/>
        </w:rPr>
        <w:t xml:space="preserve">: </w:t>
      </w:r>
    </w:p>
    <w:p w:rsidR="0046263B" w:rsidRPr="005E1103" w:rsidRDefault="0046263B" w:rsidP="0046263B">
      <w:pPr>
        <w:pStyle w:val="NormalWeb"/>
        <w:spacing w:line="360" w:lineRule="auto"/>
        <w:jc w:val="both"/>
        <w:rPr>
          <w:rFonts w:asciiTheme="minorHAnsi" w:hAnsiTheme="minorHAnsi" w:cstheme="minorHAnsi"/>
          <w:i/>
          <w:sz w:val="28"/>
          <w:szCs w:val="28"/>
          <w:u w:val="single"/>
        </w:rPr>
      </w:pPr>
      <w:r w:rsidRPr="005E1103">
        <w:rPr>
          <w:rFonts w:asciiTheme="minorHAnsi" w:hAnsiTheme="minorHAnsi" w:cstheme="minorHAnsi"/>
          <w:i/>
          <w:sz w:val="28"/>
          <w:szCs w:val="28"/>
          <w:u w:val="single"/>
        </w:rPr>
        <w:t xml:space="preserve">Puntos accesibles y no accesibles de la  facultad de psicología </w:t>
      </w:r>
    </w:p>
    <w:p w:rsidR="0046263B" w:rsidRPr="005E1103" w:rsidRDefault="0046263B" w:rsidP="0046263B">
      <w:pPr>
        <w:pStyle w:val="Prrafodelista"/>
        <w:numPr>
          <w:ilvl w:val="0"/>
          <w:numId w:val="107"/>
        </w:numPr>
        <w:spacing w:before="0" w:line="360" w:lineRule="auto"/>
        <w:jc w:val="both"/>
        <w:rPr>
          <w:rFonts w:asciiTheme="minorHAnsi" w:hAnsiTheme="minorHAnsi" w:cstheme="minorHAnsi"/>
          <w:sz w:val="28"/>
          <w:szCs w:val="28"/>
        </w:rPr>
      </w:pPr>
      <w:r w:rsidRPr="005E1103">
        <w:rPr>
          <w:rFonts w:asciiTheme="minorHAnsi" w:hAnsiTheme="minorHAnsi" w:cstheme="minorHAnsi"/>
          <w:b/>
          <w:sz w:val="28"/>
          <w:szCs w:val="28"/>
        </w:rPr>
        <w:t>Entrada principal</w:t>
      </w:r>
      <w:r w:rsidRPr="005E1103">
        <w:rPr>
          <w:rFonts w:asciiTheme="minorHAnsi" w:hAnsiTheme="minorHAnsi" w:cstheme="minorHAnsi"/>
          <w:sz w:val="28"/>
          <w:szCs w:val="28"/>
        </w:rPr>
        <w:t>:</w:t>
      </w:r>
    </w:p>
    <w:p w:rsidR="0046263B" w:rsidRPr="005E1103" w:rsidRDefault="0046263B" w:rsidP="0046263B">
      <w:pPr>
        <w:spacing w:line="360" w:lineRule="auto"/>
        <w:ind w:firstLine="360"/>
        <w:jc w:val="both"/>
        <w:rPr>
          <w:rFonts w:cstheme="minorHAnsi"/>
          <w:sz w:val="28"/>
          <w:szCs w:val="28"/>
        </w:rPr>
      </w:pPr>
      <w:r w:rsidRPr="005E1103">
        <w:rPr>
          <w:rFonts w:cstheme="minorHAnsi"/>
          <w:sz w:val="28"/>
          <w:szCs w:val="28"/>
        </w:rPr>
        <w:t xml:space="preserve">El acceso en silla es imposible. </w:t>
      </w:r>
    </w:p>
    <w:p w:rsidR="0046263B" w:rsidRPr="005E1103" w:rsidRDefault="0046263B" w:rsidP="0046263B">
      <w:pPr>
        <w:spacing w:line="360" w:lineRule="auto"/>
        <w:ind w:firstLine="708"/>
        <w:jc w:val="both"/>
        <w:rPr>
          <w:rFonts w:cstheme="minorHAnsi"/>
          <w:sz w:val="28"/>
          <w:szCs w:val="28"/>
        </w:rPr>
      </w:pPr>
      <w:r w:rsidRPr="005E1103">
        <w:rPr>
          <w:rFonts w:cstheme="minorHAnsi"/>
          <w:sz w:val="28"/>
          <w:szCs w:val="28"/>
        </w:rPr>
        <w:t xml:space="preserve">Hay dos escalones y la puerta posee un marco de más de quince centímetros sobre el suelo. </w:t>
      </w:r>
    </w:p>
    <w:p w:rsidR="0046263B" w:rsidRPr="005E1103" w:rsidRDefault="0046263B" w:rsidP="0046263B">
      <w:pPr>
        <w:spacing w:line="360" w:lineRule="auto"/>
        <w:ind w:firstLine="708"/>
        <w:jc w:val="both"/>
        <w:rPr>
          <w:rFonts w:cstheme="minorHAnsi"/>
          <w:sz w:val="28"/>
          <w:szCs w:val="28"/>
        </w:rPr>
      </w:pPr>
      <w:r w:rsidRPr="005E1103">
        <w:rPr>
          <w:rFonts w:cstheme="minorHAnsi"/>
          <w:sz w:val="28"/>
          <w:szCs w:val="28"/>
        </w:rPr>
        <w:t xml:space="preserve">Aunque existe una puerta de acceso lateral que permite la entrada a personas con silla de ruedas, muletas u otro tipo de dispositivo, limitarles a ese acceso auxiliar, supone un acto discriminativo. </w:t>
      </w:r>
    </w:p>
    <w:p w:rsidR="0046263B" w:rsidRPr="005E1103" w:rsidRDefault="0046263B" w:rsidP="0046263B">
      <w:pPr>
        <w:spacing w:line="360" w:lineRule="auto"/>
        <w:ind w:firstLine="708"/>
        <w:jc w:val="both"/>
        <w:rPr>
          <w:rFonts w:cstheme="minorHAnsi"/>
          <w:sz w:val="28"/>
          <w:szCs w:val="28"/>
        </w:rPr>
      </w:pPr>
      <w:r w:rsidRPr="005E1103">
        <w:rPr>
          <w:rFonts w:cstheme="minorHAnsi"/>
          <w:sz w:val="28"/>
          <w:szCs w:val="28"/>
        </w:rPr>
        <w:t>Por lo tanto, la propuesta consiste en adaptar una rampa sobre los escalones y eliminar el marco  de la puerta.</w:t>
      </w:r>
    </w:p>
    <w:p w:rsidR="0046263B" w:rsidRPr="005E1103" w:rsidRDefault="0046263B" w:rsidP="0046263B">
      <w:pPr>
        <w:pStyle w:val="Prrafodelista"/>
        <w:numPr>
          <w:ilvl w:val="0"/>
          <w:numId w:val="107"/>
        </w:numPr>
        <w:spacing w:before="0" w:line="360" w:lineRule="auto"/>
        <w:jc w:val="both"/>
        <w:rPr>
          <w:rFonts w:asciiTheme="minorHAnsi" w:hAnsiTheme="minorHAnsi" w:cstheme="minorHAnsi"/>
          <w:b/>
          <w:sz w:val="28"/>
          <w:szCs w:val="28"/>
        </w:rPr>
      </w:pPr>
      <w:r w:rsidRPr="005E1103">
        <w:rPr>
          <w:rFonts w:asciiTheme="minorHAnsi" w:hAnsiTheme="minorHAnsi" w:cstheme="minorHAnsi"/>
          <w:b/>
          <w:sz w:val="28"/>
          <w:szCs w:val="28"/>
        </w:rPr>
        <w:t>El ascensor:</w:t>
      </w:r>
    </w:p>
    <w:p w:rsidR="0046263B" w:rsidRPr="005E1103" w:rsidRDefault="0046263B" w:rsidP="0046263B">
      <w:pPr>
        <w:pStyle w:val="Prrafodelista"/>
        <w:spacing w:line="360" w:lineRule="auto"/>
        <w:ind w:left="360" w:firstLine="348"/>
        <w:jc w:val="both"/>
        <w:rPr>
          <w:rFonts w:asciiTheme="minorHAnsi" w:hAnsiTheme="minorHAnsi" w:cstheme="minorHAnsi"/>
          <w:sz w:val="28"/>
          <w:szCs w:val="28"/>
        </w:rPr>
      </w:pPr>
      <w:r w:rsidRPr="005E1103">
        <w:rPr>
          <w:rFonts w:asciiTheme="minorHAnsi" w:hAnsiTheme="minorHAnsi" w:cstheme="minorHAnsi"/>
          <w:sz w:val="28"/>
          <w:szCs w:val="28"/>
        </w:rPr>
        <w:lastRenderedPageBreak/>
        <w:t xml:space="preserve">El que existe actualmente limita el acceso hasta el segundo piso, con lo que todo lo que se encuentra en el tercero (laboratorios, despachos, sala de lectura...) queda vedado para estas personas. </w:t>
      </w:r>
    </w:p>
    <w:p w:rsidR="0046263B" w:rsidRPr="005E1103" w:rsidRDefault="0046263B" w:rsidP="0046263B">
      <w:pPr>
        <w:pStyle w:val="Prrafodelista"/>
        <w:spacing w:line="360" w:lineRule="auto"/>
        <w:ind w:left="360" w:firstLine="348"/>
        <w:jc w:val="both"/>
        <w:rPr>
          <w:rFonts w:asciiTheme="minorHAnsi" w:hAnsiTheme="minorHAnsi" w:cstheme="minorHAnsi"/>
          <w:sz w:val="28"/>
          <w:szCs w:val="28"/>
        </w:rPr>
      </w:pPr>
      <w:r w:rsidRPr="005E1103">
        <w:rPr>
          <w:rFonts w:asciiTheme="minorHAnsi" w:hAnsiTheme="minorHAnsi" w:cstheme="minorHAnsi"/>
          <w:sz w:val="28"/>
          <w:szCs w:val="28"/>
        </w:rPr>
        <w:t>Nuestra sugerencia es colocar una “oruga” (montacargas adaptado para sillas que se sitúa en él pasamanos, o la colocación de un ascensor nuevo que ascienda a todas las plantas del edificio.</w:t>
      </w:r>
    </w:p>
    <w:p w:rsidR="0046263B" w:rsidRPr="005E1103" w:rsidRDefault="0046263B" w:rsidP="0046263B">
      <w:pPr>
        <w:pStyle w:val="Prrafodelista"/>
        <w:spacing w:line="360" w:lineRule="auto"/>
        <w:ind w:left="360" w:firstLine="348"/>
        <w:jc w:val="both"/>
        <w:rPr>
          <w:rFonts w:asciiTheme="minorHAnsi" w:hAnsiTheme="minorHAnsi" w:cstheme="minorHAnsi"/>
          <w:sz w:val="28"/>
          <w:szCs w:val="28"/>
        </w:rPr>
      </w:pPr>
    </w:p>
    <w:p w:rsidR="0046263B" w:rsidRPr="005E1103" w:rsidRDefault="0046263B" w:rsidP="0046263B">
      <w:pPr>
        <w:numPr>
          <w:ilvl w:val="0"/>
          <w:numId w:val="107"/>
        </w:numPr>
        <w:spacing w:after="0" w:line="360" w:lineRule="auto"/>
        <w:jc w:val="both"/>
        <w:rPr>
          <w:rFonts w:cstheme="minorHAnsi"/>
          <w:b/>
          <w:sz w:val="28"/>
          <w:szCs w:val="28"/>
        </w:rPr>
      </w:pPr>
      <w:r w:rsidRPr="005E1103">
        <w:rPr>
          <w:rFonts w:cstheme="minorHAnsi"/>
          <w:b/>
          <w:sz w:val="28"/>
          <w:szCs w:val="28"/>
        </w:rPr>
        <w:t>Baño adaptado:</w:t>
      </w:r>
    </w:p>
    <w:p w:rsidR="0046263B" w:rsidRPr="005E1103" w:rsidRDefault="0046263B" w:rsidP="0046263B">
      <w:pPr>
        <w:spacing w:line="360" w:lineRule="auto"/>
        <w:ind w:left="720"/>
        <w:jc w:val="both"/>
        <w:rPr>
          <w:rFonts w:cstheme="minorHAnsi"/>
          <w:sz w:val="28"/>
          <w:szCs w:val="28"/>
        </w:rPr>
      </w:pPr>
      <w:r w:rsidRPr="005E1103">
        <w:rPr>
          <w:rFonts w:cstheme="minorHAnsi"/>
          <w:sz w:val="28"/>
          <w:szCs w:val="28"/>
        </w:rPr>
        <w:t>Se construyo uno  para minusválidos en la planta baja, pero debería de existir uno por piso, para estar en igualdad de condiciones con el resto de los usuarios del edificio.</w:t>
      </w:r>
    </w:p>
    <w:p w:rsidR="0046263B" w:rsidRPr="005E1103" w:rsidRDefault="0046263B" w:rsidP="0046263B">
      <w:pPr>
        <w:spacing w:line="360" w:lineRule="auto"/>
        <w:ind w:left="720"/>
        <w:jc w:val="both"/>
        <w:rPr>
          <w:rFonts w:cstheme="minorHAnsi"/>
          <w:sz w:val="28"/>
          <w:szCs w:val="28"/>
        </w:rPr>
      </w:pPr>
    </w:p>
    <w:p w:rsidR="0046263B" w:rsidRPr="005E1103" w:rsidRDefault="0046263B" w:rsidP="0046263B">
      <w:pPr>
        <w:numPr>
          <w:ilvl w:val="0"/>
          <w:numId w:val="107"/>
        </w:numPr>
        <w:spacing w:after="0" w:line="360" w:lineRule="auto"/>
        <w:jc w:val="both"/>
        <w:rPr>
          <w:rFonts w:cstheme="minorHAnsi"/>
          <w:sz w:val="28"/>
          <w:szCs w:val="28"/>
        </w:rPr>
      </w:pPr>
      <w:r w:rsidRPr="005E1103">
        <w:rPr>
          <w:rFonts w:cstheme="minorHAnsi"/>
          <w:b/>
          <w:sz w:val="28"/>
          <w:szCs w:val="28"/>
        </w:rPr>
        <w:t>Mostradores</w:t>
      </w:r>
      <w:r w:rsidRPr="005E1103">
        <w:rPr>
          <w:rFonts w:cstheme="minorHAnsi"/>
          <w:sz w:val="28"/>
          <w:szCs w:val="28"/>
        </w:rPr>
        <w:t>:</w:t>
      </w:r>
    </w:p>
    <w:p w:rsidR="0046263B" w:rsidRPr="005E1103" w:rsidRDefault="0046263B" w:rsidP="0046263B">
      <w:pPr>
        <w:spacing w:line="360" w:lineRule="auto"/>
        <w:ind w:left="720"/>
        <w:jc w:val="both"/>
        <w:rPr>
          <w:rFonts w:cstheme="minorHAnsi"/>
          <w:sz w:val="28"/>
          <w:szCs w:val="28"/>
        </w:rPr>
      </w:pPr>
      <w:r w:rsidRPr="005E1103">
        <w:rPr>
          <w:rFonts w:cstheme="minorHAnsi"/>
          <w:sz w:val="28"/>
          <w:szCs w:val="28"/>
        </w:rPr>
        <w:t>Los de las oficinas, cafetería, conserjería y fotocopiadora son demasiado altos. Resultarían fácilmente adaptados, haciendo una parte de los mismos más baja y accesible a una silla de ruedas.</w:t>
      </w:r>
    </w:p>
    <w:p w:rsidR="0046263B" w:rsidRPr="005E1103" w:rsidRDefault="0046263B" w:rsidP="0046263B">
      <w:pPr>
        <w:pStyle w:val="NormalWeb"/>
        <w:numPr>
          <w:ilvl w:val="0"/>
          <w:numId w:val="107"/>
        </w:numPr>
        <w:spacing w:line="360" w:lineRule="auto"/>
        <w:jc w:val="both"/>
        <w:rPr>
          <w:rFonts w:asciiTheme="minorHAnsi" w:hAnsiTheme="minorHAnsi" w:cstheme="minorHAnsi"/>
          <w:b/>
          <w:color w:val="000000"/>
          <w:sz w:val="28"/>
          <w:szCs w:val="28"/>
        </w:rPr>
      </w:pPr>
      <w:r w:rsidRPr="005E1103">
        <w:rPr>
          <w:rFonts w:asciiTheme="minorHAnsi" w:hAnsiTheme="minorHAnsi" w:cstheme="minorHAnsi"/>
          <w:b/>
          <w:sz w:val="28"/>
          <w:szCs w:val="28"/>
        </w:rPr>
        <w:t>La biblioteca y el salón de actos:</w:t>
      </w:r>
    </w:p>
    <w:p w:rsidR="0046263B" w:rsidRPr="005E1103" w:rsidRDefault="0046263B" w:rsidP="0046263B">
      <w:pPr>
        <w:pStyle w:val="NormalWeb"/>
        <w:spacing w:line="360" w:lineRule="auto"/>
        <w:ind w:left="720"/>
        <w:jc w:val="both"/>
        <w:rPr>
          <w:rFonts w:asciiTheme="minorHAnsi" w:hAnsiTheme="minorHAnsi" w:cstheme="minorHAnsi"/>
          <w:sz w:val="28"/>
          <w:szCs w:val="28"/>
        </w:rPr>
      </w:pPr>
      <w:r w:rsidRPr="005E1103">
        <w:rPr>
          <w:rFonts w:asciiTheme="minorHAnsi" w:hAnsiTheme="minorHAnsi" w:cstheme="minorHAnsi"/>
          <w:sz w:val="28"/>
          <w:szCs w:val="28"/>
        </w:rPr>
        <w:t>Se encuentran en una zona distinta a las aulas, para entrar en ellos han de salir de la facultad y entrar por una puerta auxiliar casi siempre cerrada y que tiene un escalón.</w:t>
      </w:r>
    </w:p>
    <w:p w:rsidR="0046263B" w:rsidRPr="005E1103" w:rsidRDefault="0046263B" w:rsidP="0046263B">
      <w:pPr>
        <w:pStyle w:val="NormalWeb"/>
        <w:spacing w:line="360" w:lineRule="auto"/>
        <w:ind w:left="720"/>
        <w:jc w:val="both"/>
        <w:rPr>
          <w:rFonts w:asciiTheme="minorHAnsi" w:hAnsiTheme="minorHAnsi" w:cstheme="minorHAnsi"/>
          <w:sz w:val="28"/>
          <w:szCs w:val="28"/>
        </w:rPr>
      </w:pPr>
      <w:r w:rsidRPr="005E1103">
        <w:rPr>
          <w:rFonts w:asciiTheme="minorHAnsi" w:hAnsiTheme="minorHAnsi" w:cstheme="minorHAnsi"/>
          <w:sz w:val="28"/>
          <w:szCs w:val="28"/>
        </w:rPr>
        <w:t>Existe un único ascensor para poder subir a la biblioteca, sin embargo, previamente a él nos encontramos con más escalones.</w:t>
      </w:r>
    </w:p>
    <w:p w:rsidR="0046263B" w:rsidRPr="005E1103" w:rsidRDefault="0046263B" w:rsidP="0046263B">
      <w:pPr>
        <w:pStyle w:val="NormalWeb"/>
        <w:spacing w:line="360" w:lineRule="auto"/>
        <w:ind w:left="720"/>
        <w:jc w:val="both"/>
        <w:rPr>
          <w:rFonts w:asciiTheme="minorHAnsi" w:hAnsiTheme="minorHAnsi" w:cstheme="minorHAnsi"/>
          <w:color w:val="000000"/>
          <w:sz w:val="28"/>
          <w:szCs w:val="28"/>
        </w:rPr>
      </w:pPr>
      <w:r w:rsidRPr="005E1103">
        <w:rPr>
          <w:rFonts w:asciiTheme="minorHAnsi" w:hAnsiTheme="minorHAnsi" w:cstheme="minorHAnsi"/>
          <w:sz w:val="28"/>
          <w:szCs w:val="28"/>
        </w:rPr>
        <w:lastRenderedPageBreak/>
        <w:t>Si se pretendiera acceder por la zona habitual, se encontrarían con escalones tanto de bajada como de subida, lo que se solucionaría con la colocación de una rampa.</w:t>
      </w:r>
    </w:p>
    <w:p w:rsidR="0046263B" w:rsidRPr="005E1103" w:rsidRDefault="0046263B" w:rsidP="0046263B">
      <w:pPr>
        <w:spacing w:line="360" w:lineRule="auto"/>
        <w:ind w:left="720"/>
        <w:jc w:val="both"/>
        <w:rPr>
          <w:rFonts w:cstheme="minorHAnsi"/>
          <w:sz w:val="28"/>
          <w:szCs w:val="28"/>
        </w:rPr>
      </w:pPr>
      <w:r w:rsidRPr="005E1103">
        <w:rPr>
          <w:rFonts w:cstheme="minorHAnsi"/>
          <w:sz w:val="28"/>
          <w:szCs w:val="28"/>
        </w:rPr>
        <w:t>Por otra parte, la biblioteca ubicada en  el primer piso, debería colocarse una puerta de fácil apretura y pasillos más amplios que permitan el acceso a las estanterías. Esta parte de la facultad como aquella que constituye la principal barrera arquitectónica  y que por ella debería ser reformada  y ampliada en su totalidad, entre otras cosas por la gran importancia que una biblioteca representa para todo alumno universitario.</w:t>
      </w:r>
    </w:p>
    <w:p w:rsidR="0046263B" w:rsidRPr="005E1103" w:rsidRDefault="0046263B" w:rsidP="0046263B">
      <w:pPr>
        <w:numPr>
          <w:ilvl w:val="0"/>
          <w:numId w:val="107"/>
        </w:numPr>
        <w:spacing w:after="0" w:line="360" w:lineRule="auto"/>
        <w:jc w:val="both"/>
        <w:rPr>
          <w:rFonts w:cstheme="minorHAnsi"/>
          <w:sz w:val="28"/>
          <w:szCs w:val="28"/>
        </w:rPr>
      </w:pPr>
      <w:r w:rsidRPr="005E1103">
        <w:rPr>
          <w:rFonts w:cstheme="minorHAnsi"/>
          <w:b/>
          <w:sz w:val="28"/>
          <w:szCs w:val="28"/>
        </w:rPr>
        <w:t>Salva escaleras</w:t>
      </w:r>
      <w:r w:rsidRPr="005E1103">
        <w:rPr>
          <w:rFonts w:cstheme="minorHAnsi"/>
          <w:sz w:val="28"/>
          <w:szCs w:val="28"/>
        </w:rPr>
        <w:t>:</w:t>
      </w:r>
    </w:p>
    <w:p w:rsidR="0046263B" w:rsidRPr="005E1103" w:rsidRDefault="0046263B" w:rsidP="0046263B">
      <w:pPr>
        <w:spacing w:line="360" w:lineRule="auto"/>
        <w:ind w:left="720"/>
        <w:jc w:val="both"/>
        <w:rPr>
          <w:rFonts w:cstheme="minorHAnsi"/>
          <w:sz w:val="28"/>
          <w:szCs w:val="28"/>
        </w:rPr>
      </w:pPr>
      <w:r w:rsidRPr="005E1103">
        <w:rPr>
          <w:rFonts w:cstheme="minorHAnsi"/>
          <w:sz w:val="28"/>
          <w:szCs w:val="28"/>
        </w:rPr>
        <w:t>Hace unos años se solventó el problema que había con respecto al acceso del ascensor (varios escalones antes llegar a él), con la instalación de una oruga plataforma.</w:t>
      </w:r>
    </w:p>
    <w:p w:rsidR="0046263B" w:rsidRPr="005E1103" w:rsidRDefault="0046263B" w:rsidP="0046263B">
      <w:pPr>
        <w:spacing w:line="360" w:lineRule="auto"/>
        <w:jc w:val="both"/>
        <w:rPr>
          <w:rFonts w:cstheme="minorHAnsi"/>
          <w:sz w:val="28"/>
          <w:szCs w:val="28"/>
        </w:rPr>
      </w:pPr>
    </w:p>
    <w:p w:rsidR="0046263B" w:rsidRPr="005E1103" w:rsidRDefault="0046263B" w:rsidP="0046263B">
      <w:pPr>
        <w:numPr>
          <w:ilvl w:val="0"/>
          <w:numId w:val="107"/>
        </w:numPr>
        <w:spacing w:after="0" w:line="360" w:lineRule="auto"/>
        <w:jc w:val="both"/>
        <w:rPr>
          <w:rFonts w:cstheme="minorHAnsi"/>
          <w:sz w:val="28"/>
          <w:szCs w:val="28"/>
        </w:rPr>
      </w:pPr>
      <w:r w:rsidRPr="005E1103">
        <w:rPr>
          <w:rFonts w:cstheme="minorHAnsi"/>
          <w:b/>
          <w:sz w:val="28"/>
          <w:szCs w:val="28"/>
        </w:rPr>
        <w:t>La sala de representantes de los estudiantes</w:t>
      </w:r>
      <w:r w:rsidRPr="005E1103">
        <w:rPr>
          <w:rFonts w:cstheme="minorHAnsi"/>
          <w:sz w:val="28"/>
          <w:szCs w:val="28"/>
        </w:rPr>
        <w:t>:</w:t>
      </w:r>
    </w:p>
    <w:p w:rsidR="0046263B" w:rsidRPr="005E1103" w:rsidRDefault="0046263B" w:rsidP="0046263B">
      <w:pPr>
        <w:spacing w:line="360" w:lineRule="auto"/>
        <w:ind w:left="720"/>
        <w:jc w:val="both"/>
        <w:rPr>
          <w:rFonts w:cstheme="minorHAnsi"/>
          <w:sz w:val="28"/>
          <w:szCs w:val="28"/>
        </w:rPr>
      </w:pPr>
      <w:r w:rsidRPr="005E1103">
        <w:rPr>
          <w:rFonts w:cstheme="minorHAnsi"/>
          <w:sz w:val="28"/>
          <w:szCs w:val="28"/>
        </w:rPr>
        <w:t xml:space="preserve">Se hallaba en el primer piso, donde se podía acceder a dicha sala, subiendo en el ascensor. </w:t>
      </w:r>
    </w:p>
    <w:p w:rsidR="0046263B" w:rsidRPr="005E1103" w:rsidRDefault="0046263B" w:rsidP="0046263B">
      <w:pPr>
        <w:spacing w:line="360" w:lineRule="auto"/>
        <w:ind w:left="720"/>
        <w:jc w:val="both"/>
        <w:rPr>
          <w:rFonts w:cstheme="minorHAnsi"/>
          <w:sz w:val="28"/>
          <w:szCs w:val="28"/>
        </w:rPr>
      </w:pPr>
      <w:r w:rsidRPr="005E1103">
        <w:rPr>
          <w:rFonts w:cstheme="minorHAnsi"/>
          <w:sz w:val="28"/>
          <w:szCs w:val="28"/>
        </w:rPr>
        <w:t>Actualmente se encuentra en el patio de acceso a la biblioteca, donde existen escalones de bajada.</w:t>
      </w:r>
    </w:p>
    <w:p w:rsidR="0046263B" w:rsidRPr="005E1103" w:rsidRDefault="0046263B" w:rsidP="0046263B">
      <w:pPr>
        <w:spacing w:line="360" w:lineRule="auto"/>
        <w:ind w:left="720"/>
        <w:jc w:val="both"/>
        <w:rPr>
          <w:rFonts w:cstheme="minorHAnsi"/>
          <w:sz w:val="28"/>
          <w:szCs w:val="28"/>
        </w:rPr>
      </w:pPr>
      <w:r w:rsidRPr="005E1103">
        <w:rPr>
          <w:rFonts w:cstheme="minorHAnsi"/>
          <w:sz w:val="28"/>
          <w:szCs w:val="28"/>
        </w:rPr>
        <w:t xml:space="preserve"> Dicho cambio no fue lo más acertado, pues una de las pocas zonas accesibles se ha convertido en inaccesible.</w:t>
      </w:r>
    </w:p>
    <w:p w:rsidR="0046263B" w:rsidRPr="005E1103" w:rsidRDefault="0046263B" w:rsidP="0046263B">
      <w:pPr>
        <w:spacing w:line="360" w:lineRule="auto"/>
        <w:jc w:val="both"/>
        <w:rPr>
          <w:rFonts w:cstheme="minorHAnsi"/>
          <w:sz w:val="28"/>
          <w:szCs w:val="28"/>
        </w:rPr>
      </w:pPr>
    </w:p>
    <w:p w:rsidR="0046263B" w:rsidRPr="005E1103" w:rsidRDefault="0046263B" w:rsidP="0046263B">
      <w:pPr>
        <w:numPr>
          <w:ilvl w:val="0"/>
          <w:numId w:val="107"/>
        </w:numPr>
        <w:spacing w:after="0" w:line="360" w:lineRule="auto"/>
        <w:jc w:val="both"/>
        <w:rPr>
          <w:rFonts w:cstheme="minorHAnsi"/>
          <w:sz w:val="28"/>
          <w:szCs w:val="28"/>
        </w:rPr>
      </w:pPr>
      <w:r w:rsidRPr="005E1103">
        <w:rPr>
          <w:rFonts w:cstheme="minorHAnsi"/>
          <w:b/>
          <w:sz w:val="28"/>
          <w:szCs w:val="28"/>
        </w:rPr>
        <w:t>Los bancos y los pupitres</w:t>
      </w:r>
      <w:r w:rsidRPr="005E1103">
        <w:rPr>
          <w:rFonts w:cstheme="minorHAnsi"/>
          <w:sz w:val="28"/>
          <w:szCs w:val="28"/>
        </w:rPr>
        <w:t>:</w:t>
      </w:r>
    </w:p>
    <w:p w:rsidR="0046263B" w:rsidRPr="005E1103" w:rsidRDefault="0046263B" w:rsidP="0046263B">
      <w:pPr>
        <w:spacing w:line="360" w:lineRule="auto"/>
        <w:ind w:left="720"/>
        <w:jc w:val="both"/>
        <w:rPr>
          <w:rFonts w:cstheme="minorHAnsi"/>
          <w:sz w:val="28"/>
          <w:szCs w:val="28"/>
        </w:rPr>
      </w:pPr>
      <w:r w:rsidRPr="005E1103">
        <w:rPr>
          <w:rFonts w:cstheme="minorHAnsi"/>
          <w:sz w:val="28"/>
          <w:szCs w:val="28"/>
        </w:rPr>
        <w:lastRenderedPageBreak/>
        <w:t xml:space="preserve">Son muy estrechos, no existen mesas adaptadas y los pasillos son muy reducidos. </w:t>
      </w:r>
    </w:p>
    <w:p w:rsidR="0046263B" w:rsidRPr="005E1103" w:rsidRDefault="0046263B" w:rsidP="0046263B">
      <w:pPr>
        <w:spacing w:line="360" w:lineRule="auto"/>
        <w:ind w:left="720"/>
        <w:jc w:val="both"/>
        <w:rPr>
          <w:rFonts w:cstheme="minorHAnsi"/>
          <w:sz w:val="28"/>
          <w:szCs w:val="28"/>
        </w:rPr>
      </w:pPr>
      <w:r w:rsidRPr="005E1103">
        <w:rPr>
          <w:rFonts w:cstheme="minorHAnsi"/>
          <w:sz w:val="28"/>
          <w:szCs w:val="28"/>
        </w:rPr>
        <w:t xml:space="preserve">En las clases existen uno o dos escalones para acceder al encerado, y por lo tanto es imposible acceder a hacer ejercicios en la pizarra. </w:t>
      </w:r>
    </w:p>
    <w:p w:rsidR="0046263B" w:rsidRPr="005E1103" w:rsidRDefault="0046263B" w:rsidP="0046263B">
      <w:pPr>
        <w:spacing w:line="360" w:lineRule="auto"/>
        <w:ind w:left="720"/>
        <w:jc w:val="both"/>
        <w:rPr>
          <w:rFonts w:cstheme="minorHAnsi"/>
          <w:sz w:val="28"/>
          <w:szCs w:val="28"/>
        </w:rPr>
      </w:pPr>
      <w:r w:rsidRPr="005E1103">
        <w:rPr>
          <w:rFonts w:cstheme="minorHAnsi"/>
          <w:sz w:val="28"/>
          <w:szCs w:val="28"/>
        </w:rPr>
        <w:t>Las puertas de las aulas son bastante anchas, como para que pueda pasar una silla de ruedas, pero poseen una tablilla que divide el ancho de la puerta dificultando dicho paso.</w:t>
      </w:r>
    </w:p>
    <w:p w:rsidR="0046263B" w:rsidRPr="005E1103" w:rsidRDefault="0046263B" w:rsidP="0046263B">
      <w:pPr>
        <w:spacing w:line="360" w:lineRule="auto"/>
        <w:jc w:val="both"/>
        <w:rPr>
          <w:rFonts w:cstheme="minorHAnsi"/>
          <w:sz w:val="28"/>
          <w:szCs w:val="28"/>
        </w:rPr>
      </w:pPr>
    </w:p>
    <w:p w:rsidR="0046263B" w:rsidRPr="005E1103" w:rsidRDefault="0046263B" w:rsidP="0046263B">
      <w:pPr>
        <w:spacing w:line="360" w:lineRule="auto"/>
        <w:jc w:val="both"/>
        <w:rPr>
          <w:rFonts w:cstheme="minorHAnsi"/>
          <w:sz w:val="28"/>
          <w:szCs w:val="28"/>
        </w:rPr>
      </w:pPr>
      <w:r w:rsidRPr="005E1103">
        <w:rPr>
          <w:rFonts w:cstheme="minorHAnsi"/>
          <w:sz w:val="28"/>
          <w:szCs w:val="28"/>
        </w:rPr>
        <w:t>Estos ocho puntos citados están en la actualidad colgados en mapastur  en la búsqueda de accesible. Allí aparecen todos los puntos de accesibilidad o no de la facultad de Psicología de Oviedo</w:t>
      </w:r>
    </w:p>
    <w:p w:rsidR="0046263B" w:rsidRPr="005E1103" w:rsidRDefault="0046263B" w:rsidP="0046263B">
      <w:pPr>
        <w:spacing w:line="360" w:lineRule="auto"/>
        <w:jc w:val="both"/>
        <w:rPr>
          <w:rFonts w:cstheme="minorHAnsi"/>
          <w:sz w:val="28"/>
          <w:szCs w:val="28"/>
        </w:rPr>
      </w:pPr>
    </w:p>
    <w:p w:rsidR="0046263B" w:rsidRPr="005E1103" w:rsidRDefault="0046263B" w:rsidP="0046263B">
      <w:pPr>
        <w:spacing w:line="360" w:lineRule="auto"/>
        <w:jc w:val="both"/>
        <w:rPr>
          <w:rFonts w:cstheme="minorHAnsi"/>
          <w:b/>
          <w:sz w:val="28"/>
          <w:szCs w:val="28"/>
        </w:rPr>
      </w:pPr>
      <w:r w:rsidRPr="005E1103">
        <w:rPr>
          <w:rFonts w:cstheme="minorHAnsi"/>
          <w:b/>
          <w:sz w:val="28"/>
          <w:szCs w:val="28"/>
        </w:rPr>
        <w:t>CONCLUSIONES SOBRE LA EXPERIENCIA PILOTO</w:t>
      </w:r>
    </w:p>
    <w:p w:rsidR="0046263B" w:rsidRPr="005E1103" w:rsidRDefault="0046263B" w:rsidP="0046263B">
      <w:pPr>
        <w:pStyle w:val="NormalWeb"/>
        <w:spacing w:line="360" w:lineRule="auto"/>
        <w:ind w:firstLine="708"/>
        <w:jc w:val="both"/>
        <w:rPr>
          <w:rFonts w:asciiTheme="minorHAnsi" w:hAnsiTheme="minorHAnsi" w:cstheme="minorHAnsi"/>
          <w:color w:val="000000"/>
          <w:sz w:val="28"/>
          <w:szCs w:val="28"/>
        </w:rPr>
      </w:pPr>
      <w:r w:rsidRPr="005E1103">
        <w:rPr>
          <w:rFonts w:asciiTheme="minorHAnsi" w:hAnsiTheme="minorHAnsi" w:cstheme="minorHAnsi"/>
          <w:color w:val="000000"/>
          <w:sz w:val="28"/>
          <w:szCs w:val="28"/>
        </w:rPr>
        <w:t>De este taller salimos encantados y con la perspectiva positiva y con la ilusión de que podamos volver a repetir esta experiencia en otras facultades.</w:t>
      </w:r>
    </w:p>
    <w:p w:rsidR="0046263B" w:rsidRPr="005E1103" w:rsidRDefault="0046263B" w:rsidP="0046263B">
      <w:pPr>
        <w:pStyle w:val="NormalWeb"/>
        <w:spacing w:line="360" w:lineRule="auto"/>
        <w:ind w:firstLine="708"/>
        <w:jc w:val="both"/>
        <w:rPr>
          <w:rFonts w:asciiTheme="minorHAnsi" w:hAnsiTheme="minorHAnsi" w:cstheme="minorHAnsi"/>
          <w:color w:val="000000"/>
          <w:sz w:val="28"/>
          <w:szCs w:val="28"/>
        </w:rPr>
      </w:pPr>
      <w:r w:rsidRPr="005E1103">
        <w:rPr>
          <w:rFonts w:asciiTheme="minorHAnsi" w:hAnsiTheme="minorHAnsi" w:cstheme="minorHAnsi"/>
          <w:color w:val="000000"/>
          <w:sz w:val="28"/>
          <w:szCs w:val="28"/>
        </w:rPr>
        <w:t>La experiencia recogida dio lugar colgar en internet en mapastur los ochos puntos de dificultad anteriormente consultados</w:t>
      </w:r>
    </w:p>
    <w:p w:rsidR="0046263B" w:rsidRPr="005E1103" w:rsidRDefault="0046263B" w:rsidP="0046263B">
      <w:pPr>
        <w:pStyle w:val="NormalWeb"/>
        <w:spacing w:line="360" w:lineRule="auto"/>
        <w:jc w:val="both"/>
        <w:rPr>
          <w:rFonts w:asciiTheme="minorHAnsi" w:hAnsiTheme="minorHAnsi" w:cstheme="minorHAnsi"/>
          <w:color w:val="000000"/>
          <w:sz w:val="28"/>
          <w:szCs w:val="28"/>
        </w:rPr>
      </w:pPr>
      <w:r w:rsidRPr="005E1103">
        <w:rPr>
          <w:rFonts w:asciiTheme="minorHAnsi" w:hAnsiTheme="minorHAnsi" w:cstheme="minorHAnsi"/>
          <w:color w:val="000000"/>
          <w:sz w:val="28"/>
          <w:szCs w:val="28"/>
        </w:rPr>
        <w:t xml:space="preserve"> </w:t>
      </w:r>
      <w:r w:rsidRPr="005E1103">
        <w:rPr>
          <w:rFonts w:asciiTheme="minorHAnsi" w:hAnsiTheme="minorHAnsi" w:cstheme="minorHAnsi"/>
          <w:color w:val="000000"/>
          <w:sz w:val="28"/>
          <w:szCs w:val="28"/>
        </w:rPr>
        <w:tab/>
        <w:t xml:space="preserve">A parte de ponernos en situación de discapacidad aprendimos que </w:t>
      </w:r>
      <w:hyperlink r:id="rId153" w:tgtFrame="_blank" w:history="1">
        <w:r w:rsidRPr="005E1103">
          <w:rPr>
            <w:rStyle w:val="Hipervnculo"/>
            <w:rFonts w:asciiTheme="minorHAnsi" w:hAnsiTheme="minorHAnsi" w:cstheme="minorHAnsi"/>
            <w:sz w:val="28"/>
            <w:szCs w:val="28"/>
          </w:rPr>
          <w:t xml:space="preserve">Mapastur </w:t>
        </w:r>
      </w:hyperlink>
      <w:r w:rsidRPr="005E1103">
        <w:rPr>
          <w:rFonts w:asciiTheme="minorHAnsi" w:hAnsiTheme="minorHAnsi" w:cstheme="minorHAnsi"/>
          <w:color w:val="000000"/>
          <w:sz w:val="28"/>
          <w:szCs w:val="28"/>
        </w:rPr>
        <w:t>es una buena herramienta para compartir todos los recursos que nos facilitan nuestra vida como estudiantes y a quitarnos el cliché de que las nuevas tecnologías y discapacidad están sólo relacionadas con las ayudas técnicas u ortoprotésicas.</w:t>
      </w:r>
    </w:p>
    <w:p w:rsidR="0046263B" w:rsidRPr="005E1103" w:rsidRDefault="0046263B" w:rsidP="0046263B">
      <w:pPr>
        <w:ind w:left="360"/>
        <w:rPr>
          <w:rFonts w:cstheme="minorHAnsi"/>
          <w:sz w:val="28"/>
          <w:szCs w:val="28"/>
        </w:rPr>
      </w:pPr>
    </w:p>
    <w:p w:rsidR="0046263B" w:rsidRPr="005E1103" w:rsidRDefault="0046263B" w:rsidP="0046263B">
      <w:pPr>
        <w:spacing w:line="360" w:lineRule="auto"/>
        <w:jc w:val="both"/>
        <w:rPr>
          <w:rFonts w:cstheme="minorHAnsi"/>
          <w:sz w:val="28"/>
          <w:szCs w:val="28"/>
        </w:rPr>
      </w:pPr>
      <w:r w:rsidRPr="005E1103">
        <w:rPr>
          <w:rFonts w:cstheme="minorHAnsi"/>
          <w:b/>
          <w:sz w:val="28"/>
          <w:szCs w:val="28"/>
        </w:rPr>
        <w:t>REFERENCIAS BIBLIOGRAFICAS</w:t>
      </w:r>
      <w:r w:rsidRPr="005E1103">
        <w:rPr>
          <w:rFonts w:cstheme="minorHAnsi"/>
          <w:sz w:val="28"/>
          <w:szCs w:val="28"/>
        </w:rPr>
        <w:t>:</w:t>
      </w:r>
    </w:p>
    <w:p w:rsidR="0046263B" w:rsidRPr="005E1103" w:rsidRDefault="0046263B" w:rsidP="0046263B">
      <w:pPr>
        <w:pStyle w:val="Textoindependiente3"/>
        <w:spacing w:line="360" w:lineRule="auto"/>
        <w:jc w:val="both"/>
        <w:rPr>
          <w:rFonts w:cstheme="minorHAnsi"/>
          <w:b/>
          <w:color w:val="FF0000"/>
          <w:sz w:val="28"/>
          <w:szCs w:val="28"/>
        </w:rPr>
      </w:pPr>
    </w:p>
    <w:p w:rsidR="0046263B" w:rsidRPr="005E1103" w:rsidRDefault="0046263B" w:rsidP="0046263B">
      <w:pPr>
        <w:pStyle w:val="Textoindependiente3"/>
        <w:spacing w:line="360" w:lineRule="auto"/>
        <w:ind w:firstLine="708"/>
        <w:jc w:val="both"/>
        <w:rPr>
          <w:rFonts w:cstheme="minorHAnsi"/>
          <w:b/>
          <w:sz w:val="28"/>
          <w:szCs w:val="28"/>
        </w:rPr>
      </w:pPr>
      <w:r w:rsidRPr="005E1103">
        <w:rPr>
          <w:rFonts w:cstheme="minorHAnsi"/>
          <w:sz w:val="28"/>
          <w:szCs w:val="28"/>
        </w:rPr>
        <w:t>Fernández F. S. y Aguado D. A. L. (2005</w:t>
      </w:r>
      <w:r w:rsidRPr="005E1103">
        <w:rPr>
          <w:rFonts w:cstheme="minorHAnsi"/>
          <w:i/>
          <w:sz w:val="28"/>
          <w:szCs w:val="28"/>
        </w:rPr>
        <w:t xml:space="preserve">). Estudiantes con Discapacidad en la Universidad de Oviedo situación y necesidades. </w:t>
      </w:r>
      <w:r w:rsidRPr="005E1103">
        <w:rPr>
          <w:rFonts w:cstheme="minorHAnsi"/>
          <w:sz w:val="28"/>
          <w:szCs w:val="28"/>
        </w:rPr>
        <w:t>Vicerectorado de Estudiantes y Cooperación. Universidad de Oviedo. DL. AS- 3008/ 2006.</w:t>
      </w:r>
    </w:p>
    <w:p w:rsidR="0046263B" w:rsidRPr="005E1103" w:rsidRDefault="0046263B" w:rsidP="0046263B">
      <w:pPr>
        <w:spacing w:line="360" w:lineRule="auto"/>
        <w:ind w:firstLine="708"/>
        <w:jc w:val="both"/>
        <w:rPr>
          <w:rFonts w:cstheme="minorHAnsi"/>
          <w:iCs/>
          <w:sz w:val="28"/>
          <w:szCs w:val="28"/>
        </w:rPr>
      </w:pPr>
      <w:r w:rsidRPr="005E1103">
        <w:rPr>
          <w:rFonts w:cstheme="minorHAnsi"/>
          <w:iCs/>
          <w:sz w:val="28"/>
          <w:szCs w:val="28"/>
        </w:rPr>
        <w:t>Romañá, Teresa. (2004)  Psicológica y ergonomía. Ergonomía y educación: un suma y sigue. Anuario de Psicológia. Vol ,35 nº4 Diciembre 2004.Paidós.</w:t>
      </w:r>
    </w:p>
    <w:p w:rsidR="0046263B" w:rsidRPr="005E1103" w:rsidRDefault="0046263B">
      <w:pPr>
        <w:rPr>
          <w:rFonts w:cstheme="minorHAnsi"/>
          <w:iCs/>
          <w:sz w:val="28"/>
          <w:szCs w:val="28"/>
        </w:rPr>
      </w:pPr>
      <w:r w:rsidRPr="005E1103">
        <w:rPr>
          <w:rFonts w:cstheme="minorHAnsi"/>
          <w:iCs/>
          <w:sz w:val="28"/>
          <w:szCs w:val="28"/>
        </w:rPr>
        <w:br w:type="page"/>
      </w:r>
    </w:p>
    <w:p w:rsidR="0046263B" w:rsidRPr="005E1103" w:rsidRDefault="0046263B" w:rsidP="0046263B">
      <w:pPr>
        <w:spacing w:line="360" w:lineRule="auto"/>
        <w:jc w:val="center"/>
        <w:rPr>
          <w:rFonts w:cstheme="minorHAnsi"/>
          <w:b/>
          <w:sz w:val="28"/>
          <w:szCs w:val="28"/>
        </w:rPr>
      </w:pPr>
      <w:r w:rsidRPr="005E1103">
        <w:rPr>
          <w:rFonts w:cstheme="minorHAnsi"/>
          <w:b/>
          <w:sz w:val="28"/>
          <w:szCs w:val="28"/>
        </w:rPr>
        <w:lastRenderedPageBreak/>
        <w:t>COMUNICACIÓN 9</w:t>
      </w:r>
    </w:p>
    <w:p w:rsidR="0046263B" w:rsidRPr="005E1103" w:rsidRDefault="0046263B" w:rsidP="0046263B">
      <w:pPr>
        <w:pBdr>
          <w:top w:val="single" w:sz="4" w:space="1" w:color="auto"/>
          <w:left w:val="single" w:sz="4" w:space="4" w:color="auto"/>
          <w:bottom w:val="single" w:sz="4" w:space="0" w:color="auto"/>
          <w:right w:val="single" w:sz="4" w:space="4" w:color="auto"/>
        </w:pBdr>
        <w:spacing w:after="0" w:line="240" w:lineRule="auto"/>
        <w:jc w:val="center"/>
        <w:rPr>
          <w:rFonts w:cstheme="minorHAnsi"/>
          <w:iCs/>
          <w:sz w:val="28"/>
          <w:szCs w:val="28"/>
        </w:rPr>
      </w:pPr>
      <w:r w:rsidRPr="005E1103">
        <w:rPr>
          <w:rFonts w:eastAsia="Times New Roman" w:cstheme="minorHAnsi"/>
          <w:b/>
          <w:color w:val="333333"/>
          <w:sz w:val="28"/>
          <w:szCs w:val="28"/>
          <w:lang w:eastAsia="pt-BR"/>
        </w:rPr>
        <w:t>ACCESIBILIDAD E INCLUSIÓN EN LA UNIVERSIDAD: Visión general de la investigación social y extensión desarrolladas en la UNESP</w:t>
      </w:r>
    </w:p>
    <w:p w:rsidR="0046263B" w:rsidRPr="005E1103" w:rsidRDefault="0046263B" w:rsidP="0046263B">
      <w:pPr>
        <w:spacing w:line="360" w:lineRule="auto"/>
        <w:ind w:firstLine="708"/>
        <w:jc w:val="both"/>
        <w:rPr>
          <w:rFonts w:cstheme="minorHAnsi"/>
          <w:sz w:val="28"/>
          <w:szCs w:val="28"/>
          <w:lang w:eastAsia="es-ES"/>
        </w:rPr>
      </w:pPr>
    </w:p>
    <w:p w:rsidR="0046263B" w:rsidRPr="005E1103" w:rsidRDefault="00AD3030" w:rsidP="00AD3030">
      <w:pPr>
        <w:autoSpaceDE w:val="0"/>
        <w:autoSpaceDN w:val="0"/>
        <w:adjustRightInd w:val="0"/>
        <w:spacing w:line="360" w:lineRule="auto"/>
        <w:ind w:left="709" w:hanging="1"/>
        <w:jc w:val="both"/>
        <w:rPr>
          <w:rFonts w:eastAsia="Times New Roman" w:cstheme="minorHAnsi"/>
          <w:color w:val="333333"/>
          <w:sz w:val="28"/>
          <w:szCs w:val="28"/>
          <w:lang w:eastAsia="pt-BR"/>
        </w:rPr>
      </w:pPr>
      <w:r w:rsidRPr="005E1103">
        <w:rPr>
          <w:rFonts w:eastAsia="Times New Roman" w:cstheme="minorHAnsi"/>
          <w:color w:val="333333"/>
          <w:sz w:val="28"/>
          <w:szCs w:val="28"/>
          <w:lang w:eastAsia="pt-BR"/>
        </w:rPr>
        <w:t xml:space="preserve">El trabajo tiene como objetivo realizar un panorama general de las actividades de investigación y extensión realizada por el proyecto de la red titulado "La Educación Superior Accesible", desarrollado por la UNESP, en colaboración con diferentes universidades públicas brasileñas, patrocinado por el programa Observatorio en Educación OBEDUC/CAPES y por el Pro- rector del Programa de Extensión vinculado a la universidad propuesta. Son integrantes de esta red, investigadores, estudiantes de doctorado, de maestría, de iniciación científica, de profesores de la red básica y otros colaboradores. Se dividieron en tres grandes temas principales; 1) Las políticas públicas de inclusión y accecibilidad, 2)La evaluación de las condiciones de acceso a las universidades participantes, 3)El desarrollo de productos de medios sobre la temática del proyecto. Se trata de un trabajo en vías de desarrollo cuyos resultados muestran aspectos sobre: a) la recopilación de informaciones sobre la base de datos científicos y regulaciones brasileñas que guían al acceso, a la circulación y a la permanencia de personas con discapacidad en la universidad (desde la identificación de los términos legales hasta los avisos de editoriales que orientan al exámen de ingreso a la universidad y de las políticas de formación de maestros), b) subsídios para la Evaluación de las condiciones de accesibilidad a la universidad en colaboración con la dirección del IES en la asistencia de procedimientos cadastrales y demográficos </w:t>
      </w:r>
      <w:r w:rsidRPr="005E1103">
        <w:rPr>
          <w:rFonts w:eastAsia="Times New Roman" w:cstheme="minorHAnsi"/>
          <w:color w:val="333333"/>
          <w:sz w:val="28"/>
          <w:szCs w:val="28"/>
          <w:lang w:eastAsia="pt-BR"/>
        </w:rPr>
        <w:lastRenderedPageBreak/>
        <w:t>con el objetivo de elevar el perfil y las necesidades educativas especiales de los estudiantes y del personal con discapacidad, c) la elaboración de productos instrumentales adecuados para trabajar en medios de difusión masiva como en la TV-Unesp (TVweb) y Rádio Unesp FM 105,7, en colaboración con el Programa Minuto Cidadania de la Unesp/Proex, sobre la inclusión y la accesibilidad de personas con discapacidad en la Universidad, entre otros asuntos. Los resultados que muestran las actividades desarrolladas se encuentran difundidos en productos audiovisuales, ebook, capítulos, artículos, entre otros medios descritos en el sitio web </w:t>
      </w:r>
      <w:hyperlink r:id="rId154" w:tgtFrame="_blank" w:history="1">
        <w:r w:rsidRPr="005E1103">
          <w:rPr>
            <w:rFonts w:eastAsia="Times New Roman" w:cstheme="minorHAnsi"/>
            <w:color w:val="1155CC"/>
            <w:sz w:val="28"/>
            <w:szCs w:val="28"/>
            <w:u w:val="single"/>
            <w:lang w:eastAsia="pt-BR"/>
          </w:rPr>
          <w:t>www.marilia.unesp/acessibilidade</w:t>
        </w:r>
      </w:hyperlink>
      <w:r w:rsidRPr="005E1103">
        <w:rPr>
          <w:rFonts w:eastAsia="Times New Roman" w:cstheme="minorHAnsi"/>
          <w:color w:val="333333"/>
          <w:sz w:val="28"/>
          <w:szCs w:val="28"/>
          <w:lang w:eastAsia="pt-BR"/>
        </w:rPr>
        <w:t>.</w:t>
      </w:r>
    </w:p>
    <w:p w:rsidR="00AD3030" w:rsidRPr="005E1103" w:rsidRDefault="00AD3030" w:rsidP="00AD3030">
      <w:pPr>
        <w:autoSpaceDE w:val="0"/>
        <w:autoSpaceDN w:val="0"/>
        <w:adjustRightInd w:val="0"/>
        <w:spacing w:line="360" w:lineRule="auto"/>
        <w:ind w:left="709" w:hanging="1"/>
        <w:jc w:val="both"/>
        <w:rPr>
          <w:rFonts w:eastAsia="Times New Roman" w:cstheme="minorHAnsi"/>
          <w:color w:val="333333"/>
          <w:sz w:val="28"/>
          <w:szCs w:val="28"/>
          <w:lang w:eastAsia="pt-BR"/>
        </w:rPr>
      </w:pPr>
      <w:r w:rsidRPr="005E1103">
        <w:rPr>
          <w:rFonts w:eastAsia="Times New Roman" w:cstheme="minorHAnsi"/>
          <w:color w:val="333333"/>
          <w:sz w:val="28"/>
          <w:szCs w:val="28"/>
          <w:lang w:eastAsia="pt-BR"/>
        </w:rPr>
        <w:t>La red establecida ha contribuido a la producción de conocimentos con experiencia en la materia de acuerdo con las políticas de educación inclusiva con el fin de deshacer los conceptos erróneos con respecto a la participación de las personas con discapacidad en el ámbito universitario.</w:t>
      </w:r>
    </w:p>
    <w:p w:rsidR="00AD3030" w:rsidRPr="005E1103" w:rsidRDefault="00AD3030">
      <w:pPr>
        <w:rPr>
          <w:rFonts w:eastAsia="Times New Roman" w:cstheme="minorHAnsi"/>
          <w:color w:val="333333"/>
          <w:sz w:val="28"/>
          <w:szCs w:val="28"/>
          <w:lang w:eastAsia="pt-BR"/>
        </w:rPr>
      </w:pPr>
      <w:r w:rsidRPr="005E1103">
        <w:rPr>
          <w:rFonts w:eastAsia="Times New Roman" w:cstheme="minorHAnsi"/>
          <w:color w:val="333333"/>
          <w:sz w:val="28"/>
          <w:szCs w:val="28"/>
          <w:lang w:eastAsia="pt-BR"/>
        </w:rPr>
        <w:br w:type="page"/>
      </w:r>
    </w:p>
    <w:p w:rsidR="00AD3030" w:rsidRPr="005E1103" w:rsidRDefault="00AD3030" w:rsidP="00AD3030">
      <w:pPr>
        <w:spacing w:line="360" w:lineRule="auto"/>
        <w:jc w:val="center"/>
        <w:rPr>
          <w:rFonts w:cstheme="minorHAnsi"/>
          <w:b/>
          <w:sz w:val="28"/>
          <w:szCs w:val="28"/>
        </w:rPr>
      </w:pPr>
      <w:r w:rsidRPr="005E1103">
        <w:rPr>
          <w:rFonts w:cstheme="minorHAnsi"/>
          <w:b/>
          <w:sz w:val="28"/>
          <w:szCs w:val="28"/>
        </w:rPr>
        <w:lastRenderedPageBreak/>
        <w:t>COMUNICACIÓN 10</w:t>
      </w:r>
    </w:p>
    <w:p w:rsidR="00AD3030" w:rsidRPr="005E1103" w:rsidRDefault="00AD3030" w:rsidP="00AD3030">
      <w:pPr>
        <w:spacing w:after="0" w:line="360" w:lineRule="auto"/>
        <w:jc w:val="center"/>
        <w:rPr>
          <w:rFonts w:eastAsia="Times New Roman" w:cstheme="minorHAnsi"/>
          <w:sz w:val="28"/>
          <w:szCs w:val="28"/>
          <w:lang w:eastAsia="es-ES"/>
        </w:rPr>
      </w:pPr>
      <w:r w:rsidRPr="005E1103">
        <w:rPr>
          <w:rFonts w:eastAsia="Times New Roman" w:cstheme="minorHAnsi"/>
          <w:sz w:val="28"/>
          <w:szCs w:val="28"/>
          <w:bdr w:val="single" w:sz="4" w:space="0" w:color="auto"/>
          <w:lang w:eastAsia="es-ES"/>
        </w:rPr>
        <w:t>Responsabilidad Social y Deporte en la Universidad de Castilla-La Mancha</w:t>
      </w:r>
    </w:p>
    <w:p w:rsidR="00AD3030" w:rsidRPr="005E1103" w:rsidRDefault="00AD3030" w:rsidP="00AD3030">
      <w:pPr>
        <w:spacing w:line="360" w:lineRule="auto"/>
        <w:jc w:val="center"/>
        <w:rPr>
          <w:rFonts w:cstheme="minorHAnsi"/>
          <w:b/>
          <w:sz w:val="28"/>
          <w:szCs w:val="28"/>
        </w:rPr>
      </w:pPr>
    </w:p>
    <w:p w:rsidR="00AD3030" w:rsidRPr="005E1103" w:rsidRDefault="00AD3030" w:rsidP="00AD3030">
      <w:pPr>
        <w:spacing w:after="0" w:line="360" w:lineRule="auto"/>
        <w:jc w:val="right"/>
        <w:rPr>
          <w:rFonts w:eastAsia="Times New Roman" w:cstheme="minorHAnsi"/>
          <w:sz w:val="28"/>
          <w:szCs w:val="28"/>
          <w:lang w:eastAsia="es-ES"/>
        </w:rPr>
      </w:pPr>
      <w:r w:rsidRPr="005E1103">
        <w:rPr>
          <w:rFonts w:eastAsia="Times New Roman" w:cstheme="minorHAnsi"/>
          <w:sz w:val="28"/>
          <w:szCs w:val="28"/>
          <w:lang w:eastAsia="es-ES"/>
        </w:rPr>
        <w:t>Juana Morcillo Moreno</w:t>
      </w:r>
    </w:p>
    <w:p w:rsidR="00AD3030" w:rsidRPr="005E1103" w:rsidRDefault="00AD3030" w:rsidP="00AD3030">
      <w:pPr>
        <w:spacing w:after="0" w:line="360" w:lineRule="auto"/>
        <w:jc w:val="right"/>
        <w:rPr>
          <w:rFonts w:eastAsia="Times New Roman" w:cstheme="minorHAnsi"/>
          <w:sz w:val="28"/>
          <w:szCs w:val="28"/>
          <w:lang w:eastAsia="es-ES"/>
        </w:rPr>
      </w:pPr>
      <w:r w:rsidRPr="005E1103">
        <w:rPr>
          <w:rFonts w:eastAsia="Times New Roman" w:cstheme="minorHAnsi"/>
          <w:sz w:val="28"/>
          <w:szCs w:val="28"/>
          <w:lang w:eastAsia="es-ES"/>
        </w:rPr>
        <w:t>Profesora Titular de Derecho Administrativo (UCLM)</w:t>
      </w:r>
    </w:p>
    <w:p w:rsidR="00AD3030" w:rsidRPr="005E1103" w:rsidRDefault="00AD3030" w:rsidP="00AD3030">
      <w:pPr>
        <w:spacing w:after="0" w:line="360" w:lineRule="auto"/>
        <w:jc w:val="right"/>
        <w:rPr>
          <w:rFonts w:eastAsia="Times New Roman" w:cstheme="minorHAnsi"/>
          <w:sz w:val="28"/>
          <w:szCs w:val="28"/>
          <w:lang w:eastAsia="es-ES"/>
        </w:rPr>
      </w:pPr>
      <w:r w:rsidRPr="005E1103">
        <w:rPr>
          <w:rFonts w:eastAsia="Times New Roman" w:cstheme="minorHAnsi"/>
          <w:sz w:val="28"/>
          <w:szCs w:val="28"/>
          <w:lang w:eastAsia="es-ES"/>
        </w:rPr>
        <w:t>Carmen María Fajardo Martínez</w:t>
      </w:r>
    </w:p>
    <w:p w:rsidR="00AD3030" w:rsidRPr="005E1103" w:rsidRDefault="00AD3030" w:rsidP="00AD3030">
      <w:pPr>
        <w:spacing w:after="0" w:line="360" w:lineRule="auto"/>
        <w:jc w:val="right"/>
        <w:rPr>
          <w:rFonts w:eastAsia="Times New Roman" w:cstheme="minorHAnsi"/>
          <w:sz w:val="28"/>
          <w:szCs w:val="28"/>
          <w:lang w:eastAsia="es-ES"/>
        </w:rPr>
      </w:pPr>
      <w:r w:rsidRPr="005E1103">
        <w:rPr>
          <w:rFonts w:eastAsia="Times New Roman" w:cstheme="minorHAnsi"/>
          <w:sz w:val="28"/>
          <w:szCs w:val="28"/>
          <w:lang w:eastAsia="es-ES"/>
        </w:rPr>
        <w:t>Doctoranda (UCLM)</w:t>
      </w:r>
    </w:p>
    <w:p w:rsidR="00AD3030" w:rsidRPr="005E1103" w:rsidRDefault="00AD3030" w:rsidP="00AD3030">
      <w:pPr>
        <w:widowControl w:val="0"/>
        <w:spacing w:after="0" w:line="360" w:lineRule="auto"/>
        <w:contextualSpacing/>
        <w:jc w:val="both"/>
        <w:outlineLvl w:val="1"/>
        <w:rPr>
          <w:rFonts w:eastAsia="Times New Roman" w:cstheme="minorHAnsi"/>
          <w:b/>
          <w:bCs/>
          <w:sz w:val="28"/>
          <w:szCs w:val="28"/>
        </w:rPr>
      </w:pPr>
    </w:p>
    <w:p w:rsidR="00AD3030" w:rsidRPr="005E1103" w:rsidRDefault="00AD3030" w:rsidP="00AD3030">
      <w:pPr>
        <w:widowControl w:val="0"/>
        <w:spacing w:after="0" w:line="360" w:lineRule="auto"/>
        <w:contextualSpacing/>
        <w:jc w:val="both"/>
        <w:outlineLvl w:val="1"/>
        <w:rPr>
          <w:rFonts w:eastAsia="SimSun" w:cstheme="minorHAnsi"/>
          <w:bCs/>
          <w:sz w:val="28"/>
          <w:szCs w:val="28"/>
        </w:rPr>
      </w:pPr>
      <w:r w:rsidRPr="005E1103">
        <w:rPr>
          <w:rFonts w:eastAsia="Times New Roman" w:cstheme="minorHAnsi"/>
          <w:b/>
          <w:bCs/>
          <w:sz w:val="28"/>
          <w:szCs w:val="28"/>
        </w:rPr>
        <w:t>INTRODUCCIÓN</w:t>
      </w:r>
    </w:p>
    <w:p w:rsidR="00AD3030" w:rsidRPr="005E1103" w:rsidRDefault="00AD3030" w:rsidP="00AD3030">
      <w:pPr>
        <w:widowControl w:val="0"/>
        <w:spacing w:before="120" w:after="120" w:line="360" w:lineRule="auto"/>
        <w:ind w:firstLine="284"/>
        <w:jc w:val="both"/>
        <w:outlineLvl w:val="1"/>
        <w:rPr>
          <w:rFonts w:eastAsia="SimSun" w:cstheme="minorHAnsi"/>
          <w:sz w:val="28"/>
          <w:szCs w:val="28"/>
        </w:rPr>
      </w:pPr>
      <w:bookmarkStart w:id="68" w:name="_Toc410671635"/>
      <w:r w:rsidRPr="005E1103">
        <w:rPr>
          <w:rFonts w:eastAsia="SimSun" w:cstheme="minorHAnsi"/>
          <w:sz w:val="28"/>
          <w:szCs w:val="28"/>
        </w:rPr>
        <w:t>En muy pocos años, la Universidad de Castilla-La Mancha (UCLM) ha pasado de ser una universidad convencional moderna a una universidad socialmente responsable. Y ello, a pesar de los crecientes problemas de financiación externa.</w:t>
      </w:r>
    </w:p>
    <w:p w:rsidR="00AD3030" w:rsidRPr="005E1103" w:rsidRDefault="00AD3030" w:rsidP="00AD3030">
      <w:pPr>
        <w:widowControl w:val="0"/>
        <w:spacing w:before="120" w:after="120" w:line="360" w:lineRule="auto"/>
        <w:ind w:firstLine="284"/>
        <w:jc w:val="both"/>
        <w:outlineLvl w:val="1"/>
        <w:rPr>
          <w:rFonts w:eastAsia="SimSun" w:cstheme="minorHAnsi"/>
          <w:sz w:val="28"/>
          <w:szCs w:val="28"/>
        </w:rPr>
      </w:pPr>
      <w:r w:rsidRPr="005E1103">
        <w:rPr>
          <w:rFonts w:eastAsia="SimSun" w:cstheme="minorHAnsi"/>
          <w:sz w:val="28"/>
          <w:szCs w:val="28"/>
        </w:rPr>
        <w:t>Habida cuenta del desarrollo que están experimentando tanto la sociedad como la economía del conocimiento, a las universidades se les ha asignado una nueva misión consistente en la prestación de servicios mediante procesos de transferencia tecnológica. En este sentido, la investigación aplicada</w:t>
      </w:r>
      <w:r w:rsidRPr="005E1103">
        <w:rPr>
          <w:rFonts w:eastAsia="SimSun" w:cstheme="minorHAnsi"/>
          <w:sz w:val="28"/>
          <w:szCs w:val="28"/>
          <w:vertAlign w:val="superscript"/>
        </w:rPr>
        <w:footnoteReference w:id="62"/>
      </w:r>
      <w:r w:rsidRPr="005E1103">
        <w:rPr>
          <w:rFonts w:eastAsia="SimSun" w:cstheme="minorHAnsi"/>
          <w:sz w:val="28"/>
          <w:szCs w:val="28"/>
        </w:rPr>
        <w:t xml:space="preserve"> es la que mejor responde a las necesidades del entorno, especialmente del mercado, sobre todo por la drástica reducción presupuestaria que ha afectado sobremanera a la educación y, desde luego, también a la educación superior.</w:t>
      </w:r>
      <w:r w:rsidRPr="005E1103" w:rsidDel="00424D38">
        <w:rPr>
          <w:rFonts w:eastAsia="SimSun" w:cstheme="minorHAnsi"/>
          <w:sz w:val="28"/>
          <w:szCs w:val="28"/>
        </w:rPr>
        <w:t xml:space="preserve"> </w:t>
      </w:r>
      <w:r w:rsidRPr="005E1103">
        <w:rPr>
          <w:rFonts w:eastAsia="SimSun" w:cstheme="minorHAnsi"/>
          <w:sz w:val="28"/>
          <w:szCs w:val="28"/>
        </w:rPr>
        <w:t>Por ello, un nuevo rol de responsabilidad o compromiso social hace necesaria una mayor articulación entre empresa, Estado y Universidad para seguir produciendo investigación, desarrollo e innovación</w:t>
      </w:r>
      <w:r w:rsidRPr="005E1103">
        <w:rPr>
          <w:rStyle w:val="Refdenotaalpie"/>
          <w:rFonts w:eastAsia="SimSun" w:cstheme="minorHAnsi"/>
          <w:sz w:val="28"/>
          <w:szCs w:val="28"/>
        </w:rPr>
        <w:footnoteReference w:id="63"/>
      </w:r>
      <w:r w:rsidRPr="005E1103">
        <w:rPr>
          <w:rFonts w:eastAsia="SimSun" w:cstheme="minorHAnsi"/>
          <w:sz w:val="28"/>
          <w:szCs w:val="28"/>
        </w:rPr>
        <w:t xml:space="preserve"> con el fin de satisfacer </w:t>
      </w:r>
      <w:r w:rsidRPr="005E1103">
        <w:rPr>
          <w:rFonts w:eastAsia="SimSun" w:cstheme="minorHAnsi"/>
          <w:sz w:val="28"/>
          <w:szCs w:val="28"/>
        </w:rPr>
        <w:lastRenderedPageBreak/>
        <w:t>eficientemente los intereses sociales.</w:t>
      </w:r>
    </w:p>
    <w:p w:rsidR="00AD3030" w:rsidRPr="005E1103" w:rsidRDefault="00AD3030" w:rsidP="00AD3030">
      <w:pPr>
        <w:widowControl w:val="0"/>
        <w:spacing w:before="120" w:after="120" w:line="360" w:lineRule="auto"/>
        <w:ind w:firstLine="284"/>
        <w:jc w:val="both"/>
        <w:outlineLvl w:val="1"/>
        <w:rPr>
          <w:rFonts w:eastAsia="SimSun" w:cstheme="minorHAnsi"/>
          <w:sz w:val="28"/>
          <w:szCs w:val="28"/>
        </w:rPr>
      </w:pPr>
      <w:r w:rsidRPr="005E1103">
        <w:rPr>
          <w:rFonts w:eastAsia="SimSun" w:cstheme="minorHAnsi"/>
          <w:sz w:val="28"/>
          <w:szCs w:val="28"/>
        </w:rPr>
        <w:t xml:space="preserve">Pues bien, los constantes avances sociales y la creciente tendencia hacia la autofinanciación de las Universidades han impulsado la necesidad de definir las partes interesadas de una organización (stakeholder). </w:t>
      </w:r>
    </w:p>
    <w:p w:rsidR="00AD3030" w:rsidRPr="005E1103" w:rsidRDefault="00AD3030" w:rsidP="00AD3030">
      <w:pPr>
        <w:widowControl w:val="0"/>
        <w:spacing w:before="120" w:after="120" w:line="360" w:lineRule="auto"/>
        <w:ind w:firstLine="284"/>
        <w:jc w:val="both"/>
        <w:outlineLvl w:val="1"/>
        <w:rPr>
          <w:rFonts w:eastAsia="SimSun" w:cstheme="minorHAnsi"/>
          <w:sz w:val="28"/>
          <w:szCs w:val="28"/>
        </w:rPr>
      </w:pPr>
      <w:r w:rsidRPr="005E1103">
        <w:rPr>
          <w:rFonts w:eastAsia="SimSun" w:cstheme="minorHAnsi"/>
          <w:sz w:val="28"/>
          <w:szCs w:val="28"/>
        </w:rPr>
        <w:t xml:space="preserve">A tal efecto, es preciso identificar las personas, grupos e instituciones intervinientes que podrán proporcionar, mediante redes de colaboración planificadas, recursos económicos, sociales, humanos y técnicos para mejorar la calidad de la institución educativa. </w:t>
      </w:r>
    </w:p>
    <w:p w:rsidR="00AD3030" w:rsidRPr="005E1103" w:rsidRDefault="00AD3030" w:rsidP="00AD3030">
      <w:pPr>
        <w:widowControl w:val="0"/>
        <w:spacing w:before="120" w:after="120" w:line="360" w:lineRule="auto"/>
        <w:ind w:firstLine="284"/>
        <w:jc w:val="both"/>
        <w:outlineLvl w:val="1"/>
        <w:rPr>
          <w:rFonts w:eastAsia="SimSun" w:cstheme="minorHAnsi"/>
          <w:sz w:val="28"/>
          <w:szCs w:val="28"/>
        </w:rPr>
      </w:pPr>
      <w:r w:rsidRPr="005E1103">
        <w:rPr>
          <w:rFonts w:eastAsia="SimSun" w:cstheme="minorHAnsi"/>
          <w:sz w:val="28"/>
          <w:szCs w:val="28"/>
        </w:rPr>
        <w:t xml:space="preserve">Además, como propósito de obligado cumplimiento por parte de los gestores universitarios, y de cara al impulso de políticas integradoras que permitan alcanzar un comportamiento socialmente responsable y aceptado por la comunidad universitaria, es preciso estudiar nuevas estrategias de gestión a favor de las personas con discapacidad basadas en </w:t>
      </w:r>
      <w:r w:rsidRPr="005E1103">
        <w:rPr>
          <w:rFonts w:eastAsia="SimSun" w:cstheme="minorHAnsi"/>
          <w:bCs/>
          <w:sz w:val="28"/>
          <w:szCs w:val="28"/>
        </w:rPr>
        <w:t xml:space="preserve">la “Economía del Bien Común” (EBC). Y uno de </w:t>
      </w:r>
      <w:r w:rsidRPr="005E1103">
        <w:rPr>
          <w:rFonts w:eastAsia="SimSun" w:cstheme="minorHAnsi"/>
          <w:sz w:val="28"/>
          <w:szCs w:val="28"/>
        </w:rPr>
        <w:t xml:space="preserve">los campos en que precisamente se ha apreciado la necesidad de poner en práctica dichos planteamientos es el del deporte adaptado. </w:t>
      </w:r>
    </w:p>
    <w:p w:rsidR="00AD3030" w:rsidRPr="005E1103" w:rsidRDefault="00AD3030" w:rsidP="00AD3030">
      <w:pPr>
        <w:widowControl w:val="0"/>
        <w:spacing w:before="120" w:after="120" w:line="360" w:lineRule="auto"/>
        <w:ind w:firstLine="284"/>
        <w:jc w:val="both"/>
        <w:outlineLvl w:val="1"/>
        <w:rPr>
          <w:rFonts w:eastAsia="SimSun" w:cstheme="minorHAnsi"/>
          <w:sz w:val="28"/>
          <w:szCs w:val="28"/>
        </w:rPr>
      </w:pPr>
      <w:r w:rsidRPr="005E1103">
        <w:rPr>
          <w:rFonts w:eastAsia="SimSun" w:cstheme="minorHAnsi"/>
          <w:sz w:val="28"/>
          <w:szCs w:val="28"/>
        </w:rPr>
        <w:t xml:space="preserve">Así pues, a partir del Capítulo III del Título II de la </w:t>
      </w:r>
      <w:r w:rsidRPr="005E1103">
        <w:rPr>
          <w:rFonts w:eastAsia="SimSun" w:cstheme="minorHAnsi"/>
          <w:b/>
          <w:sz w:val="28"/>
          <w:szCs w:val="28"/>
        </w:rPr>
        <w:t>Ley 5/2015, de 26 de marzo, de la Actividad Física y el Deporte de Castilla-La Mancha</w:t>
      </w:r>
      <w:r w:rsidRPr="005E1103">
        <w:rPr>
          <w:rFonts w:eastAsia="SimSun" w:cstheme="minorHAnsi"/>
          <w:sz w:val="28"/>
          <w:szCs w:val="28"/>
        </w:rPr>
        <w:t>, la presente propuesta se centra en plantear un nuevo enfoque jurídico del servicio de deporte universitario en la UCLM para sentar las bases organizativas de los planes estratégicos relativos al deporte universitario y contribuir, así, a la igualdad de oportunidades atendiendo a la diversidad de todos los usuarios.</w:t>
      </w:r>
    </w:p>
    <w:p w:rsidR="00AD3030" w:rsidRPr="005E1103" w:rsidRDefault="00AD3030" w:rsidP="00AD3030">
      <w:pPr>
        <w:spacing w:after="0" w:line="360" w:lineRule="auto"/>
        <w:contextualSpacing/>
        <w:jc w:val="both"/>
        <w:rPr>
          <w:rFonts w:eastAsia="Times New Roman" w:cstheme="minorHAnsi"/>
          <w:b/>
          <w:bCs/>
          <w:iCs/>
          <w:sz w:val="28"/>
          <w:szCs w:val="28"/>
        </w:rPr>
      </w:pPr>
    </w:p>
    <w:p w:rsidR="00AD3030" w:rsidRPr="005E1103" w:rsidRDefault="00AD3030" w:rsidP="00AD3030">
      <w:pPr>
        <w:spacing w:after="0" w:line="360" w:lineRule="auto"/>
        <w:contextualSpacing/>
        <w:jc w:val="both"/>
        <w:rPr>
          <w:rFonts w:eastAsia="Times New Roman" w:cstheme="minorHAnsi"/>
          <w:b/>
          <w:bCs/>
          <w:iCs/>
          <w:sz w:val="28"/>
          <w:szCs w:val="28"/>
        </w:rPr>
      </w:pPr>
      <w:r w:rsidRPr="005E1103">
        <w:rPr>
          <w:rFonts w:eastAsia="Times New Roman" w:cstheme="minorHAnsi"/>
          <w:b/>
          <w:bCs/>
          <w:iCs/>
          <w:sz w:val="28"/>
          <w:szCs w:val="28"/>
        </w:rPr>
        <w:t>ANTECEDENTES</w:t>
      </w:r>
      <w:bookmarkEnd w:id="68"/>
    </w:p>
    <w:p w:rsidR="00AD3030" w:rsidRPr="005E1103" w:rsidRDefault="00AD3030" w:rsidP="00AD3030">
      <w:pPr>
        <w:widowControl w:val="0"/>
        <w:spacing w:before="120" w:after="120" w:line="360" w:lineRule="auto"/>
        <w:ind w:firstLine="284"/>
        <w:jc w:val="both"/>
        <w:outlineLvl w:val="1"/>
        <w:rPr>
          <w:rFonts w:eastAsia="Times New Roman" w:cstheme="minorHAnsi"/>
          <w:bCs/>
          <w:iCs/>
          <w:sz w:val="28"/>
          <w:szCs w:val="28"/>
        </w:rPr>
      </w:pPr>
      <w:r w:rsidRPr="005E1103">
        <w:rPr>
          <w:rFonts w:eastAsia="Times New Roman" w:cstheme="minorHAnsi"/>
          <w:bCs/>
          <w:iCs/>
          <w:sz w:val="28"/>
          <w:szCs w:val="28"/>
        </w:rPr>
        <w:lastRenderedPageBreak/>
        <w:t>El porcentaje de personas con discapacidad era en 1970 de, aproximadamente, el 10%. En el año 2010, se calcula que había más de mil millones de personas que vivían con algún tipo de discapacidad, es decir, un 15% de la población mundial. La tendencia marca que la cifra de personas con discapacidad va aumentando, sobre todo por el envejecimiento de la población y por el incremento de enfermedades crónicas asociadas a la discapacidad (OMS, 2011).</w:t>
      </w:r>
    </w:p>
    <w:p w:rsidR="00AD3030" w:rsidRPr="005E1103" w:rsidRDefault="00AD3030" w:rsidP="00AD3030">
      <w:pPr>
        <w:widowControl w:val="0"/>
        <w:spacing w:before="120" w:after="120" w:line="360" w:lineRule="auto"/>
        <w:ind w:firstLine="284"/>
        <w:jc w:val="both"/>
        <w:outlineLvl w:val="1"/>
        <w:rPr>
          <w:rFonts w:eastAsia="Times New Roman" w:cstheme="minorHAnsi"/>
          <w:bCs/>
          <w:iCs/>
          <w:sz w:val="28"/>
          <w:szCs w:val="28"/>
        </w:rPr>
      </w:pPr>
      <w:r w:rsidRPr="005E1103">
        <w:rPr>
          <w:rFonts w:eastAsia="Times New Roman" w:cstheme="minorHAnsi"/>
          <w:bCs/>
          <w:iCs/>
          <w:sz w:val="28"/>
          <w:szCs w:val="28"/>
        </w:rPr>
        <w:t xml:space="preserve">Naciones Unidas apunta que “las personas con discapacidad incluyen a aquellas que tengan deficiencias físicas, mentales, intelectuales o sensoriales a largo plazo que, al interactuar con diversas </w:t>
      </w:r>
      <w:r w:rsidRPr="005E1103">
        <w:rPr>
          <w:rFonts w:eastAsia="SimSun" w:cstheme="minorHAnsi"/>
          <w:sz w:val="28"/>
          <w:szCs w:val="28"/>
        </w:rPr>
        <w:t>barreras</w:t>
      </w:r>
      <w:r w:rsidRPr="005E1103">
        <w:rPr>
          <w:rFonts w:eastAsia="Times New Roman" w:cstheme="minorHAnsi"/>
          <w:bCs/>
          <w:iCs/>
          <w:sz w:val="28"/>
          <w:szCs w:val="28"/>
        </w:rPr>
        <w:t>, puedan impedir su participación plena y efectiva en la sociedad, en igualdad de condiciones con las demás”. Tal definición manifiesta que la discapacidad depende en gran medida de la percepción que la sociedad tenga sobre la misma.</w:t>
      </w:r>
    </w:p>
    <w:p w:rsidR="00AD3030" w:rsidRPr="005E1103" w:rsidRDefault="00AD3030" w:rsidP="00AD3030">
      <w:pPr>
        <w:widowControl w:val="0"/>
        <w:spacing w:before="120" w:after="120" w:line="360" w:lineRule="auto"/>
        <w:ind w:firstLine="284"/>
        <w:jc w:val="both"/>
        <w:outlineLvl w:val="1"/>
        <w:rPr>
          <w:rFonts w:eastAsia="Times New Roman" w:cstheme="minorHAnsi"/>
          <w:bCs/>
          <w:iCs/>
          <w:sz w:val="28"/>
          <w:szCs w:val="28"/>
        </w:rPr>
      </w:pPr>
      <w:r w:rsidRPr="005E1103">
        <w:rPr>
          <w:rFonts w:eastAsia="Times New Roman" w:cstheme="minorHAnsi"/>
          <w:bCs/>
          <w:iCs/>
          <w:sz w:val="28"/>
          <w:szCs w:val="28"/>
        </w:rPr>
        <w:t xml:space="preserve">Si nos centramos en </w:t>
      </w:r>
      <w:r w:rsidRPr="005E1103">
        <w:rPr>
          <w:rFonts w:eastAsia="SimSun" w:cstheme="minorHAnsi"/>
          <w:sz w:val="28"/>
          <w:szCs w:val="28"/>
        </w:rPr>
        <w:t>los</w:t>
      </w:r>
      <w:r w:rsidRPr="005E1103">
        <w:rPr>
          <w:rFonts w:eastAsia="Times New Roman" w:cstheme="minorHAnsi"/>
          <w:bCs/>
          <w:iCs/>
          <w:sz w:val="28"/>
          <w:szCs w:val="28"/>
        </w:rPr>
        <w:t xml:space="preserve"> datos de la UCLM respecto a los alumnos matriculados con alguna discapacidad, en el curso pasado (2015-2016), 310 alumnos cursaban alguna titulación universitaria. Ello hace necesaria una delimitación competencial entre Administraciones en materia de deporte y actividad físico-deportiva dirigida a personas con discapacidad con el fin de coordinar esfuerzos y acciones hacia un objetivo general que tenga reflejo en la normativa estatal y autonómica.</w:t>
      </w:r>
      <w:r w:rsidRPr="005E1103" w:rsidDel="00DD4774">
        <w:rPr>
          <w:rFonts w:eastAsia="Times New Roman" w:cstheme="minorHAnsi"/>
          <w:bCs/>
          <w:iCs/>
          <w:sz w:val="28"/>
          <w:szCs w:val="28"/>
        </w:rPr>
        <w:t xml:space="preserve"> </w:t>
      </w:r>
      <w:r w:rsidRPr="005E1103">
        <w:rPr>
          <w:rFonts w:eastAsia="Times New Roman" w:cstheme="minorHAnsi"/>
          <w:bCs/>
          <w:iCs/>
          <w:sz w:val="28"/>
          <w:szCs w:val="28"/>
        </w:rPr>
        <w:t>En este sentido, si es importante promocionar la práctica deportiva y la actividad física en la población en general, más aún lo es cuando de personas con discapacidad se trata.</w:t>
      </w:r>
    </w:p>
    <w:p w:rsidR="00AD3030" w:rsidRPr="005E1103" w:rsidRDefault="00AD3030" w:rsidP="00AD3030">
      <w:pPr>
        <w:spacing w:after="0" w:line="360" w:lineRule="auto"/>
        <w:contextualSpacing/>
        <w:jc w:val="both"/>
        <w:rPr>
          <w:rFonts w:eastAsia="Times New Roman" w:cstheme="minorHAnsi"/>
          <w:b/>
          <w:bCs/>
          <w:iCs/>
          <w:sz w:val="28"/>
          <w:szCs w:val="28"/>
        </w:rPr>
      </w:pPr>
      <w:bookmarkStart w:id="69" w:name="_Toc410671636"/>
    </w:p>
    <w:p w:rsidR="00AD3030" w:rsidRPr="005E1103" w:rsidRDefault="00AD3030" w:rsidP="00AD3030">
      <w:pPr>
        <w:spacing w:after="0" w:line="360" w:lineRule="auto"/>
        <w:contextualSpacing/>
        <w:jc w:val="both"/>
        <w:rPr>
          <w:rFonts w:eastAsia="Times New Roman" w:cstheme="minorHAnsi"/>
          <w:b/>
          <w:bCs/>
          <w:iCs/>
          <w:sz w:val="28"/>
          <w:szCs w:val="28"/>
        </w:rPr>
      </w:pPr>
      <w:r w:rsidRPr="005E1103">
        <w:rPr>
          <w:rFonts w:eastAsia="Times New Roman" w:cstheme="minorHAnsi"/>
          <w:b/>
          <w:bCs/>
          <w:iCs/>
          <w:sz w:val="28"/>
          <w:szCs w:val="28"/>
        </w:rPr>
        <w:t>JUSTIFICACIÓN DEL PROYECTO</w:t>
      </w:r>
      <w:bookmarkEnd w:id="69"/>
    </w:p>
    <w:p w:rsidR="00AD3030" w:rsidRPr="005E1103" w:rsidRDefault="00AD3030" w:rsidP="00AD3030">
      <w:pPr>
        <w:numPr>
          <w:ilvl w:val="0"/>
          <w:numId w:val="109"/>
        </w:numPr>
        <w:spacing w:after="0" w:line="360" w:lineRule="auto"/>
        <w:contextualSpacing/>
        <w:jc w:val="both"/>
        <w:rPr>
          <w:rFonts w:eastAsia="Times New Roman" w:cstheme="minorHAnsi"/>
          <w:b/>
          <w:bCs/>
          <w:vanish/>
          <w:sz w:val="28"/>
          <w:szCs w:val="28"/>
        </w:rPr>
      </w:pPr>
    </w:p>
    <w:p w:rsidR="00AD3030" w:rsidRPr="005E1103" w:rsidRDefault="00AD3030" w:rsidP="00AD3030">
      <w:pPr>
        <w:numPr>
          <w:ilvl w:val="0"/>
          <w:numId w:val="109"/>
        </w:numPr>
        <w:spacing w:after="0" w:line="360" w:lineRule="auto"/>
        <w:contextualSpacing/>
        <w:jc w:val="both"/>
        <w:rPr>
          <w:rFonts w:eastAsia="Times New Roman" w:cstheme="minorHAnsi"/>
          <w:b/>
          <w:bCs/>
          <w:vanish/>
          <w:sz w:val="28"/>
          <w:szCs w:val="28"/>
        </w:rPr>
      </w:pPr>
    </w:p>
    <w:p w:rsidR="00AD3030" w:rsidRPr="005E1103" w:rsidRDefault="00AD3030" w:rsidP="00AD3030">
      <w:pPr>
        <w:numPr>
          <w:ilvl w:val="0"/>
          <w:numId w:val="109"/>
        </w:numPr>
        <w:spacing w:after="0" w:line="360" w:lineRule="auto"/>
        <w:contextualSpacing/>
        <w:jc w:val="both"/>
        <w:rPr>
          <w:rFonts w:eastAsia="Times New Roman" w:cstheme="minorHAnsi"/>
          <w:b/>
          <w:bCs/>
          <w:vanish/>
          <w:sz w:val="28"/>
          <w:szCs w:val="28"/>
        </w:rPr>
      </w:pPr>
    </w:p>
    <w:p w:rsidR="00AD3030" w:rsidRPr="005E1103" w:rsidRDefault="00AD3030" w:rsidP="00AD3030">
      <w:pPr>
        <w:widowControl w:val="0"/>
        <w:spacing w:before="120" w:after="120" w:line="360" w:lineRule="auto"/>
        <w:ind w:firstLine="284"/>
        <w:jc w:val="both"/>
        <w:outlineLvl w:val="1"/>
        <w:rPr>
          <w:rFonts w:eastAsia="Times New Roman" w:cstheme="minorHAnsi"/>
          <w:bCs/>
          <w:sz w:val="28"/>
          <w:szCs w:val="28"/>
        </w:rPr>
      </w:pPr>
      <w:r w:rsidRPr="005E1103">
        <w:rPr>
          <w:rFonts w:eastAsia="Times New Roman" w:cstheme="minorHAnsi"/>
          <w:bCs/>
          <w:sz w:val="28"/>
          <w:szCs w:val="28"/>
        </w:rPr>
        <w:t xml:space="preserve">Los sistemas de educación superior de todo el mundo están tomando conciencia del reto de ofrecer a todos los alumnos educación y servicios de calidad, cambiando el paradigma educativo y de gestión hacia la inclusión. Para ello, es necesario un </w:t>
      </w:r>
      <w:r w:rsidRPr="005E1103">
        <w:rPr>
          <w:rFonts w:eastAsia="SimSun" w:cstheme="minorHAnsi"/>
          <w:sz w:val="28"/>
          <w:szCs w:val="28"/>
        </w:rPr>
        <w:t>programa</w:t>
      </w:r>
      <w:r w:rsidRPr="005E1103">
        <w:rPr>
          <w:rFonts w:eastAsia="Times New Roman" w:cstheme="minorHAnsi"/>
          <w:bCs/>
          <w:sz w:val="28"/>
          <w:szCs w:val="28"/>
        </w:rPr>
        <w:t xml:space="preserve"> de Atención a la Diversidad Integral en el que participe toda la comunidad universitaria y se mantenga en constante evolución.</w:t>
      </w:r>
    </w:p>
    <w:p w:rsidR="00AD3030" w:rsidRPr="005E1103" w:rsidRDefault="00AD3030" w:rsidP="00AD3030">
      <w:pPr>
        <w:widowControl w:val="0"/>
        <w:spacing w:before="120" w:after="120" w:line="360" w:lineRule="auto"/>
        <w:ind w:firstLine="284"/>
        <w:jc w:val="both"/>
        <w:outlineLvl w:val="1"/>
        <w:rPr>
          <w:rFonts w:eastAsia="Times New Roman" w:cstheme="minorHAnsi"/>
          <w:bCs/>
          <w:sz w:val="28"/>
          <w:szCs w:val="28"/>
        </w:rPr>
      </w:pPr>
      <w:r w:rsidRPr="005E1103">
        <w:rPr>
          <w:rFonts w:eastAsia="Times New Roman" w:cstheme="minorHAnsi"/>
          <w:bCs/>
          <w:iCs/>
          <w:sz w:val="28"/>
          <w:szCs w:val="28"/>
        </w:rPr>
        <w:t xml:space="preserve">Las políticas de ajustes presupuestarios han generado un conflicto en la aplicación de normas sociales, provocando un </w:t>
      </w:r>
      <w:r w:rsidRPr="005E1103">
        <w:rPr>
          <w:rFonts w:eastAsia="Times New Roman" w:cstheme="minorHAnsi"/>
          <w:bCs/>
          <w:sz w:val="28"/>
          <w:szCs w:val="28"/>
        </w:rPr>
        <w:t xml:space="preserve">retroceso significativo y una merma del estado del bienestar. Un claro ejemplo lo tenemos en la paralización de la puesta en marcha de la Convención Internacional de los derechos de las personas con discapacidad de la ONU, pues los ajustes establecidos desde el ejercicio económico 2011 han hecho imposible una aplicación efectiva de las normas sobre protección jurídica de derechos de las personas con diversidad en toda su </w:t>
      </w:r>
      <w:r w:rsidRPr="005E1103">
        <w:rPr>
          <w:rFonts w:eastAsia="SimSun" w:cstheme="minorHAnsi"/>
          <w:sz w:val="28"/>
          <w:szCs w:val="28"/>
        </w:rPr>
        <w:t>extensión</w:t>
      </w:r>
      <w:r w:rsidRPr="005E1103">
        <w:rPr>
          <w:rStyle w:val="Refdenotaalpie"/>
          <w:rFonts w:eastAsia="Times New Roman" w:cstheme="minorHAnsi"/>
          <w:bCs/>
          <w:sz w:val="28"/>
          <w:szCs w:val="28"/>
        </w:rPr>
        <w:footnoteReference w:id="64"/>
      </w:r>
      <w:r w:rsidRPr="005E1103">
        <w:rPr>
          <w:rFonts w:eastAsia="Times New Roman" w:cstheme="minorHAnsi"/>
          <w:bCs/>
          <w:sz w:val="28"/>
          <w:szCs w:val="28"/>
        </w:rPr>
        <w:t xml:space="preserve">. Y es que no sólo es importante legislar en materia de educación, sino también que esa legislación se aplique y desarrolle. </w:t>
      </w:r>
    </w:p>
    <w:p w:rsidR="00AD3030" w:rsidRPr="005E1103" w:rsidRDefault="00AD3030" w:rsidP="00AD3030">
      <w:pPr>
        <w:widowControl w:val="0"/>
        <w:spacing w:before="120" w:after="120" w:line="360" w:lineRule="auto"/>
        <w:ind w:firstLine="284"/>
        <w:jc w:val="both"/>
        <w:outlineLvl w:val="1"/>
        <w:rPr>
          <w:rFonts w:eastAsia="Times New Roman" w:cstheme="minorHAnsi"/>
          <w:bCs/>
          <w:sz w:val="28"/>
          <w:szCs w:val="28"/>
        </w:rPr>
      </w:pPr>
      <w:r w:rsidRPr="005E1103">
        <w:rPr>
          <w:rFonts w:eastAsia="Times New Roman" w:cstheme="minorHAnsi"/>
          <w:bCs/>
          <w:sz w:val="28"/>
          <w:szCs w:val="28"/>
        </w:rPr>
        <w:t>Además, también se percibe un claro conflicto entre gasto e inversión, pues si dedicar una partida presupuestaria a proteger los derechos de los colectivos más frágiles y vulnerables es un gasto -y no una inversión en cohesión social-, estamos incurriendo en un grave error. Por ello, deben buscarse alternativas económicas que tengan como base valores humanos, como el sistema económico de la ECB. Justo por ello este trabajo toma como punto de partida dicho sistema</w:t>
      </w:r>
      <w:r w:rsidRPr="005E1103">
        <w:rPr>
          <w:rStyle w:val="Refdenotaalpie"/>
          <w:rFonts w:eastAsia="Times New Roman" w:cstheme="minorHAnsi"/>
          <w:bCs/>
          <w:sz w:val="28"/>
          <w:szCs w:val="28"/>
        </w:rPr>
        <w:footnoteReference w:id="65"/>
      </w:r>
      <w:r w:rsidRPr="005E1103">
        <w:rPr>
          <w:rFonts w:eastAsia="Times New Roman" w:cstheme="minorHAnsi"/>
          <w:bCs/>
          <w:sz w:val="28"/>
          <w:szCs w:val="28"/>
        </w:rPr>
        <w:t xml:space="preserve">. </w:t>
      </w:r>
    </w:p>
    <w:p w:rsidR="00AD3030" w:rsidRPr="005E1103" w:rsidRDefault="00AD3030" w:rsidP="00AD3030">
      <w:pPr>
        <w:widowControl w:val="0"/>
        <w:spacing w:before="120" w:after="120" w:line="360" w:lineRule="auto"/>
        <w:ind w:firstLine="284"/>
        <w:jc w:val="both"/>
        <w:outlineLvl w:val="1"/>
        <w:rPr>
          <w:rFonts w:eastAsia="Times New Roman" w:cstheme="minorHAnsi"/>
          <w:bCs/>
          <w:sz w:val="28"/>
          <w:szCs w:val="28"/>
        </w:rPr>
      </w:pPr>
      <w:r w:rsidRPr="005E1103">
        <w:rPr>
          <w:rFonts w:eastAsia="Times New Roman" w:cstheme="minorHAnsi"/>
          <w:bCs/>
          <w:sz w:val="28"/>
          <w:szCs w:val="28"/>
        </w:rPr>
        <w:lastRenderedPageBreak/>
        <w:t xml:space="preserve">Los usuarios principales de la institución universitaria son, además de los estudiantes, el personal docente e investigador (PDI) y el personal de administración y servicios (PAS), además de otras Administraciones y empresas que valoren la relación y cooperación con una institución comprometida con la calidad, con el servicio, con el usuario y, por supuesto, con la sostenibilidad y el cuidado del medio ambiente. </w:t>
      </w:r>
    </w:p>
    <w:p w:rsidR="00AD3030" w:rsidRPr="005E1103" w:rsidRDefault="00AD3030" w:rsidP="00AD3030">
      <w:pPr>
        <w:widowControl w:val="0"/>
        <w:spacing w:before="120" w:after="120" w:line="360" w:lineRule="auto"/>
        <w:ind w:firstLine="284"/>
        <w:jc w:val="both"/>
        <w:outlineLvl w:val="1"/>
        <w:rPr>
          <w:rFonts w:eastAsia="Times New Roman" w:cstheme="minorHAnsi"/>
          <w:bCs/>
          <w:sz w:val="28"/>
          <w:szCs w:val="28"/>
        </w:rPr>
      </w:pPr>
      <w:r w:rsidRPr="005E1103">
        <w:rPr>
          <w:rFonts w:eastAsia="Times New Roman" w:cstheme="minorHAnsi"/>
          <w:bCs/>
          <w:sz w:val="28"/>
          <w:szCs w:val="28"/>
        </w:rPr>
        <w:t>Por todo ello, hay que adaptar la normativa universitaria a los avances sociales. No en vano, la normativa actual aplicable al deporte adaptado en la educación superior se limita a señalar la necesidad de que las universidades dispongan de </w:t>
      </w:r>
      <w:r w:rsidRPr="005E1103">
        <w:rPr>
          <w:rFonts w:eastAsia="Times New Roman" w:cstheme="minorHAnsi"/>
          <w:bCs/>
          <w:iCs/>
          <w:sz w:val="28"/>
          <w:szCs w:val="28"/>
        </w:rPr>
        <w:t xml:space="preserve">servicios de apoyo y asesoramiento adecuados, sin precisar en qué podrían consistir dichos servicios. </w:t>
      </w:r>
    </w:p>
    <w:p w:rsidR="00AD3030" w:rsidRPr="005E1103" w:rsidRDefault="00AD3030" w:rsidP="00AD3030">
      <w:pPr>
        <w:spacing w:after="0" w:line="360" w:lineRule="auto"/>
        <w:contextualSpacing/>
        <w:jc w:val="both"/>
        <w:rPr>
          <w:rFonts w:eastAsia="Times New Roman" w:cstheme="minorHAnsi"/>
          <w:bCs/>
          <w:sz w:val="28"/>
          <w:szCs w:val="28"/>
          <w:lang w:val="es-ES_tradnl"/>
        </w:rPr>
      </w:pPr>
    </w:p>
    <w:p w:rsidR="00AD3030" w:rsidRPr="005E1103" w:rsidRDefault="00AD3030" w:rsidP="00AD3030">
      <w:pPr>
        <w:spacing w:after="0" w:line="360" w:lineRule="auto"/>
        <w:contextualSpacing/>
        <w:jc w:val="both"/>
        <w:rPr>
          <w:rFonts w:eastAsia="Times New Roman" w:cstheme="minorHAnsi"/>
          <w:b/>
          <w:bCs/>
          <w:sz w:val="28"/>
          <w:szCs w:val="28"/>
        </w:rPr>
      </w:pPr>
      <w:r w:rsidRPr="005E1103">
        <w:rPr>
          <w:rFonts w:eastAsia="Times New Roman" w:cstheme="minorHAnsi"/>
          <w:b/>
          <w:bCs/>
          <w:sz w:val="28"/>
          <w:szCs w:val="28"/>
        </w:rPr>
        <w:t>MÉTODO</w:t>
      </w:r>
    </w:p>
    <w:p w:rsidR="00AD3030" w:rsidRPr="005E1103" w:rsidRDefault="00AD3030" w:rsidP="00AD3030">
      <w:pPr>
        <w:widowControl w:val="0"/>
        <w:spacing w:before="120" w:after="120" w:line="360" w:lineRule="auto"/>
        <w:ind w:firstLine="284"/>
        <w:jc w:val="both"/>
        <w:outlineLvl w:val="1"/>
        <w:rPr>
          <w:rFonts w:eastAsia="Times New Roman" w:cstheme="minorHAnsi"/>
          <w:bCs/>
          <w:iCs/>
          <w:sz w:val="28"/>
          <w:szCs w:val="28"/>
        </w:rPr>
      </w:pPr>
      <w:r w:rsidRPr="005E1103">
        <w:rPr>
          <w:rFonts w:eastAsia="Times New Roman" w:cstheme="minorHAnsi"/>
          <w:bCs/>
          <w:iCs/>
          <w:sz w:val="28"/>
          <w:szCs w:val="28"/>
        </w:rPr>
        <w:t xml:space="preserve">Este trabajo parte de una investigación inductiva de base jurídica en la que se ha considerado como universo de estudio la Comunidad Autónoma de Castilla-La Mancha. </w:t>
      </w:r>
    </w:p>
    <w:p w:rsidR="00AD3030" w:rsidRPr="005E1103" w:rsidRDefault="00AD3030" w:rsidP="00AD3030">
      <w:pPr>
        <w:widowControl w:val="0"/>
        <w:spacing w:before="120" w:after="120" w:line="360" w:lineRule="auto"/>
        <w:ind w:firstLine="284"/>
        <w:jc w:val="both"/>
        <w:outlineLvl w:val="1"/>
        <w:rPr>
          <w:rFonts w:eastAsia="Times New Roman" w:cstheme="minorHAnsi"/>
          <w:bCs/>
          <w:iCs/>
          <w:sz w:val="28"/>
          <w:szCs w:val="28"/>
        </w:rPr>
      </w:pPr>
      <w:r w:rsidRPr="005E1103">
        <w:rPr>
          <w:rFonts w:eastAsia="Times New Roman" w:cstheme="minorHAnsi"/>
          <w:bCs/>
          <w:iCs/>
          <w:sz w:val="28"/>
          <w:szCs w:val="28"/>
        </w:rPr>
        <w:t xml:space="preserve">Estamos en la primera fase de la investigación, pues se están identificando los </w:t>
      </w:r>
      <w:r w:rsidRPr="005E1103">
        <w:rPr>
          <w:rFonts w:eastAsia="Times New Roman" w:cstheme="minorHAnsi"/>
          <w:bCs/>
          <w:i/>
          <w:iCs/>
          <w:sz w:val="28"/>
          <w:szCs w:val="28"/>
        </w:rPr>
        <w:t>stakeholders</w:t>
      </w:r>
      <w:r w:rsidRPr="005E1103">
        <w:rPr>
          <w:rFonts w:eastAsia="Times New Roman" w:cstheme="minorHAnsi"/>
          <w:bCs/>
          <w:iCs/>
          <w:sz w:val="28"/>
          <w:szCs w:val="28"/>
        </w:rPr>
        <w:t xml:space="preserve"> o grupos de interés internos y externos implicados (UCLM, Asociación de Deporte Adaptado de Castilla-La Mancha –como centro especializado–, así como otros centros y entidades de colaboración entre los que estaría como órgano asesor de reciente creación el Consejo de la Actividad Física y el Deporte de Castilla-La Mancha).</w:t>
      </w:r>
    </w:p>
    <w:p w:rsidR="00AD3030" w:rsidRPr="005E1103" w:rsidRDefault="00AD3030" w:rsidP="00AD3030">
      <w:pPr>
        <w:widowControl w:val="0"/>
        <w:spacing w:before="120" w:after="120" w:line="360" w:lineRule="auto"/>
        <w:ind w:firstLine="284"/>
        <w:jc w:val="both"/>
        <w:outlineLvl w:val="1"/>
        <w:rPr>
          <w:rFonts w:eastAsia="Times New Roman" w:cstheme="minorHAnsi"/>
          <w:bCs/>
          <w:iCs/>
          <w:sz w:val="28"/>
          <w:szCs w:val="28"/>
        </w:rPr>
      </w:pPr>
      <w:r w:rsidRPr="005E1103">
        <w:rPr>
          <w:rFonts w:eastAsia="Times New Roman" w:cstheme="minorHAnsi"/>
          <w:bCs/>
          <w:iCs/>
          <w:sz w:val="28"/>
          <w:szCs w:val="28"/>
        </w:rPr>
        <w:t xml:space="preserve">Una vez identificados todos aquellos actores involucrados, pasaríamos a </w:t>
      </w:r>
      <w:r w:rsidRPr="005E1103">
        <w:rPr>
          <w:rFonts w:eastAsia="Times New Roman" w:cstheme="minorHAnsi"/>
          <w:bCs/>
          <w:iCs/>
          <w:sz w:val="28"/>
          <w:szCs w:val="28"/>
        </w:rPr>
        <w:lastRenderedPageBreak/>
        <w:t xml:space="preserve">la </w:t>
      </w:r>
      <w:r w:rsidRPr="005E1103">
        <w:rPr>
          <w:rFonts w:eastAsia="SimSun" w:cstheme="minorHAnsi"/>
          <w:sz w:val="28"/>
          <w:szCs w:val="28"/>
        </w:rPr>
        <w:t>segunda</w:t>
      </w:r>
      <w:r w:rsidRPr="005E1103">
        <w:rPr>
          <w:rFonts w:eastAsia="Times New Roman" w:cstheme="minorHAnsi"/>
          <w:bCs/>
          <w:iCs/>
          <w:sz w:val="28"/>
          <w:szCs w:val="28"/>
        </w:rPr>
        <w:t xml:space="preserve"> fase del proyecto, esto es, la de planificación, para permitir a cada institución actuar responsablemente frente a las demandas o intereses de los </w:t>
      </w:r>
      <w:r w:rsidRPr="005E1103">
        <w:rPr>
          <w:rFonts w:eastAsia="Times New Roman" w:cstheme="minorHAnsi"/>
          <w:bCs/>
          <w:i/>
          <w:iCs/>
          <w:sz w:val="28"/>
          <w:szCs w:val="28"/>
        </w:rPr>
        <w:t>stakeholders</w:t>
      </w:r>
      <w:r w:rsidRPr="005E1103">
        <w:rPr>
          <w:rFonts w:eastAsia="Times New Roman" w:cstheme="minorHAnsi"/>
          <w:bCs/>
          <w:iCs/>
          <w:sz w:val="28"/>
          <w:szCs w:val="28"/>
        </w:rPr>
        <w:t xml:space="preserve"> </w:t>
      </w:r>
      <w:r w:rsidRPr="005E1103">
        <w:rPr>
          <w:rFonts w:eastAsia="SimSun" w:cstheme="minorHAnsi"/>
          <w:sz w:val="28"/>
          <w:szCs w:val="28"/>
        </w:rPr>
        <w:t>considerando</w:t>
      </w:r>
      <w:r w:rsidRPr="005E1103">
        <w:rPr>
          <w:rFonts w:eastAsia="Times New Roman" w:cstheme="minorHAnsi"/>
          <w:bCs/>
          <w:iCs/>
          <w:sz w:val="28"/>
          <w:szCs w:val="28"/>
        </w:rPr>
        <w:t xml:space="preserve"> los siguientes aspectos: </w:t>
      </w:r>
    </w:p>
    <w:p w:rsidR="00AD3030" w:rsidRPr="005E1103" w:rsidRDefault="00AD3030" w:rsidP="00AD3030">
      <w:pPr>
        <w:numPr>
          <w:ilvl w:val="0"/>
          <w:numId w:val="111"/>
        </w:numPr>
        <w:spacing w:after="0" w:line="360" w:lineRule="auto"/>
        <w:contextualSpacing/>
        <w:jc w:val="both"/>
        <w:rPr>
          <w:rFonts w:eastAsia="Times New Roman" w:cstheme="minorHAnsi"/>
          <w:bCs/>
          <w:iCs/>
          <w:sz w:val="28"/>
          <w:szCs w:val="28"/>
        </w:rPr>
      </w:pPr>
      <w:r w:rsidRPr="005E1103">
        <w:rPr>
          <w:rFonts w:eastAsia="Times New Roman" w:cstheme="minorHAnsi"/>
          <w:bCs/>
          <w:iCs/>
          <w:sz w:val="28"/>
          <w:szCs w:val="28"/>
        </w:rPr>
        <w:t xml:space="preserve">Identificar y catalogar los distintos actores mediante el diseño de un mapa de </w:t>
      </w:r>
      <w:r w:rsidRPr="005E1103">
        <w:rPr>
          <w:rFonts w:eastAsia="Times New Roman" w:cstheme="minorHAnsi"/>
          <w:bCs/>
          <w:i/>
          <w:iCs/>
          <w:sz w:val="28"/>
          <w:szCs w:val="28"/>
        </w:rPr>
        <w:t>stakeholders</w:t>
      </w:r>
      <w:r w:rsidRPr="005E1103">
        <w:rPr>
          <w:rFonts w:eastAsia="Times New Roman" w:cstheme="minorHAnsi"/>
          <w:bCs/>
          <w:iCs/>
          <w:sz w:val="28"/>
          <w:szCs w:val="28"/>
        </w:rPr>
        <w:t xml:space="preserve"> que refleje las interrelaciones entre sí. </w:t>
      </w:r>
    </w:p>
    <w:p w:rsidR="00AD3030" w:rsidRPr="005E1103" w:rsidRDefault="00AD3030" w:rsidP="00AD3030">
      <w:pPr>
        <w:numPr>
          <w:ilvl w:val="0"/>
          <w:numId w:val="111"/>
        </w:numPr>
        <w:spacing w:after="0" w:line="360" w:lineRule="auto"/>
        <w:contextualSpacing/>
        <w:jc w:val="both"/>
        <w:rPr>
          <w:rFonts w:eastAsia="Times New Roman" w:cstheme="minorHAnsi"/>
          <w:bCs/>
          <w:iCs/>
          <w:sz w:val="28"/>
          <w:szCs w:val="28"/>
        </w:rPr>
      </w:pPr>
      <w:r w:rsidRPr="005E1103">
        <w:rPr>
          <w:rFonts w:eastAsia="Times New Roman" w:cstheme="minorHAnsi"/>
          <w:bCs/>
          <w:iCs/>
          <w:sz w:val="28"/>
          <w:szCs w:val="28"/>
        </w:rPr>
        <w:t xml:space="preserve">Analizar las expectativas de cada uno de ellos. </w:t>
      </w:r>
    </w:p>
    <w:p w:rsidR="00AD3030" w:rsidRPr="005E1103" w:rsidRDefault="00AD3030" w:rsidP="00AD3030">
      <w:pPr>
        <w:numPr>
          <w:ilvl w:val="0"/>
          <w:numId w:val="111"/>
        </w:numPr>
        <w:spacing w:after="0" w:line="360" w:lineRule="auto"/>
        <w:contextualSpacing/>
        <w:jc w:val="both"/>
        <w:rPr>
          <w:rFonts w:eastAsia="Times New Roman" w:cstheme="minorHAnsi"/>
          <w:bCs/>
          <w:iCs/>
          <w:sz w:val="28"/>
          <w:szCs w:val="28"/>
        </w:rPr>
      </w:pPr>
      <w:r w:rsidRPr="005E1103">
        <w:rPr>
          <w:rFonts w:eastAsia="Times New Roman" w:cstheme="minorHAnsi"/>
          <w:bCs/>
          <w:iCs/>
          <w:sz w:val="28"/>
          <w:szCs w:val="28"/>
        </w:rPr>
        <w:t xml:space="preserve">Establecer prioridades entre las diferentes acciones que demanden cada uno de los grupos, contrastadas con la estrategia general de la institución. </w:t>
      </w:r>
    </w:p>
    <w:p w:rsidR="00AD3030" w:rsidRPr="005E1103" w:rsidRDefault="00AD3030" w:rsidP="00AD3030">
      <w:pPr>
        <w:numPr>
          <w:ilvl w:val="0"/>
          <w:numId w:val="111"/>
        </w:numPr>
        <w:spacing w:after="0" w:line="360" w:lineRule="auto"/>
        <w:contextualSpacing/>
        <w:jc w:val="both"/>
        <w:rPr>
          <w:rFonts w:eastAsia="Times New Roman" w:cstheme="minorHAnsi"/>
          <w:bCs/>
          <w:iCs/>
          <w:sz w:val="28"/>
          <w:szCs w:val="28"/>
        </w:rPr>
      </w:pPr>
      <w:r w:rsidRPr="005E1103">
        <w:rPr>
          <w:rFonts w:eastAsia="Times New Roman" w:cstheme="minorHAnsi"/>
          <w:bCs/>
          <w:iCs/>
          <w:sz w:val="28"/>
          <w:szCs w:val="28"/>
        </w:rPr>
        <w:t xml:space="preserve">Definir programas para gestionar las acciones elegidas cumpliendo con los compromisos de los grupos de interés. </w:t>
      </w:r>
    </w:p>
    <w:p w:rsidR="00AD3030" w:rsidRPr="005E1103" w:rsidRDefault="00AD3030" w:rsidP="00AD3030">
      <w:pPr>
        <w:numPr>
          <w:ilvl w:val="0"/>
          <w:numId w:val="111"/>
        </w:numPr>
        <w:spacing w:after="0" w:line="360" w:lineRule="auto"/>
        <w:contextualSpacing/>
        <w:jc w:val="both"/>
        <w:rPr>
          <w:rFonts w:eastAsia="Times New Roman" w:cstheme="minorHAnsi"/>
          <w:bCs/>
          <w:iCs/>
          <w:sz w:val="28"/>
          <w:szCs w:val="28"/>
        </w:rPr>
      </w:pPr>
      <w:r w:rsidRPr="005E1103">
        <w:rPr>
          <w:rFonts w:eastAsia="Times New Roman" w:cstheme="minorHAnsi"/>
          <w:bCs/>
          <w:iCs/>
          <w:sz w:val="28"/>
          <w:szCs w:val="28"/>
        </w:rPr>
        <w:t xml:space="preserve">Concretar el calendario las diferentes acciones que se van a cumplir en un tiempo determinado y la asignación presupuestaria de cada una. </w:t>
      </w:r>
    </w:p>
    <w:p w:rsidR="00AD3030" w:rsidRPr="005E1103" w:rsidRDefault="00AD3030" w:rsidP="00AD3030">
      <w:pPr>
        <w:numPr>
          <w:ilvl w:val="0"/>
          <w:numId w:val="111"/>
        </w:numPr>
        <w:spacing w:after="0" w:line="360" w:lineRule="auto"/>
        <w:contextualSpacing/>
        <w:jc w:val="both"/>
        <w:rPr>
          <w:rFonts w:eastAsia="Times New Roman" w:cstheme="minorHAnsi"/>
          <w:bCs/>
          <w:iCs/>
          <w:sz w:val="28"/>
          <w:szCs w:val="28"/>
        </w:rPr>
      </w:pPr>
      <w:r w:rsidRPr="005E1103">
        <w:rPr>
          <w:rFonts w:eastAsia="Times New Roman" w:cstheme="minorHAnsi"/>
          <w:bCs/>
          <w:iCs/>
          <w:sz w:val="28"/>
          <w:szCs w:val="28"/>
        </w:rPr>
        <w:t>Diseñar un modelo de comunicación con los diferentes usuarios.</w:t>
      </w:r>
    </w:p>
    <w:p w:rsidR="00AD3030" w:rsidRPr="005E1103" w:rsidRDefault="00AD3030" w:rsidP="00AD3030">
      <w:pPr>
        <w:widowControl w:val="0"/>
        <w:spacing w:before="120" w:after="120" w:line="360" w:lineRule="auto"/>
        <w:ind w:firstLine="284"/>
        <w:jc w:val="both"/>
        <w:outlineLvl w:val="1"/>
        <w:rPr>
          <w:rFonts w:eastAsia="Times New Roman" w:cstheme="minorHAnsi"/>
          <w:bCs/>
          <w:iCs/>
          <w:sz w:val="28"/>
          <w:szCs w:val="28"/>
        </w:rPr>
      </w:pPr>
      <w:r w:rsidRPr="005E1103">
        <w:rPr>
          <w:rFonts w:eastAsia="Times New Roman" w:cstheme="minorHAnsi"/>
          <w:bCs/>
          <w:iCs/>
          <w:sz w:val="28"/>
          <w:szCs w:val="28"/>
        </w:rPr>
        <w:t xml:space="preserve">La investigación parte de un planteamiento real al que ajustar el método, para lo que se proponen técnicas cuantitativas (cuestionarios) y cualitativas (guías de observación), en concreto: </w:t>
      </w:r>
    </w:p>
    <w:p w:rsidR="00AD3030" w:rsidRPr="005E1103" w:rsidRDefault="00AD3030" w:rsidP="00AD3030">
      <w:pPr>
        <w:numPr>
          <w:ilvl w:val="0"/>
          <w:numId w:val="108"/>
        </w:numPr>
        <w:spacing w:after="0" w:line="360" w:lineRule="auto"/>
        <w:ind w:left="709" w:hanging="425"/>
        <w:contextualSpacing/>
        <w:jc w:val="both"/>
        <w:rPr>
          <w:rFonts w:eastAsia="Times New Roman" w:cstheme="minorHAnsi"/>
          <w:bCs/>
          <w:iCs/>
          <w:sz w:val="28"/>
          <w:szCs w:val="28"/>
        </w:rPr>
      </w:pPr>
      <w:r w:rsidRPr="005E1103">
        <w:rPr>
          <w:rFonts w:eastAsia="Times New Roman" w:cstheme="minorHAnsi"/>
          <w:bCs/>
          <w:iCs/>
          <w:sz w:val="28"/>
          <w:szCs w:val="28"/>
        </w:rPr>
        <w:t>Estudio de la normativa internacional, europea, nacional y autonómica.</w:t>
      </w:r>
    </w:p>
    <w:p w:rsidR="00AD3030" w:rsidRPr="005E1103" w:rsidRDefault="00AD3030" w:rsidP="00AD3030">
      <w:pPr>
        <w:numPr>
          <w:ilvl w:val="0"/>
          <w:numId w:val="108"/>
        </w:numPr>
        <w:spacing w:after="0" w:line="360" w:lineRule="auto"/>
        <w:ind w:left="709" w:hanging="425"/>
        <w:contextualSpacing/>
        <w:jc w:val="both"/>
        <w:rPr>
          <w:rFonts w:eastAsia="Times New Roman" w:cstheme="minorHAnsi"/>
          <w:bCs/>
          <w:iCs/>
          <w:sz w:val="28"/>
          <w:szCs w:val="28"/>
        </w:rPr>
      </w:pPr>
      <w:r w:rsidRPr="005E1103">
        <w:rPr>
          <w:rFonts w:eastAsia="Times New Roman" w:cstheme="minorHAnsi"/>
          <w:bCs/>
          <w:iCs/>
          <w:sz w:val="28"/>
          <w:szCs w:val="28"/>
        </w:rPr>
        <w:t>Recopilación de datos del servicio de deportes de la UCLM.</w:t>
      </w:r>
    </w:p>
    <w:p w:rsidR="00AD3030" w:rsidRPr="005E1103" w:rsidRDefault="00AD3030" w:rsidP="00AD3030">
      <w:pPr>
        <w:numPr>
          <w:ilvl w:val="0"/>
          <w:numId w:val="108"/>
        </w:numPr>
        <w:spacing w:after="0" w:line="360" w:lineRule="auto"/>
        <w:ind w:left="709" w:hanging="425"/>
        <w:contextualSpacing/>
        <w:jc w:val="both"/>
        <w:rPr>
          <w:rFonts w:eastAsia="Times New Roman" w:cstheme="minorHAnsi"/>
          <w:bCs/>
          <w:iCs/>
          <w:sz w:val="28"/>
          <w:szCs w:val="28"/>
        </w:rPr>
      </w:pPr>
      <w:r w:rsidRPr="005E1103">
        <w:rPr>
          <w:rFonts w:eastAsia="Times New Roman" w:cstheme="minorHAnsi"/>
          <w:bCs/>
          <w:iCs/>
          <w:sz w:val="28"/>
          <w:szCs w:val="28"/>
        </w:rPr>
        <w:t>Recopilación de datos del servicio de atención al estudiante con discapacidad de la UCLM.</w:t>
      </w:r>
    </w:p>
    <w:p w:rsidR="00AD3030" w:rsidRPr="005E1103" w:rsidRDefault="00AD3030" w:rsidP="00AD3030">
      <w:pPr>
        <w:numPr>
          <w:ilvl w:val="0"/>
          <w:numId w:val="108"/>
        </w:numPr>
        <w:spacing w:after="0" w:line="360" w:lineRule="auto"/>
        <w:ind w:left="709" w:hanging="425"/>
        <w:contextualSpacing/>
        <w:jc w:val="both"/>
        <w:rPr>
          <w:rFonts w:eastAsia="Times New Roman" w:cstheme="minorHAnsi"/>
          <w:bCs/>
          <w:iCs/>
          <w:sz w:val="28"/>
          <w:szCs w:val="28"/>
        </w:rPr>
      </w:pPr>
      <w:r w:rsidRPr="005E1103">
        <w:rPr>
          <w:rFonts w:eastAsia="Times New Roman" w:cstheme="minorHAnsi"/>
          <w:bCs/>
          <w:iCs/>
          <w:sz w:val="28"/>
          <w:szCs w:val="28"/>
        </w:rPr>
        <w:t>Tabla de acciones de mejora del servicio de deportes de la UCLM.</w:t>
      </w:r>
    </w:p>
    <w:p w:rsidR="00AD3030" w:rsidRPr="005E1103" w:rsidRDefault="00AD3030" w:rsidP="00AD3030">
      <w:pPr>
        <w:numPr>
          <w:ilvl w:val="0"/>
          <w:numId w:val="108"/>
        </w:numPr>
        <w:spacing w:after="0" w:line="360" w:lineRule="auto"/>
        <w:ind w:left="709" w:hanging="425"/>
        <w:contextualSpacing/>
        <w:jc w:val="both"/>
        <w:rPr>
          <w:rFonts w:eastAsia="Times New Roman" w:cstheme="minorHAnsi"/>
          <w:bCs/>
          <w:iCs/>
          <w:sz w:val="28"/>
          <w:szCs w:val="28"/>
        </w:rPr>
      </w:pPr>
      <w:r w:rsidRPr="005E1103">
        <w:rPr>
          <w:rFonts w:eastAsia="Times New Roman" w:cstheme="minorHAnsi"/>
          <w:bCs/>
          <w:iCs/>
          <w:sz w:val="28"/>
          <w:szCs w:val="28"/>
        </w:rPr>
        <w:lastRenderedPageBreak/>
        <w:t>Entrevistas a responsables de instituciones y centros (órganos de gobierno de la UCLM, órganos de dirección de asociaciones y/o entidades colaboradoras, etc.).</w:t>
      </w:r>
    </w:p>
    <w:p w:rsidR="00AD3030" w:rsidRPr="005E1103" w:rsidRDefault="00AD3030" w:rsidP="00AD3030">
      <w:pPr>
        <w:numPr>
          <w:ilvl w:val="0"/>
          <w:numId w:val="108"/>
        </w:numPr>
        <w:spacing w:after="0" w:line="360" w:lineRule="auto"/>
        <w:ind w:left="709" w:hanging="425"/>
        <w:contextualSpacing/>
        <w:jc w:val="both"/>
        <w:rPr>
          <w:rFonts w:eastAsia="Times New Roman" w:cstheme="minorHAnsi"/>
          <w:bCs/>
          <w:iCs/>
          <w:sz w:val="28"/>
          <w:szCs w:val="28"/>
        </w:rPr>
      </w:pPr>
      <w:r w:rsidRPr="005E1103">
        <w:rPr>
          <w:rFonts w:eastAsia="Times New Roman" w:cstheme="minorHAnsi"/>
          <w:bCs/>
          <w:iCs/>
          <w:sz w:val="28"/>
          <w:szCs w:val="28"/>
        </w:rPr>
        <w:t>Cuestionarios dirigidos a la comunidad universitaria con discapacidad, así como al personal de las instituciones implicadas.</w:t>
      </w:r>
    </w:p>
    <w:p w:rsidR="00AD3030" w:rsidRPr="005E1103" w:rsidRDefault="00AD3030" w:rsidP="00AD3030">
      <w:pPr>
        <w:spacing w:after="0" w:line="360" w:lineRule="auto"/>
        <w:jc w:val="both"/>
        <w:rPr>
          <w:rFonts w:eastAsia="Times New Roman" w:cstheme="minorHAnsi"/>
          <w:bCs/>
          <w:iCs/>
          <w:sz w:val="28"/>
          <w:szCs w:val="28"/>
        </w:rPr>
      </w:pPr>
    </w:p>
    <w:p w:rsidR="00AD3030" w:rsidRPr="005E1103" w:rsidRDefault="00AD3030" w:rsidP="00AD3030">
      <w:pPr>
        <w:spacing w:after="0" w:line="360" w:lineRule="auto"/>
        <w:jc w:val="both"/>
        <w:rPr>
          <w:rFonts w:eastAsia="Times New Roman" w:cstheme="minorHAnsi"/>
          <w:bCs/>
          <w:iCs/>
          <w:sz w:val="28"/>
          <w:szCs w:val="28"/>
        </w:rPr>
      </w:pPr>
      <w:r w:rsidRPr="005E1103">
        <w:rPr>
          <w:rFonts w:eastAsia="Times New Roman" w:cstheme="minorHAnsi"/>
          <w:b/>
          <w:bCs/>
          <w:iCs/>
          <w:sz w:val="28"/>
          <w:szCs w:val="28"/>
        </w:rPr>
        <w:t>CONTENIDO Y ALCANCE DEL ESTUDIO</w:t>
      </w:r>
    </w:p>
    <w:p w:rsidR="00AD3030" w:rsidRPr="005E1103" w:rsidRDefault="00AD3030" w:rsidP="00AD3030">
      <w:pPr>
        <w:widowControl w:val="0"/>
        <w:spacing w:before="120" w:after="120" w:line="360" w:lineRule="auto"/>
        <w:ind w:firstLine="284"/>
        <w:jc w:val="both"/>
        <w:outlineLvl w:val="1"/>
        <w:rPr>
          <w:rFonts w:eastAsia="Times New Roman" w:cstheme="minorHAnsi"/>
          <w:bCs/>
          <w:iCs/>
          <w:sz w:val="28"/>
          <w:szCs w:val="28"/>
        </w:rPr>
      </w:pPr>
      <w:r w:rsidRPr="005E1103">
        <w:rPr>
          <w:rFonts w:eastAsia="Times New Roman" w:cstheme="minorHAnsi"/>
          <w:bCs/>
          <w:iCs/>
          <w:sz w:val="28"/>
          <w:szCs w:val="28"/>
        </w:rPr>
        <w:t>Un desarrollo legislativo, ¿implica automáticamente mejoras en la igualdad? Aunque existen leyes, ¿se cumplen? Una mala cooperación entre distintos niveles administrativos o, incluso, entre diferentes ámbitos autonómicos ¿puede desembocar en que la responsabilidad social de las universidades no alcance la igualdad de oportunidades?</w:t>
      </w:r>
    </w:p>
    <w:p w:rsidR="00AD3030" w:rsidRPr="005E1103" w:rsidRDefault="00AD3030" w:rsidP="00AD3030">
      <w:pPr>
        <w:widowControl w:val="0"/>
        <w:spacing w:before="120" w:after="120" w:line="360" w:lineRule="auto"/>
        <w:ind w:firstLine="284"/>
        <w:jc w:val="both"/>
        <w:outlineLvl w:val="1"/>
        <w:rPr>
          <w:rFonts w:eastAsia="Times New Roman" w:cstheme="minorHAnsi"/>
          <w:bCs/>
          <w:sz w:val="28"/>
          <w:szCs w:val="28"/>
        </w:rPr>
      </w:pPr>
      <w:r w:rsidRPr="005E1103">
        <w:rPr>
          <w:rFonts w:eastAsia="SimSun" w:cstheme="minorHAnsi"/>
          <w:sz w:val="28"/>
          <w:szCs w:val="28"/>
        </w:rPr>
        <w:t xml:space="preserve">Los interrogantes anteriores evidencian que, </w:t>
      </w:r>
      <w:r w:rsidRPr="005E1103">
        <w:rPr>
          <w:rFonts w:eastAsia="Times New Roman" w:cstheme="minorHAnsi"/>
          <w:bCs/>
          <w:iCs/>
          <w:sz w:val="28"/>
          <w:szCs w:val="28"/>
        </w:rPr>
        <w:t>a pesar de los avances normativos en atención a la diversidad, todavía hay alumnos que no pueden realizar actividades deportivas en instituciones públicas por falta de adaptaciones. Por ello, p</w:t>
      </w:r>
      <w:r w:rsidRPr="005E1103">
        <w:rPr>
          <w:rFonts w:eastAsia="Times New Roman" w:cstheme="minorHAnsi"/>
          <w:bCs/>
          <w:sz w:val="28"/>
          <w:szCs w:val="28"/>
        </w:rPr>
        <w:t xml:space="preserve">ara que pueda hablarse de una educación de calidad es necesario, amén de un </w:t>
      </w:r>
      <w:r w:rsidRPr="005E1103">
        <w:rPr>
          <w:rFonts w:eastAsia="SimSun" w:cstheme="minorHAnsi"/>
          <w:sz w:val="28"/>
          <w:szCs w:val="28"/>
        </w:rPr>
        <w:t>desarrollo</w:t>
      </w:r>
      <w:r w:rsidRPr="005E1103">
        <w:rPr>
          <w:rFonts w:eastAsia="Times New Roman" w:cstheme="minorHAnsi"/>
          <w:bCs/>
          <w:sz w:val="28"/>
          <w:szCs w:val="28"/>
        </w:rPr>
        <w:t xml:space="preserve"> normativo previo y consensuado sobre el servicio deportivo universitario, que se elaboren planes estratégicos de atención a la diversidad en la UCLM, con medidas concretas para dar una respuesta de servicios especializados.</w:t>
      </w:r>
    </w:p>
    <w:p w:rsidR="00AD3030" w:rsidRPr="005E1103" w:rsidRDefault="00AD3030" w:rsidP="00AD3030">
      <w:pPr>
        <w:spacing w:after="0" w:line="360" w:lineRule="auto"/>
        <w:ind w:firstLine="340"/>
        <w:jc w:val="both"/>
        <w:rPr>
          <w:rFonts w:eastAsia="Times New Roman" w:cstheme="minorHAnsi"/>
          <w:bCs/>
          <w:sz w:val="28"/>
          <w:szCs w:val="28"/>
        </w:rPr>
      </w:pPr>
      <w:r w:rsidRPr="005E1103">
        <w:rPr>
          <w:rFonts w:eastAsia="Times New Roman" w:cstheme="minorHAnsi"/>
          <w:bCs/>
          <w:sz w:val="28"/>
          <w:szCs w:val="28"/>
        </w:rPr>
        <w:t xml:space="preserve">Con ello, se pretendería lograr, entre otros, los siguientes objetivos específicos: </w:t>
      </w:r>
    </w:p>
    <w:p w:rsidR="00AD3030" w:rsidRPr="005E1103" w:rsidRDefault="00AD3030" w:rsidP="00AD3030">
      <w:pPr>
        <w:numPr>
          <w:ilvl w:val="0"/>
          <w:numId w:val="108"/>
        </w:numPr>
        <w:spacing w:after="0" w:line="360" w:lineRule="auto"/>
        <w:ind w:left="709" w:hanging="425"/>
        <w:contextualSpacing/>
        <w:jc w:val="both"/>
        <w:rPr>
          <w:rFonts w:eastAsia="Times New Roman" w:cstheme="minorHAnsi"/>
          <w:bCs/>
          <w:sz w:val="28"/>
          <w:szCs w:val="28"/>
        </w:rPr>
      </w:pPr>
      <w:r w:rsidRPr="005E1103">
        <w:rPr>
          <w:rFonts w:eastAsia="Times New Roman" w:cstheme="minorHAnsi"/>
          <w:bCs/>
          <w:sz w:val="28"/>
          <w:szCs w:val="28"/>
        </w:rPr>
        <w:t xml:space="preserve">Mostrar cómo es atendida la diversidad en el servicio de deporte </w:t>
      </w:r>
      <w:r w:rsidRPr="005E1103">
        <w:rPr>
          <w:rFonts w:eastAsia="Times New Roman" w:cstheme="minorHAnsi"/>
          <w:bCs/>
          <w:iCs/>
          <w:sz w:val="28"/>
          <w:szCs w:val="28"/>
        </w:rPr>
        <w:t>universitario</w:t>
      </w:r>
      <w:r w:rsidRPr="005E1103">
        <w:rPr>
          <w:rFonts w:eastAsia="Times New Roman" w:cstheme="minorHAnsi"/>
          <w:bCs/>
          <w:sz w:val="28"/>
          <w:szCs w:val="28"/>
        </w:rPr>
        <w:t>.</w:t>
      </w:r>
    </w:p>
    <w:p w:rsidR="00AD3030" w:rsidRPr="005E1103" w:rsidRDefault="00AD3030" w:rsidP="00AD3030">
      <w:pPr>
        <w:numPr>
          <w:ilvl w:val="0"/>
          <w:numId w:val="108"/>
        </w:numPr>
        <w:spacing w:after="0" w:line="360" w:lineRule="auto"/>
        <w:ind w:left="709" w:hanging="425"/>
        <w:contextualSpacing/>
        <w:jc w:val="both"/>
        <w:rPr>
          <w:rFonts w:eastAsia="Times New Roman" w:cstheme="minorHAnsi"/>
          <w:bCs/>
          <w:sz w:val="28"/>
          <w:szCs w:val="28"/>
        </w:rPr>
      </w:pPr>
      <w:r w:rsidRPr="005E1103">
        <w:rPr>
          <w:rFonts w:eastAsia="Times New Roman" w:cstheme="minorHAnsi"/>
          <w:bCs/>
          <w:iCs/>
          <w:sz w:val="28"/>
          <w:szCs w:val="28"/>
        </w:rPr>
        <w:t>Detectar</w:t>
      </w:r>
      <w:r w:rsidRPr="005E1103">
        <w:rPr>
          <w:rFonts w:eastAsia="Times New Roman" w:cstheme="minorHAnsi"/>
          <w:bCs/>
          <w:sz w:val="28"/>
          <w:szCs w:val="28"/>
        </w:rPr>
        <w:t xml:space="preserve"> las dificultades con las que se pueden encontrar los miembros de la comunidad universitaria. </w:t>
      </w:r>
    </w:p>
    <w:p w:rsidR="00AD3030" w:rsidRPr="005E1103" w:rsidRDefault="00AD3030" w:rsidP="00AD3030">
      <w:pPr>
        <w:numPr>
          <w:ilvl w:val="0"/>
          <w:numId w:val="108"/>
        </w:numPr>
        <w:spacing w:after="0" w:line="360" w:lineRule="auto"/>
        <w:ind w:left="709" w:hanging="425"/>
        <w:contextualSpacing/>
        <w:jc w:val="both"/>
        <w:rPr>
          <w:rFonts w:eastAsia="Times New Roman" w:cstheme="minorHAnsi"/>
          <w:bCs/>
          <w:sz w:val="28"/>
          <w:szCs w:val="28"/>
        </w:rPr>
      </w:pPr>
      <w:r w:rsidRPr="005E1103">
        <w:rPr>
          <w:rFonts w:eastAsia="Times New Roman" w:cstheme="minorHAnsi"/>
          <w:bCs/>
          <w:iCs/>
          <w:sz w:val="28"/>
          <w:szCs w:val="28"/>
        </w:rPr>
        <w:lastRenderedPageBreak/>
        <w:t>Valorar</w:t>
      </w:r>
      <w:r w:rsidRPr="005E1103">
        <w:rPr>
          <w:rFonts w:eastAsia="Times New Roman" w:cstheme="minorHAnsi"/>
          <w:bCs/>
          <w:sz w:val="28"/>
          <w:szCs w:val="28"/>
        </w:rPr>
        <w:t xml:space="preserve"> las soluciones a los problemas planteados. </w:t>
      </w:r>
    </w:p>
    <w:p w:rsidR="00AD3030" w:rsidRPr="005E1103" w:rsidRDefault="00AD3030" w:rsidP="00AD3030">
      <w:pPr>
        <w:numPr>
          <w:ilvl w:val="0"/>
          <w:numId w:val="108"/>
        </w:numPr>
        <w:spacing w:after="0" w:line="360" w:lineRule="auto"/>
        <w:ind w:left="709" w:hanging="425"/>
        <w:contextualSpacing/>
        <w:jc w:val="both"/>
        <w:rPr>
          <w:rFonts w:eastAsia="Times New Roman" w:cstheme="minorHAnsi"/>
          <w:bCs/>
          <w:sz w:val="28"/>
          <w:szCs w:val="28"/>
        </w:rPr>
      </w:pPr>
      <w:r w:rsidRPr="005E1103">
        <w:rPr>
          <w:rFonts w:eastAsia="Times New Roman" w:cstheme="minorHAnsi"/>
          <w:bCs/>
          <w:iCs/>
          <w:sz w:val="28"/>
          <w:szCs w:val="28"/>
        </w:rPr>
        <w:t>Diseñar</w:t>
      </w:r>
      <w:r w:rsidRPr="005E1103">
        <w:rPr>
          <w:rFonts w:eastAsia="Times New Roman" w:cstheme="minorHAnsi"/>
          <w:bCs/>
          <w:sz w:val="28"/>
          <w:szCs w:val="28"/>
        </w:rPr>
        <w:t xml:space="preserve"> estrategias de intervención.</w:t>
      </w:r>
    </w:p>
    <w:p w:rsidR="00AD3030" w:rsidRPr="005E1103" w:rsidRDefault="00AD3030" w:rsidP="00AD3030">
      <w:pPr>
        <w:pStyle w:val="Prrafodelista"/>
        <w:numPr>
          <w:ilvl w:val="0"/>
          <w:numId w:val="108"/>
        </w:numPr>
        <w:spacing w:before="0" w:line="360" w:lineRule="auto"/>
        <w:ind w:left="709" w:hanging="425"/>
        <w:jc w:val="both"/>
        <w:rPr>
          <w:rFonts w:asciiTheme="minorHAnsi" w:eastAsia="Times New Roman" w:hAnsiTheme="minorHAnsi" w:cstheme="minorHAnsi"/>
          <w:bCs/>
          <w:sz w:val="28"/>
          <w:szCs w:val="28"/>
        </w:rPr>
      </w:pPr>
      <w:r w:rsidRPr="005E1103">
        <w:rPr>
          <w:rFonts w:asciiTheme="minorHAnsi" w:eastAsia="Times New Roman" w:hAnsiTheme="minorHAnsi" w:cstheme="minorHAnsi"/>
          <w:bCs/>
          <w:sz w:val="28"/>
          <w:szCs w:val="28"/>
        </w:rPr>
        <w:t>Asegurar los recursos necesarios para la adopción de las medidas anteriores.</w:t>
      </w:r>
    </w:p>
    <w:p w:rsidR="00AD3030" w:rsidRPr="005E1103" w:rsidRDefault="00AD3030" w:rsidP="00AD3030">
      <w:pPr>
        <w:widowControl w:val="0"/>
        <w:spacing w:before="120" w:after="120" w:line="360" w:lineRule="auto"/>
        <w:ind w:firstLine="284"/>
        <w:jc w:val="both"/>
        <w:outlineLvl w:val="1"/>
        <w:rPr>
          <w:rFonts w:eastAsia="Times New Roman" w:cstheme="minorHAnsi"/>
          <w:bCs/>
          <w:sz w:val="28"/>
          <w:szCs w:val="28"/>
          <w:lang w:val="es-ES_tradnl"/>
        </w:rPr>
      </w:pPr>
      <w:r w:rsidRPr="005E1103">
        <w:rPr>
          <w:rFonts w:eastAsia="Times New Roman" w:cstheme="minorHAnsi"/>
          <w:bCs/>
          <w:sz w:val="28"/>
          <w:szCs w:val="28"/>
        </w:rPr>
        <w:t xml:space="preserve">Así pues, además de la normativa existente sobre deporte inclusivo en los ámbitos internacional, europeo, nacional y autonómico, hay que utilizar también como referente la </w:t>
      </w:r>
      <w:r w:rsidRPr="005E1103">
        <w:rPr>
          <w:rFonts w:eastAsia="Times New Roman" w:cstheme="minorHAnsi"/>
          <w:bCs/>
          <w:sz w:val="28"/>
          <w:szCs w:val="28"/>
          <w:lang w:val="es-ES_tradnl"/>
        </w:rPr>
        <w:t>Ley Orgánica 6/2001, de 21 de diciembre, de Universidades, tras la modificación en ella operada por la Ley Orgánica 4/2007, de 12 de abril. Esta última norma no olvida el papel de la universidad como transmisora esencial de valores e introduce la creación de programas específicos para impulsar políticas activas que garanticen la igualdad de oportunidades a las personas con discapacidad.</w:t>
      </w:r>
    </w:p>
    <w:p w:rsidR="00AD3030" w:rsidRPr="005E1103" w:rsidRDefault="00AD3030" w:rsidP="00AD3030">
      <w:pPr>
        <w:widowControl w:val="0"/>
        <w:spacing w:before="120" w:after="120" w:line="360" w:lineRule="auto"/>
        <w:ind w:firstLine="284"/>
        <w:jc w:val="both"/>
        <w:outlineLvl w:val="1"/>
        <w:rPr>
          <w:rFonts w:eastAsia="Times New Roman" w:cstheme="minorHAnsi"/>
          <w:bCs/>
          <w:sz w:val="28"/>
          <w:szCs w:val="28"/>
        </w:rPr>
      </w:pPr>
      <w:r w:rsidRPr="005E1103">
        <w:rPr>
          <w:rFonts w:eastAsia="Times New Roman" w:cstheme="minorHAnsi"/>
          <w:bCs/>
          <w:sz w:val="28"/>
          <w:szCs w:val="28"/>
        </w:rPr>
        <w:t xml:space="preserve">Asimismo, la sostenibilidad financiera, la descentralización territorial y la necesidad de que no exista simultaneidad en la prestación de servicios por parte de las Administraciones Públicas, hacen necesaria una delimitación de las concretas funciones públicas de cara a la promoción del deporte y de la adecuación de las instalaciones deportivas. </w:t>
      </w:r>
    </w:p>
    <w:p w:rsidR="00AD3030" w:rsidRPr="005E1103" w:rsidRDefault="00AD3030" w:rsidP="00AD3030">
      <w:pPr>
        <w:widowControl w:val="0"/>
        <w:spacing w:before="120" w:after="120" w:line="360" w:lineRule="auto"/>
        <w:ind w:firstLine="284"/>
        <w:jc w:val="both"/>
        <w:outlineLvl w:val="1"/>
        <w:rPr>
          <w:rFonts w:eastAsia="Times New Roman" w:cstheme="minorHAnsi"/>
          <w:bCs/>
          <w:i/>
          <w:iCs/>
          <w:sz w:val="28"/>
          <w:szCs w:val="28"/>
        </w:rPr>
      </w:pPr>
      <w:r w:rsidRPr="005E1103">
        <w:rPr>
          <w:rFonts w:eastAsia="Times New Roman" w:cstheme="minorHAnsi"/>
          <w:bCs/>
          <w:sz w:val="28"/>
          <w:szCs w:val="28"/>
        </w:rPr>
        <w:t xml:space="preserve">En tal reparto, correspondería a la UCLM el impulso de proyectos, planes y acciones educativas y de gestión para prevenir y responder a las necesidades de toda la comunidad universitaria de cara a reducir las desigualdades entre los </w:t>
      </w:r>
      <w:r w:rsidRPr="005E1103">
        <w:rPr>
          <w:rFonts w:eastAsia="SimSun" w:cstheme="minorHAnsi"/>
          <w:sz w:val="28"/>
          <w:szCs w:val="28"/>
        </w:rPr>
        <w:t>miembros</w:t>
      </w:r>
      <w:r w:rsidRPr="005E1103">
        <w:rPr>
          <w:rFonts w:eastAsia="Times New Roman" w:cstheme="minorHAnsi"/>
          <w:bCs/>
          <w:sz w:val="28"/>
          <w:szCs w:val="28"/>
        </w:rPr>
        <w:t xml:space="preserve"> de la comunidad universitaria. Así, un </w:t>
      </w:r>
      <w:r w:rsidRPr="005E1103">
        <w:rPr>
          <w:rFonts w:eastAsia="Times New Roman" w:cstheme="minorHAnsi"/>
          <w:b/>
          <w:bCs/>
          <w:sz w:val="28"/>
          <w:szCs w:val="28"/>
        </w:rPr>
        <w:t>Plan de Mejora del Servicio de Deporte Universitario en la UCLM</w:t>
      </w:r>
      <w:r w:rsidRPr="005E1103">
        <w:rPr>
          <w:rFonts w:eastAsia="Times New Roman" w:cstheme="minorHAnsi"/>
          <w:bCs/>
          <w:sz w:val="28"/>
          <w:szCs w:val="28"/>
        </w:rPr>
        <w:t xml:space="preserve"> generaría condiciones e incentivos para la innovación de la organización y el funcionamiento de los centros. Para ello, se debería contar con personal cualificado y que los equipos directivos de las partes integrantes ejercieran un auténtico liderazgo en el impulso de la inclusión, junto a </w:t>
      </w:r>
      <w:r w:rsidRPr="005E1103">
        <w:rPr>
          <w:rFonts w:eastAsia="Times New Roman" w:cstheme="minorHAnsi"/>
          <w:bCs/>
          <w:sz w:val="28"/>
          <w:szCs w:val="28"/>
        </w:rPr>
        <w:lastRenderedPageBreak/>
        <w:t xml:space="preserve">especialistas con aptitudes para </w:t>
      </w:r>
      <w:r w:rsidRPr="005E1103">
        <w:rPr>
          <w:rFonts w:eastAsia="SimSun" w:cstheme="minorHAnsi"/>
          <w:sz w:val="28"/>
          <w:szCs w:val="28"/>
        </w:rPr>
        <w:t>detectar</w:t>
      </w:r>
      <w:r w:rsidRPr="005E1103">
        <w:rPr>
          <w:rFonts w:eastAsia="Times New Roman" w:cstheme="minorHAnsi"/>
          <w:bCs/>
          <w:sz w:val="28"/>
          <w:szCs w:val="28"/>
        </w:rPr>
        <w:t xml:space="preserve"> obstáculos que dificultasen la práctica deportiva. </w:t>
      </w:r>
    </w:p>
    <w:p w:rsidR="00AD3030" w:rsidRPr="005E1103" w:rsidRDefault="00AD3030" w:rsidP="00AD3030">
      <w:pPr>
        <w:widowControl w:val="0"/>
        <w:spacing w:before="120" w:after="120" w:line="360" w:lineRule="auto"/>
        <w:ind w:firstLine="284"/>
        <w:jc w:val="both"/>
        <w:outlineLvl w:val="1"/>
        <w:rPr>
          <w:rFonts w:eastAsia="Times New Roman" w:cstheme="minorHAnsi"/>
          <w:bCs/>
          <w:sz w:val="28"/>
          <w:szCs w:val="28"/>
        </w:rPr>
      </w:pPr>
      <w:r w:rsidRPr="005E1103">
        <w:rPr>
          <w:rFonts w:eastAsia="Times New Roman" w:cstheme="minorHAnsi"/>
          <w:bCs/>
          <w:sz w:val="28"/>
          <w:szCs w:val="28"/>
        </w:rPr>
        <w:t>Pues bien, para llevar a cabo nuestro objetivo se plantean diversas acciones diferenciadas en dos vías de actuación, a saber: acciones normativas y procedimentales, de una parte, y acciones económicas y socialmente responsables, de otra. Ambos tipos de acciones deben desarrollarse de acuerdo a la matriz de la EBC para poder medir los cinco puntos principales del balance del bien común</w:t>
      </w:r>
      <w:r w:rsidRPr="005E1103">
        <w:rPr>
          <w:rFonts w:eastAsia="Times New Roman" w:cstheme="minorHAnsi"/>
          <w:bCs/>
          <w:sz w:val="28"/>
          <w:szCs w:val="28"/>
          <w:vertAlign w:val="superscript"/>
          <w:lang w:val="en-US"/>
        </w:rPr>
        <w:footnoteReference w:id="66"/>
      </w:r>
      <w:r w:rsidRPr="005E1103">
        <w:rPr>
          <w:rFonts w:eastAsia="Times New Roman" w:cstheme="minorHAnsi"/>
          <w:bCs/>
          <w:sz w:val="28"/>
          <w:szCs w:val="28"/>
        </w:rPr>
        <w:t>: “dignidad humana”, “solidaridad”, “sostenibilidad medioambiental”, “justicia social y participación democrática” y “transparencia”, a los que habría que añadir la “igualdad de oportunidades” para potenciar la capacidad de cada estudiante y valorar las diferencias individuales y la diversidad.</w:t>
      </w:r>
    </w:p>
    <w:p w:rsidR="00AD3030" w:rsidRPr="005E1103" w:rsidRDefault="00AD3030" w:rsidP="00AD3030">
      <w:pPr>
        <w:widowControl w:val="0"/>
        <w:spacing w:before="120" w:after="120" w:line="360" w:lineRule="auto"/>
        <w:ind w:firstLine="284"/>
        <w:jc w:val="both"/>
        <w:outlineLvl w:val="1"/>
        <w:rPr>
          <w:rFonts w:eastAsia="Times New Roman" w:cstheme="minorHAnsi"/>
          <w:bCs/>
          <w:sz w:val="28"/>
          <w:szCs w:val="28"/>
        </w:rPr>
      </w:pPr>
      <w:r w:rsidRPr="005E1103">
        <w:rPr>
          <w:rFonts w:eastAsia="Times New Roman" w:cstheme="minorHAnsi"/>
          <w:bCs/>
          <w:sz w:val="28"/>
          <w:szCs w:val="28"/>
        </w:rPr>
        <w:t xml:space="preserve">Como acciones normativas y procedimentales, entre otras, se proponen las </w:t>
      </w:r>
      <w:r w:rsidRPr="005E1103">
        <w:rPr>
          <w:rFonts w:eastAsia="SimSun" w:cstheme="minorHAnsi"/>
          <w:sz w:val="28"/>
          <w:szCs w:val="28"/>
        </w:rPr>
        <w:t>siguientes</w:t>
      </w:r>
      <w:r w:rsidRPr="005E1103">
        <w:rPr>
          <w:rFonts w:eastAsia="Times New Roman" w:cstheme="minorHAnsi"/>
          <w:bCs/>
          <w:sz w:val="28"/>
          <w:szCs w:val="28"/>
        </w:rPr>
        <w:t xml:space="preserve">: </w:t>
      </w:r>
    </w:p>
    <w:p w:rsidR="00AD3030" w:rsidRPr="005E1103" w:rsidRDefault="00AD3030" w:rsidP="00AD3030">
      <w:pPr>
        <w:pStyle w:val="Prrafodelista"/>
        <w:numPr>
          <w:ilvl w:val="0"/>
          <w:numId w:val="110"/>
        </w:numPr>
        <w:spacing w:before="0" w:line="360" w:lineRule="auto"/>
        <w:jc w:val="both"/>
        <w:rPr>
          <w:rFonts w:asciiTheme="minorHAnsi" w:eastAsia="Times New Roman" w:hAnsiTheme="minorHAnsi" w:cstheme="minorHAnsi"/>
          <w:bCs/>
          <w:sz w:val="28"/>
          <w:szCs w:val="28"/>
        </w:rPr>
      </w:pPr>
      <w:r w:rsidRPr="005E1103">
        <w:rPr>
          <w:rFonts w:asciiTheme="minorHAnsi" w:eastAsia="Times New Roman" w:hAnsiTheme="minorHAnsi" w:cstheme="minorHAnsi"/>
          <w:bCs/>
          <w:sz w:val="28"/>
          <w:szCs w:val="28"/>
        </w:rPr>
        <w:t>Elaboración de una normativa sobre deporte adaptado en la UCLM.</w:t>
      </w:r>
    </w:p>
    <w:p w:rsidR="00AD3030" w:rsidRPr="005E1103" w:rsidRDefault="00AD3030" w:rsidP="00AD3030">
      <w:pPr>
        <w:pStyle w:val="Prrafodelista"/>
        <w:numPr>
          <w:ilvl w:val="0"/>
          <w:numId w:val="110"/>
        </w:numPr>
        <w:spacing w:before="0" w:line="360" w:lineRule="auto"/>
        <w:jc w:val="both"/>
        <w:rPr>
          <w:rFonts w:asciiTheme="minorHAnsi" w:eastAsia="Times New Roman" w:hAnsiTheme="minorHAnsi" w:cstheme="minorHAnsi"/>
          <w:bCs/>
          <w:sz w:val="28"/>
          <w:szCs w:val="28"/>
        </w:rPr>
      </w:pPr>
      <w:r w:rsidRPr="005E1103">
        <w:rPr>
          <w:rFonts w:asciiTheme="minorHAnsi" w:eastAsia="Times New Roman" w:hAnsiTheme="minorHAnsi" w:cstheme="minorHAnsi"/>
          <w:bCs/>
          <w:sz w:val="28"/>
          <w:szCs w:val="28"/>
        </w:rPr>
        <w:t>Establecimiento de exenciones de tasas para personas con discapacidad</w:t>
      </w:r>
    </w:p>
    <w:p w:rsidR="00AD3030" w:rsidRPr="005E1103" w:rsidRDefault="00AD3030" w:rsidP="00AD3030">
      <w:pPr>
        <w:spacing w:after="0" w:line="360" w:lineRule="auto"/>
        <w:ind w:firstLine="284"/>
        <w:jc w:val="both"/>
        <w:rPr>
          <w:rFonts w:eastAsia="Times New Roman" w:cstheme="minorHAnsi"/>
          <w:bCs/>
          <w:sz w:val="28"/>
          <w:szCs w:val="28"/>
        </w:rPr>
      </w:pPr>
      <w:r w:rsidRPr="005E1103">
        <w:rPr>
          <w:rFonts w:eastAsia="Times New Roman" w:cstheme="minorHAnsi"/>
          <w:bCs/>
          <w:sz w:val="28"/>
          <w:szCs w:val="28"/>
        </w:rPr>
        <w:t>Como acciones económicas y socialmente responsables se mencionan las siguientes:</w:t>
      </w:r>
    </w:p>
    <w:p w:rsidR="00AD3030" w:rsidRPr="005E1103" w:rsidRDefault="00AD3030" w:rsidP="00AD3030">
      <w:pPr>
        <w:pStyle w:val="Prrafodelista"/>
        <w:numPr>
          <w:ilvl w:val="0"/>
          <w:numId w:val="110"/>
        </w:numPr>
        <w:spacing w:before="0" w:line="360" w:lineRule="auto"/>
        <w:jc w:val="both"/>
        <w:rPr>
          <w:rFonts w:asciiTheme="minorHAnsi" w:eastAsia="Times New Roman" w:hAnsiTheme="minorHAnsi" w:cstheme="minorHAnsi"/>
          <w:bCs/>
          <w:sz w:val="28"/>
          <w:szCs w:val="28"/>
        </w:rPr>
      </w:pPr>
      <w:r w:rsidRPr="005E1103">
        <w:rPr>
          <w:rFonts w:asciiTheme="minorHAnsi" w:eastAsia="Times New Roman" w:hAnsiTheme="minorHAnsi" w:cstheme="minorHAnsi"/>
          <w:bCs/>
          <w:sz w:val="28"/>
          <w:szCs w:val="28"/>
        </w:rPr>
        <w:t>Inclusión de partidas finalistas en los presupuestos de los centros implicados.</w:t>
      </w:r>
    </w:p>
    <w:p w:rsidR="00AD3030" w:rsidRPr="005E1103" w:rsidRDefault="00AD3030" w:rsidP="00AD3030">
      <w:pPr>
        <w:pStyle w:val="Prrafodelista"/>
        <w:numPr>
          <w:ilvl w:val="0"/>
          <w:numId w:val="110"/>
        </w:numPr>
        <w:spacing w:before="0" w:line="360" w:lineRule="auto"/>
        <w:jc w:val="both"/>
        <w:rPr>
          <w:rFonts w:asciiTheme="minorHAnsi" w:eastAsia="Times New Roman" w:hAnsiTheme="minorHAnsi" w:cstheme="minorHAnsi"/>
          <w:bCs/>
          <w:sz w:val="28"/>
          <w:szCs w:val="28"/>
        </w:rPr>
      </w:pPr>
      <w:r w:rsidRPr="005E1103">
        <w:rPr>
          <w:rFonts w:asciiTheme="minorHAnsi" w:eastAsia="Times New Roman" w:hAnsiTheme="minorHAnsi" w:cstheme="minorHAnsi"/>
          <w:bCs/>
          <w:sz w:val="28"/>
          <w:szCs w:val="28"/>
        </w:rPr>
        <w:t>Planificación y ejecución de acciones de mejora en las infraestructuras deportivas.</w:t>
      </w:r>
    </w:p>
    <w:p w:rsidR="00AD3030" w:rsidRPr="005E1103" w:rsidRDefault="00AD3030" w:rsidP="00AD3030">
      <w:pPr>
        <w:pStyle w:val="Prrafodelista"/>
        <w:numPr>
          <w:ilvl w:val="0"/>
          <w:numId w:val="110"/>
        </w:numPr>
        <w:spacing w:before="0" w:line="360" w:lineRule="auto"/>
        <w:jc w:val="both"/>
        <w:rPr>
          <w:rFonts w:asciiTheme="minorHAnsi" w:eastAsia="Times New Roman" w:hAnsiTheme="minorHAnsi" w:cstheme="minorHAnsi"/>
          <w:bCs/>
          <w:sz w:val="28"/>
          <w:szCs w:val="28"/>
        </w:rPr>
      </w:pPr>
      <w:r w:rsidRPr="005E1103">
        <w:rPr>
          <w:rFonts w:asciiTheme="minorHAnsi" w:eastAsia="Times New Roman" w:hAnsiTheme="minorHAnsi" w:cstheme="minorHAnsi"/>
          <w:bCs/>
          <w:sz w:val="28"/>
          <w:szCs w:val="28"/>
        </w:rPr>
        <w:lastRenderedPageBreak/>
        <w:t>Gestión de recursos sostenibles.</w:t>
      </w:r>
    </w:p>
    <w:p w:rsidR="00AD3030" w:rsidRPr="005E1103" w:rsidRDefault="00AD3030" w:rsidP="00AD3030">
      <w:pPr>
        <w:pStyle w:val="Prrafodelista"/>
        <w:numPr>
          <w:ilvl w:val="0"/>
          <w:numId w:val="110"/>
        </w:numPr>
        <w:spacing w:before="0" w:line="360" w:lineRule="auto"/>
        <w:jc w:val="both"/>
        <w:rPr>
          <w:rFonts w:asciiTheme="minorHAnsi" w:eastAsia="Times New Roman" w:hAnsiTheme="minorHAnsi" w:cstheme="minorHAnsi"/>
          <w:bCs/>
          <w:sz w:val="28"/>
          <w:szCs w:val="28"/>
        </w:rPr>
      </w:pPr>
      <w:r w:rsidRPr="005E1103">
        <w:rPr>
          <w:rFonts w:asciiTheme="minorHAnsi" w:eastAsia="Times New Roman" w:hAnsiTheme="minorHAnsi" w:cstheme="minorHAnsi"/>
          <w:bCs/>
          <w:sz w:val="28"/>
          <w:szCs w:val="28"/>
        </w:rPr>
        <w:t>Realización de campañas de sensibilización para la utilización de recursos socialmente responsables y la protección del medio ambiente.</w:t>
      </w:r>
    </w:p>
    <w:p w:rsidR="00AD3030" w:rsidRPr="005E1103" w:rsidRDefault="00AD3030" w:rsidP="00AD3030">
      <w:pPr>
        <w:pStyle w:val="Prrafodelista"/>
        <w:numPr>
          <w:ilvl w:val="0"/>
          <w:numId w:val="110"/>
        </w:numPr>
        <w:spacing w:before="0" w:line="360" w:lineRule="auto"/>
        <w:jc w:val="both"/>
        <w:rPr>
          <w:rFonts w:asciiTheme="minorHAnsi" w:eastAsia="Times New Roman" w:hAnsiTheme="minorHAnsi" w:cstheme="minorHAnsi"/>
          <w:bCs/>
          <w:sz w:val="28"/>
          <w:szCs w:val="28"/>
        </w:rPr>
      </w:pPr>
      <w:r w:rsidRPr="005E1103">
        <w:rPr>
          <w:rFonts w:asciiTheme="minorHAnsi" w:eastAsia="Times New Roman" w:hAnsiTheme="minorHAnsi" w:cstheme="minorHAnsi"/>
          <w:bCs/>
          <w:sz w:val="28"/>
          <w:szCs w:val="28"/>
        </w:rPr>
        <w:t xml:space="preserve">Inclusión obligatoria de cláusulas sociales en la contratación pública.  </w:t>
      </w:r>
    </w:p>
    <w:p w:rsidR="00AD3030" w:rsidRPr="005E1103" w:rsidRDefault="00AD3030" w:rsidP="00AD3030">
      <w:pPr>
        <w:pStyle w:val="Prrafodelista"/>
        <w:spacing w:line="360" w:lineRule="auto"/>
        <w:jc w:val="both"/>
        <w:rPr>
          <w:rFonts w:asciiTheme="minorHAnsi" w:eastAsia="Times New Roman" w:hAnsiTheme="minorHAnsi" w:cstheme="minorHAnsi"/>
          <w:bCs/>
          <w:sz w:val="28"/>
          <w:szCs w:val="28"/>
        </w:rPr>
      </w:pPr>
    </w:p>
    <w:p w:rsidR="00AD3030" w:rsidRPr="005E1103" w:rsidRDefault="00AD3030" w:rsidP="00AD3030">
      <w:pPr>
        <w:spacing w:after="0" w:line="360" w:lineRule="auto"/>
        <w:jc w:val="both"/>
        <w:rPr>
          <w:rFonts w:eastAsia="Times New Roman" w:cstheme="minorHAnsi"/>
          <w:b/>
          <w:bCs/>
          <w:sz w:val="28"/>
          <w:szCs w:val="28"/>
        </w:rPr>
      </w:pPr>
      <w:r w:rsidRPr="005E1103">
        <w:rPr>
          <w:rFonts w:eastAsia="Times New Roman" w:cstheme="minorHAnsi"/>
          <w:b/>
          <w:bCs/>
          <w:iCs/>
          <w:sz w:val="28"/>
          <w:szCs w:val="28"/>
        </w:rPr>
        <w:t>RESULTADOS</w:t>
      </w:r>
    </w:p>
    <w:p w:rsidR="00AD3030" w:rsidRPr="005E1103" w:rsidRDefault="00AD3030" w:rsidP="00AD3030">
      <w:pPr>
        <w:widowControl w:val="0"/>
        <w:spacing w:before="120" w:after="120" w:line="360" w:lineRule="auto"/>
        <w:ind w:firstLine="284"/>
        <w:jc w:val="both"/>
        <w:outlineLvl w:val="1"/>
        <w:rPr>
          <w:rFonts w:eastAsia="Times New Roman" w:cstheme="minorHAnsi"/>
          <w:bCs/>
          <w:noProof/>
          <w:sz w:val="28"/>
          <w:szCs w:val="28"/>
          <w:lang w:eastAsia="es-ES"/>
        </w:rPr>
      </w:pPr>
      <w:r w:rsidRPr="005E1103">
        <w:rPr>
          <w:rFonts w:eastAsia="Times New Roman" w:cstheme="minorHAnsi"/>
          <w:bCs/>
          <w:noProof/>
          <w:sz w:val="28"/>
          <w:szCs w:val="28"/>
          <w:lang w:eastAsia="es-ES"/>
        </w:rPr>
        <w:t xml:space="preserve">En materia de igualdad de oportunidades, los resultados </w:t>
      </w:r>
      <w:r w:rsidRPr="005E1103">
        <w:rPr>
          <w:rFonts w:eastAsia="SimSun" w:cstheme="minorHAnsi"/>
          <w:sz w:val="28"/>
          <w:szCs w:val="28"/>
        </w:rPr>
        <w:t>obtenidos</w:t>
      </w:r>
      <w:r w:rsidRPr="005E1103">
        <w:rPr>
          <w:rFonts w:eastAsia="Times New Roman" w:cstheme="minorHAnsi"/>
          <w:bCs/>
          <w:noProof/>
          <w:sz w:val="28"/>
          <w:szCs w:val="28"/>
          <w:lang w:eastAsia="es-ES"/>
        </w:rPr>
        <w:t xml:space="preserve"> no se pueden interpretar y valorar sólo en términos cuantitativos, sino que el valor cualitativo de las acciones emprendidas se convierte en fundamental. </w:t>
      </w:r>
    </w:p>
    <w:p w:rsidR="00AD3030" w:rsidRPr="005E1103" w:rsidRDefault="00AD3030" w:rsidP="00AD3030">
      <w:pPr>
        <w:widowControl w:val="0"/>
        <w:spacing w:before="120" w:after="120" w:line="360" w:lineRule="auto"/>
        <w:ind w:firstLine="284"/>
        <w:jc w:val="both"/>
        <w:outlineLvl w:val="1"/>
        <w:rPr>
          <w:rFonts w:eastAsia="Times New Roman" w:cstheme="minorHAnsi"/>
          <w:bCs/>
          <w:sz w:val="28"/>
          <w:szCs w:val="28"/>
        </w:rPr>
      </w:pPr>
      <w:r w:rsidRPr="005E1103">
        <w:rPr>
          <w:rFonts w:eastAsia="Times New Roman" w:cstheme="minorHAnsi"/>
          <w:bCs/>
          <w:noProof/>
          <w:sz w:val="28"/>
          <w:szCs w:val="28"/>
          <w:lang w:eastAsia="es-ES"/>
        </w:rPr>
        <w:t xml:space="preserve">La puesta en práctica del presente estudio se pondría en funcionamiento </w:t>
      </w:r>
      <w:r w:rsidRPr="005E1103">
        <w:rPr>
          <w:rFonts w:eastAsia="Times New Roman" w:cstheme="minorHAnsi"/>
          <w:bCs/>
          <w:sz w:val="28"/>
          <w:szCs w:val="28"/>
        </w:rPr>
        <w:t xml:space="preserve">como piloto en el Campus de Albacete. </w:t>
      </w:r>
    </w:p>
    <w:p w:rsidR="00AD3030" w:rsidRPr="005E1103" w:rsidRDefault="00AD3030" w:rsidP="00AD3030">
      <w:pPr>
        <w:spacing w:after="0" w:line="360" w:lineRule="auto"/>
        <w:contextualSpacing/>
        <w:jc w:val="both"/>
        <w:rPr>
          <w:rFonts w:eastAsia="Times New Roman" w:cstheme="minorHAnsi"/>
          <w:b/>
          <w:bCs/>
          <w:sz w:val="28"/>
          <w:szCs w:val="28"/>
        </w:rPr>
      </w:pPr>
    </w:p>
    <w:p w:rsidR="00AD3030" w:rsidRPr="005E1103" w:rsidRDefault="00AD3030" w:rsidP="00AD3030">
      <w:pPr>
        <w:spacing w:after="0" w:line="360" w:lineRule="auto"/>
        <w:contextualSpacing/>
        <w:jc w:val="both"/>
        <w:rPr>
          <w:rFonts w:eastAsia="Times New Roman" w:cstheme="minorHAnsi"/>
          <w:b/>
          <w:bCs/>
          <w:sz w:val="28"/>
          <w:szCs w:val="28"/>
        </w:rPr>
      </w:pPr>
      <w:r w:rsidRPr="005E1103">
        <w:rPr>
          <w:rFonts w:eastAsia="Times New Roman" w:cstheme="minorHAnsi"/>
          <w:b/>
          <w:bCs/>
          <w:sz w:val="28"/>
          <w:szCs w:val="28"/>
        </w:rPr>
        <w:t>CONCLUSIONES</w:t>
      </w:r>
    </w:p>
    <w:p w:rsidR="00AD3030" w:rsidRPr="005E1103" w:rsidRDefault="00AD3030" w:rsidP="00AD3030">
      <w:pPr>
        <w:widowControl w:val="0"/>
        <w:spacing w:before="120" w:after="120" w:line="360" w:lineRule="auto"/>
        <w:ind w:firstLine="284"/>
        <w:jc w:val="both"/>
        <w:outlineLvl w:val="1"/>
        <w:rPr>
          <w:rFonts w:cstheme="minorHAnsi"/>
          <w:sz w:val="28"/>
          <w:szCs w:val="28"/>
        </w:rPr>
      </w:pPr>
      <w:r w:rsidRPr="005E1103">
        <w:rPr>
          <w:rFonts w:eastAsia="Times New Roman" w:cstheme="minorHAnsi"/>
          <w:bCs/>
          <w:sz w:val="28"/>
          <w:szCs w:val="28"/>
        </w:rPr>
        <w:t>Este proyecto apuesta por la creación de planes de atención a la diversidad en el ámbito universitario sustentados en una adecuada normativa sobre deporte adaptado en la UCLM</w:t>
      </w:r>
      <w:r w:rsidRPr="005E1103">
        <w:rPr>
          <w:rFonts w:cstheme="minorHAnsi"/>
          <w:sz w:val="28"/>
          <w:szCs w:val="28"/>
        </w:rPr>
        <w:t xml:space="preserve">, basada en los principios de EBC, donde primen las cuestiones sociales, y una eficaz y fluida comunicación de todos los miembros de la comunidad universitaria. </w:t>
      </w:r>
    </w:p>
    <w:p w:rsidR="00AD3030" w:rsidRPr="005E1103" w:rsidRDefault="00AD3030" w:rsidP="00AD3030">
      <w:pPr>
        <w:spacing w:after="0" w:line="360" w:lineRule="auto"/>
        <w:ind w:firstLine="340"/>
        <w:contextualSpacing/>
        <w:jc w:val="both"/>
        <w:rPr>
          <w:rFonts w:cstheme="minorHAnsi"/>
          <w:sz w:val="28"/>
          <w:szCs w:val="28"/>
        </w:rPr>
      </w:pPr>
    </w:p>
    <w:p w:rsidR="00AD3030" w:rsidRPr="005E1103" w:rsidRDefault="00AD3030" w:rsidP="00AD3030">
      <w:pPr>
        <w:spacing w:after="0" w:line="360" w:lineRule="auto"/>
        <w:contextualSpacing/>
        <w:jc w:val="both"/>
        <w:rPr>
          <w:rFonts w:eastAsia="Times New Roman" w:cstheme="minorHAnsi"/>
          <w:b/>
          <w:bCs/>
          <w:sz w:val="28"/>
          <w:szCs w:val="28"/>
        </w:rPr>
      </w:pPr>
      <w:r w:rsidRPr="005E1103">
        <w:rPr>
          <w:rFonts w:eastAsia="Times New Roman" w:cstheme="minorHAnsi"/>
          <w:b/>
          <w:bCs/>
          <w:sz w:val="28"/>
          <w:szCs w:val="28"/>
        </w:rPr>
        <w:t>REFERENCIAS BIBIOGRÁFICAS</w:t>
      </w:r>
    </w:p>
    <w:p w:rsidR="00AD3030" w:rsidRPr="005E1103" w:rsidRDefault="00AD3030" w:rsidP="00AD3030">
      <w:pPr>
        <w:spacing w:before="120" w:after="0" w:line="360" w:lineRule="auto"/>
        <w:ind w:left="680" w:hanging="680"/>
        <w:contextualSpacing/>
        <w:jc w:val="both"/>
        <w:rPr>
          <w:rFonts w:eastAsia="Times New Roman" w:cstheme="minorHAnsi"/>
          <w:bCs/>
          <w:sz w:val="28"/>
          <w:szCs w:val="28"/>
        </w:rPr>
      </w:pPr>
      <w:r w:rsidRPr="005E1103">
        <w:rPr>
          <w:rFonts w:eastAsia="Times New Roman" w:cstheme="minorHAnsi"/>
          <w:bCs/>
          <w:sz w:val="28"/>
          <w:szCs w:val="28"/>
        </w:rPr>
        <w:t xml:space="preserve">Amoedo Souto, Carlos A. «Crisis y cambio de modelo en las universidades públicas. Reflexiones de urgencia».  En </w:t>
      </w:r>
      <w:r w:rsidRPr="005E1103">
        <w:rPr>
          <w:rFonts w:eastAsia="Times New Roman" w:cstheme="minorHAnsi"/>
          <w:bCs/>
          <w:i/>
          <w:iCs/>
          <w:sz w:val="28"/>
          <w:szCs w:val="28"/>
        </w:rPr>
        <w:t>el cronista del estado social y</w:t>
      </w:r>
      <w:r w:rsidRPr="005E1103">
        <w:rPr>
          <w:rFonts w:eastAsia="Times New Roman" w:cstheme="minorHAnsi"/>
          <w:bCs/>
          <w:sz w:val="28"/>
          <w:szCs w:val="28"/>
        </w:rPr>
        <w:t xml:space="preserve"> </w:t>
      </w:r>
      <w:r w:rsidRPr="005E1103">
        <w:rPr>
          <w:rFonts w:eastAsia="Times New Roman" w:cstheme="minorHAnsi"/>
          <w:bCs/>
          <w:i/>
          <w:iCs/>
          <w:sz w:val="28"/>
          <w:szCs w:val="28"/>
        </w:rPr>
        <w:t>democrático de derecho</w:t>
      </w:r>
      <w:r w:rsidRPr="005E1103">
        <w:rPr>
          <w:rFonts w:eastAsia="Times New Roman" w:cstheme="minorHAnsi"/>
          <w:bCs/>
          <w:sz w:val="28"/>
          <w:szCs w:val="28"/>
        </w:rPr>
        <w:t>, Iustel, nº 33 (2012), págs. 74-81.</w:t>
      </w:r>
    </w:p>
    <w:p w:rsidR="00AD3030" w:rsidRPr="005E1103" w:rsidRDefault="00AD3030" w:rsidP="00AD3030">
      <w:pPr>
        <w:spacing w:before="120" w:after="0" w:line="360" w:lineRule="auto"/>
        <w:ind w:left="680" w:hanging="680"/>
        <w:contextualSpacing/>
        <w:jc w:val="both"/>
        <w:rPr>
          <w:rFonts w:eastAsia="Times New Roman" w:cstheme="minorHAnsi"/>
          <w:bCs/>
          <w:sz w:val="28"/>
          <w:szCs w:val="28"/>
        </w:rPr>
      </w:pPr>
      <w:r w:rsidRPr="005E1103">
        <w:rPr>
          <w:rFonts w:eastAsia="Times New Roman" w:cstheme="minorHAnsi"/>
          <w:bCs/>
          <w:sz w:val="28"/>
          <w:szCs w:val="28"/>
        </w:rPr>
        <w:lastRenderedPageBreak/>
        <w:t xml:space="preserve">Argandoña, A. y Isea, R. </w:t>
      </w:r>
      <w:hyperlink r:id="rId155" w:history="1">
        <w:r w:rsidRPr="005E1103">
          <w:rPr>
            <w:rStyle w:val="Hipervnculo"/>
            <w:rFonts w:cstheme="minorHAnsi"/>
            <w:sz w:val="28"/>
            <w:szCs w:val="28"/>
          </w:rPr>
          <w:t>ISO 26000, una guía para la responsabilidad social de las organizaciones</w:t>
        </w:r>
      </w:hyperlink>
      <w:r w:rsidRPr="005E1103">
        <w:rPr>
          <w:rFonts w:eastAsia="Times New Roman" w:cstheme="minorHAnsi"/>
          <w:bCs/>
          <w:sz w:val="28"/>
          <w:szCs w:val="28"/>
        </w:rPr>
        <w:t xml:space="preserve">. </w:t>
      </w:r>
      <w:r w:rsidRPr="005E1103">
        <w:rPr>
          <w:rFonts w:eastAsia="Times New Roman" w:cstheme="minorHAnsi"/>
          <w:bCs/>
          <w:i/>
          <w:sz w:val="28"/>
          <w:szCs w:val="28"/>
        </w:rPr>
        <w:t xml:space="preserve">Cuaderno Nº11 Cátedra La Caixa, IESE Business School </w:t>
      </w:r>
      <w:r w:rsidRPr="005E1103">
        <w:rPr>
          <w:rFonts w:eastAsia="Times New Roman" w:cstheme="minorHAnsi"/>
          <w:bCs/>
          <w:sz w:val="28"/>
          <w:szCs w:val="28"/>
        </w:rPr>
        <w:t>- Universidad de Navarra. 2011. </w:t>
      </w:r>
    </w:p>
    <w:p w:rsidR="00AD3030" w:rsidRPr="005E1103" w:rsidRDefault="00AD3030" w:rsidP="00AD3030">
      <w:pPr>
        <w:spacing w:before="120" w:after="0" w:line="360" w:lineRule="auto"/>
        <w:ind w:left="680" w:hanging="680"/>
        <w:contextualSpacing/>
        <w:jc w:val="both"/>
        <w:rPr>
          <w:rFonts w:eastAsia="Times New Roman" w:cstheme="minorHAnsi"/>
          <w:bCs/>
          <w:sz w:val="28"/>
          <w:szCs w:val="28"/>
        </w:rPr>
      </w:pPr>
      <w:r w:rsidRPr="005E1103">
        <w:rPr>
          <w:rFonts w:eastAsia="Times New Roman" w:cstheme="minorHAnsi"/>
          <w:bCs/>
          <w:sz w:val="28"/>
          <w:szCs w:val="28"/>
        </w:rPr>
        <w:t xml:space="preserve">Felber, C. (2012). </w:t>
      </w:r>
      <w:r w:rsidRPr="005E1103">
        <w:rPr>
          <w:rFonts w:eastAsia="Times New Roman" w:cstheme="minorHAnsi"/>
          <w:bCs/>
          <w:i/>
          <w:sz w:val="28"/>
          <w:szCs w:val="28"/>
        </w:rPr>
        <w:t>La economía del bien común</w:t>
      </w:r>
      <w:r w:rsidRPr="005E1103">
        <w:rPr>
          <w:rFonts w:eastAsia="Times New Roman" w:cstheme="minorHAnsi"/>
          <w:bCs/>
          <w:sz w:val="28"/>
          <w:szCs w:val="28"/>
        </w:rPr>
        <w:t>. Barcelona, España: Deusto, S.A.</w:t>
      </w:r>
    </w:p>
    <w:p w:rsidR="00AD3030" w:rsidRPr="005E1103" w:rsidRDefault="00AD3030" w:rsidP="00AD3030">
      <w:pPr>
        <w:spacing w:before="120" w:after="0" w:line="360" w:lineRule="auto"/>
        <w:ind w:left="680" w:hanging="680"/>
        <w:contextualSpacing/>
        <w:jc w:val="both"/>
        <w:rPr>
          <w:rFonts w:eastAsia="Times New Roman" w:cstheme="minorHAnsi"/>
          <w:bCs/>
          <w:sz w:val="28"/>
          <w:szCs w:val="28"/>
        </w:rPr>
      </w:pPr>
      <w:r w:rsidRPr="005E1103">
        <w:rPr>
          <w:rFonts w:eastAsia="Times New Roman" w:cstheme="minorHAnsi"/>
          <w:bCs/>
          <w:sz w:val="28"/>
          <w:szCs w:val="28"/>
        </w:rPr>
        <w:t xml:space="preserve">Morcillo Moreno, J. «Una crisis marcada por la globalización: intervención, desregulación y autorregulación regulada. En AA.VV». </w:t>
      </w:r>
      <w:r w:rsidRPr="005E1103">
        <w:rPr>
          <w:rFonts w:eastAsia="Times New Roman" w:cstheme="minorHAnsi"/>
          <w:bCs/>
          <w:i/>
          <w:sz w:val="28"/>
          <w:szCs w:val="28"/>
        </w:rPr>
        <w:t xml:space="preserve">El Derecho público de la crisis económica. Transparencia y sector público. Hacia un nuevo Derecho administrativo </w:t>
      </w:r>
      <w:r w:rsidRPr="005E1103">
        <w:rPr>
          <w:rFonts w:eastAsia="Times New Roman" w:cstheme="minorHAnsi"/>
          <w:bCs/>
          <w:sz w:val="28"/>
          <w:szCs w:val="28"/>
        </w:rPr>
        <w:t>(pp. 445-459). Madrid, España: Instituto Nacional de Administración Pública. 2011.</w:t>
      </w:r>
    </w:p>
    <w:p w:rsidR="00AD3030" w:rsidRPr="005E1103" w:rsidRDefault="00AD3030" w:rsidP="00AD3030">
      <w:pPr>
        <w:spacing w:before="120" w:after="0" w:line="360" w:lineRule="auto"/>
        <w:ind w:left="680" w:hanging="680"/>
        <w:contextualSpacing/>
        <w:jc w:val="both"/>
        <w:rPr>
          <w:rFonts w:eastAsia="Times New Roman" w:cstheme="minorHAnsi"/>
          <w:bCs/>
          <w:sz w:val="28"/>
          <w:szCs w:val="28"/>
        </w:rPr>
      </w:pPr>
      <w:r w:rsidRPr="005E1103">
        <w:rPr>
          <w:rFonts w:eastAsia="Times New Roman" w:cstheme="minorHAnsi"/>
          <w:bCs/>
          <w:sz w:val="28"/>
          <w:szCs w:val="28"/>
        </w:rPr>
        <w:t xml:space="preserve">Pérez Bueno, L.C. y Sastre, A.  (Dir). </w:t>
      </w:r>
      <w:r w:rsidRPr="005E1103">
        <w:rPr>
          <w:rFonts w:eastAsia="Times New Roman" w:cstheme="minorHAnsi"/>
          <w:bCs/>
          <w:i/>
          <w:iCs/>
          <w:sz w:val="28"/>
          <w:szCs w:val="28"/>
        </w:rPr>
        <w:t>Derechos Humanos y Discapacidad</w:t>
      </w:r>
      <w:r w:rsidRPr="005E1103">
        <w:rPr>
          <w:rFonts w:eastAsia="Times New Roman" w:cstheme="minorHAnsi"/>
          <w:bCs/>
          <w:sz w:val="28"/>
          <w:szCs w:val="28"/>
        </w:rPr>
        <w:t xml:space="preserve">. Informe España 2008, </w:t>
      </w:r>
      <w:r w:rsidRPr="005E1103">
        <w:rPr>
          <w:rFonts w:eastAsia="Times New Roman" w:cstheme="minorHAnsi"/>
          <w:bCs/>
          <w:i/>
          <w:sz w:val="28"/>
          <w:szCs w:val="28"/>
        </w:rPr>
        <w:t>Colección Convención ONU</w:t>
      </w:r>
      <w:r w:rsidRPr="005E1103">
        <w:rPr>
          <w:rFonts w:eastAsia="Times New Roman" w:cstheme="minorHAnsi"/>
          <w:bCs/>
          <w:sz w:val="28"/>
          <w:szCs w:val="28"/>
        </w:rPr>
        <w:t>, Nro.1, CERMI, Madrid, España: Cinca. 2009.</w:t>
      </w:r>
    </w:p>
    <w:p w:rsidR="00AD3030" w:rsidRPr="005E1103" w:rsidRDefault="00AD3030">
      <w:pPr>
        <w:rPr>
          <w:rFonts w:eastAsia="Times New Roman" w:cstheme="minorHAnsi"/>
          <w:bCs/>
          <w:sz w:val="28"/>
          <w:szCs w:val="28"/>
        </w:rPr>
      </w:pPr>
      <w:r w:rsidRPr="005E1103">
        <w:rPr>
          <w:rFonts w:eastAsia="Times New Roman" w:cstheme="minorHAnsi"/>
          <w:bCs/>
          <w:sz w:val="28"/>
          <w:szCs w:val="28"/>
        </w:rPr>
        <w:br w:type="page"/>
      </w:r>
    </w:p>
    <w:p w:rsidR="00AD3030" w:rsidRPr="005E1103" w:rsidRDefault="00AD3030" w:rsidP="00AD3030">
      <w:pPr>
        <w:spacing w:line="360" w:lineRule="auto"/>
        <w:jc w:val="center"/>
        <w:rPr>
          <w:rFonts w:cstheme="minorHAnsi"/>
          <w:b/>
          <w:sz w:val="28"/>
          <w:szCs w:val="28"/>
        </w:rPr>
      </w:pPr>
      <w:r w:rsidRPr="005E1103">
        <w:rPr>
          <w:rFonts w:cstheme="minorHAnsi"/>
          <w:b/>
          <w:sz w:val="28"/>
          <w:szCs w:val="28"/>
        </w:rPr>
        <w:lastRenderedPageBreak/>
        <w:t>COMUNICACIÓN 11</w:t>
      </w:r>
    </w:p>
    <w:p w:rsidR="00AD3030" w:rsidRPr="005E1103" w:rsidRDefault="00AD3030" w:rsidP="00AD3030">
      <w:pPr>
        <w:pBdr>
          <w:top w:val="single" w:sz="4" w:space="1" w:color="auto"/>
          <w:left w:val="single" w:sz="4" w:space="4" w:color="auto"/>
          <w:bottom w:val="single" w:sz="4" w:space="1" w:color="auto"/>
          <w:right w:val="single" w:sz="4" w:space="4" w:color="auto"/>
        </w:pBdr>
        <w:spacing w:line="360" w:lineRule="auto"/>
        <w:ind w:firstLine="708"/>
        <w:jc w:val="center"/>
        <w:rPr>
          <w:rFonts w:cstheme="minorHAnsi"/>
          <w:b/>
          <w:sz w:val="28"/>
          <w:szCs w:val="28"/>
          <w:lang w:eastAsia="es-ES"/>
        </w:rPr>
      </w:pPr>
      <w:r w:rsidRPr="005E1103">
        <w:rPr>
          <w:rFonts w:cstheme="minorHAnsi"/>
          <w:b/>
          <w:sz w:val="28"/>
          <w:szCs w:val="28"/>
        </w:rPr>
        <w:t>La Inclusión en la Educación Superior Universitaria: Indicadores en la Facultad de Educación de la Universidad Complutense de Madrid</w:t>
      </w:r>
    </w:p>
    <w:p w:rsidR="00AD3030" w:rsidRPr="005E1103" w:rsidRDefault="00AD3030" w:rsidP="00AD3030">
      <w:pPr>
        <w:rPr>
          <w:rFonts w:cstheme="minorHAnsi"/>
          <w:sz w:val="28"/>
          <w:szCs w:val="28"/>
        </w:rPr>
      </w:pPr>
      <w:r w:rsidRPr="005E1103">
        <w:rPr>
          <w:rFonts w:cstheme="minorHAnsi"/>
          <w:sz w:val="28"/>
          <w:szCs w:val="28"/>
        </w:rPr>
        <w:t>Laura Navarrete Moreno y Elisa Ruíz Veerman</w:t>
      </w:r>
    </w:p>
    <w:p w:rsidR="00AD3030" w:rsidRPr="005E1103" w:rsidRDefault="00AD3030" w:rsidP="00AD3030">
      <w:pPr>
        <w:rPr>
          <w:rFonts w:cstheme="minorHAnsi"/>
          <w:sz w:val="28"/>
          <w:szCs w:val="28"/>
        </w:rPr>
      </w:pPr>
      <w:r w:rsidRPr="005E1103">
        <w:rPr>
          <w:rFonts w:cstheme="minorHAnsi"/>
          <w:sz w:val="28"/>
          <w:szCs w:val="28"/>
        </w:rPr>
        <w:t>INTRODUCCIÓN</w:t>
      </w:r>
    </w:p>
    <w:p w:rsidR="00AD3030" w:rsidRPr="005E1103" w:rsidRDefault="00AD3030" w:rsidP="00AD3030">
      <w:pPr>
        <w:rPr>
          <w:rFonts w:cstheme="minorHAnsi"/>
          <w:sz w:val="28"/>
          <w:szCs w:val="28"/>
        </w:rPr>
      </w:pPr>
      <w:r w:rsidRPr="005E1103">
        <w:rPr>
          <w:rFonts w:cstheme="minorHAnsi"/>
          <w:sz w:val="28"/>
          <w:szCs w:val="28"/>
        </w:rPr>
        <w:t>Los/as estudiantes con diversidad funcional apenas acceden a la universidad (10,5% frente 24% del resto de estudiantado; EDAD, 2008). Dificultades en la accesibilidad se unen a la rigidez del sistema educativo, discriminación, déficit de información y expectativas. Analizar las necesidades puede derivar en el desarrollo de buenas prácticas que mejoren estas cifras.</w:t>
      </w:r>
    </w:p>
    <w:p w:rsidR="00AD3030" w:rsidRPr="005E1103" w:rsidRDefault="00AD3030" w:rsidP="00AD3030">
      <w:pPr>
        <w:rPr>
          <w:rFonts w:cstheme="minorHAnsi"/>
          <w:sz w:val="28"/>
          <w:szCs w:val="28"/>
        </w:rPr>
      </w:pPr>
      <w:r w:rsidRPr="005E1103">
        <w:rPr>
          <w:rFonts w:cstheme="minorHAnsi"/>
          <w:sz w:val="28"/>
          <w:szCs w:val="28"/>
        </w:rPr>
        <w:t>MÉTODO</w:t>
      </w:r>
    </w:p>
    <w:p w:rsidR="00AD3030" w:rsidRPr="005E1103" w:rsidRDefault="00AD3030" w:rsidP="00AD3030">
      <w:pPr>
        <w:rPr>
          <w:rFonts w:cstheme="minorHAnsi"/>
          <w:sz w:val="28"/>
          <w:szCs w:val="28"/>
        </w:rPr>
      </w:pPr>
      <w:r w:rsidRPr="005E1103">
        <w:rPr>
          <w:rFonts w:cstheme="minorHAnsi"/>
          <w:sz w:val="28"/>
          <w:szCs w:val="28"/>
        </w:rPr>
        <w:t>Estudio cuantitativo y descriptivo aplicando el instrumento “Guía de indicadores de actuación y buenas prácticas” (Díez et. al., 2011), a 10 de los 21 estudiantes inscritos en el programa de atención a estudiantes con diversidad funcional de la Facultad de Educación UCM, comparándolo con juicio de expertos. El objetivo es analizar el grado de importancia pero también de aplicación de cada indicador para mejorar el acceso igualitario y la inclusión en la vida académica y social de la Facultad.</w:t>
      </w:r>
    </w:p>
    <w:p w:rsidR="00AD3030" w:rsidRPr="005E1103" w:rsidRDefault="00AD3030" w:rsidP="00AD3030">
      <w:pPr>
        <w:rPr>
          <w:rFonts w:cstheme="minorHAnsi"/>
          <w:sz w:val="28"/>
          <w:szCs w:val="28"/>
        </w:rPr>
      </w:pPr>
      <w:r w:rsidRPr="005E1103">
        <w:rPr>
          <w:rFonts w:cstheme="minorHAnsi"/>
          <w:sz w:val="28"/>
          <w:szCs w:val="28"/>
        </w:rPr>
        <w:t>RESULTADOS</w:t>
      </w:r>
    </w:p>
    <w:p w:rsidR="00AD3030" w:rsidRPr="005E1103" w:rsidRDefault="00AD3030" w:rsidP="00AD3030">
      <w:pPr>
        <w:rPr>
          <w:rFonts w:cstheme="minorHAnsi"/>
          <w:sz w:val="28"/>
          <w:szCs w:val="28"/>
        </w:rPr>
      </w:pPr>
      <w:r w:rsidRPr="005E1103">
        <w:rPr>
          <w:rFonts w:cstheme="minorHAnsi"/>
          <w:sz w:val="28"/>
          <w:szCs w:val="28"/>
        </w:rPr>
        <w:t>Gran importancia a que todos los indicadores estén en la Facultad para la inclusión. Sin embargo, en cuanto a la valoración en la Facultad de Educación UCM esta es negativa: 9 categorías de 18 no están presentes, las otras reciben una valoración baja. El juicio de expertos valora que la aplicación puede ser alta (media en torno 0,9 de 1), la media de los estudiantes se aleja 0,57 de 1.</w:t>
      </w:r>
    </w:p>
    <w:p w:rsidR="00AD3030" w:rsidRPr="005E1103" w:rsidRDefault="00AD3030" w:rsidP="00AD3030">
      <w:pPr>
        <w:rPr>
          <w:rFonts w:cstheme="minorHAnsi"/>
          <w:sz w:val="28"/>
          <w:szCs w:val="28"/>
        </w:rPr>
      </w:pPr>
      <w:r w:rsidRPr="005E1103">
        <w:rPr>
          <w:rFonts w:cstheme="minorHAnsi"/>
          <w:sz w:val="28"/>
          <w:szCs w:val="28"/>
        </w:rPr>
        <w:t>DISCUSIÓN</w:t>
      </w:r>
    </w:p>
    <w:p w:rsidR="00E2569D" w:rsidRDefault="00AD3030" w:rsidP="00AD3030">
      <w:pPr>
        <w:rPr>
          <w:rFonts w:cstheme="minorHAnsi"/>
          <w:sz w:val="28"/>
          <w:szCs w:val="28"/>
        </w:rPr>
      </w:pPr>
      <w:r w:rsidRPr="005E1103">
        <w:rPr>
          <w:rFonts w:cstheme="minorHAnsi"/>
          <w:sz w:val="28"/>
          <w:szCs w:val="28"/>
        </w:rPr>
        <w:t xml:space="preserve">Accesibilidad, herramientas y equipos de trabajo se valoran en 0,19 de 1 en aplicación (los expertos 0,92 de 1 en importancia). Los estudios que dan voz a estudiantes (Cotán, López y Moriña 2010; Molina y Moriña 2011; Álvarez y Rodríguez 2014) reflejan barreras de apoyo y brechas entre disposiciones aprobadas y práctica a pesar de la normativa. Políticas </w:t>
      </w:r>
      <w:r w:rsidRPr="005E1103">
        <w:rPr>
          <w:rFonts w:cstheme="minorHAnsi"/>
          <w:sz w:val="28"/>
          <w:szCs w:val="28"/>
        </w:rPr>
        <w:lastRenderedPageBreak/>
        <w:t>no discriminatorias, estándares de actuación, redes de apoyo entre universidades y fomentar la capacitación en inclusión de estudiantes son prioridades.</w:t>
      </w:r>
    </w:p>
    <w:p w:rsidR="00E2569D" w:rsidRDefault="00E2569D">
      <w:pPr>
        <w:rPr>
          <w:rFonts w:cstheme="minorHAnsi"/>
          <w:sz w:val="28"/>
          <w:szCs w:val="28"/>
        </w:rPr>
      </w:pPr>
      <w:r>
        <w:rPr>
          <w:rFonts w:cstheme="minorHAnsi"/>
          <w:sz w:val="28"/>
          <w:szCs w:val="28"/>
        </w:rPr>
        <w:br w:type="page"/>
      </w:r>
    </w:p>
    <w:p w:rsidR="008949B1" w:rsidRPr="005E1103" w:rsidRDefault="008949B1" w:rsidP="008949B1">
      <w:pPr>
        <w:pStyle w:val="Sinespaciado"/>
        <w:spacing w:line="360" w:lineRule="auto"/>
        <w:jc w:val="center"/>
        <w:rPr>
          <w:rFonts w:asciiTheme="minorHAnsi" w:hAnsiTheme="minorHAnsi" w:cstheme="minorHAnsi"/>
          <w:sz w:val="28"/>
          <w:szCs w:val="28"/>
        </w:rPr>
      </w:pPr>
    </w:p>
    <w:p w:rsidR="008949B1" w:rsidRPr="005E1103" w:rsidRDefault="008949B1" w:rsidP="008949B1">
      <w:pPr>
        <w:jc w:val="center"/>
        <w:rPr>
          <w:rFonts w:cstheme="minorHAnsi"/>
          <w:sz w:val="28"/>
          <w:szCs w:val="28"/>
        </w:rPr>
      </w:pPr>
      <w:r w:rsidRPr="005E1103">
        <w:rPr>
          <w:rFonts w:cstheme="minorHAnsi"/>
          <w:noProof/>
          <w:sz w:val="28"/>
          <w:szCs w:val="28"/>
          <w:lang w:eastAsia="es-ES"/>
        </w:rPr>
        <w:drawing>
          <wp:inline distT="0" distB="0" distL="0" distR="0" wp14:anchorId="07D183D3" wp14:editId="0BBADA5F">
            <wp:extent cx="4111777" cy="542925"/>
            <wp:effectExtent l="0" t="0" r="3175" b="0"/>
            <wp:docPr id="6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11294" cy="542861"/>
                    </a:xfrm>
                    <a:prstGeom prst="rect">
                      <a:avLst/>
                    </a:prstGeom>
                    <a:noFill/>
                    <a:ln>
                      <a:noFill/>
                    </a:ln>
                  </pic:spPr>
                </pic:pic>
              </a:graphicData>
            </a:graphic>
          </wp:inline>
        </w:drawing>
      </w:r>
    </w:p>
    <w:p w:rsidR="008949B1" w:rsidRPr="005E1103" w:rsidRDefault="008949B1" w:rsidP="008949B1">
      <w:pPr>
        <w:spacing w:after="360"/>
        <w:jc w:val="center"/>
        <w:rPr>
          <w:rFonts w:cstheme="minorHAnsi"/>
          <w:b/>
          <w:color w:val="3F5570"/>
          <w:sz w:val="28"/>
          <w:szCs w:val="28"/>
        </w:rPr>
      </w:pPr>
      <w:r w:rsidRPr="005E1103">
        <w:rPr>
          <w:rFonts w:cstheme="minorHAnsi"/>
          <w:b/>
          <w:color w:val="3F5570"/>
          <w:sz w:val="28"/>
          <w:szCs w:val="28"/>
        </w:rPr>
        <w:t>10 y 11 de noviembre de 2016</w:t>
      </w:r>
    </w:p>
    <w:p w:rsidR="008949B1" w:rsidRPr="005E1103" w:rsidRDefault="008949B1" w:rsidP="008949B1">
      <w:pPr>
        <w:spacing w:before="240"/>
        <w:jc w:val="center"/>
        <w:rPr>
          <w:rFonts w:cstheme="minorHAnsi"/>
          <w:b/>
          <w:color w:val="D20116"/>
          <w:sz w:val="28"/>
          <w:szCs w:val="28"/>
        </w:rPr>
      </w:pPr>
      <w:r w:rsidRPr="005E1103">
        <w:rPr>
          <w:rFonts w:cstheme="minorHAnsi"/>
          <w:b/>
          <w:color w:val="D20116"/>
          <w:sz w:val="28"/>
          <w:szCs w:val="28"/>
        </w:rPr>
        <w:t>COMUNICACIONES PRESENTADAS</w:t>
      </w:r>
    </w:p>
    <w:p w:rsidR="008949B1" w:rsidRPr="005E1103" w:rsidRDefault="008949B1" w:rsidP="008949B1">
      <w:pPr>
        <w:spacing w:before="240"/>
        <w:jc w:val="center"/>
        <w:rPr>
          <w:rFonts w:cstheme="minorHAnsi"/>
          <w:b/>
          <w:color w:val="D20116"/>
          <w:sz w:val="28"/>
          <w:szCs w:val="28"/>
        </w:rPr>
      </w:pPr>
      <w:r w:rsidRPr="005E1103">
        <w:rPr>
          <w:rFonts w:cstheme="minorHAnsi"/>
          <w:b/>
          <w:color w:val="D20116"/>
          <w:sz w:val="28"/>
          <w:szCs w:val="28"/>
        </w:rPr>
        <w:t>GRUPO 5</w:t>
      </w:r>
    </w:p>
    <w:p w:rsidR="00954B58" w:rsidRPr="005E1103" w:rsidRDefault="008949B1" w:rsidP="008949B1">
      <w:pPr>
        <w:tabs>
          <w:tab w:val="left" w:pos="6960"/>
        </w:tabs>
        <w:jc w:val="center"/>
        <w:rPr>
          <w:rFonts w:cstheme="minorHAnsi"/>
          <w:b/>
          <w:color w:val="D20116"/>
          <w:sz w:val="28"/>
          <w:szCs w:val="28"/>
        </w:rPr>
      </w:pPr>
      <w:r w:rsidRPr="005E1103">
        <w:rPr>
          <w:rFonts w:cstheme="minorHAnsi"/>
          <w:b/>
          <w:color w:val="D20116"/>
          <w:sz w:val="28"/>
          <w:szCs w:val="28"/>
        </w:rPr>
        <w:t>INNOVACIONES TECNOLÓGICAS PARA LA EDUCACIÓN Y EL APRENDIZAJE</w:t>
      </w:r>
    </w:p>
    <w:p w:rsidR="008949B1" w:rsidRPr="005E1103" w:rsidRDefault="008949B1" w:rsidP="008949B1">
      <w:pPr>
        <w:tabs>
          <w:tab w:val="left" w:pos="6960"/>
        </w:tabs>
        <w:jc w:val="center"/>
        <w:rPr>
          <w:rFonts w:eastAsia="Times New Roman" w:cstheme="minorHAnsi"/>
          <w:sz w:val="28"/>
          <w:szCs w:val="28"/>
          <w:lang w:eastAsia="es-CO"/>
        </w:rPr>
      </w:pPr>
      <w:r w:rsidRPr="005E1103">
        <w:rPr>
          <w:rFonts w:cstheme="minorHAnsi"/>
          <w:b/>
          <w:i/>
          <w:noProof/>
          <w:color w:val="D20116"/>
          <w:sz w:val="28"/>
          <w:szCs w:val="28"/>
          <w:lang w:eastAsia="es-ES"/>
        </w:rPr>
        <w:drawing>
          <wp:anchor distT="0" distB="0" distL="114300" distR="114300" simplePos="0" relativeHeight="251676672" behindDoc="0" locked="0" layoutInCell="1" allowOverlap="1" wp14:anchorId="1A582224" wp14:editId="42227853">
            <wp:simplePos x="0" y="0"/>
            <wp:positionH relativeFrom="column">
              <wp:posOffset>2134235</wp:posOffset>
            </wp:positionH>
            <wp:positionV relativeFrom="paragraph">
              <wp:posOffset>393065</wp:posOffset>
            </wp:positionV>
            <wp:extent cx="1952625" cy="1207135"/>
            <wp:effectExtent l="0" t="0" r="0" b="0"/>
            <wp:wrapNone/>
            <wp:docPr id="7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52625" cy="12071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949B1" w:rsidRPr="005E1103" w:rsidRDefault="008949B1" w:rsidP="008949B1">
      <w:pPr>
        <w:rPr>
          <w:rFonts w:eastAsia="Times New Roman" w:cstheme="minorHAnsi"/>
          <w:sz w:val="28"/>
          <w:szCs w:val="28"/>
          <w:lang w:eastAsia="es-CO"/>
        </w:rPr>
      </w:pPr>
    </w:p>
    <w:p w:rsidR="008949B1" w:rsidRPr="005E1103" w:rsidRDefault="008949B1" w:rsidP="008949B1">
      <w:pPr>
        <w:rPr>
          <w:rFonts w:eastAsia="Times New Roman" w:cstheme="minorHAnsi"/>
          <w:sz w:val="28"/>
          <w:szCs w:val="28"/>
          <w:lang w:eastAsia="es-CO"/>
        </w:rPr>
      </w:pPr>
    </w:p>
    <w:p w:rsidR="008949B1" w:rsidRPr="005E1103" w:rsidRDefault="008949B1" w:rsidP="008949B1">
      <w:pPr>
        <w:rPr>
          <w:rFonts w:eastAsia="Times New Roman" w:cstheme="minorHAnsi"/>
          <w:sz w:val="28"/>
          <w:szCs w:val="28"/>
          <w:lang w:eastAsia="es-CO"/>
        </w:rPr>
      </w:pPr>
    </w:p>
    <w:p w:rsidR="008949B1" w:rsidRPr="005E1103" w:rsidRDefault="008949B1" w:rsidP="008949B1">
      <w:pPr>
        <w:rPr>
          <w:rFonts w:eastAsia="Times New Roman" w:cstheme="minorHAnsi"/>
          <w:sz w:val="28"/>
          <w:szCs w:val="28"/>
          <w:lang w:eastAsia="es-CO"/>
        </w:rPr>
      </w:pPr>
    </w:p>
    <w:p w:rsidR="008949B1" w:rsidRPr="005E1103" w:rsidRDefault="008949B1" w:rsidP="008949B1">
      <w:pPr>
        <w:rPr>
          <w:rFonts w:eastAsia="Times New Roman" w:cstheme="minorHAnsi"/>
          <w:sz w:val="28"/>
          <w:szCs w:val="28"/>
          <w:lang w:eastAsia="es-CO"/>
        </w:rPr>
      </w:pPr>
    </w:p>
    <w:p w:rsidR="008949B1" w:rsidRPr="005E1103" w:rsidRDefault="008949B1" w:rsidP="008949B1">
      <w:pPr>
        <w:rPr>
          <w:rFonts w:eastAsia="Times New Roman" w:cstheme="minorHAnsi"/>
          <w:sz w:val="28"/>
          <w:szCs w:val="28"/>
          <w:lang w:eastAsia="es-CO"/>
        </w:rPr>
      </w:pPr>
    </w:p>
    <w:p w:rsidR="008949B1" w:rsidRPr="005E1103" w:rsidRDefault="008949B1" w:rsidP="008949B1">
      <w:pPr>
        <w:tabs>
          <w:tab w:val="left" w:pos="7185"/>
        </w:tabs>
        <w:rPr>
          <w:rFonts w:eastAsia="Times New Roman" w:cstheme="minorHAnsi"/>
          <w:sz w:val="28"/>
          <w:szCs w:val="28"/>
          <w:lang w:eastAsia="es-CO"/>
        </w:rPr>
      </w:pPr>
      <w:r w:rsidRPr="005E1103">
        <w:rPr>
          <w:rFonts w:eastAsia="Times New Roman" w:cstheme="minorHAnsi"/>
          <w:sz w:val="28"/>
          <w:szCs w:val="28"/>
          <w:lang w:eastAsia="es-CO"/>
        </w:rPr>
        <w:tab/>
      </w:r>
    </w:p>
    <w:tbl>
      <w:tblPr>
        <w:tblW w:w="0" w:type="auto"/>
        <w:jc w:val="center"/>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3251"/>
        <w:gridCol w:w="4959"/>
      </w:tblGrid>
      <w:tr w:rsidR="008949B1" w:rsidRPr="005E1103" w:rsidTr="008949B1">
        <w:trPr>
          <w:trHeight w:val="1274"/>
          <w:jc w:val="center"/>
        </w:trPr>
        <w:tc>
          <w:tcPr>
            <w:tcW w:w="3251" w:type="dxa"/>
            <w:tcBorders>
              <w:top w:val="single" w:sz="8" w:space="0" w:color="4F81BD"/>
              <w:left w:val="single" w:sz="8" w:space="0" w:color="4F81BD"/>
              <w:bottom w:val="single" w:sz="8" w:space="0" w:color="4F81BD"/>
              <w:right w:val="single" w:sz="8" w:space="0" w:color="4F81BD"/>
            </w:tcBorders>
            <w:shd w:val="clear" w:color="auto" w:fill="auto"/>
            <w:vAlign w:val="center"/>
          </w:tcPr>
          <w:p w:rsidR="008949B1" w:rsidRPr="005E1103" w:rsidRDefault="008949B1" w:rsidP="008949B1">
            <w:pPr>
              <w:spacing w:after="0"/>
              <w:jc w:val="both"/>
              <w:rPr>
                <w:rFonts w:eastAsia="Times New Roman" w:cstheme="minorHAnsi"/>
                <w:b/>
                <w:bCs/>
                <w:color w:val="002060"/>
                <w:sz w:val="28"/>
                <w:szCs w:val="28"/>
                <w:lang w:eastAsia="es-ES"/>
              </w:rPr>
            </w:pPr>
            <w:r w:rsidRPr="005E1103">
              <w:rPr>
                <w:rFonts w:eastAsia="Times New Roman" w:cstheme="minorHAnsi"/>
                <w:b/>
                <w:bCs/>
                <w:color w:val="002060"/>
                <w:sz w:val="28"/>
                <w:szCs w:val="28"/>
                <w:lang w:eastAsia="es-ES"/>
              </w:rPr>
              <w:t>Grupo de trabajo 5</w:t>
            </w:r>
          </w:p>
          <w:p w:rsidR="008949B1" w:rsidRPr="005E1103" w:rsidRDefault="008949B1" w:rsidP="008949B1">
            <w:pPr>
              <w:spacing w:after="0"/>
              <w:jc w:val="both"/>
              <w:rPr>
                <w:rFonts w:eastAsia="Times New Roman" w:cstheme="minorHAnsi"/>
                <w:b/>
                <w:bCs/>
                <w:color w:val="002060"/>
                <w:sz w:val="28"/>
                <w:szCs w:val="28"/>
                <w:lang w:eastAsia="es-ES"/>
              </w:rPr>
            </w:pPr>
            <w:r w:rsidRPr="005E1103">
              <w:rPr>
                <w:rFonts w:eastAsia="Times New Roman" w:cstheme="minorHAnsi"/>
                <w:b/>
                <w:bCs/>
                <w:i/>
                <w:color w:val="002060"/>
                <w:sz w:val="28"/>
                <w:szCs w:val="28"/>
                <w:lang w:eastAsia="es-ES"/>
              </w:rPr>
              <w:t>Innovaciones tecnológicas para la educación y el aprendizaje</w:t>
            </w:r>
            <w:r w:rsidRPr="005E1103">
              <w:rPr>
                <w:rFonts w:cstheme="minorHAnsi"/>
                <w:sz w:val="28"/>
                <w:szCs w:val="28"/>
              </w:rPr>
              <w:t xml:space="preserve"> </w:t>
            </w:r>
          </w:p>
        </w:tc>
        <w:tc>
          <w:tcPr>
            <w:tcW w:w="4959" w:type="dxa"/>
            <w:tcBorders>
              <w:top w:val="single" w:sz="8" w:space="0" w:color="4F81BD"/>
              <w:left w:val="single" w:sz="8" w:space="0" w:color="4F81BD"/>
              <w:bottom w:val="single" w:sz="8" w:space="0" w:color="4F81BD"/>
              <w:right w:val="single" w:sz="8" w:space="0" w:color="4F81BD"/>
            </w:tcBorders>
            <w:shd w:val="clear" w:color="auto" w:fill="auto"/>
          </w:tcPr>
          <w:p w:rsidR="008949B1" w:rsidRPr="005E1103" w:rsidRDefault="008949B1" w:rsidP="008949B1">
            <w:pPr>
              <w:spacing w:after="0"/>
              <w:jc w:val="both"/>
              <w:rPr>
                <w:rFonts w:eastAsia="Times New Roman" w:cstheme="minorHAnsi"/>
                <w:color w:val="002060"/>
                <w:sz w:val="28"/>
                <w:szCs w:val="28"/>
                <w:lang w:eastAsia="es-ES"/>
              </w:rPr>
            </w:pPr>
            <w:r w:rsidRPr="005E1103">
              <w:rPr>
                <w:rFonts w:eastAsia="Times New Roman" w:cstheme="minorHAnsi"/>
                <w:color w:val="002060"/>
                <w:sz w:val="28"/>
                <w:szCs w:val="28"/>
                <w:lang w:eastAsia="es-ES"/>
              </w:rPr>
              <w:t xml:space="preserve">Relevancia de las TIC’s en la mejora de los procesos de enseñanza y aprendizaje y la accesibilidad de las mismas  </w:t>
            </w:r>
          </w:p>
        </w:tc>
      </w:tr>
    </w:tbl>
    <w:p w:rsidR="008949B1" w:rsidRPr="005E1103" w:rsidRDefault="008949B1" w:rsidP="008949B1">
      <w:pPr>
        <w:tabs>
          <w:tab w:val="left" w:pos="7185"/>
        </w:tabs>
        <w:rPr>
          <w:rFonts w:eastAsia="Times New Roman" w:cstheme="minorHAnsi"/>
          <w:sz w:val="28"/>
          <w:szCs w:val="28"/>
          <w:lang w:eastAsia="es-CO"/>
        </w:rPr>
      </w:pPr>
    </w:p>
    <w:p w:rsidR="008949B1" w:rsidRPr="005E1103" w:rsidRDefault="008949B1" w:rsidP="008949B1">
      <w:pPr>
        <w:spacing w:after="0"/>
        <w:jc w:val="both"/>
        <w:rPr>
          <w:rFonts w:cstheme="minorHAnsi"/>
          <w:b/>
          <w:sz w:val="28"/>
          <w:szCs w:val="28"/>
        </w:rPr>
      </w:pPr>
      <w:r w:rsidRPr="005E1103">
        <w:rPr>
          <w:rFonts w:cstheme="minorHAnsi"/>
          <w:b/>
          <w:sz w:val="28"/>
          <w:szCs w:val="28"/>
        </w:rPr>
        <w:t>Descripción:</w:t>
      </w:r>
    </w:p>
    <w:p w:rsidR="008949B1" w:rsidRPr="005E1103" w:rsidRDefault="008949B1" w:rsidP="00E2569D">
      <w:pPr>
        <w:tabs>
          <w:tab w:val="left" w:pos="7185"/>
        </w:tabs>
        <w:rPr>
          <w:rFonts w:cstheme="minorHAnsi"/>
          <w:sz w:val="28"/>
          <w:szCs w:val="28"/>
        </w:rPr>
      </w:pPr>
      <w:r w:rsidRPr="005E1103">
        <w:rPr>
          <w:rFonts w:eastAsia="Times New Roman" w:cstheme="minorHAnsi"/>
          <w:sz w:val="28"/>
          <w:szCs w:val="28"/>
          <w:lang w:val="es-ES_tradnl" w:eastAsia="es-ES"/>
        </w:rPr>
        <w:t>Según la Organización Mundial de la Salud los sistemas educativos tienen que adoptar planteamientos más centrados en el alumnado, con cambios en los planes de estudio, métodos y materiales de enseñanza para crear entornos de aprendizaje inclusivos. En este sentido, cada vez hay más evidencias de que los enfoques pedagógicos para atender, de una forma más individualizada, las necesidades de aprendizaje de cada estudiante son una herramienta eficaz</w:t>
      </w:r>
      <w:r w:rsidR="00E2569D">
        <w:rPr>
          <w:rFonts w:eastAsia="Times New Roman" w:cstheme="minorHAnsi"/>
          <w:sz w:val="28"/>
          <w:szCs w:val="28"/>
          <w:lang w:val="es-ES_tradnl" w:eastAsia="es-ES"/>
        </w:rPr>
        <w:t xml:space="preserve"> </w:t>
      </w:r>
      <w:r w:rsidRPr="005E1103">
        <w:rPr>
          <w:rFonts w:eastAsia="Times New Roman" w:cstheme="minorHAnsi"/>
          <w:sz w:val="28"/>
          <w:szCs w:val="28"/>
          <w:lang w:val="es-ES_tradnl" w:eastAsia="es-ES"/>
        </w:rPr>
        <w:t xml:space="preserve">para apoyar la inclusión de las personas con </w:t>
      </w:r>
      <w:r w:rsidRPr="005E1103">
        <w:rPr>
          <w:rFonts w:eastAsia="Times New Roman" w:cstheme="minorHAnsi"/>
          <w:sz w:val="28"/>
          <w:szCs w:val="28"/>
          <w:lang w:val="es-ES_tradnl" w:eastAsia="es-ES"/>
        </w:rPr>
        <w:lastRenderedPageBreak/>
        <w:t>discapacidad en el ámbito educativo.</w:t>
      </w:r>
      <w:r w:rsidRPr="005E1103">
        <w:rPr>
          <w:rFonts w:eastAsia="Cambria" w:cstheme="minorHAnsi"/>
          <w:sz w:val="28"/>
          <w:szCs w:val="28"/>
          <w:lang w:val="es-ES_tradnl" w:eastAsia="es-ES"/>
        </w:rPr>
        <w:t xml:space="preserve"> El </w:t>
      </w:r>
      <w:r w:rsidRPr="005E1103">
        <w:rPr>
          <w:rFonts w:eastAsia="Cambria" w:cstheme="minorHAnsi"/>
          <w:b/>
          <w:sz w:val="28"/>
          <w:szCs w:val="28"/>
          <w:lang w:val="es-ES_tradnl" w:eastAsia="es-ES"/>
        </w:rPr>
        <w:t>Diseño Universal de Aprendizaje</w:t>
      </w:r>
      <w:r w:rsidRPr="005E1103">
        <w:rPr>
          <w:rFonts w:eastAsia="Cambria" w:cstheme="minorHAnsi"/>
          <w:sz w:val="28"/>
          <w:szCs w:val="28"/>
          <w:lang w:val="es-ES_tradnl" w:eastAsia="es-ES"/>
        </w:rPr>
        <w:t xml:space="preserve"> es uno de estos enfoques que ayuda a estar a la altura del reto de la diversidad sugiriendo materiales de instrucción flexibles, técnicas y estrategias </w:t>
      </w:r>
      <w:r w:rsidRPr="005E1103">
        <w:rPr>
          <w:rFonts w:cstheme="minorHAnsi"/>
          <w:sz w:val="28"/>
          <w:szCs w:val="28"/>
        </w:rPr>
        <w:t>donde sin duda las TIC´s han adquirido un gran protagonismo. En el ámbito universitario la incorporación de las tecnologías ha sido notable en los últimos años y  resulta fundamental que sean concebidas siguiendo los criterios de la Accesibilidad Universal y el Diseño para Todas las Personas, con el fin de evitar la exclusión de las personas con discapacidad y acrecentar así una nueva  brecha tecnológica.</w:t>
      </w:r>
    </w:p>
    <w:p w:rsidR="008949B1" w:rsidRPr="005E1103" w:rsidRDefault="008949B1" w:rsidP="008949B1">
      <w:pPr>
        <w:spacing w:after="0"/>
        <w:jc w:val="both"/>
        <w:rPr>
          <w:rFonts w:cstheme="minorHAnsi"/>
          <w:sz w:val="28"/>
          <w:szCs w:val="28"/>
        </w:rPr>
      </w:pPr>
      <w:r w:rsidRPr="005E1103">
        <w:rPr>
          <w:rFonts w:cstheme="minorHAnsi"/>
          <w:sz w:val="28"/>
          <w:szCs w:val="28"/>
        </w:rPr>
        <w:t xml:space="preserve">En tal sentido, resulta necesario que las Universidades garanticen, además de la accesibilidad física de sus edificios e instalaciones, la de sus espacios virtuales incluidas páginas web, aplicaciones, herramientas y formatos docentes, con el objeto de que el alumnado con discapacidad cuente con las mismas condiciones y oportunidades a la hora de formarse y acceder a la información. </w:t>
      </w:r>
    </w:p>
    <w:p w:rsidR="008949B1" w:rsidRPr="005E1103" w:rsidRDefault="008949B1" w:rsidP="008949B1">
      <w:pPr>
        <w:spacing w:after="0"/>
        <w:jc w:val="both"/>
        <w:rPr>
          <w:rFonts w:cstheme="minorHAnsi"/>
          <w:sz w:val="28"/>
          <w:szCs w:val="28"/>
        </w:rPr>
      </w:pPr>
    </w:p>
    <w:p w:rsidR="008949B1" w:rsidRPr="005E1103" w:rsidRDefault="008949B1" w:rsidP="008949B1">
      <w:pPr>
        <w:spacing w:after="0"/>
        <w:jc w:val="both"/>
        <w:rPr>
          <w:rFonts w:cstheme="minorHAnsi"/>
          <w:b/>
          <w:sz w:val="28"/>
          <w:szCs w:val="28"/>
          <w:lang w:val="es-ES_tradnl"/>
        </w:rPr>
      </w:pPr>
      <w:r w:rsidRPr="005E1103">
        <w:rPr>
          <w:rFonts w:cstheme="minorHAnsi"/>
          <w:b/>
          <w:sz w:val="28"/>
          <w:szCs w:val="28"/>
          <w:lang w:val="es-ES_tradnl"/>
        </w:rPr>
        <w:t>Objetivos:</w:t>
      </w:r>
    </w:p>
    <w:p w:rsidR="008949B1" w:rsidRPr="005E1103" w:rsidRDefault="008949B1" w:rsidP="008949B1">
      <w:pPr>
        <w:pStyle w:val="Prrafodelista"/>
        <w:numPr>
          <w:ilvl w:val="0"/>
          <w:numId w:val="112"/>
        </w:numPr>
        <w:spacing w:before="0" w:line="276" w:lineRule="auto"/>
        <w:jc w:val="both"/>
        <w:rPr>
          <w:rFonts w:asciiTheme="minorHAnsi" w:eastAsia="Times New Roman" w:hAnsiTheme="minorHAnsi" w:cstheme="minorHAnsi"/>
          <w:sz w:val="28"/>
          <w:szCs w:val="28"/>
          <w:lang w:eastAsia="es-ES"/>
        </w:rPr>
      </w:pPr>
      <w:r w:rsidRPr="005E1103">
        <w:rPr>
          <w:rFonts w:asciiTheme="minorHAnsi" w:hAnsiTheme="minorHAnsi" w:cstheme="minorHAnsi"/>
          <w:sz w:val="28"/>
          <w:szCs w:val="28"/>
        </w:rPr>
        <w:t>Conocer el impacto que las TIC´s están teniendo en el alumnado universitario con discapacidad, contribuyendo a mejorar su calidad de vida.</w:t>
      </w:r>
    </w:p>
    <w:p w:rsidR="008949B1" w:rsidRPr="005E1103" w:rsidRDefault="008949B1" w:rsidP="008949B1">
      <w:pPr>
        <w:pStyle w:val="Prrafodelista"/>
        <w:numPr>
          <w:ilvl w:val="0"/>
          <w:numId w:val="112"/>
        </w:numPr>
        <w:spacing w:before="0" w:line="276" w:lineRule="auto"/>
        <w:jc w:val="both"/>
        <w:rPr>
          <w:rFonts w:asciiTheme="minorHAnsi" w:eastAsia="Times New Roman" w:hAnsiTheme="minorHAnsi" w:cstheme="minorHAnsi"/>
          <w:sz w:val="28"/>
          <w:szCs w:val="28"/>
          <w:lang w:eastAsia="es-ES"/>
        </w:rPr>
      </w:pPr>
      <w:r w:rsidRPr="005E1103">
        <w:rPr>
          <w:rFonts w:asciiTheme="minorHAnsi" w:eastAsia="Times New Roman" w:hAnsiTheme="minorHAnsi" w:cstheme="minorHAnsi"/>
          <w:sz w:val="28"/>
          <w:szCs w:val="28"/>
          <w:lang w:eastAsia="es-ES"/>
        </w:rPr>
        <w:t xml:space="preserve">Identificar buenas prácticas en el diseño y uso de las TIC´s para mejorar el rendimiento académico del alumnado con discapacidad y su evaluación. </w:t>
      </w:r>
    </w:p>
    <w:p w:rsidR="008949B1" w:rsidRPr="005E1103" w:rsidRDefault="008949B1" w:rsidP="008949B1">
      <w:pPr>
        <w:pStyle w:val="Prrafodelista"/>
        <w:numPr>
          <w:ilvl w:val="0"/>
          <w:numId w:val="112"/>
        </w:numPr>
        <w:spacing w:before="0" w:line="276" w:lineRule="auto"/>
        <w:jc w:val="both"/>
        <w:rPr>
          <w:rFonts w:asciiTheme="minorHAnsi" w:eastAsia="Times New Roman" w:hAnsiTheme="minorHAnsi" w:cstheme="minorHAnsi"/>
          <w:sz w:val="28"/>
          <w:szCs w:val="28"/>
          <w:lang w:eastAsia="es-ES"/>
        </w:rPr>
      </w:pPr>
      <w:r w:rsidRPr="005E1103">
        <w:rPr>
          <w:rFonts w:asciiTheme="minorHAnsi" w:eastAsia="Times New Roman" w:hAnsiTheme="minorHAnsi" w:cstheme="minorHAnsi"/>
          <w:sz w:val="28"/>
          <w:szCs w:val="28"/>
          <w:lang w:eastAsia="es-ES"/>
        </w:rPr>
        <w:t xml:space="preserve">Analizar la importancia de la infoaccesibilidad en los procesos de enseñanza y aprendizaje. </w:t>
      </w:r>
    </w:p>
    <w:p w:rsidR="008949B1" w:rsidRPr="005E1103" w:rsidRDefault="008949B1" w:rsidP="008949B1">
      <w:pPr>
        <w:pStyle w:val="Prrafodelista"/>
        <w:numPr>
          <w:ilvl w:val="0"/>
          <w:numId w:val="112"/>
        </w:numPr>
        <w:spacing w:before="0" w:line="276" w:lineRule="auto"/>
        <w:jc w:val="both"/>
        <w:rPr>
          <w:rFonts w:asciiTheme="minorHAnsi" w:eastAsia="Times New Roman" w:hAnsiTheme="minorHAnsi" w:cstheme="minorHAnsi"/>
          <w:sz w:val="28"/>
          <w:szCs w:val="28"/>
          <w:lang w:eastAsia="es-ES"/>
        </w:rPr>
      </w:pPr>
      <w:r w:rsidRPr="005E1103">
        <w:rPr>
          <w:rFonts w:asciiTheme="minorHAnsi" w:eastAsia="Times New Roman" w:hAnsiTheme="minorHAnsi" w:cstheme="minorHAnsi"/>
          <w:sz w:val="28"/>
          <w:szCs w:val="28"/>
          <w:lang w:eastAsia="es-ES"/>
        </w:rPr>
        <w:t xml:space="preserve">Dar a conocer herramientas, aplicaciones y programas que facilitan el acceso a la información y comunicación. </w:t>
      </w:r>
    </w:p>
    <w:p w:rsidR="008949B1" w:rsidRPr="005E1103" w:rsidRDefault="008949B1" w:rsidP="008949B1">
      <w:pPr>
        <w:jc w:val="center"/>
        <w:rPr>
          <w:rFonts w:cstheme="minorHAnsi"/>
          <w:b/>
          <w:sz w:val="28"/>
          <w:szCs w:val="28"/>
          <w:lang w:val="es-ES_tradnl"/>
        </w:rPr>
      </w:pPr>
    </w:p>
    <w:p w:rsidR="00E2569D" w:rsidRDefault="00E2569D">
      <w:pPr>
        <w:rPr>
          <w:rFonts w:eastAsia="Times New Roman" w:cstheme="minorHAnsi"/>
          <w:b/>
          <w:sz w:val="28"/>
          <w:szCs w:val="28"/>
          <w:lang w:eastAsia="es-ES"/>
        </w:rPr>
      </w:pPr>
      <w:r>
        <w:rPr>
          <w:rFonts w:eastAsia="Times New Roman" w:cstheme="minorHAnsi"/>
          <w:b/>
          <w:sz w:val="28"/>
          <w:szCs w:val="28"/>
          <w:lang w:eastAsia="es-ES"/>
        </w:rPr>
        <w:br w:type="page"/>
      </w:r>
    </w:p>
    <w:p w:rsidR="008949B1" w:rsidRPr="005E1103" w:rsidRDefault="008949B1" w:rsidP="008949B1">
      <w:pPr>
        <w:spacing w:after="0" w:line="240" w:lineRule="auto"/>
        <w:jc w:val="center"/>
        <w:rPr>
          <w:rFonts w:eastAsia="Times New Roman" w:cstheme="minorHAnsi"/>
          <w:b/>
          <w:sz w:val="28"/>
          <w:szCs w:val="28"/>
          <w:lang w:eastAsia="es-ES"/>
        </w:rPr>
      </w:pPr>
      <w:r w:rsidRPr="005E1103">
        <w:rPr>
          <w:rFonts w:eastAsia="Times New Roman" w:cstheme="minorHAnsi"/>
          <w:b/>
          <w:sz w:val="28"/>
          <w:szCs w:val="28"/>
          <w:lang w:eastAsia="es-ES"/>
        </w:rPr>
        <w:lastRenderedPageBreak/>
        <w:t>El tiempo de intervención en cada una de las comunicaciones es de 10 minutos por presentación.</w:t>
      </w:r>
    </w:p>
    <w:p w:rsidR="008949B1" w:rsidRPr="005E1103" w:rsidRDefault="008949B1" w:rsidP="008949B1">
      <w:pPr>
        <w:spacing w:after="0" w:line="240" w:lineRule="auto"/>
        <w:jc w:val="center"/>
        <w:rPr>
          <w:rFonts w:eastAsia="Times New Roman" w:cstheme="minorHAnsi"/>
          <w:b/>
          <w:sz w:val="28"/>
          <w:szCs w:val="28"/>
          <w:lang w:eastAsia="es-ES"/>
        </w:rPr>
      </w:pPr>
    </w:p>
    <w:p w:rsidR="008949B1" w:rsidRPr="005E1103" w:rsidRDefault="008949B1" w:rsidP="008949B1">
      <w:pPr>
        <w:spacing w:after="0" w:line="240" w:lineRule="auto"/>
        <w:jc w:val="center"/>
        <w:rPr>
          <w:rFonts w:eastAsia="Times New Roman" w:cstheme="minorHAnsi"/>
          <w:b/>
          <w:sz w:val="28"/>
          <w:szCs w:val="28"/>
          <w:lang w:eastAsia="es-ES"/>
        </w:rPr>
      </w:pPr>
    </w:p>
    <w:p w:rsidR="008949B1" w:rsidRPr="005E1103" w:rsidRDefault="008949B1" w:rsidP="008949B1">
      <w:pPr>
        <w:spacing w:after="0" w:line="240" w:lineRule="auto"/>
        <w:jc w:val="center"/>
        <w:rPr>
          <w:rFonts w:eastAsia="Times New Roman" w:cstheme="minorHAnsi"/>
          <w:b/>
          <w:sz w:val="28"/>
          <w:szCs w:val="28"/>
          <w:lang w:eastAsia="es-ES"/>
        </w:rPr>
      </w:pPr>
      <w:r w:rsidRPr="005E1103">
        <w:rPr>
          <w:rFonts w:eastAsia="Times New Roman" w:cstheme="minorHAnsi"/>
          <w:b/>
          <w:sz w:val="28"/>
          <w:szCs w:val="28"/>
          <w:lang w:eastAsia="es-ES"/>
        </w:rPr>
        <w:t>ÍNDICE Y ORDEN DE COMUNICACIONES</w:t>
      </w:r>
    </w:p>
    <w:p w:rsidR="008949B1" w:rsidRPr="005E1103" w:rsidRDefault="008949B1" w:rsidP="008949B1">
      <w:pPr>
        <w:spacing w:after="0" w:line="240" w:lineRule="auto"/>
        <w:jc w:val="both"/>
        <w:rPr>
          <w:rFonts w:eastAsia="Times New Roman" w:cstheme="minorHAnsi"/>
          <w:sz w:val="28"/>
          <w:szCs w:val="28"/>
          <w:lang w:eastAsia="es-ES"/>
        </w:rPr>
      </w:pPr>
    </w:p>
    <w:tbl>
      <w:tblPr>
        <w:tblW w:w="9989" w:type="dxa"/>
        <w:jc w:val="center"/>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424"/>
        <w:gridCol w:w="3585"/>
        <w:gridCol w:w="2891"/>
        <w:gridCol w:w="3539"/>
      </w:tblGrid>
      <w:tr w:rsidR="008949B1" w:rsidRPr="005E1103" w:rsidTr="008949B1">
        <w:trPr>
          <w:trHeight w:val="675"/>
          <w:jc w:val="center"/>
        </w:trPr>
        <w:tc>
          <w:tcPr>
            <w:tcW w:w="365" w:type="dxa"/>
            <w:shd w:val="clear" w:color="auto" w:fill="C00000"/>
          </w:tcPr>
          <w:p w:rsidR="008949B1" w:rsidRPr="005E1103" w:rsidRDefault="008949B1" w:rsidP="008949B1">
            <w:pPr>
              <w:spacing w:after="0" w:line="240" w:lineRule="auto"/>
              <w:jc w:val="center"/>
              <w:rPr>
                <w:rFonts w:eastAsia="Times New Roman" w:cstheme="minorHAnsi"/>
                <w:b/>
                <w:bCs/>
                <w:color w:val="000000"/>
                <w:sz w:val="28"/>
                <w:szCs w:val="28"/>
                <w:lang w:eastAsia="es-ES"/>
              </w:rPr>
            </w:pPr>
          </w:p>
        </w:tc>
        <w:tc>
          <w:tcPr>
            <w:tcW w:w="3585" w:type="dxa"/>
            <w:tcBorders>
              <w:top w:val="single" w:sz="12" w:space="0" w:color="auto"/>
              <w:bottom w:val="single" w:sz="8" w:space="0" w:color="auto"/>
            </w:tcBorders>
            <w:shd w:val="clear" w:color="auto" w:fill="C00000"/>
            <w:noWrap/>
            <w:vAlign w:val="center"/>
            <w:hideMark/>
          </w:tcPr>
          <w:p w:rsidR="008949B1" w:rsidRPr="005E1103" w:rsidRDefault="008949B1" w:rsidP="008949B1">
            <w:pPr>
              <w:spacing w:after="0" w:line="240" w:lineRule="auto"/>
              <w:jc w:val="center"/>
              <w:rPr>
                <w:rFonts w:eastAsia="Times New Roman" w:cstheme="minorHAnsi"/>
                <w:b/>
                <w:bCs/>
                <w:color w:val="000000"/>
                <w:sz w:val="28"/>
                <w:szCs w:val="28"/>
                <w:lang w:eastAsia="es-ES"/>
              </w:rPr>
            </w:pPr>
            <w:r w:rsidRPr="005E1103">
              <w:rPr>
                <w:rFonts w:eastAsia="Times New Roman" w:cstheme="minorHAnsi"/>
                <w:b/>
                <w:bCs/>
                <w:color w:val="000000"/>
                <w:sz w:val="28"/>
                <w:szCs w:val="28"/>
                <w:lang w:eastAsia="es-ES"/>
              </w:rPr>
              <w:t>Autores</w:t>
            </w:r>
          </w:p>
        </w:tc>
        <w:tc>
          <w:tcPr>
            <w:tcW w:w="2500" w:type="dxa"/>
            <w:tcBorders>
              <w:bottom w:val="single" w:sz="8" w:space="0" w:color="auto"/>
            </w:tcBorders>
            <w:shd w:val="clear" w:color="auto" w:fill="C00000"/>
            <w:noWrap/>
            <w:vAlign w:val="center"/>
            <w:hideMark/>
          </w:tcPr>
          <w:p w:rsidR="008949B1" w:rsidRPr="005E1103" w:rsidRDefault="008949B1" w:rsidP="008949B1">
            <w:pPr>
              <w:spacing w:after="0" w:line="240" w:lineRule="auto"/>
              <w:jc w:val="center"/>
              <w:rPr>
                <w:rFonts w:eastAsia="Times New Roman" w:cstheme="minorHAnsi"/>
                <w:b/>
                <w:bCs/>
                <w:color w:val="000000"/>
                <w:sz w:val="28"/>
                <w:szCs w:val="28"/>
                <w:lang w:eastAsia="es-ES"/>
              </w:rPr>
            </w:pPr>
            <w:r w:rsidRPr="005E1103">
              <w:rPr>
                <w:rFonts w:eastAsia="Times New Roman" w:cstheme="minorHAnsi"/>
                <w:b/>
                <w:bCs/>
                <w:color w:val="000000"/>
                <w:sz w:val="28"/>
                <w:szCs w:val="28"/>
                <w:lang w:eastAsia="es-ES"/>
              </w:rPr>
              <w:t>Universidad/Institución</w:t>
            </w:r>
          </w:p>
        </w:tc>
        <w:tc>
          <w:tcPr>
            <w:tcW w:w="3539" w:type="dxa"/>
            <w:shd w:val="clear" w:color="auto" w:fill="C00000"/>
            <w:noWrap/>
            <w:vAlign w:val="center"/>
            <w:hideMark/>
          </w:tcPr>
          <w:p w:rsidR="008949B1" w:rsidRPr="005E1103" w:rsidRDefault="008949B1" w:rsidP="008949B1">
            <w:pPr>
              <w:spacing w:after="0" w:line="240" w:lineRule="auto"/>
              <w:jc w:val="center"/>
              <w:rPr>
                <w:rFonts w:eastAsia="Times New Roman" w:cstheme="minorHAnsi"/>
                <w:b/>
                <w:bCs/>
                <w:color w:val="000000"/>
                <w:sz w:val="28"/>
                <w:szCs w:val="28"/>
                <w:lang w:eastAsia="es-ES"/>
              </w:rPr>
            </w:pPr>
            <w:r w:rsidRPr="005E1103">
              <w:rPr>
                <w:rFonts w:eastAsia="Times New Roman" w:cstheme="minorHAnsi"/>
                <w:b/>
                <w:bCs/>
                <w:color w:val="000000"/>
                <w:sz w:val="28"/>
                <w:szCs w:val="28"/>
                <w:lang w:eastAsia="es-ES"/>
              </w:rPr>
              <w:t>Título</w:t>
            </w:r>
          </w:p>
        </w:tc>
      </w:tr>
      <w:tr w:rsidR="008949B1" w:rsidRPr="005E1103" w:rsidTr="008949B1">
        <w:trPr>
          <w:trHeight w:val="753"/>
          <w:jc w:val="center"/>
        </w:trPr>
        <w:tc>
          <w:tcPr>
            <w:tcW w:w="365" w:type="dxa"/>
            <w:shd w:val="clear" w:color="auto" w:fill="C00000"/>
            <w:vAlign w:val="center"/>
          </w:tcPr>
          <w:p w:rsidR="008949B1" w:rsidRPr="005E1103" w:rsidRDefault="008949B1" w:rsidP="008949B1">
            <w:pPr>
              <w:spacing w:after="0" w:line="240" w:lineRule="auto"/>
              <w:rPr>
                <w:rFonts w:eastAsia="Times New Roman" w:cstheme="minorHAnsi"/>
                <w:b/>
                <w:bCs/>
                <w:sz w:val="28"/>
                <w:szCs w:val="28"/>
                <w:lang w:eastAsia="es-ES"/>
              </w:rPr>
            </w:pPr>
            <w:r w:rsidRPr="005E1103">
              <w:rPr>
                <w:rFonts w:eastAsia="Times New Roman" w:cstheme="minorHAnsi"/>
                <w:b/>
                <w:bCs/>
                <w:sz w:val="28"/>
                <w:szCs w:val="28"/>
                <w:lang w:eastAsia="es-ES"/>
              </w:rPr>
              <w:t>1</w:t>
            </w:r>
          </w:p>
        </w:tc>
        <w:tc>
          <w:tcPr>
            <w:tcW w:w="3585" w:type="dxa"/>
            <w:shd w:val="clear" w:color="auto" w:fill="C00000"/>
            <w:noWrap/>
            <w:vAlign w:val="center"/>
          </w:tcPr>
          <w:p w:rsidR="008949B1" w:rsidRPr="005E1103" w:rsidRDefault="008949B1" w:rsidP="008949B1">
            <w:pPr>
              <w:jc w:val="both"/>
              <w:rPr>
                <w:rFonts w:cstheme="minorHAnsi"/>
                <w:b/>
                <w:bCs/>
                <w:sz w:val="28"/>
                <w:szCs w:val="28"/>
              </w:rPr>
            </w:pPr>
            <w:r w:rsidRPr="005E1103">
              <w:rPr>
                <w:rFonts w:cstheme="minorHAnsi"/>
                <w:b/>
                <w:bCs/>
                <w:sz w:val="28"/>
                <w:szCs w:val="28"/>
              </w:rPr>
              <w:t>Estefania Caraes Montes</w:t>
            </w:r>
          </w:p>
        </w:tc>
        <w:tc>
          <w:tcPr>
            <w:tcW w:w="2500" w:type="dxa"/>
            <w:tcBorders>
              <w:top w:val="single" w:sz="8" w:space="0" w:color="auto"/>
            </w:tcBorders>
            <w:shd w:val="clear" w:color="auto" w:fill="BFBFBF" w:themeFill="background1" w:themeFillShade="BF"/>
            <w:noWrap/>
            <w:vAlign w:val="center"/>
          </w:tcPr>
          <w:p w:rsidR="008949B1" w:rsidRPr="005E1103" w:rsidRDefault="008949B1" w:rsidP="008949B1">
            <w:pPr>
              <w:jc w:val="both"/>
              <w:rPr>
                <w:rFonts w:cstheme="minorHAnsi"/>
                <w:b/>
                <w:color w:val="000000"/>
                <w:sz w:val="28"/>
                <w:szCs w:val="28"/>
              </w:rPr>
            </w:pPr>
            <w:r w:rsidRPr="005E1103">
              <w:rPr>
                <w:rFonts w:cstheme="minorHAnsi"/>
                <w:b/>
                <w:color w:val="000000"/>
                <w:sz w:val="28"/>
                <w:szCs w:val="28"/>
              </w:rPr>
              <w:t>Universidad Alcalá de Henares</w:t>
            </w:r>
          </w:p>
          <w:p w:rsidR="008949B1" w:rsidRPr="005E1103" w:rsidRDefault="008949B1" w:rsidP="008949B1">
            <w:pPr>
              <w:spacing w:after="0" w:line="240" w:lineRule="auto"/>
              <w:jc w:val="both"/>
              <w:rPr>
                <w:rFonts w:eastAsia="Times New Roman" w:cstheme="minorHAnsi"/>
                <w:b/>
                <w:sz w:val="28"/>
                <w:szCs w:val="28"/>
                <w:lang w:eastAsia="es-ES"/>
              </w:rPr>
            </w:pPr>
          </w:p>
        </w:tc>
        <w:tc>
          <w:tcPr>
            <w:tcW w:w="3539" w:type="dxa"/>
            <w:shd w:val="clear" w:color="auto" w:fill="BFBFBF" w:themeFill="background1" w:themeFillShade="BF"/>
            <w:vAlign w:val="center"/>
          </w:tcPr>
          <w:p w:rsidR="008949B1" w:rsidRPr="005E1103" w:rsidRDefault="008949B1" w:rsidP="008949B1">
            <w:pPr>
              <w:jc w:val="both"/>
              <w:rPr>
                <w:rFonts w:cstheme="minorHAnsi"/>
                <w:sz w:val="28"/>
                <w:szCs w:val="28"/>
              </w:rPr>
            </w:pPr>
            <w:r w:rsidRPr="005E1103">
              <w:rPr>
                <w:rFonts w:cstheme="minorHAnsi"/>
                <w:sz w:val="28"/>
                <w:szCs w:val="28"/>
              </w:rPr>
              <w:t>Diversidad funcional  y el uso de las tic s en la Universidad</w:t>
            </w:r>
          </w:p>
        </w:tc>
      </w:tr>
      <w:tr w:rsidR="008949B1" w:rsidRPr="005E1103" w:rsidTr="008949B1">
        <w:trPr>
          <w:trHeight w:val="315"/>
          <w:jc w:val="center"/>
        </w:trPr>
        <w:tc>
          <w:tcPr>
            <w:tcW w:w="365" w:type="dxa"/>
            <w:shd w:val="clear" w:color="auto" w:fill="C00000"/>
            <w:vAlign w:val="center"/>
          </w:tcPr>
          <w:p w:rsidR="008949B1" w:rsidRPr="005E1103" w:rsidRDefault="008949B1" w:rsidP="008949B1">
            <w:pPr>
              <w:spacing w:after="0" w:line="240" w:lineRule="auto"/>
              <w:rPr>
                <w:rFonts w:eastAsia="Times New Roman" w:cstheme="minorHAnsi"/>
                <w:b/>
                <w:bCs/>
                <w:sz w:val="28"/>
                <w:szCs w:val="28"/>
                <w:lang w:eastAsia="es-ES"/>
              </w:rPr>
            </w:pPr>
            <w:r w:rsidRPr="005E1103">
              <w:rPr>
                <w:rFonts w:eastAsia="Times New Roman" w:cstheme="minorHAnsi"/>
                <w:b/>
                <w:bCs/>
                <w:sz w:val="28"/>
                <w:szCs w:val="28"/>
                <w:lang w:eastAsia="es-ES"/>
              </w:rPr>
              <w:t>2</w:t>
            </w:r>
          </w:p>
        </w:tc>
        <w:tc>
          <w:tcPr>
            <w:tcW w:w="3585" w:type="dxa"/>
            <w:shd w:val="clear" w:color="auto" w:fill="C00000"/>
            <w:noWrap/>
            <w:vAlign w:val="center"/>
          </w:tcPr>
          <w:p w:rsidR="008949B1" w:rsidRPr="005E1103" w:rsidRDefault="008949B1" w:rsidP="008949B1">
            <w:pPr>
              <w:jc w:val="both"/>
              <w:rPr>
                <w:rFonts w:cstheme="minorHAnsi"/>
                <w:b/>
                <w:bCs/>
                <w:sz w:val="28"/>
                <w:szCs w:val="28"/>
              </w:rPr>
            </w:pPr>
            <w:r w:rsidRPr="005E1103">
              <w:rPr>
                <w:rFonts w:cstheme="minorHAnsi"/>
                <w:b/>
                <w:bCs/>
                <w:sz w:val="28"/>
                <w:szCs w:val="28"/>
              </w:rPr>
              <w:t>Pablo Rodríguez Herrero / Dolores Izuzquiza Gasset / Sandra Ruiz Ambit / Olga Rodríguez Alejandre</w:t>
            </w:r>
          </w:p>
          <w:p w:rsidR="008949B1" w:rsidRPr="005E1103" w:rsidRDefault="008949B1" w:rsidP="008949B1">
            <w:pPr>
              <w:spacing w:after="0" w:line="240" w:lineRule="auto"/>
              <w:jc w:val="both"/>
              <w:rPr>
                <w:rFonts w:eastAsia="Times New Roman" w:cstheme="minorHAnsi"/>
                <w:b/>
                <w:bCs/>
                <w:sz w:val="28"/>
                <w:szCs w:val="28"/>
                <w:lang w:eastAsia="es-ES"/>
              </w:rPr>
            </w:pPr>
          </w:p>
        </w:tc>
        <w:tc>
          <w:tcPr>
            <w:tcW w:w="2500" w:type="dxa"/>
            <w:shd w:val="clear" w:color="auto" w:fill="BFBFBF" w:themeFill="background1" w:themeFillShade="BF"/>
            <w:noWrap/>
            <w:vAlign w:val="center"/>
          </w:tcPr>
          <w:p w:rsidR="008949B1" w:rsidRPr="005E1103" w:rsidRDefault="008949B1" w:rsidP="008949B1">
            <w:pPr>
              <w:jc w:val="both"/>
              <w:rPr>
                <w:rFonts w:cstheme="minorHAnsi"/>
                <w:b/>
                <w:color w:val="000000"/>
                <w:sz w:val="28"/>
                <w:szCs w:val="28"/>
              </w:rPr>
            </w:pPr>
            <w:r w:rsidRPr="005E1103">
              <w:rPr>
                <w:rFonts w:cstheme="minorHAnsi"/>
                <w:b/>
                <w:color w:val="000000"/>
                <w:sz w:val="28"/>
                <w:szCs w:val="28"/>
              </w:rPr>
              <w:t>Universidad Autónoma de Madrid / Fundación Prodis</w:t>
            </w:r>
          </w:p>
          <w:p w:rsidR="008949B1" w:rsidRPr="005E1103" w:rsidRDefault="008949B1" w:rsidP="008949B1">
            <w:pPr>
              <w:spacing w:after="0" w:line="240" w:lineRule="auto"/>
              <w:jc w:val="both"/>
              <w:rPr>
                <w:rFonts w:eastAsia="Times New Roman" w:cstheme="minorHAnsi"/>
                <w:b/>
                <w:sz w:val="28"/>
                <w:szCs w:val="28"/>
                <w:lang w:eastAsia="es-ES"/>
              </w:rPr>
            </w:pPr>
          </w:p>
        </w:tc>
        <w:tc>
          <w:tcPr>
            <w:tcW w:w="3539" w:type="dxa"/>
            <w:shd w:val="clear" w:color="auto" w:fill="BFBFBF" w:themeFill="background1" w:themeFillShade="BF"/>
            <w:vAlign w:val="center"/>
          </w:tcPr>
          <w:p w:rsidR="008949B1" w:rsidRPr="005E1103" w:rsidRDefault="008949B1" w:rsidP="008949B1">
            <w:pPr>
              <w:jc w:val="both"/>
              <w:rPr>
                <w:rFonts w:cstheme="minorHAnsi"/>
                <w:sz w:val="28"/>
                <w:szCs w:val="28"/>
              </w:rPr>
            </w:pPr>
            <w:r w:rsidRPr="005E1103">
              <w:rPr>
                <w:rFonts w:cstheme="minorHAnsi"/>
                <w:sz w:val="28"/>
                <w:szCs w:val="28"/>
              </w:rPr>
              <w:t>El iBook (iPad) como recurso formativo para personas con discapacidad intelectual en el ámbito universitario</w:t>
            </w:r>
          </w:p>
          <w:p w:rsidR="008949B1" w:rsidRPr="005E1103" w:rsidRDefault="008949B1" w:rsidP="008949B1">
            <w:pPr>
              <w:spacing w:after="0" w:line="240" w:lineRule="auto"/>
              <w:jc w:val="both"/>
              <w:rPr>
                <w:rFonts w:eastAsia="Times New Roman" w:cstheme="minorHAnsi"/>
                <w:sz w:val="28"/>
                <w:szCs w:val="28"/>
                <w:lang w:eastAsia="es-ES"/>
              </w:rPr>
            </w:pPr>
          </w:p>
        </w:tc>
      </w:tr>
      <w:tr w:rsidR="008949B1" w:rsidRPr="005E1103" w:rsidTr="008949B1">
        <w:trPr>
          <w:trHeight w:val="315"/>
          <w:jc w:val="center"/>
        </w:trPr>
        <w:tc>
          <w:tcPr>
            <w:tcW w:w="365" w:type="dxa"/>
            <w:shd w:val="clear" w:color="auto" w:fill="C00000"/>
            <w:vAlign w:val="center"/>
          </w:tcPr>
          <w:p w:rsidR="008949B1" w:rsidRPr="005E1103" w:rsidRDefault="008949B1" w:rsidP="008949B1">
            <w:pPr>
              <w:spacing w:after="0" w:line="240" w:lineRule="auto"/>
              <w:rPr>
                <w:rFonts w:eastAsia="Times New Roman" w:cstheme="minorHAnsi"/>
                <w:b/>
                <w:bCs/>
                <w:sz w:val="28"/>
                <w:szCs w:val="28"/>
                <w:lang w:eastAsia="es-ES"/>
              </w:rPr>
            </w:pPr>
            <w:r w:rsidRPr="005E1103">
              <w:rPr>
                <w:rFonts w:eastAsia="Times New Roman" w:cstheme="minorHAnsi"/>
                <w:b/>
                <w:bCs/>
                <w:sz w:val="28"/>
                <w:szCs w:val="28"/>
                <w:lang w:eastAsia="es-ES"/>
              </w:rPr>
              <w:t>3</w:t>
            </w:r>
          </w:p>
        </w:tc>
        <w:tc>
          <w:tcPr>
            <w:tcW w:w="3585" w:type="dxa"/>
            <w:shd w:val="clear" w:color="auto" w:fill="C00000"/>
            <w:noWrap/>
            <w:vAlign w:val="center"/>
          </w:tcPr>
          <w:p w:rsidR="008949B1" w:rsidRPr="005E1103" w:rsidRDefault="008949B1" w:rsidP="008949B1">
            <w:pPr>
              <w:jc w:val="both"/>
              <w:rPr>
                <w:rFonts w:cstheme="minorHAnsi"/>
                <w:b/>
                <w:bCs/>
                <w:sz w:val="28"/>
                <w:szCs w:val="28"/>
              </w:rPr>
            </w:pPr>
            <w:r w:rsidRPr="005E1103">
              <w:rPr>
                <w:rFonts w:cstheme="minorHAnsi"/>
                <w:b/>
                <w:bCs/>
                <w:sz w:val="28"/>
                <w:szCs w:val="28"/>
              </w:rPr>
              <w:t>Elena González Araujo</w:t>
            </w:r>
          </w:p>
          <w:p w:rsidR="008949B1" w:rsidRPr="005E1103" w:rsidRDefault="008949B1" w:rsidP="008949B1">
            <w:pPr>
              <w:spacing w:after="0" w:line="240" w:lineRule="auto"/>
              <w:jc w:val="both"/>
              <w:rPr>
                <w:rFonts w:eastAsia="Times New Roman" w:cstheme="minorHAnsi"/>
                <w:b/>
                <w:bCs/>
                <w:sz w:val="28"/>
                <w:szCs w:val="28"/>
                <w:lang w:eastAsia="es-ES"/>
              </w:rPr>
            </w:pPr>
          </w:p>
        </w:tc>
        <w:tc>
          <w:tcPr>
            <w:tcW w:w="2500" w:type="dxa"/>
            <w:shd w:val="clear" w:color="auto" w:fill="BFBFBF" w:themeFill="background1" w:themeFillShade="BF"/>
            <w:noWrap/>
            <w:vAlign w:val="center"/>
          </w:tcPr>
          <w:p w:rsidR="008949B1" w:rsidRPr="005E1103" w:rsidRDefault="008949B1" w:rsidP="008949B1">
            <w:pPr>
              <w:jc w:val="both"/>
              <w:rPr>
                <w:rFonts w:cstheme="minorHAnsi"/>
                <w:b/>
                <w:color w:val="000000"/>
                <w:sz w:val="28"/>
                <w:szCs w:val="28"/>
              </w:rPr>
            </w:pPr>
            <w:r w:rsidRPr="005E1103">
              <w:rPr>
                <w:rFonts w:cstheme="minorHAnsi"/>
                <w:b/>
                <w:color w:val="000000"/>
                <w:sz w:val="28"/>
                <w:szCs w:val="28"/>
              </w:rPr>
              <w:t xml:space="preserve">Universidad de Alcalá </w:t>
            </w:r>
          </w:p>
          <w:p w:rsidR="008949B1" w:rsidRPr="005E1103" w:rsidRDefault="008949B1" w:rsidP="008949B1">
            <w:pPr>
              <w:spacing w:after="0" w:line="240" w:lineRule="auto"/>
              <w:jc w:val="both"/>
              <w:rPr>
                <w:rFonts w:eastAsia="Times New Roman" w:cstheme="minorHAnsi"/>
                <w:b/>
                <w:sz w:val="28"/>
                <w:szCs w:val="28"/>
                <w:lang w:eastAsia="es-ES"/>
              </w:rPr>
            </w:pPr>
          </w:p>
        </w:tc>
        <w:tc>
          <w:tcPr>
            <w:tcW w:w="3539" w:type="dxa"/>
            <w:shd w:val="clear" w:color="auto" w:fill="BFBFBF" w:themeFill="background1" w:themeFillShade="BF"/>
            <w:noWrap/>
            <w:vAlign w:val="center"/>
          </w:tcPr>
          <w:p w:rsidR="008949B1" w:rsidRPr="005E1103" w:rsidRDefault="008949B1" w:rsidP="008949B1">
            <w:pPr>
              <w:rPr>
                <w:rFonts w:cstheme="minorHAnsi"/>
                <w:sz w:val="28"/>
                <w:szCs w:val="28"/>
              </w:rPr>
            </w:pPr>
            <w:r w:rsidRPr="005E1103">
              <w:rPr>
                <w:rFonts w:cstheme="minorHAnsi"/>
                <w:sz w:val="28"/>
                <w:szCs w:val="28"/>
              </w:rPr>
              <w:t xml:space="preserve">El valor de las TIC en la vida de las personas con Diversidad Funcional </w:t>
            </w:r>
          </w:p>
          <w:p w:rsidR="008949B1" w:rsidRPr="005E1103" w:rsidRDefault="008949B1" w:rsidP="008949B1">
            <w:pPr>
              <w:spacing w:after="0" w:line="240" w:lineRule="auto"/>
              <w:rPr>
                <w:rFonts w:eastAsia="Times New Roman" w:cstheme="minorHAnsi"/>
                <w:sz w:val="28"/>
                <w:szCs w:val="28"/>
                <w:lang w:eastAsia="es-ES"/>
              </w:rPr>
            </w:pPr>
          </w:p>
        </w:tc>
      </w:tr>
      <w:tr w:rsidR="008949B1" w:rsidRPr="005E1103" w:rsidTr="008949B1">
        <w:trPr>
          <w:trHeight w:val="315"/>
          <w:jc w:val="center"/>
        </w:trPr>
        <w:tc>
          <w:tcPr>
            <w:tcW w:w="365" w:type="dxa"/>
            <w:shd w:val="clear" w:color="auto" w:fill="C00000"/>
            <w:vAlign w:val="center"/>
          </w:tcPr>
          <w:p w:rsidR="008949B1" w:rsidRPr="005E1103" w:rsidRDefault="008949B1" w:rsidP="008949B1">
            <w:pPr>
              <w:spacing w:after="0" w:line="240" w:lineRule="auto"/>
              <w:rPr>
                <w:rFonts w:eastAsia="Times New Roman" w:cstheme="minorHAnsi"/>
                <w:b/>
                <w:bCs/>
                <w:sz w:val="28"/>
                <w:szCs w:val="28"/>
                <w:lang w:eastAsia="es-ES"/>
              </w:rPr>
            </w:pPr>
            <w:r w:rsidRPr="005E1103">
              <w:rPr>
                <w:rFonts w:eastAsia="Times New Roman" w:cstheme="minorHAnsi"/>
                <w:b/>
                <w:bCs/>
                <w:sz w:val="28"/>
                <w:szCs w:val="28"/>
                <w:lang w:eastAsia="es-ES"/>
              </w:rPr>
              <w:t>4</w:t>
            </w:r>
          </w:p>
        </w:tc>
        <w:tc>
          <w:tcPr>
            <w:tcW w:w="3585" w:type="dxa"/>
            <w:shd w:val="clear" w:color="auto" w:fill="C00000"/>
            <w:noWrap/>
            <w:vAlign w:val="center"/>
          </w:tcPr>
          <w:p w:rsidR="008949B1" w:rsidRPr="005E1103" w:rsidRDefault="008949B1" w:rsidP="008949B1">
            <w:pPr>
              <w:jc w:val="both"/>
              <w:rPr>
                <w:rFonts w:cstheme="minorHAnsi"/>
                <w:b/>
                <w:bCs/>
                <w:sz w:val="28"/>
                <w:szCs w:val="28"/>
              </w:rPr>
            </w:pPr>
            <w:r w:rsidRPr="005E1103">
              <w:rPr>
                <w:rFonts w:cstheme="minorHAnsi"/>
                <w:b/>
                <w:bCs/>
                <w:sz w:val="28"/>
                <w:szCs w:val="28"/>
              </w:rPr>
              <w:t xml:space="preserve">Diego Carrero Figueroa </w:t>
            </w:r>
          </w:p>
          <w:p w:rsidR="008949B1" w:rsidRPr="005E1103" w:rsidRDefault="008949B1" w:rsidP="008949B1">
            <w:pPr>
              <w:spacing w:after="0" w:line="240" w:lineRule="auto"/>
              <w:jc w:val="both"/>
              <w:rPr>
                <w:rFonts w:eastAsia="Times New Roman" w:cstheme="minorHAnsi"/>
                <w:b/>
                <w:bCs/>
                <w:sz w:val="28"/>
                <w:szCs w:val="28"/>
                <w:lang w:eastAsia="es-ES"/>
              </w:rPr>
            </w:pPr>
          </w:p>
        </w:tc>
        <w:tc>
          <w:tcPr>
            <w:tcW w:w="2500" w:type="dxa"/>
            <w:shd w:val="clear" w:color="auto" w:fill="BFBFBF" w:themeFill="background1" w:themeFillShade="BF"/>
            <w:noWrap/>
            <w:vAlign w:val="center"/>
          </w:tcPr>
          <w:p w:rsidR="008949B1" w:rsidRPr="005E1103" w:rsidRDefault="008949B1" w:rsidP="008949B1">
            <w:pPr>
              <w:jc w:val="both"/>
              <w:rPr>
                <w:rFonts w:cstheme="minorHAnsi"/>
                <w:b/>
                <w:color w:val="000000"/>
                <w:sz w:val="28"/>
                <w:szCs w:val="28"/>
              </w:rPr>
            </w:pPr>
            <w:r w:rsidRPr="005E1103">
              <w:rPr>
                <w:rFonts w:cstheme="minorHAnsi"/>
                <w:b/>
                <w:color w:val="000000"/>
                <w:sz w:val="28"/>
                <w:szCs w:val="28"/>
              </w:rPr>
              <w:t>Aptent Soluciones S.L</w:t>
            </w:r>
          </w:p>
          <w:p w:rsidR="008949B1" w:rsidRPr="005E1103" w:rsidRDefault="008949B1" w:rsidP="008949B1">
            <w:pPr>
              <w:spacing w:after="0" w:line="240" w:lineRule="auto"/>
              <w:jc w:val="both"/>
              <w:rPr>
                <w:rFonts w:eastAsia="Times New Roman" w:cstheme="minorHAnsi"/>
                <w:b/>
                <w:sz w:val="28"/>
                <w:szCs w:val="28"/>
                <w:lang w:eastAsia="es-ES"/>
              </w:rPr>
            </w:pPr>
          </w:p>
        </w:tc>
        <w:tc>
          <w:tcPr>
            <w:tcW w:w="3539" w:type="dxa"/>
            <w:shd w:val="clear" w:color="auto" w:fill="BFBFBF" w:themeFill="background1" w:themeFillShade="BF"/>
            <w:noWrap/>
            <w:vAlign w:val="center"/>
          </w:tcPr>
          <w:p w:rsidR="008949B1" w:rsidRPr="005E1103" w:rsidRDefault="008949B1" w:rsidP="008949B1">
            <w:pPr>
              <w:jc w:val="both"/>
              <w:rPr>
                <w:rFonts w:cstheme="minorHAnsi"/>
                <w:sz w:val="28"/>
                <w:szCs w:val="28"/>
              </w:rPr>
            </w:pPr>
            <w:r w:rsidRPr="005E1103">
              <w:rPr>
                <w:rFonts w:cstheme="minorHAnsi"/>
                <w:sz w:val="28"/>
                <w:szCs w:val="28"/>
              </w:rPr>
              <w:t>Aplicación móvil STARTIT: Streaming de audio para estudiantes con discapacidad auditiva</w:t>
            </w:r>
          </w:p>
          <w:p w:rsidR="008949B1" w:rsidRPr="005E1103" w:rsidRDefault="008949B1" w:rsidP="008949B1">
            <w:pPr>
              <w:spacing w:after="0" w:line="240" w:lineRule="auto"/>
              <w:jc w:val="both"/>
              <w:rPr>
                <w:rFonts w:eastAsia="Times New Roman" w:cstheme="minorHAnsi"/>
                <w:sz w:val="28"/>
                <w:szCs w:val="28"/>
                <w:lang w:eastAsia="es-ES"/>
              </w:rPr>
            </w:pPr>
          </w:p>
        </w:tc>
      </w:tr>
      <w:tr w:rsidR="008949B1" w:rsidRPr="005E1103" w:rsidTr="008949B1">
        <w:trPr>
          <w:trHeight w:val="315"/>
          <w:jc w:val="center"/>
        </w:trPr>
        <w:tc>
          <w:tcPr>
            <w:tcW w:w="365" w:type="dxa"/>
            <w:shd w:val="clear" w:color="auto" w:fill="C00000"/>
            <w:vAlign w:val="center"/>
          </w:tcPr>
          <w:p w:rsidR="008949B1" w:rsidRPr="005E1103" w:rsidRDefault="008949B1" w:rsidP="008949B1">
            <w:pPr>
              <w:spacing w:after="0" w:line="240" w:lineRule="auto"/>
              <w:rPr>
                <w:rFonts w:eastAsia="Times New Roman" w:cstheme="minorHAnsi"/>
                <w:b/>
                <w:bCs/>
                <w:sz w:val="28"/>
                <w:szCs w:val="28"/>
                <w:lang w:eastAsia="es-ES"/>
              </w:rPr>
            </w:pPr>
            <w:r w:rsidRPr="005E1103">
              <w:rPr>
                <w:rFonts w:eastAsia="Times New Roman" w:cstheme="minorHAnsi"/>
                <w:b/>
                <w:bCs/>
                <w:sz w:val="28"/>
                <w:szCs w:val="28"/>
                <w:lang w:eastAsia="es-ES"/>
              </w:rPr>
              <w:t>5</w:t>
            </w:r>
          </w:p>
        </w:tc>
        <w:tc>
          <w:tcPr>
            <w:tcW w:w="3585" w:type="dxa"/>
            <w:shd w:val="clear" w:color="auto" w:fill="C00000"/>
            <w:noWrap/>
            <w:vAlign w:val="center"/>
          </w:tcPr>
          <w:p w:rsidR="008949B1" w:rsidRPr="005E1103" w:rsidRDefault="008949B1" w:rsidP="008949B1">
            <w:pPr>
              <w:jc w:val="both"/>
              <w:rPr>
                <w:rFonts w:cstheme="minorHAnsi"/>
                <w:b/>
                <w:bCs/>
                <w:sz w:val="28"/>
                <w:szCs w:val="28"/>
              </w:rPr>
            </w:pPr>
            <w:r w:rsidRPr="005E1103">
              <w:rPr>
                <w:rFonts w:cstheme="minorHAnsi"/>
                <w:b/>
                <w:bCs/>
                <w:sz w:val="28"/>
                <w:szCs w:val="28"/>
              </w:rPr>
              <w:t xml:space="preserve">Francesc Bañuls Lapuerta, Soledad Gómez García, Carmen Moret Tatay, Francisco Tomás Aguirre, Gabriel Martínez Rico </w:t>
            </w:r>
          </w:p>
          <w:p w:rsidR="008949B1" w:rsidRPr="005E1103" w:rsidRDefault="008949B1" w:rsidP="008949B1">
            <w:pPr>
              <w:spacing w:after="0" w:line="240" w:lineRule="auto"/>
              <w:jc w:val="both"/>
              <w:rPr>
                <w:rFonts w:eastAsia="Times New Roman" w:cstheme="minorHAnsi"/>
                <w:b/>
                <w:bCs/>
                <w:sz w:val="28"/>
                <w:szCs w:val="28"/>
                <w:lang w:eastAsia="es-ES"/>
              </w:rPr>
            </w:pPr>
          </w:p>
        </w:tc>
        <w:tc>
          <w:tcPr>
            <w:tcW w:w="2500" w:type="dxa"/>
            <w:shd w:val="clear" w:color="auto" w:fill="BFBFBF" w:themeFill="background1" w:themeFillShade="BF"/>
            <w:noWrap/>
            <w:vAlign w:val="center"/>
          </w:tcPr>
          <w:p w:rsidR="008949B1" w:rsidRPr="005E1103" w:rsidRDefault="008949B1" w:rsidP="008949B1">
            <w:pPr>
              <w:jc w:val="both"/>
              <w:rPr>
                <w:rFonts w:cstheme="minorHAnsi"/>
                <w:b/>
                <w:color w:val="000000"/>
                <w:sz w:val="28"/>
                <w:szCs w:val="28"/>
              </w:rPr>
            </w:pPr>
            <w:r w:rsidRPr="005E1103">
              <w:rPr>
                <w:rFonts w:cstheme="minorHAnsi"/>
                <w:b/>
                <w:color w:val="000000"/>
                <w:sz w:val="28"/>
                <w:szCs w:val="28"/>
              </w:rPr>
              <w:t xml:space="preserve">Universidad Católica de Valencia San Vicente Mártir </w:t>
            </w:r>
          </w:p>
          <w:p w:rsidR="008949B1" w:rsidRPr="005E1103" w:rsidRDefault="008949B1" w:rsidP="008949B1">
            <w:pPr>
              <w:spacing w:after="0" w:line="240" w:lineRule="auto"/>
              <w:jc w:val="both"/>
              <w:rPr>
                <w:rFonts w:eastAsia="Times New Roman" w:cstheme="minorHAnsi"/>
                <w:b/>
                <w:sz w:val="28"/>
                <w:szCs w:val="28"/>
                <w:lang w:eastAsia="es-ES"/>
              </w:rPr>
            </w:pPr>
          </w:p>
        </w:tc>
        <w:tc>
          <w:tcPr>
            <w:tcW w:w="3539" w:type="dxa"/>
            <w:shd w:val="clear" w:color="auto" w:fill="BFBFBF" w:themeFill="background1" w:themeFillShade="BF"/>
            <w:noWrap/>
            <w:vAlign w:val="center"/>
          </w:tcPr>
          <w:p w:rsidR="008949B1" w:rsidRPr="005E1103" w:rsidRDefault="008949B1" w:rsidP="008949B1">
            <w:pPr>
              <w:jc w:val="both"/>
              <w:rPr>
                <w:rFonts w:cstheme="minorHAnsi"/>
                <w:sz w:val="28"/>
                <w:szCs w:val="28"/>
              </w:rPr>
            </w:pPr>
            <w:r w:rsidRPr="005E1103">
              <w:rPr>
                <w:rFonts w:cstheme="minorHAnsi"/>
                <w:sz w:val="28"/>
                <w:szCs w:val="28"/>
              </w:rPr>
              <w:t>Análisis de la percepción docente en el uso de Productos de Apoyo basados en TIC para atención a la diversidad</w:t>
            </w:r>
          </w:p>
          <w:p w:rsidR="008949B1" w:rsidRPr="005E1103" w:rsidRDefault="008949B1" w:rsidP="008949B1">
            <w:pPr>
              <w:spacing w:after="0" w:line="240" w:lineRule="auto"/>
              <w:jc w:val="both"/>
              <w:rPr>
                <w:rFonts w:eastAsia="Times New Roman" w:cstheme="minorHAnsi"/>
                <w:sz w:val="28"/>
                <w:szCs w:val="28"/>
                <w:lang w:eastAsia="es-ES"/>
              </w:rPr>
            </w:pPr>
          </w:p>
        </w:tc>
      </w:tr>
      <w:tr w:rsidR="008949B1" w:rsidRPr="005E1103" w:rsidTr="008949B1">
        <w:trPr>
          <w:trHeight w:val="315"/>
          <w:jc w:val="center"/>
        </w:trPr>
        <w:tc>
          <w:tcPr>
            <w:tcW w:w="365" w:type="dxa"/>
            <w:shd w:val="clear" w:color="auto" w:fill="C00000"/>
            <w:vAlign w:val="center"/>
          </w:tcPr>
          <w:p w:rsidR="008949B1" w:rsidRPr="005E1103" w:rsidRDefault="008949B1" w:rsidP="008949B1">
            <w:pPr>
              <w:spacing w:after="0" w:line="240" w:lineRule="auto"/>
              <w:rPr>
                <w:rFonts w:eastAsia="Times New Roman" w:cstheme="minorHAnsi"/>
                <w:b/>
                <w:bCs/>
                <w:sz w:val="28"/>
                <w:szCs w:val="28"/>
                <w:lang w:eastAsia="es-ES"/>
              </w:rPr>
            </w:pPr>
            <w:r w:rsidRPr="005E1103">
              <w:rPr>
                <w:rFonts w:eastAsia="Times New Roman" w:cstheme="minorHAnsi"/>
                <w:b/>
                <w:bCs/>
                <w:sz w:val="28"/>
                <w:szCs w:val="28"/>
                <w:lang w:eastAsia="es-ES"/>
              </w:rPr>
              <w:t>6</w:t>
            </w:r>
          </w:p>
        </w:tc>
        <w:tc>
          <w:tcPr>
            <w:tcW w:w="3585" w:type="dxa"/>
            <w:shd w:val="clear" w:color="auto" w:fill="C00000"/>
            <w:noWrap/>
            <w:vAlign w:val="center"/>
          </w:tcPr>
          <w:p w:rsidR="008949B1" w:rsidRPr="005E1103" w:rsidRDefault="008949B1" w:rsidP="008949B1">
            <w:pPr>
              <w:jc w:val="both"/>
              <w:rPr>
                <w:rFonts w:cstheme="minorHAnsi"/>
                <w:b/>
                <w:bCs/>
                <w:sz w:val="28"/>
                <w:szCs w:val="28"/>
              </w:rPr>
            </w:pPr>
            <w:r w:rsidRPr="005E1103">
              <w:rPr>
                <w:rFonts w:cstheme="minorHAnsi"/>
                <w:b/>
                <w:bCs/>
                <w:sz w:val="28"/>
                <w:szCs w:val="28"/>
              </w:rPr>
              <w:t xml:space="preserve">Josefa Parreño Selva y Jose Maria Fernandez Gil </w:t>
            </w:r>
          </w:p>
          <w:p w:rsidR="008949B1" w:rsidRPr="005E1103" w:rsidRDefault="008949B1" w:rsidP="008949B1">
            <w:pPr>
              <w:spacing w:after="0" w:line="240" w:lineRule="auto"/>
              <w:jc w:val="both"/>
              <w:rPr>
                <w:rFonts w:eastAsia="Times New Roman" w:cstheme="minorHAnsi"/>
                <w:b/>
                <w:bCs/>
                <w:sz w:val="28"/>
                <w:szCs w:val="28"/>
                <w:lang w:eastAsia="es-ES"/>
              </w:rPr>
            </w:pPr>
          </w:p>
        </w:tc>
        <w:tc>
          <w:tcPr>
            <w:tcW w:w="2500" w:type="dxa"/>
            <w:shd w:val="clear" w:color="auto" w:fill="BFBFBF" w:themeFill="background1" w:themeFillShade="BF"/>
            <w:noWrap/>
            <w:vAlign w:val="center"/>
          </w:tcPr>
          <w:p w:rsidR="008949B1" w:rsidRPr="005E1103" w:rsidRDefault="008949B1" w:rsidP="008949B1">
            <w:pPr>
              <w:jc w:val="both"/>
              <w:rPr>
                <w:rFonts w:cstheme="minorHAnsi"/>
                <w:b/>
                <w:color w:val="000000"/>
                <w:sz w:val="28"/>
                <w:szCs w:val="28"/>
              </w:rPr>
            </w:pPr>
            <w:r w:rsidRPr="005E1103">
              <w:rPr>
                <w:rFonts w:cstheme="minorHAnsi"/>
                <w:b/>
                <w:color w:val="000000"/>
                <w:sz w:val="28"/>
                <w:szCs w:val="28"/>
              </w:rPr>
              <w:t xml:space="preserve">Universidad de Alicante </w:t>
            </w:r>
          </w:p>
          <w:p w:rsidR="008949B1" w:rsidRPr="005E1103" w:rsidRDefault="008949B1" w:rsidP="008949B1">
            <w:pPr>
              <w:spacing w:after="0" w:line="240" w:lineRule="auto"/>
              <w:jc w:val="both"/>
              <w:rPr>
                <w:rFonts w:eastAsia="Times New Roman" w:cstheme="minorHAnsi"/>
                <w:b/>
                <w:sz w:val="28"/>
                <w:szCs w:val="28"/>
                <w:lang w:eastAsia="es-ES"/>
              </w:rPr>
            </w:pPr>
          </w:p>
        </w:tc>
        <w:tc>
          <w:tcPr>
            <w:tcW w:w="3539" w:type="dxa"/>
            <w:shd w:val="clear" w:color="auto" w:fill="BFBFBF" w:themeFill="background1" w:themeFillShade="BF"/>
            <w:noWrap/>
            <w:vAlign w:val="center"/>
          </w:tcPr>
          <w:p w:rsidR="008949B1" w:rsidRPr="005E1103" w:rsidRDefault="008949B1" w:rsidP="008949B1">
            <w:pPr>
              <w:jc w:val="both"/>
              <w:rPr>
                <w:rFonts w:cstheme="minorHAnsi"/>
                <w:sz w:val="28"/>
                <w:szCs w:val="28"/>
              </w:rPr>
            </w:pPr>
            <w:r w:rsidRPr="005E1103">
              <w:rPr>
                <w:rFonts w:cstheme="minorHAnsi"/>
                <w:sz w:val="28"/>
                <w:szCs w:val="28"/>
              </w:rPr>
              <w:t xml:space="preserve">Innovación en Tecnologías Accesibles: Ability Connect </w:t>
            </w:r>
          </w:p>
          <w:p w:rsidR="008949B1" w:rsidRPr="005E1103" w:rsidRDefault="008949B1" w:rsidP="008949B1">
            <w:pPr>
              <w:spacing w:after="0" w:line="240" w:lineRule="auto"/>
              <w:jc w:val="both"/>
              <w:rPr>
                <w:rFonts w:eastAsia="Times New Roman" w:cstheme="minorHAnsi"/>
                <w:sz w:val="28"/>
                <w:szCs w:val="28"/>
                <w:lang w:eastAsia="es-ES"/>
              </w:rPr>
            </w:pPr>
          </w:p>
        </w:tc>
      </w:tr>
      <w:tr w:rsidR="008949B1" w:rsidRPr="005E1103" w:rsidTr="008949B1">
        <w:trPr>
          <w:trHeight w:val="315"/>
          <w:jc w:val="center"/>
        </w:trPr>
        <w:tc>
          <w:tcPr>
            <w:tcW w:w="365" w:type="dxa"/>
            <w:shd w:val="clear" w:color="auto" w:fill="C00000"/>
            <w:vAlign w:val="center"/>
          </w:tcPr>
          <w:p w:rsidR="008949B1" w:rsidRPr="005E1103" w:rsidRDefault="008949B1" w:rsidP="008949B1">
            <w:pPr>
              <w:spacing w:line="240" w:lineRule="auto"/>
              <w:rPr>
                <w:rFonts w:eastAsia="Times New Roman" w:cstheme="minorHAnsi"/>
                <w:b/>
                <w:bCs/>
                <w:sz w:val="28"/>
                <w:szCs w:val="28"/>
                <w:lang w:eastAsia="es-ES"/>
              </w:rPr>
            </w:pPr>
            <w:r w:rsidRPr="005E1103">
              <w:rPr>
                <w:rFonts w:eastAsia="Times New Roman" w:cstheme="minorHAnsi"/>
                <w:b/>
                <w:bCs/>
                <w:sz w:val="28"/>
                <w:szCs w:val="28"/>
                <w:lang w:eastAsia="es-ES"/>
              </w:rPr>
              <w:t>7</w:t>
            </w:r>
          </w:p>
        </w:tc>
        <w:tc>
          <w:tcPr>
            <w:tcW w:w="3585" w:type="dxa"/>
            <w:shd w:val="clear" w:color="auto" w:fill="C00000"/>
            <w:noWrap/>
            <w:vAlign w:val="center"/>
          </w:tcPr>
          <w:p w:rsidR="008949B1" w:rsidRPr="005E1103" w:rsidRDefault="008949B1" w:rsidP="008949B1">
            <w:pPr>
              <w:jc w:val="both"/>
              <w:rPr>
                <w:rFonts w:cstheme="minorHAnsi"/>
                <w:b/>
                <w:bCs/>
                <w:sz w:val="28"/>
                <w:szCs w:val="28"/>
              </w:rPr>
            </w:pPr>
            <w:r w:rsidRPr="005E1103">
              <w:rPr>
                <w:rFonts w:cstheme="minorHAnsi"/>
                <w:b/>
                <w:bCs/>
                <w:sz w:val="28"/>
                <w:szCs w:val="28"/>
              </w:rPr>
              <w:t xml:space="preserve">Susana Bautista, Raquel </w:t>
            </w:r>
            <w:r w:rsidRPr="005E1103">
              <w:rPr>
                <w:rFonts w:cstheme="minorHAnsi"/>
                <w:b/>
                <w:bCs/>
                <w:sz w:val="28"/>
                <w:szCs w:val="28"/>
              </w:rPr>
              <w:lastRenderedPageBreak/>
              <w:t xml:space="preserve">Hervás y Pablo Gervás </w:t>
            </w:r>
          </w:p>
          <w:p w:rsidR="008949B1" w:rsidRPr="005E1103" w:rsidRDefault="008949B1" w:rsidP="008949B1">
            <w:pPr>
              <w:spacing w:after="0" w:line="240" w:lineRule="auto"/>
              <w:jc w:val="both"/>
              <w:rPr>
                <w:rFonts w:eastAsia="Times New Roman" w:cstheme="minorHAnsi"/>
                <w:b/>
                <w:bCs/>
                <w:sz w:val="28"/>
                <w:szCs w:val="28"/>
                <w:lang w:eastAsia="es-ES"/>
              </w:rPr>
            </w:pPr>
          </w:p>
        </w:tc>
        <w:tc>
          <w:tcPr>
            <w:tcW w:w="2500" w:type="dxa"/>
            <w:shd w:val="clear" w:color="auto" w:fill="BFBFBF" w:themeFill="background1" w:themeFillShade="BF"/>
            <w:noWrap/>
            <w:vAlign w:val="center"/>
          </w:tcPr>
          <w:p w:rsidR="008949B1" w:rsidRPr="005E1103" w:rsidRDefault="008949B1" w:rsidP="008949B1">
            <w:pPr>
              <w:jc w:val="both"/>
              <w:rPr>
                <w:rFonts w:cstheme="minorHAnsi"/>
                <w:b/>
                <w:color w:val="000000"/>
                <w:sz w:val="28"/>
                <w:szCs w:val="28"/>
              </w:rPr>
            </w:pPr>
            <w:r w:rsidRPr="005E1103">
              <w:rPr>
                <w:rFonts w:cstheme="minorHAnsi"/>
                <w:b/>
                <w:color w:val="000000"/>
                <w:sz w:val="28"/>
                <w:szCs w:val="28"/>
              </w:rPr>
              <w:lastRenderedPageBreak/>
              <w:t xml:space="preserve">Facultad de </w:t>
            </w:r>
            <w:r w:rsidRPr="005E1103">
              <w:rPr>
                <w:rFonts w:cstheme="minorHAnsi"/>
                <w:b/>
                <w:color w:val="000000"/>
                <w:sz w:val="28"/>
                <w:szCs w:val="28"/>
              </w:rPr>
              <w:lastRenderedPageBreak/>
              <w:t xml:space="preserve">Informática. Universidad Complutense de Madrid </w:t>
            </w:r>
          </w:p>
          <w:p w:rsidR="008949B1" w:rsidRPr="005E1103" w:rsidRDefault="008949B1" w:rsidP="008949B1">
            <w:pPr>
              <w:spacing w:after="0" w:line="240" w:lineRule="auto"/>
              <w:jc w:val="both"/>
              <w:rPr>
                <w:rFonts w:eastAsia="Times New Roman" w:cstheme="minorHAnsi"/>
                <w:b/>
                <w:sz w:val="28"/>
                <w:szCs w:val="28"/>
                <w:lang w:eastAsia="es-ES"/>
              </w:rPr>
            </w:pPr>
          </w:p>
        </w:tc>
        <w:tc>
          <w:tcPr>
            <w:tcW w:w="3539" w:type="dxa"/>
            <w:shd w:val="clear" w:color="auto" w:fill="BFBFBF" w:themeFill="background1" w:themeFillShade="BF"/>
            <w:noWrap/>
            <w:vAlign w:val="center"/>
          </w:tcPr>
          <w:p w:rsidR="008949B1" w:rsidRPr="005E1103" w:rsidRDefault="008949B1" w:rsidP="008949B1">
            <w:pPr>
              <w:jc w:val="both"/>
              <w:rPr>
                <w:rFonts w:cstheme="minorHAnsi"/>
                <w:sz w:val="28"/>
                <w:szCs w:val="28"/>
              </w:rPr>
            </w:pPr>
            <w:r w:rsidRPr="005E1103">
              <w:rPr>
                <w:rFonts w:cstheme="minorHAnsi"/>
                <w:sz w:val="28"/>
                <w:szCs w:val="28"/>
              </w:rPr>
              <w:lastRenderedPageBreak/>
              <w:t xml:space="preserve">Proyecto IDiLyCo: Inclusión </w:t>
            </w:r>
            <w:r w:rsidRPr="005E1103">
              <w:rPr>
                <w:rFonts w:cstheme="minorHAnsi"/>
                <w:sz w:val="28"/>
                <w:szCs w:val="28"/>
              </w:rPr>
              <w:lastRenderedPageBreak/>
              <w:t>Digital, Lenguaje Natural y Comunicación</w:t>
            </w:r>
          </w:p>
          <w:p w:rsidR="008949B1" w:rsidRPr="005E1103" w:rsidRDefault="008949B1" w:rsidP="008949B1">
            <w:pPr>
              <w:spacing w:after="0" w:line="240" w:lineRule="auto"/>
              <w:jc w:val="both"/>
              <w:rPr>
                <w:rFonts w:eastAsia="Times New Roman" w:cstheme="minorHAnsi"/>
                <w:sz w:val="28"/>
                <w:szCs w:val="28"/>
                <w:lang w:eastAsia="es-ES"/>
              </w:rPr>
            </w:pPr>
          </w:p>
        </w:tc>
      </w:tr>
      <w:tr w:rsidR="008949B1" w:rsidRPr="005E1103" w:rsidTr="008949B1">
        <w:trPr>
          <w:trHeight w:val="315"/>
          <w:jc w:val="center"/>
        </w:trPr>
        <w:tc>
          <w:tcPr>
            <w:tcW w:w="365" w:type="dxa"/>
            <w:tcBorders>
              <w:top w:val="single" w:sz="8" w:space="0" w:color="auto"/>
              <w:left w:val="single" w:sz="12" w:space="0" w:color="auto"/>
              <w:bottom w:val="single" w:sz="8" w:space="0" w:color="auto"/>
              <w:right w:val="single" w:sz="8" w:space="0" w:color="auto"/>
            </w:tcBorders>
            <w:shd w:val="clear" w:color="auto" w:fill="C00000"/>
            <w:vAlign w:val="center"/>
          </w:tcPr>
          <w:p w:rsidR="008949B1" w:rsidRPr="005E1103" w:rsidRDefault="008949B1" w:rsidP="008949B1">
            <w:pPr>
              <w:spacing w:line="240" w:lineRule="auto"/>
              <w:rPr>
                <w:rFonts w:eastAsia="Times New Roman" w:cstheme="minorHAnsi"/>
                <w:b/>
                <w:bCs/>
                <w:sz w:val="28"/>
                <w:szCs w:val="28"/>
                <w:lang w:eastAsia="es-ES"/>
              </w:rPr>
            </w:pPr>
            <w:r w:rsidRPr="005E1103">
              <w:rPr>
                <w:rFonts w:eastAsia="Times New Roman" w:cstheme="minorHAnsi"/>
                <w:b/>
                <w:bCs/>
                <w:sz w:val="28"/>
                <w:szCs w:val="28"/>
                <w:lang w:eastAsia="es-ES"/>
              </w:rPr>
              <w:lastRenderedPageBreak/>
              <w:t>8</w:t>
            </w:r>
          </w:p>
        </w:tc>
        <w:tc>
          <w:tcPr>
            <w:tcW w:w="3585" w:type="dxa"/>
            <w:tcBorders>
              <w:top w:val="single" w:sz="8" w:space="0" w:color="auto"/>
              <w:left w:val="single" w:sz="8" w:space="0" w:color="auto"/>
              <w:bottom w:val="single" w:sz="8" w:space="0" w:color="auto"/>
              <w:right w:val="single" w:sz="8" w:space="0" w:color="auto"/>
            </w:tcBorders>
            <w:shd w:val="clear" w:color="auto" w:fill="C00000"/>
            <w:noWrap/>
            <w:vAlign w:val="center"/>
          </w:tcPr>
          <w:p w:rsidR="008949B1" w:rsidRPr="005E1103" w:rsidRDefault="008949B1" w:rsidP="008949B1">
            <w:pPr>
              <w:jc w:val="both"/>
              <w:rPr>
                <w:rFonts w:cstheme="minorHAnsi"/>
                <w:b/>
                <w:bCs/>
                <w:sz w:val="28"/>
                <w:szCs w:val="28"/>
              </w:rPr>
            </w:pPr>
            <w:r w:rsidRPr="005E1103">
              <w:rPr>
                <w:rFonts w:cstheme="minorHAnsi"/>
                <w:b/>
                <w:bCs/>
                <w:sz w:val="28"/>
                <w:szCs w:val="28"/>
              </w:rPr>
              <w:t xml:space="preserve">Jose Maria Fernandez y Carolina Madeleine </w:t>
            </w:r>
          </w:p>
          <w:p w:rsidR="008949B1" w:rsidRPr="005E1103" w:rsidRDefault="008949B1" w:rsidP="008949B1">
            <w:pPr>
              <w:spacing w:after="0" w:line="240" w:lineRule="auto"/>
              <w:jc w:val="both"/>
              <w:rPr>
                <w:rFonts w:eastAsia="Times New Roman" w:cstheme="minorHAnsi"/>
                <w:b/>
                <w:bCs/>
                <w:sz w:val="28"/>
                <w:szCs w:val="28"/>
                <w:lang w:eastAsia="es-ES"/>
              </w:rPr>
            </w:pPr>
          </w:p>
        </w:tc>
        <w:tc>
          <w:tcPr>
            <w:tcW w:w="2500" w:type="dxa"/>
            <w:tcBorders>
              <w:top w:val="single" w:sz="8" w:space="0" w:color="auto"/>
              <w:left w:val="single" w:sz="8" w:space="0" w:color="auto"/>
              <w:bottom w:val="single" w:sz="8" w:space="0" w:color="auto"/>
              <w:right w:val="single" w:sz="8" w:space="0" w:color="auto"/>
            </w:tcBorders>
            <w:shd w:val="clear" w:color="auto" w:fill="BFBFBF" w:themeFill="background1" w:themeFillShade="BF"/>
            <w:noWrap/>
            <w:vAlign w:val="center"/>
          </w:tcPr>
          <w:p w:rsidR="008949B1" w:rsidRPr="005E1103" w:rsidRDefault="008949B1" w:rsidP="008949B1">
            <w:pPr>
              <w:jc w:val="both"/>
              <w:rPr>
                <w:rFonts w:cstheme="minorHAnsi"/>
                <w:b/>
                <w:color w:val="000000"/>
                <w:sz w:val="28"/>
                <w:szCs w:val="28"/>
              </w:rPr>
            </w:pPr>
            <w:r w:rsidRPr="005E1103">
              <w:rPr>
                <w:rFonts w:cstheme="minorHAnsi"/>
                <w:b/>
                <w:color w:val="000000"/>
                <w:sz w:val="28"/>
                <w:szCs w:val="28"/>
              </w:rPr>
              <w:t xml:space="preserve">Universidad de Alicante </w:t>
            </w:r>
          </w:p>
          <w:p w:rsidR="008949B1" w:rsidRPr="005E1103" w:rsidRDefault="008949B1" w:rsidP="008949B1">
            <w:pPr>
              <w:spacing w:after="0" w:line="240" w:lineRule="auto"/>
              <w:jc w:val="both"/>
              <w:rPr>
                <w:rFonts w:eastAsia="Times New Roman" w:cstheme="minorHAnsi"/>
                <w:b/>
                <w:sz w:val="28"/>
                <w:szCs w:val="28"/>
                <w:lang w:eastAsia="es-ES"/>
              </w:rPr>
            </w:pPr>
          </w:p>
        </w:tc>
        <w:tc>
          <w:tcPr>
            <w:tcW w:w="3539" w:type="dxa"/>
            <w:tcBorders>
              <w:top w:val="single" w:sz="8" w:space="0" w:color="auto"/>
              <w:left w:val="single" w:sz="8" w:space="0" w:color="auto"/>
              <w:bottom w:val="single" w:sz="8" w:space="0" w:color="auto"/>
              <w:right w:val="single" w:sz="12" w:space="0" w:color="auto"/>
            </w:tcBorders>
            <w:shd w:val="clear" w:color="auto" w:fill="BFBFBF" w:themeFill="background1" w:themeFillShade="BF"/>
            <w:noWrap/>
            <w:vAlign w:val="center"/>
          </w:tcPr>
          <w:p w:rsidR="008949B1" w:rsidRPr="005E1103" w:rsidRDefault="008949B1" w:rsidP="008949B1">
            <w:pPr>
              <w:jc w:val="both"/>
              <w:rPr>
                <w:rFonts w:cstheme="minorHAnsi"/>
                <w:sz w:val="28"/>
                <w:szCs w:val="28"/>
              </w:rPr>
            </w:pPr>
            <w:r w:rsidRPr="005E1103">
              <w:rPr>
                <w:rFonts w:cstheme="minorHAnsi"/>
                <w:sz w:val="28"/>
                <w:szCs w:val="28"/>
              </w:rPr>
              <w:t>Proyecto SWING: Impacto de las TIC Accesibles, Universidad y Discapacidad en Marruecos y Egipto</w:t>
            </w:r>
          </w:p>
          <w:p w:rsidR="008949B1" w:rsidRPr="005E1103" w:rsidRDefault="008949B1" w:rsidP="008949B1">
            <w:pPr>
              <w:spacing w:after="0" w:line="240" w:lineRule="auto"/>
              <w:jc w:val="both"/>
              <w:rPr>
                <w:rFonts w:eastAsia="Times New Roman" w:cstheme="minorHAnsi"/>
                <w:sz w:val="28"/>
                <w:szCs w:val="28"/>
                <w:lang w:eastAsia="es-ES"/>
              </w:rPr>
            </w:pPr>
          </w:p>
        </w:tc>
      </w:tr>
      <w:tr w:rsidR="008949B1" w:rsidRPr="005E1103" w:rsidTr="008949B1">
        <w:trPr>
          <w:trHeight w:val="315"/>
          <w:jc w:val="center"/>
        </w:trPr>
        <w:tc>
          <w:tcPr>
            <w:tcW w:w="365" w:type="dxa"/>
            <w:tcBorders>
              <w:top w:val="single" w:sz="8" w:space="0" w:color="auto"/>
              <w:left w:val="single" w:sz="12" w:space="0" w:color="auto"/>
              <w:bottom w:val="single" w:sz="12" w:space="0" w:color="auto"/>
              <w:right w:val="single" w:sz="8" w:space="0" w:color="auto"/>
            </w:tcBorders>
            <w:shd w:val="clear" w:color="auto" w:fill="C00000"/>
            <w:vAlign w:val="center"/>
          </w:tcPr>
          <w:p w:rsidR="008949B1" w:rsidRPr="005E1103" w:rsidRDefault="008949B1" w:rsidP="008949B1">
            <w:pPr>
              <w:spacing w:line="240" w:lineRule="auto"/>
              <w:rPr>
                <w:rFonts w:eastAsia="Times New Roman" w:cstheme="minorHAnsi"/>
                <w:b/>
                <w:bCs/>
                <w:sz w:val="28"/>
                <w:szCs w:val="28"/>
                <w:lang w:eastAsia="es-ES"/>
              </w:rPr>
            </w:pPr>
            <w:r w:rsidRPr="005E1103">
              <w:rPr>
                <w:rFonts w:eastAsia="Times New Roman" w:cstheme="minorHAnsi"/>
                <w:b/>
                <w:bCs/>
                <w:sz w:val="28"/>
                <w:szCs w:val="28"/>
                <w:lang w:eastAsia="es-ES"/>
              </w:rPr>
              <w:t>9</w:t>
            </w:r>
          </w:p>
        </w:tc>
        <w:tc>
          <w:tcPr>
            <w:tcW w:w="3585" w:type="dxa"/>
            <w:tcBorders>
              <w:top w:val="single" w:sz="8" w:space="0" w:color="auto"/>
              <w:left w:val="single" w:sz="8" w:space="0" w:color="auto"/>
              <w:bottom w:val="single" w:sz="12" w:space="0" w:color="auto"/>
              <w:right w:val="single" w:sz="8" w:space="0" w:color="auto"/>
            </w:tcBorders>
            <w:shd w:val="clear" w:color="auto" w:fill="C00000"/>
            <w:noWrap/>
            <w:vAlign w:val="center"/>
          </w:tcPr>
          <w:p w:rsidR="008949B1" w:rsidRPr="005E1103" w:rsidRDefault="008949B1" w:rsidP="008949B1">
            <w:pPr>
              <w:jc w:val="both"/>
              <w:rPr>
                <w:rFonts w:cstheme="minorHAnsi"/>
                <w:b/>
                <w:bCs/>
                <w:sz w:val="28"/>
                <w:szCs w:val="28"/>
              </w:rPr>
            </w:pPr>
            <w:r w:rsidRPr="005E1103">
              <w:rPr>
                <w:rFonts w:cstheme="minorHAnsi"/>
                <w:b/>
                <w:bCs/>
                <w:sz w:val="28"/>
                <w:szCs w:val="28"/>
              </w:rPr>
              <w:t xml:space="preserve">Froylán Mauricio Díaz Rojas, Marisol Robles Ruelas, Mark Jonathan Camacho Escatel </w:t>
            </w:r>
          </w:p>
          <w:p w:rsidR="008949B1" w:rsidRPr="005E1103" w:rsidRDefault="008949B1" w:rsidP="008949B1">
            <w:pPr>
              <w:spacing w:after="0" w:line="240" w:lineRule="auto"/>
              <w:jc w:val="both"/>
              <w:rPr>
                <w:rFonts w:eastAsia="Times New Roman" w:cstheme="minorHAnsi"/>
                <w:b/>
                <w:bCs/>
                <w:sz w:val="28"/>
                <w:szCs w:val="28"/>
                <w:lang w:eastAsia="es-ES"/>
              </w:rPr>
            </w:pPr>
          </w:p>
        </w:tc>
        <w:tc>
          <w:tcPr>
            <w:tcW w:w="2500" w:type="dxa"/>
            <w:tcBorders>
              <w:top w:val="single" w:sz="8" w:space="0" w:color="auto"/>
              <w:left w:val="single" w:sz="8" w:space="0" w:color="auto"/>
              <w:bottom w:val="single" w:sz="12" w:space="0" w:color="auto"/>
              <w:right w:val="single" w:sz="8" w:space="0" w:color="auto"/>
            </w:tcBorders>
            <w:shd w:val="clear" w:color="auto" w:fill="BFBFBF" w:themeFill="background1" w:themeFillShade="BF"/>
            <w:noWrap/>
            <w:vAlign w:val="center"/>
          </w:tcPr>
          <w:p w:rsidR="008949B1" w:rsidRPr="005E1103" w:rsidRDefault="008949B1" w:rsidP="008949B1">
            <w:pPr>
              <w:jc w:val="both"/>
              <w:rPr>
                <w:rFonts w:cstheme="minorHAnsi"/>
                <w:b/>
                <w:color w:val="000000"/>
                <w:sz w:val="28"/>
                <w:szCs w:val="28"/>
              </w:rPr>
            </w:pPr>
            <w:r w:rsidRPr="005E1103">
              <w:rPr>
                <w:rFonts w:cstheme="minorHAnsi"/>
                <w:b/>
                <w:color w:val="000000"/>
                <w:sz w:val="28"/>
                <w:szCs w:val="28"/>
              </w:rPr>
              <w:t xml:space="preserve">Universidad de Guadalajara - Colectivo Universidad Incluyente- México </w:t>
            </w:r>
          </w:p>
          <w:p w:rsidR="008949B1" w:rsidRPr="005E1103" w:rsidRDefault="008949B1" w:rsidP="008949B1">
            <w:pPr>
              <w:spacing w:after="0" w:line="240" w:lineRule="auto"/>
              <w:jc w:val="both"/>
              <w:rPr>
                <w:rFonts w:eastAsia="Times New Roman" w:cstheme="minorHAnsi"/>
                <w:b/>
                <w:sz w:val="28"/>
                <w:szCs w:val="28"/>
                <w:lang w:eastAsia="es-ES"/>
              </w:rPr>
            </w:pPr>
          </w:p>
        </w:tc>
        <w:tc>
          <w:tcPr>
            <w:tcW w:w="3539" w:type="dxa"/>
            <w:tcBorders>
              <w:top w:val="single" w:sz="8" w:space="0" w:color="auto"/>
              <w:left w:val="single" w:sz="8" w:space="0" w:color="auto"/>
              <w:bottom w:val="single" w:sz="12" w:space="0" w:color="auto"/>
              <w:right w:val="single" w:sz="12" w:space="0" w:color="auto"/>
            </w:tcBorders>
            <w:shd w:val="clear" w:color="auto" w:fill="BFBFBF" w:themeFill="background1" w:themeFillShade="BF"/>
            <w:noWrap/>
            <w:vAlign w:val="center"/>
          </w:tcPr>
          <w:p w:rsidR="008949B1" w:rsidRPr="005E1103" w:rsidRDefault="008949B1" w:rsidP="008949B1">
            <w:pPr>
              <w:jc w:val="both"/>
              <w:rPr>
                <w:rFonts w:cstheme="minorHAnsi"/>
                <w:sz w:val="28"/>
                <w:szCs w:val="28"/>
              </w:rPr>
            </w:pPr>
            <w:r w:rsidRPr="005E1103">
              <w:rPr>
                <w:rFonts w:cstheme="minorHAnsi"/>
                <w:sz w:val="28"/>
                <w:szCs w:val="28"/>
              </w:rPr>
              <w:t>Sinergia Social</w:t>
            </w:r>
          </w:p>
          <w:p w:rsidR="008949B1" w:rsidRPr="005E1103" w:rsidRDefault="008949B1" w:rsidP="008949B1">
            <w:pPr>
              <w:spacing w:after="0" w:line="240" w:lineRule="auto"/>
              <w:jc w:val="both"/>
              <w:rPr>
                <w:rFonts w:eastAsia="Times New Roman" w:cstheme="minorHAnsi"/>
                <w:sz w:val="28"/>
                <w:szCs w:val="28"/>
                <w:lang w:eastAsia="es-ES"/>
              </w:rPr>
            </w:pPr>
          </w:p>
        </w:tc>
      </w:tr>
      <w:tr w:rsidR="008949B1" w:rsidRPr="005E1103" w:rsidTr="008949B1">
        <w:trPr>
          <w:trHeight w:val="315"/>
          <w:jc w:val="center"/>
        </w:trPr>
        <w:tc>
          <w:tcPr>
            <w:tcW w:w="365" w:type="dxa"/>
            <w:tcBorders>
              <w:top w:val="single" w:sz="8" w:space="0" w:color="auto"/>
              <w:left w:val="single" w:sz="12" w:space="0" w:color="auto"/>
              <w:bottom w:val="single" w:sz="12" w:space="0" w:color="auto"/>
              <w:right w:val="single" w:sz="8" w:space="0" w:color="auto"/>
            </w:tcBorders>
            <w:shd w:val="clear" w:color="auto" w:fill="C00000"/>
            <w:vAlign w:val="center"/>
          </w:tcPr>
          <w:p w:rsidR="008949B1" w:rsidRPr="005E1103" w:rsidRDefault="008949B1" w:rsidP="008949B1">
            <w:pPr>
              <w:spacing w:line="240" w:lineRule="auto"/>
              <w:rPr>
                <w:rFonts w:eastAsia="Times New Roman" w:cstheme="minorHAnsi"/>
                <w:b/>
                <w:bCs/>
                <w:sz w:val="28"/>
                <w:szCs w:val="28"/>
                <w:lang w:eastAsia="es-ES"/>
              </w:rPr>
            </w:pPr>
            <w:r w:rsidRPr="005E1103">
              <w:rPr>
                <w:rFonts w:eastAsia="Times New Roman" w:cstheme="minorHAnsi"/>
                <w:b/>
                <w:bCs/>
                <w:sz w:val="28"/>
                <w:szCs w:val="28"/>
                <w:lang w:eastAsia="es-ES"/>
              </w:rPr>
              <w:t>10</w:t>
            </w:r>
          </w:p>
        </w:tc>
        <w:tc>
          <w:tcPr>
            <w:tcW w:w="3585" w:type="dxa"/>
            <w:tcBorders>
              <w:top w:val="single" w:sz="8" w:space="0" w:color="auto"/>
              <w:left w:val="single" w:sz="8" w:space="0" w:color="auto"/>
              <w:bottom w:val="single" w:sz="12" w:space="0" w:color="auto"/>
              <w:right w:val="single" w:sz="8" w:space="0" w:color="auto"/>
            </w:tcBorders>
            <w:shd w:val="clear" w:color="auto" w:fill="C00000"/>
            <w:noWrap/>
            <w:vAlign w:val="center"/>
          </w:tcPr>
          <w:p w:rsidR="008949B1" w:rsidRPr="005E1103" w:rsidRDefault="008949B1" w:rsidP="008949B1">
            <w:pPr>
              <w:jc w:val="both"/>
              <w:rPr>
                <w:rFonts w:cstheme="minorHAnsi"/>
                <w:b/>
                <w:bCs/>
                <w:sz w:val="28"/>
                <w:szCs w:val="28"/>
              </w:rPr>
            </w:pPr>
            <w:r w:rsidRPr="005E1103">
              <w:rPr>
                <w:rFonts w:cstheme="minorHAnsi"/>
                <w:b/>
                <w:bCs/>
                <w:sz w:val="28"/>
                <w:szCs w:val="28"/>
              </w:rPr>
              <w:t xml:space="preserve">José Manuel Fernández Granda </w:t>
            </w:r>
          </w:p>
          <w:p w:rsidR="008949B1" w:rsidRPr="005E1103" w:rsidRDefault="008949B1" w:rsidP="008949B1">
            <w:pPr>
              <w:spacing w:after="0" w:line="240" w:lineRule="auto"/>
              <w:jc w:val="both"/>
              <w:rPr>
                <w:rFonts w:eastAsia="Times New Roman" w:cstheme="minorHAnsi"/>
                <w:b/>
                <w:bCs/>
                <w:sz w:val="28"/>
                <w:szCs w:val="28"/>
                <w:lang w:val="es-ES_tradnl" w:eastAsia="es-ES"/>
              </w:rPr>
            </w:pPr>
          </w:p>
        </w:tc>
        <w:tc>
          <w:tcPr>
            <w:tcW w:w="2500" w:type="dxa"/>
            <w:tcBorders>
              <w:top w:val="single" w:sz="8" w:space="0" w:color="auto"/>
              <w:left w:val="single" w:sz="8" w:space="0" w:color="auto"/>
              <w:bottom w:val="single" w:sz="12" w:space="0" w:color="auto"/>
              <w:right w:val="single" w:sz="8" w:space="0" w:color="auto"/>
            </w:tcBorders>
            <w:shd w:val="clear" w:color="auto" w:fill="BFBFBF" w:themeFill="background1" w:themeFillShade="BF"/>
            <w:noWrap/>
            <w:vAlign w:val="center"/>
          </w:tcPr>
          <w:p w:rsidR="008949B1" w:rsidRPr="005E1103" w:rsidRDefault="008949B1" w:rsidP="008949B1">
            <w:pPr>
              <w:jc w:val="both"/>
              <w:rPr>
                <w:rFonts w:cstheme="minorHAnsi"/>
                <w:b/>
                <w:color w:val="000000"/>
                <w:sz w:val="28"/>
                <w:szCs w:val="28"/>
              </w:rPr>
            </w:pPr>
            <w:r w:rsidRPr="005E1103">
              <w:rPr>
                <w:rFonts w:cstheme="minorHAnsi"/>
                <w:b/>
                <w:color w:val="000000"/>
                <w:sz w:val="28"/>
                <w:szCs w:val="28"/>
              </w:rPr>
              <w:t>ONCE</w:t>
            </w:r>
          </w:p>
          <w:p w:rsidR="008949B1" w:rsidRPr="005E1103" w:rsidRDefault="008949B1" w:rsidP="008949B1">
            <w:pPr>
              <w:spacing w:after="0" w:line="240" w:lineRule="auto"/>
              <w:jc w:val="both"/>
              <w:rPr>
                <w:rFonts w:eastAsia="Times New Roman" w:cstheme="minorHAnsi"/>
                <w:b/>
                <w:sz w:val="28"/>
                <w:szCs w:val="28"/>
                <w:lang w:eastAsia="es-ES"/>
              </w:rPr>
            </w:pPr>
          </w:p>
        </w:tc>
        <w:tc>
          <w:tcPr>
            <w:tcW w:w="3539" w:type="dxa"/>
            <w:tcBorders>
              <w:top w:val="single" w:sz="8" w:space="0" w:color="auto"/>
              <w:left w:val="single" w:sz="8" w:space="0" w:color="auto"/>
              <w:bottom w:val="single" w:sz="12" w:space="0" w:color="auto"/>
              <w:right w:val="single" w:sz="12" w:space="0" w:color="auto"/>
            </w:tcBorders>
            <w:shd w:val="clear" w:color="auto" w:fill="BFBFBF" w:themeFill="background1" w:themeFillShade="BF"/>
            <w:noWrap/>
            <w:vAlign w:val="center"/>
          </w:tcPr>
          <w:p w:rsidR="008949B1" w:rsidRPr="005E1103" w:rsidRDefault="008949B1" w:rsidP="008949B1">
            <w:pPr>
              <w:jc w:val="both"/>
              <w:rPr>
                <w:rFonts w:cstheme="minorHAnsi"/>
                <w:sz w:val="28"/>
                <w:szCs w:val="28"/>
              </w:rPr>
            </w:pPr>
            <w:r w:rsidRPr="005E1103">
              <w:rPr>
                <w:rFonts w:cstheme="minorHAnsi"/>
                <w:sz w:val="28"/>
                <w:szCs w:val="28"/>
              </w:rPr>
              <w:t xml:space="preserve">Historiormática, una visión global de las nuevas tecnologías para todos </w:t>
            </w:r>
          </w:p>
          <w:p w:rsidR="008949B1" w:rsidRPr="005E1103" w:rsidRDefault="008949B1" w:rsidP="008949B1">
            <w:pPr>
              <w:spacing w:after="0" w:line="240" w:lineRule="auto"/>
              <w:jc w:val="both"/>
              <w:rPr>
                <w:rFonts w:eastAsia="Times New Roman" w:cstheme="minorHAnsi"/>
                <w:sz w:val="28"/>
                <w:szCs w:val="28"/>
                <w:lang w:eastAsia="es-ES"/>
              </w:rPr>
            </w:pPr>
          </w:p>
        </w:tc>
      </w:tr>
      <w:tr w:rsidR="008949B1" w:rsidRPr="005E1103" w:rsidTr="008949B1">
        <w:trPr>
          <w:trHeight w:val="315"/>
          <w:jc w:val="center"/>
        </w:trPr>
        <w:tc>
          <w:tcPr>
            <w:tcW w:w="365" w:type="dxa"/>
            <w:tcBorders>
              <w:top w:val="single" w:sz="8" w:space="0" w:color="auto"/>
              <w:left w:val="single" w:sz="12" w:space="0" w:color="auto"/>
              <w:bottom w:val="single" w:sz="12" w:space="0" w:color="auto"/>
              <w:right w:val="single" w:sz="8" w:space="0" w:color="auto"/>
            </w:tcBorders>
            <w:shd w:val="clear" w:color="auto" w:fill="C00000"/>
            <w:vAlign w:val="center"/>
          </w:tcPr>
          <w:p w:rsidR="008949B1" w:rsidRPr="005E1103" w:rsidRDefault="008949B1" w:rsidP="008949B1">
            <w:pPr>
              <w:spacing w:line="240" w:lineRule="auto"/>
              <w:rPr>
                <w:rFonts w:eastAsia="Times New Roman" w:cstheme="minorHAnsi"/>
                <w:b/>
                <w:bCs/>
                <w:sz w:val="28"/>
                <w:szCs w:val="28"/>
                <w:lang w:eastAsia="es-ES"/>
              </w:rPr>
            </w:pPr>
            <w:r w:rsidRPr="005E1103">
              <w:rPr>
                <w:rFonts w:eastAsia="Times New Roman" w:cstheme="minorHAnsi"/>
                <w:b/>
                <w:bCs/>
                <w:sz w:val="28"/>
                <w:szCs w:val="28"/>
                <w:lang w:eastAsia="es-ES"/>
              </w:rPr>
              <w:t>11</w:t>
            </w:r>
          </w:p>
        </w:tc>
        <w:tc>
          <w:tcPr>
            <w:tcW w:w="3585" w:type="dxa"/>
            <w:tcBorders>
              <w:top w:val="single" w:sz="8" w:space="0" w:color="auto"/>
              <w:left w:val="single" w:sz="8" w:space="0" w:color="auto"/>
              <w:bottom w:val="single" w:sz="12" w:space="0" w:color="auto"/>
              <w:right w:val="single" w:sz="8" w:space="0" w:color="auto"/>
            </w:tcBorders>
            <w:shd w:val="clear" w:color="auto" w:fill="C00000"/>
            <w:noWrap/>
            <w:vAlign w:val="center"/>
          </w:tcPr>
          <w:p w:rsidR="008949B1" w:rsidRPr="005E1103" w:rsidRDefault="008949B1" w:rsidP="008949B1">
            <w:pPr>
              <w:jc w:val="both"/>
              <w:rPr>
                <w:rFonts w:cstheme="minorHAnsi"/>
                <w:b/>
                <w:bCs/>
                <w:sz w:val="28"/>
                <w:szCs w:val="28"/>
              </w:rPr>
            </w:pPr>
            <w:r w:rsidRPr="005E1103">
              <w:rPr>
                <w:rFonts w:cstheme="minorHAnsi"/>
                <w:b/>
                <w:bCs/>
                <w:sz w:val="28"/>
                <w:szCs w:val="28"/>
              </w:rPr>
              <w:t xml:space="preserve">Alcaraz, Rubén; Ribera, Mireia; Moese, Santi; Salse, Marina </w:t>
            </w:r>
          </w:p>
          <w:p w:rsidR="008949B1" w:rsidRPr="005E1103" w:rsidRDefault="008949B1" w:rsidP="008949B1">
            <w:pPr>
              <w:spacing w:after="0" w:line="240" w:lineRule="auto"/>
              <w:jc w:val="both"/>
              <w:rPr>
                <w:rFonts w:eastAsia="Times New Roman" w:cstheme="minorHAnsi"/>
                <w:b/>
                <w:bCs/>
                <w:sz w:val="28"/>
                <w:szCs w:val="28"/>
                <w:lang w:eastAsia="es-ES"/>
              </w:rPr>
            </w:pPr>
          </w:p>
        </w:tc>
        <w:tc>
          <w:tcPr>
            <w:tcW w:w="2500" w:type="dxa"/>
            <w:tcBorders>
              <w:top w:val="single" w:sz="8" w:space="0" w:color="auto"/>
              <w:left w:val="single" w:sz="8" w:space="0" w:color="auto"/>
              <w:bottom w:val="single" w:sz="12" w:space="0" w:color="auto"/>
              <w:right w:val="single" w:sz="8" w:space="0" w:color="auto"/>
            </w:tcBorders>
            <w:shd w:val="clear" w:color="auto" w:fill="BFBFBF" w:themeFill="background1" w:themeFillShade="BF"/>
            <w:noWrap/>
            <w:vAlign w:val="center"/>
          </w:tcPr>
          <w:p w:rsidR="008949B1" w:rsidRPr="005E1103" w:rsidRDefault="008949B1" w:rsidP="008949B1">
            <w:pPr>
              <w:jc w:val="both"/>
              <w:rPr>
                <w:rFonts w:cstheme="minorHAnsi"/>
                <w:b/>
                <w:color w:val="000000"/>
                <w:sz w:val="28"/>
                <w:szCs w:val="28"/>
              </w:rPr>
            </w:pPr>
            <w:r w:rsidRPr="005E1103">
              <w:rPr>
                <w:rFonts w:cstheme="minorHAnsi"/>
                <w:b/>
                <w:color w:val="000000"/>
                <w:sz w:val="28"/>
                <w:szCs w:val="28"/>
              </w:rPr>
              <w:t xml:space="preserve">Universitat de Barcelona </w:t>
            </w:r>
          </w:p>
          <w:p w:rsidR="008949B1" w:rsidRPr="005E1103" w:rsidRDefault="008949B1" w:rsidP="008949B1">
            <w:pPr>
              <w:spacing w:after="0" w:line="240" w:lineRule="auto"/>
              <w:jc w:val="both"/>
              <w:rPr>
                <w:rFonts w:eastAsia="Times New Roman" w:cstheme="minorHAnsi"/>
                <w:b/>
                <w:sz w:val="28"/>
                <w:szCs w:val="28"/>
                <w:lang w:eastAsia="es-ES"/>
              </w:rPr>
            </w:pPr>
          </w:p>
        </w:tc>
        <w:tc>
          <w:tcPr>
            <w:tcW w:w="3539" w:type="dxa"/>
            <w:tcBorders>
              <w:top w:val="single" w:sz="8" w:space="0" w:color="auto"/>
              <w:left w:val="single" w:sz="8" w:space="0" w:color="auto"/>
              <w:bottom w:val="single" w:sz="12" w:space="0" w:color="auto"/>
              <w:right w:val="single" w:sz="12" w:space="0" w:color="auto"/>
            </w:tcBorders>
            <w:shd w:val="clear" w:color="auto" w:fill="BFBFBF" w:themeFill="background1" w:themeFillShade="BF"/>
            <w:noWrap/>
            <w:vAlign w:val="center"/>
          </w:tcPr>
          <w:p w:rsidR="008949B1" w:rsidRPr="005E1103" w:rsidRDefault="008949B1" w:rsidP="008949B1">
            <w:pPr>
              <w:jc w:val="both"/>
              <w:rPr>
                <w:rFonts w:cstheme="minorHAnsi"/>
                <w:sz w:val="28"/>
                <w:szCs w:val="28"/>
              </w:rPr>
            </w:pPr>
            <w:r w:rsidRPr="005E1103">
              <w:rPr>
                <w:rFonts w:cstheme="minorHAnsi"/>
                <w:sz w:val="28"/>
                <w:szCs w:val="28"/>
              </w:rPr>
              <w:t xml:space="preserve">La traducción del lector de pantallas gratuito NVDA al catalán y su difusión en el ámbito catalán </w:t>
            </w:r>
          </w:p>
          <w:p w:rsidR="008949B1" w:rsidRPr="005E1103" w:rsidRDefault="008949B1" w:rsidP="008949B1">
            <w:pPr>
              <w:spacing w:after="0" w:line="240" w:lineRule="auto"/>
              <w:jc w:val="both"/>
              <w:rPr>
                <w:rFonts w:eastAsia="Times New Roman" w:cstheme="minorHAnsi"/>
                <w:sz w:val="28"/>
                <w:szCs w:val="28"/>
                <w:lang w:eastAsia="es-ES"/>
              </w:rPr>
            </w:pPr>
          </w:p>
        </w:tc>
      </w:tr>
      <w:tr w:rsidR="008949B1" w:rsidRPr="005E1103" w:rsidTr="008949B1">
        <w:trPr>
          <w:trHeight w:val="315"/>
          <w:jc w:val="center"/>
        </w:trPr>
        <w:tc>
          <w:tcPr>
            <w:tcW w:w="365" w:type="dxa"/>
            <w:tcBorders>
              <w:top w:val="single" w:sz="8" w:space="0" w:color="auto"/>
              <w:left w:val="single" w:sz="12" w:space="0" w:color="auto"/>
              <w:bottom w:val="single" w:sz="12" w:space="0" w:color="auto"/>
              <w:right w:val="single" w:sz="8" w:space="0" w:color="auto"/>
            </w:tcBorders>
            <w:shd w:val="clear" w:color="auto" w:fill="C00000"/>
            <w:vAlign w:val="center"/>
          </w:tcPr>
          <w:p w:rsidR="008949B1" w:rsidRPr="005E1103" w:rsidRDefault="008949B1" w:rsidP="008949B1">
            <w:pPr>
              <w:spacing w:line="240" w:lineRule="auto"/>
              <w:rPr>
                <w:rFonts w:eastAsia="Times New Roman" w:cstheme="minorHAnsi"/>
                <w:b/>
                <w:bCs/>
                <w:sz w:val="28"/>
                <w:szCs w:val="28"/>
                <w:lang w:eastAsia="es-ES"/>
              </w:rPr>
            </w:pPr>
            <w:r w:rsidRPr="005E1103">
              <w:rPr>
                <w:rFonts w:eastAsia="Times New Roman" w:cstheme="minorHAnsi"/>
                <w:b/>
                <w:bCs/>
                <w:sz w:val="28"/>
                <w:szCs w:val="28"/>
                <w:lang w:eastAsia="es-ES"/>
              </w:rPr>
              <w:t>12</w:t>
            </w:r>
          </w:p>
        </w:tc>
        <w:tc>
          <w:tcPr>
            <w:tcW w:w="3585" w:type="dxa"/>
            <w:tcBorders>
              <w:top w:val="single" w:sz="8" w:space="0" w:color="auto"/>
              <w:left w:val="single" w:sz="8" w:space="0" w:color="auto"/>
              <w:bottom w:val="single" w:sz="12" w:space="0" w:color="auto"/>
              <w:right w:val="single" w:sz="8" w:space="0" w:color="auto"/>
            </w:tcBorders>
            <w:shd w:val="clear" w:color="auto" w:fill="C00000"/>
            <w:noWrap/>
            <w:vAlign w:val="center"/>
          </w:tcPr>
          <w:p w:rsidR="008949B1" w:rsidRPr="005E1103" w:rsidRDefault="008949B1" w:rsidP="008949B1">
            <w:pPr>
              <w:jc w:val="both"/>
              <w:rPr>
                <w:rFonts w:cstheme="minorHAnsi"/>
                <w:b/>
                <w:bCs/>
                <w:sz w:val="28"/>
                <w:szCs w:val="28"/>
              </w:rPr>
            </w:pPr>
            <w:r w:rsidRPr="005E1103">
              <w:rPr>
                <w:rFonts w:cstheme="minorHAnsi"/>
                <w:b/>
                <w:bCs/>
                <w:sz w:val="28"/>
                <w:szCs w:val="28"/>
              </w:rPr>
              <w:t xml:space="preserve">Covadonga Rodrigo, Ana Garcia-Serrano, Miguel Angel Marqueta, Angeles Sanchez-Elvira, Miguel Santamaria </w:t>
            </w:r>
          </w:p>
        </w:tc>
        <w:tc>
          <w:tcPr>
            <w:tcW w:w="2500" w:type="dxa"/>
            <w:tcBorders>
              <w:top w:val="single" w:sz="8" w:space="0" w:color="auto"/>
              <w:left w:val="single" w:sz="8" w:space="0" w:color="auto"/>
              <w:bottom w:val="single" w:sz="12" w:space="0" w:color="auto"/>
              <w:right w:val="single" w:sz="8" w:space="0" w:color="auto"/>
            </w:tcBorders>
            <w:shd w:val="clear" w:color="auto" w:fill="BFBFBF" w:themeFill="background1" w:themeFillShade="BF"/>
            <w:noWrap/>
            <w:vAlign w:val="center"/>
          </w:tcPr>
          <w:p w:rsidR="008949B1" w:rsidRPr="005E1103" w:rsidRDefault="008949B1" w:rsidP="008949B1">
            <w:pPr>
              <w:jc w:val="both"/>
              <w:rPr>
                <w:rFonts w:cstheme="minorHAnsi"/>
                <w:b/>
                <w:color w:val="000000"/>
                <w:sz w:val="28"/>
                <w:szCs w:val="28"/>
              </w:rPr>
            </w:pPr>
            <w:r w:rsidRPr="005E1103">
              <w:rPr>
                <w:rFonts w:cstheme="minorHAnsi"/>
                <w:b/>
                <w:color w:val="000000"/>
                <w:sz w:val="28"/>
                <w:szCs w:val="28"/>
              </w:rPr>
              <w:t>UNED</w:t>
            </w:r>
          </w:p>
          <w:p w:rsidR="008949B1" w:rsidRPr="005E1103" w:rsidRDefault="008949B1" w:rsidP="008949B1">
            <w:pPr>
              <w:jc w:val="both"/>
              <w:rPr>
                <w:rFonts w:cstheme="minorHAnsi"/>
                <w:b/>
                <w:color w:val="000000"/>
                <w:sz w:val="28"/>
                <w:szCs w:val="28"/>
              </w:rPr>
            </w:pPr>
          </w:p>
        </w:tc>
        <w:tc>
          <w:tcPr>
            <w:tcW w:w="3539" w:type="dxa"/>
            <w:tcBorders>
              <w:top w:val="single" w:sz="8" w:space="0" w:color="auto"/>
              <w:left w:val="single" w:sz="8" w:space="0" w:color="auto"/>
              <w:bottom w:val="single" w:sz="12" w:space="0" w:color="auto"/>
              <w:right w:val="single" w:sz="12" w:space="0" w:color="auto"/>
            </w:tcBorders>
            <w:shd w:val="clear" w:color="auto" w:fill="BFBFBF" w:themeFill="background1" w:themeFillShade="BF"/>
            <w:noWrap/>
            <w:vAlign w:val="center"/>
          </w:tcPr>
          <w:p w:rsidR="008949B1" w:rsidRPr="005E1103" w:rsidRDefault="008949B1" w:rsidP="008949B1">
            <w:pPr>
              <w:pStyle w:val="Puesto1"/>
              <w:spacing w:line="360" w:lineRule="auto"/>
              <w:ind w:firstLine="0"/>
              <w:jc w:val="left"/>
              <w:rPr>
                <w:rFonts w:asciiTheme="minorHAnsi" w:hAnsiTheme="minorHAnsi" w:cstheme="minorHAnsi"/>
                <w:caps/>
                <w:szCs w:val="28"/>
                <w:lang w:val="es-ES"/>
              </w:rPr>
            </w:pPr>
            <w:r w:rsidRPr="005E1103">
              <w:rPr>
                <w:rFonts w:asciiTheme="minorHAnsi" w:eastAsiaTheme="minorHAnsi" w:hAnsiTheme="minorHAnsi" w:cstheme="minorHAnsi"/>
                <w:b w:val="0"/>
                <w:szCs w:val="28"/>
                <w:lang w:val="es-ES" w:eastAsia="en-US"/>
              </w:rPr>
              <w:t>MUSACCES: Un proyecto inclusivo de arte y formación en el Museo del Prado</w:t>
            </w:r>
          </w:p>
          <w:p w:rsidR="008949B1" w:rsidRPr="005E1103" w:rsidRDefault="008949B1" w:rsidP="008949B1">
            <w:pPr>
              <w:jc w:val="both"/>
              <w:rPr>
                <w:rFonts w:cstheme="minorHAnsi"/>
                <w:sz w:val="28"/>
                <w:szCs w:val="28"/>
              </w:rPr>
            </w:pPr>
          </w:p>
        </w:tc>
      </w:tr>
      <w:tr w:rsidR="008949B1" w:rsidRPr="005E1103" w:rsidTr="008949B1">
        <w:trPr>
          <w:trHeight w:val="315"/>
          <w:jc w:val="center"/>
        </w:trPr>
        <w:tc>
          <w:tcPr>
            <w:tcW w:w="365" w:type="dxa"/>
            <w:tcBorders>
              <w:top w:val="single" w:sz="8" w:space="0" w:color="auto"/>
              <w:left w:val="single" w:sz="12" w:space="0" w:color="auto"/>
              <w:bottom w:val="single" w:sz="12" w:space="0" w:color="auto"/>
              <w:right w:val="single" w:sz="8" w:space="0" w:color="auto"/>
            </w:tcBorders>
            <w:shd w:val="clear" w:color="auto" w:fill="C00000"/>
            <w:vAlign w:val="center"/>
          </w:tcPr>
          <w:p w:rsidR="008949B1" w:rsidRPr="005E1103" w:rsidRDefault="008949B1" w:rsidP="008949B1">
            <w:pPr>
              <w:spacing w:line="240" w:lineRule="auto"/>
              <w:rPr>
                <w:rFonts w:eastAsia="Times New Roman" w:cstheme="minorHAnsi"/>
                <w:b/>
                <w:bCs/>
                <w:sz w:val="28"/>
                <w:szCs w:val="28"/>
                <w:lang w:eastAsia="es-ES"/>
              </w:rPr>
            </w:pPr>
            <w:r w:rsidRPr="005E1103">
              <w:rPr>
                <w:rFonts w:eastAsia="Times New Roman" w:cstheme="minorHAnsi"/>
                <w:b/>
                <w:bCs/>
                <w:sz w:val="28"/>
                <w:szCs w:val="28"/>
                <w:lang w:eastAsia="es-ES"/>
              </w:rPr>
              <w:t>13</w:t>
            </w:r>
          </w:p>
        </w:tc>
        <w:tc>
          <w:tcPr>
            <w:tcW w:w="3585" w:type="dxa"/>
            <w:tcBorders>
              <w:top w:val="single" w:sz="8" w:space="0" w:color="auto"/>
              <w:left w:val="single" w:sz="8" w:space="0" w:color="auto"/>
              <w:bottom w:val="single" w:sz="12" w:space="0" w:color="auto"/>
              <w:right w:val="single" w:sz="8" w:space="0" w:color="auto"/>
            </w:tcBorders>
            <w:shd w:val="clear" w:color="auto" w:fill="C00000"/>
            <w:noWrap/>
            <w:vAlign w:val="center"/>
          </w:tcPr>
          <w:p w:rsidR="008949B1" w:rsidRPr="005E1103" w:rsidRDefault="008949B1" w:rsidP="008949B1">
            <w:pPr>
              <w:jc w:val="both"/>
              <w:rPr>
                <w:rFonts w:cstheme="minorHAnsi"/>
                <w:b/>
                <w:bCs/>
                <w:sz w:val="28"/>
                <w:szCs w:val="28"/>
              </w:rPr>
            </w:pPr>
            <w:r w:rsidRPr="005E1103">
              <w:rPr>
                <w:rFonts w:cstheme="minorHAnsi"/>
                <w:b/>
                <w:bCs/>
                <w:sz w:val="28"/>
                <w:szCs w:val="28"/>
              </w:rPr>
              <w:t xml:space="preserve">Arancha Díaz-Lladó </w:t>
            </w:r>
          </w:p>
          <w:p w:rsidR="008949B1" w:rsidRPr="005E1103" w:rsidRDefault="008949B1" w:rsidP="008949B1">
            <w:pPr>
              <w:jc w:val="both"/>
              <w:rPr>
                <w:rFonts w:cstheme="minorHAnsi"/>
                <w:b/>
                <w:bCs/>
                <w:sz w:val="28"/>
                <w:szCs w:val="28"/>
              </w:rPr>
            </w:pPr>
          </w:p>
        </w:tc>
        <w:tc>
          <w:tcPr>
            <w:tcW w:w="2500" w:type="dxa"/>
            <w:tcBorders>
              <w:top w:val="single" w:sz="8" w:space="0" w:color="auto"/>
              <w:left w:val="single" w:sz="8" w:space="0" w:color="auto"/>
              <w:bottom w:val="single" w:sz="12" w:space="0" w:color="auto"/>
              <w:right w:val="single" w:sz="8" w:space="0" w:color="auto"/>
            </w:tcBorders>
            <w:shd w:val="clear" w:color="auto" w:fill="BFBFBF" w:themeFill="background1" w:themeFillShade="BF"/>
            <w:noWrap/>
            <w:vAlign w:val="center"/>
          </w:tcPr>
          <w:p w:rsidR="008949B1" w:rsidRPr="005E1103" w:rsidRDefault="008949B1" w:rsidP="008949B1">
            <w:pPr>
              <w:jc w:val="both"/>
              <w:rPr>
                <w:rFonts w:cstheme="minorHAnsi"/>
                <w:b/>
                <w:color w:val="000000"/>
                <w:sz w:val="28"/>
                <w:szCs w:val="28"/>
              </w:rPr>
            </w:pPr>
            <w:r w:rsidRPr="005E1103">
              <w:rPr>
                <w:rFonts w:cstheme="minorHAnsi"/>
                <w:b/>
                <w:color w:val="000000"/>
                <w:sz w:val="28"/>
                <w:szCs w:val="28"/>
              </w:rPr>
              <w:t xml:space="preserve">Telefónica </w:t>
            </w:r>
          </w:p>
          <w:p w:rsidR="008949B1" w:rsidRPr="005E1103" w:rsidRDefault="008949B1" w:rsidP="008949B1">
            <w:pPr>
              <w:jc w:val="both"/>
              <w:rPr>
                <w:rFonts w:cstheme="minorHAnsi"/>
                <w:b/>
                <w:color w:val="000000"/>
                <w:sz w:val="28"/>
                <w:szCs w:val="28"/>
              </w:rPr>
            </w:pPr>
          </w:p>
        </w:tc>
        <w:tc>
          <w:tcPr>
            <w:tcW w:w="3539" w:type="dxa"/>
            <w:tcBorders>
              <w:top w:val="single" w:sz="8" w:space="0" w:color="auto"/>
              <w:left w:val="single" w:sz="8" w:space="0" w:color="auto"/>
              <w:bottom w:val="single" w:sz="12" w:space="0" w:color="auto"/>
              <w:right w:val="single" w:sz="12" w:space="0" w:color="auto"/>
            </w:tcBorders>
            <w:shd w:val="clear" w:color="auto" w:fill="BFBFBF" w:themeFill="background1" w:themeFillShade="BF"/>
            <w:noWrap/>
            <w:vAlign w:val="center"/>
          </w:tcPr>
          <w:p w:rsidR="008949B1" w:rsidRPr="005E1103" w:rsidRDefault="008949B1" w:rsidP="008949B1">
            <w:pPr>
              <w:jc w:val="both"/>
              <w:rPr>
                <w:rFonts w:cstheme="minorHAnsi"/>
                <w:sz w:val="28"/>
                <w:szCs w:val="28"/>
              </w:rPr>
            </w:pPr>
            <w:r w:rsidRPr="005E1103">
              <w:rPr>
                <w:rFonts w:cstheme="minorHAnsi"/>
                <w:sz w:val="28"/>
                <w:szCs w:val="28"/>
              </w:rPr>
              <w:t xml:space="preserve">La accesibilidad en el ocio audiovisual para personas con discapacidad sensorial </w:t>
            </w:r>
          </w:p>
          <w:p w:rsidR="008949B1" w:rsidRPr="005E1103" w:rsidRDefault="008949B1" w:rsidP="008949B1">
            <w:pPr>
              <w:jc w:val="both"/>
              <w:rPr>
                <w:rFonts w:cstheme="minorHAnsi"/>
                <w:sz w:val="28"/>
                <w:szCs w:val="28"/>
              </w:rPr>
            </w:pPr>
          </w:p>
        </w:tc>
      </w:tr>
      <w:tr w:rsidR="008949B1" w:rsidRPr="005E1103" w:rsidTr="008949B1">
        <w:trPr>
          <w:trHeight w:val="315"/>
          <w:jc w:val="center"/>
        </w:trPr>
        <w:tc>
          <w:tcPr>
            <w:tcW w:w="365" w:type="dxa"/>
            <w:tcBorders>
              <w:top w:val="single" w:sz="8" w:space="0" w:color="auto"/>
              <w:left w:val="single" w:sz="12" w:space="0" w:color="auto"/>
              <w:bottom w:val="single" w:sz="12" w:space="0" w:color="auto"/>
              <w:right w:val="single" w:sz="8" w:space="0" w:color="auto"/>
            </w:tcBorders>
            <w:shd w:val="clear" w:color="auto" w:fill="C00000"/>
            <w:vAlign w:val="center"/>
          </w:tcPr>
          <w:p w:rsidR="008949B1" w:rsidRPr="005E1103" w:rsidRDefault="008949B1" w:rsidP="008949B1">
            <w:pPr>
              <w:spacing w:line="240" w:lineRule="auto"/>
              <w:rPr>
                <w:rFonts w:eastAsia="Times New Roman" w:cstheme="minorHAnsi"/>
                <w:b/>
                <w:bCs/>
                <w:sz w:val="28"/>
                <w:szCs w:val="28"/>
                <w:lang w:eastAsia="es-ES"/>
              </w:rPr>
            </w:pPr>
            <w:r w:rsidRPr="005E1103">
              <w:rPr>
                <w:rFonts w:eastAsia="Times New Roman" w:cstheme="minorHAnsi"/>
                <w:b/>
                <w:bCs/>
                <w:sz w:val="28"/>
                <w:szCs w:val="28"/>
                <w:lang w:eastAsia="es-ES"/>
              </w:rPr>
              <w:lastRenderedPageBreak/>
              <w:t>14</w:t>
            </w:r>
          </w:p>
        </w:tc>
        <w:tc>
          <w:tcPr>
            <w:tcW w:w="3585" w:type="dxa"/>
            <w:tcBorders>
              <w:top w:val="single" w:sz="8" w:space="0" w:color="auto"/>
              <w:left w:val="single" w:sz="8" w:space="0" w:color="auto"/>
              <w:bottom w:val="single" w:sz="12" w:space="0" w:color="auto"/>
              <w:right w:val="single" w:sz="8" w:space="0" w:color="auto"/>
            </w:tcBorders>
            <w:shd w:val="clear" w:color="auto" w:fill="C00000"/>
            <w:noWrap/>
            <w:vAlign w:val="center"/>
          </w:tcPr>
          <w:p w:rsidR="008949B1" w:rsidRPr="005E1103" w:rsidRDefault="008949B1" w:rsidP="008949B1">
            <w:pPr>
              <w:jc w:val="both"/>
              <w:rPr>
                <w:rFonts w:cstheme="minorHAnsi"/>
                <w:b/>
                <w:bCs/>
                <w:sz w:val="28"/>
                <w:szCs w:val="28"/>
              </w:rPr>
            </w:pPr>
            <w:r w:rsidRPr="005E1103">
              <w:rPr>
                <w:rFonts w:cstheme="minorHAnsi"/>
                <w:b/>
                <w:bCs/>
                <w:sz w:val="28"/>
                <w:szCs w:val="28"/>
              </w:rPr>
              <w:t xml:space="preserve"> Mireia Ribera, Miquel Centelles</w:t>
            </w:r>
          </w:p>
          <w:p w:rsidR="008949B1" w:rsidRPr="005E1103" w:rsidRDefault="008949B1" w:rsidP="008949B1">
            <w:pPr>
              <w:jc w:val="both"/>
              <w:rPr>
                <w:rFonts w:cstheme="minorHAnsi"/>
                <w:b/>
                <w:bCs/>
                <w:sz w:val="28"/>
                <w:szCs w:val="28"/>
              </w:rPr>
            </w:pPr>
          </w:p>
        </w:tc>
        <w:tc>
          <w:tcPr>
            <w:tcW w:w="2500" w:type="dxa"/>
            <w:tcBorders>
              <w:top w:val="single" w:sz="8" w:space="0" w:color="auto"/>
              <w:left w:val="single" w:sz="8" w:space="0" w:color="auto"/>
              <w:bottom w:val="single" w:sz="12" w:space="0" w:color="auto"/>
              <w:right w:val="single" w:sz="8" w:space="0" w:color="auto"/>
            </w:tcBorders>
            <w:shd w:val="clear" w:color="auto" w:fill="BFBFBF" w:themeFill="background1" w:themeFillShade="BF"/>
            <w:noWrap/>
            <w:vAlign w:val="center"/>
          </w:tcPr>
          <w:p w:rsidR="008949B1" w:rsidRPr="005E1103" w:rsidRDefault="008949B1" w:rsidP="008949B1">
            <w:pPr>
              <w:jc w:val="both"/>
              <w:rPr>
                <w:rFonts w:cstheme="minorHAnsi"/>
                <w:b/>
                <w:color w:val="000000"/>
                <w:sz w:val="28"/>
                <w:szCs w:val="28"/>
              </w:rPr>
            </w:pPr>
            <w:r w:rsidRPr="005E1103">
              <w:rPr>
                <w:rFonts w:cstheme="minorHAnsi"/>
                <w:b/>
                <w:color w:val="000000"/>
                <w:sz w:val="28"/>
                <w:szCs w:val="28"/>
              </w:rPr>
              <w:t xml:space="preserve">Universitat de Barcelona </w:t>
            </w:r>
          </w:p>
          <w:p w:rsidR="008949B1" w:rsidRPr="005E1103" w:rsidRDefault="008949B1" w:rsidP="008949B1">
            <w:pPr>
              <w:jc w:val="both"/>
              <w:rPr>
                <w:rFonts w:cstheme="minorHAnsi"/>
                <w:b/>
                <w:color w:val="000000"/>
                <w:sz w:val="28"/>
                <w:szCs w:val="28"/>
              </w:rPr>
            </w:pPr>
          </w:p>
        </w:tc>
        <w:tc>
          <w:tcPr>
            <w:tcW w:w="3539" w:type="dxa"/>
            <w:tcBorders>
              <w:top w:val="single" w:sz="8" w:space="0" w:color="auto"/>
              <w:left w:val="single" w:sz="8" w:space="0" w:color="auto"/>
              <w:bottom w:val="single" w:sz="12" w:space="0" w:color="auto"/>
              <w:right w:val="single" w:sz="12" w:space="0" w:color="auto"/>
            </w:tcBorders>
            <w:shd w:val="clear" w:color="auto" w:fill="BFBFBF" w:themeFill="background1" w:themeFillShade="BF"/>
            <w:noWrap/>
            <w:vAlign w:val="center"/>
          </w:tcPr>
          <w:p w:rsidR="008949B1" w:rsidRPr="005E1103" w:rsidRDefault="008949B1" w:rsidP="008949B1">
            <w:pPr>
              <w:jc w:val="both"/>
              <w:rPr>
                <w:rFonts w:cstheme="minorHAnsi"/>
                <w:sz w:val="28"/>
                <w:szCs w:val="28"/>
              </w:rPr>
            </w:pPr>
            <w:r w:rsidRPr="005E1103">
              <w:rPr>
                <w:rFonts w:cstheme="minorHAnsi"/>
                <w:sz w:val="28"/>
                <w:szCs w:val="28"/>
              </w:rPr>
              <w:t xml:space="preserve">Metadatos en documentos EPUB de creación propia </w:t>
            </w:r>
          </w:p>
          <w:p w:rsidR="008949B1" w:rsidRPr="005E1103" w:rsidRDefault="008949B1" w:rsidP="008949B1">
            <w:pPr>
              <w:jc w:val="both"/>
              <w:rPr>
                <w:rFonts w:cstheme="minorHAnsi"/>
                <w:sz w:val="28"/>
                <w:szCs w:val="28"/>
              </w:rPr>
            </w:pPr>
          </w:p>
        </w:tc>
      </w:tr>
      <w:tr w:rsidR="008949B1" w:rsidRPr="005E1103" w:rsidTr="008949B1">
        <w:trPr>
          <w:trHeight w:val="315"/>
          <w:jc w:val="center"/>
        </w:trPr>
        <w:tc>
          <w:tcPr>
            <w:tcW w:w="365" w:type="dxa"/>
            <w:tcBorders>
              <w:top w:val="single" w:sz="8" w:space="0" w:color="auto"/>
              <w:left w:val="single" w:sz="12" w:space="0" w:color="auto"/>
              <w:bottom w:val="single" w:sz="8" w:space="0" w:color="auto"/>
              <w:right w:val="single" w:sz="8" w:space="0" w:color="auto"/>
            </w:tcBorders>
            <w:shd w:val="clear" w:color="auto" w:fill="C00000"/>
            <w:vAlign w:val="center"/>
          </w:tcPr>
          <w:p w:rsidR="008949B1" w:rsidRPr="005E1103" w:rsidRDefault="008949B1" w:rsidP="008949B1">
            <w:pPr>
              <w:spacing w:line="240" w:lineRule="auto"/>
              <w:rPr>
                <w:rFonts w:eastAsia="Times New Roman" w:cstheme="minorHAnsi"/>
                <w:b/>
                <w:bCs/>
                <w:sz w:val="28"/>
                <w:szCs w:val="28"/>
                <w:lang w:eastAsia="es-ES"/>
              </w:rPr>
            </w:pPr>
            <w:r w:rsidRPr="005E1103">
              <w:rPr>
                <w:rFonts w:eastAsia="Times New Roman" w:cstheme="minorHAnsi"/>
                <w:b/>
                <w:bCs/>
                <w:sz w:val="28"/>
                <w:szCs w:val="28"/>
                <w:lang w:eastAsia="es-ES"/>
              </w:rPr>
              <w:t>15</w:t>
            </w:r>
          </w:p>
        </w:tc>
        <w:tc>
          <w:tcPr>
            <w:tcW w:w="3585" w:type="dxa"/>
            <w:tcBorders>
              <w:top w:val="single" w:sz="8" w:space="0" w:color="auto"/>
              <w:left w:val="single" w:sz="8" w:space="0" w:color="auto"/>
              <w:bottom w:val="single" w:sz="8" w:space="0" w:color="auto"/>
              <w:right w:val="single" w:sz="8" w:space="0" w:color="auto"/>
            </w:tcBorders>
            <w:shd w:val="clear" w:color="auto" w:fill="C00000"/>
            <w:noWrap/>
            <w:vAlign w:val="center"/>
          </w:tcPr>
          <w:p w:rsidR="008949B1" w:rsidRPr="005E1103" w:rsidRDefault="008949B1" w:rsidP="008949B1">
            <w:pPr>
              <w:jc w:val="both"/>
              <w:rPr>
                <w:rFonts w:cstheme="minorHAnsi"/>
                <w:b/>
                <w:bCs/>
                <w:sz w:val="28"/>
                <w:szCs w:val="28"/>
              </w:rPr>
            </w:pPr>
            <w:r w:rsidRPr="005E1103">
              <w:rPr>
                <w:rFonts w:cstheme="minorHAnsi"/>
                <w:b/>
                <w:bCs/>
                <w:sz w:val="28"/>
                <w:szCs w:val="28"/>
              </w:rPr>
              <w:t>Jose Maria Salvador González,Matilde Azcarate Luxán, Herbert González zymla</w:t>
            </w:r>
          </w:p>
        </w:tc>
        <w:tc>
          <w:tcPr>
            <w:tcW w:w="2500" w:type="dxa"/>
            <w:tcBorders>
              <w:top w:val="single" w:sz="8" w:space="0" w:color="auto"/>
              <w:left w:val="single" w:sz="8" w:space="0" w:color="auto"/>
              <w:bottom w:val="single" w:sz="8" w:space="0" w:color="auto"/>
              <w:right w:val="single" w:sz="8" w:space="0" w:color="auto"/>
            </w:tcBorders>
            <w:shd w:val="clear" w:color="auto" w:fill="BFBFBF" w:themeFill="background1" w:themeFillShade="BF"/>
            <w:noWrap/>
            <w:vAlign w:val="center"/>
          </w:tcPr>
          <w:p w:rsidR="008949B1" w:rsidRPr="005E1103" w:rsidRDefault="008949B1" w:rsidP="008949B1">
            <w:pPr>
              <w:jc w:val="both"/>
              <w:rPr>
                <w:rFonts w:cstheme="minorHAnsi"/>
                <w:b/>
                <w:color w:val="000000"/>
                <w:sz w:val="28"/>
                <w:szCs w:val="28"/>
              </w:rPr>
            </w:pPr>
            <w:r w:rsidRPr="005E1103">
              <w:rPr>
                <w:rFonts w:cstheme="minorHAnsi"/>
                <w:b/>
                <w:color w:val="000000"/>
                <w:sz w:val="28"/>
                <w:szCs w:val="28"/>
              </w:rPr>
              <w:t>Universidad Politecnica de Madrid</w:t>
            </w:r>
          </w:p>
        </w:tc>
        <w:tc>
          <w:tcPr>
            <w:tcW w:w="3539" w:type="dxa"/>
            <w:tcBorders>
              <w:top w:val="single" w:sz="8" w:space="0" w:color="auto"/>
              <w:left w:val="single" w:sz="8" w:space="0" w:color="auto"/>
              <w:bottom w:val="single" w:sz="8" w:space="0" w:color="auto"/>
              <w:right w:val="single" w:sz="12" w:space="0" w:color="auto"/>
            </w:tcBorders>
            <w:shd w:val="clear" w:color="auto" w:fill="BFBFBF" w:themeFill="background1" w:themeFillShade="BF"/>
            <w:noWrap/>
            <w:vAlign w:val="center"/>
          </w:tcPr>
          <w:p w:rsidR="008949B1" w:rsidRPr="005E1103" w:rsidRDefault="008949B1" w:rsidP="008949B1">
            <w:pPr>
              <w:spacing w:after="0" w:line="240" w:lineRule="auto"/>
              <w:rPr>
                <w:rFonts w:cstheme="minorHAnsi"/>
                <w:sz w:val="28"/>
                <w:szCs w:val="28"/>
              </w:rPr>
            </w:pPr>
            <w:r w:rsidRPr="005E1103">
              <w:rPr>
                <w:rFonts w:cstheme="minorHAnsi"/>
                <w:sz w:val="28"/>
                <w:szCs w:val="28"/>
              </w:rPr>
              <w:t>El Consorcio MUSACCES: fomentando la accesibilidad de</w:t>
            </w:r>
          </w:p>
          <w:p w:rsidR="008949B1" w:rsidRPr="005E1103" w:rsidRDefault="008949B1" w:rsidP="008949B1">
            <w:pPr>
              <w:spacing w:after="0" w:line="240" w:lineRule="auto"/>
              <w:rPr>
                <w:rFonts w:cstheme="minorHAnsi"/>
                <w:sz w:val="28"/>
                <w:szCs w:val="28"/>
              </w:rPr>
            </w:pPr>
            <w:r w:rsidRPr="005E1103">
              <w:rPr>
                <w:rFonts w:cstheme="minorHAnsi"/>
                <w:sz w:val="28"/>
                <w:szCs w:val="28"/>
              </w:rPr>
              <w:t>invidentes, sordos y reclusos al patrimonio artístico del Museo del Prado</w:t>
            </w:r>
          </w:p>
          <w:p w:rsidR="008949B1" w:rsidRPr="005E1103" w:rsidRDefault="008949B1" w:rsidP="008949B1">
            <w:pPr>
              <w:jc w:val="both"/>
              <w:rPr>
                <w:rFonts w:cstheme="minorHAnsi"/>
                <w:sz w:val="28"/>
                <w:szCs w:val="28"/>
              </w:rPr>
            </w:pPr>
          </w:p>
        </w:tc>
      </w:tr>
      <w:tr w:rsidR="008949B1" w:rsidRPr="005E1103" w:rsidTr="008949B1">
        <w:trPr>
          <w:trHeight w:val="315"/>
          <w:jc w:val="center"/>
        </w:trPr>
        <w:tc>
          <w:tcPr>
            <w:tcW w:w="365" w:type="dxa"/>
            <w:tcBorders>
              <w:top w:val="single" w:sz="8" w:space="0" w:color="auto"/>
              <w:left w:val="single" w:sz="12" w:space="0" w:color="auto"/>
              <w:bottom w:val="single" w:sz="12" w:space="0" w:color="auto"/>
              <w:right w:val="single" w:sz="8" w:space="0" w:color="auto"/>
            </w:tcBorders>
            <w:shd w:val="clear" w:color="auto" w:fill="C00000"/>
            <w:vAlign w:val="center"/>
          </w:tcPr>
          <w:p w:rsidR="008949B1" w:rsidRPr="005E1103" w:rsidRDefault="008949B1" w:rsidP="008949B1">
            <w:pPr>
              <w:spacing w:line="240" w:lineRule="auto"/>
              <w:rPr>
                <w:rFonts w:eastAsia="Times New Roman" w:cstheme="minorHAnsi"/>
                <w:b/>
                <w:bCs/>
                <w:sz w:val="28"/>
                <w:szCs w:val="28"/>
                <w:lang w:eastAsia="es-ES"/>
              </w:rPr>
            </w:pPr>
            <w:r w:rsidRPr="005E1103">
              <w:rPr>
                <w:rFonts w:eastAsia="Times New Roman" w:cstheme="minorHAnsi"/>
                <w:b/>
                <w:bCs/>
                <w:sz w:val="28"/>
                <w:szCs w:val="28"/>
                <w:lang w:eastAsia="es-ES"/>
              </w:rPr>
              <w:t>16</w:t>
            </w:r>
          </w:p>
        </w:tc>
        <w:tc>
          <w:tcPr>
            <w:tcW w:w="3585" w:type="dxa"/>
            <w:tcBorders>
              <w:top w:val="single" w:sz="8" w:space="0" w:color="auto"/>
              <w:left w:val="single" w:sz="8" w:space="0" w:color="auto"/>
              <w:bottom w:val="single" w:sz="12" w:space="0" w:color="auto"/>
              <w:right w:val="single" w:sz="8" w:space="0" w:color="auto"/>
            </w:tcBorders>
            <w:shd w:val="clear" w:color="auto" w:fill="C00000"/>
            <w:noWrap/>
            <w:vAlign w:val="center"/>
          </w:tcPr>
          <w:p w:rsidR="008949B1" w:rsidRPr="005E1103" w:rsidRDefault="008949B1" w:rsidP="008949B1">
            <w:pPr>
              <w:jc w:val="both"/>
              <w:rPr>
                <w:rFonts w:cstheme="minorHAnsi"/>
                <w:b/>
                <w:bCs/>
                <w:sz w:val="28"/>
                <w:szCs w:val="28"/>
              </w:rPr>
            </w:pPr>
            <w:r w:rsidRPr="005E1103">
              <w:rPr>
                <w:rFonts w:cstheme="minorHAnsi"/>
                <w:b/>
                <w:bCs/>
                <w:sz w:val="28"/>
                <w:szCs w:val="28"/>
              </w:rPr>
              <w:t>Antonino Sistac Aznárez</w:t>
            </w:r>
          </w:p>
        </w:tc>
        <w:tc>
          <w:tcPr>
            <w:tcW w:w="2500" w:type="dxa"/>
            <w:tcBorders>
              <w:top w:val="single" w:sz="8" w:space="0" w:color="auto"/>
              <w:left w:val="single" w:sz="8" w:space="0" w:color="auto"/>
              <w:bottom w:val="single" w:sz="12" w:space="0" w:color="auto"/>
              <w:right w:val="single" w:sz="8" w:space="0" w:color="auto"/>
            </w:tcBorders>
            <w:shd w:val="clear" w:color="auto" w:fill="BFBFBF" w:themeFill="background1" w:themeFillShade="BF"/>
            <w:noWrap/>
            <w:vAlign w:val="center"/>
          </w:tcPr>
          <w:p w:rsidR="008949B1" w:rsidRPr="005E1103" w:rsidRDefault="008949B1" w:rsidP="008949B1">
            <w:pPr>
              <w:jc w:val="both"/>
              <w:rPr>
                <w:rFonts w:cstheme="minorHAnsi"/>
                <w:b/>
                <w:color w:val="000000"/>
                <w:sz w:val="28"/>
                <w:szCs w:val="28"/>
              </w:rPr>
            </w:pPr>
            <w:r w:rsidRPr="005E1103">
              <w:rPr>
                <w:rFonts w:cstheme="minorHAnsi"/>
                <w:sz w:val="28"/>
                <w:szCs w:val="28"/>
              </w:rPr>
              <w:t>ReadSpeaker</w:t>
            </w:r>
          </w:p>
        </w:tc>
        <w:tc>
          <w:tcPr>
            <w:tcW w:w="3539" w:type="dxa"/>
            <w:tcBorders>
              <w:top w:val="single" w:sz="8" w:space="0" w:color="auto"/>
              <w:left w:val="single" w:sz="8" w:space="0" w:color="auto"/>
              <w:bottom w:val="single" w:sz="12" w:space="0" w:color="auto"/>
              <w:right w:val="single" w:sz="12" w:space="0" w:color="auto"/>
            </w:tcBorders>
            <w:shd w:val="clear" w:color="auto" w:fill="BFBFBF" w:themeFill="background1" w:themeFillShade="BF"/>
            <w:noWrap/>
            <w:vAlign w:val="center"/>
          </w:tcPr>
          <w:p w:rsidR="008949B1" w:rsidRPr="005E1103" w:rsidRDefault="008949B1" w:rsidP="008949B1">
            <w:pPr>
              <w:spacing w:after="0" w:line="240" w:lineRule="auto"/>
              <w:rPr>
                <w:rFonts w:cstheme="minorHAnsi"/>
                <w:sz w:val="28"/>
                <w:szCs w:val="28"/>
              </w:rPr>
            </w:pPr>
            <w:r w:rsidRPr="005E1103">
              <w:rPr>
                <w:rFonts w:cstheme="minorHAnsi"/>
                <w:sz w:val="28"/>
                <w:szCs w:val="28"/>
              </w:rPr>
              <w:t>Comunicación ReadSpeaker – III CIUD – DUA y la presentación bimodal de contenidos</w:t>
            </w:r>
          </w:p>
        </w:tc>
      </w:tr>
    </w:tbl>
    <w:p w:rsidR="008949B1" w:rsidRPr="005E1103" w:rsidRDefault="008949B1" w:rsidP="008949B1">
      <w:pPr>
        <w:tabs>
          <w:tab w:val="left" w:pos="7185"/>
        </w:tabs>
        <w:rPr>
          <w:rFonts w:eastAsia="Times New Roman" w:cstheme="minorHAnsi"/>
          <w:sz w:val="28"/>
          <w:szCs w:val="28"/>
          <w:lang w:eastAsia="es-CO"/>
        </w:rPr>
      </w:pPr>
    </w:p>
    <w:p w:rsidR="008949B1" w:rsidRPr="005E1103" w:rsidRDefault="008949B1">
      <w:pPr>
        <w:rPr>
          <w:rFonts w:eastAsia="Times New Roman" w:cstheme="minorHAnsi"/>
          <w:sz w:val="28"/>
          <w:szCs w:val="28"/>
          <w:lang w:eastAsia="es-CO"/>
        </w:rPr>
      </w:pPr>
      <w:r w:rsidRPr="005E1103">
        <w:rPr>
          <w:rFonts w:eastAsia="Times New Roman" w:cstheme="minorHAnsi"/>
          <w:sz w:val="28"/>
          <w:szCs w:val="28"/>
          <w:lang w:eastAsia="es-CO"/>
        </w:rPr>
        <w:br w:type="page"/>
      </w:r>
    </w:p>
    <w:p w:rsidR="008949B1" w:rsidRPr="005E1103" w:rsidRDefault="008949B1" w:rsidP="008949B1">
      <w:pPr>
        <w:spacing w:line="360" w:lineRule="auto"/>
        <w:jc w:val="center"/>
        <w:rPr>
          <w:rFonts w:cstheme="minorHAnsi"/>
          <w:b/>
          <w:sz w:val="28"/>
          <w:szCs w:val="28"/>
        </w:rPr>
      </w:pPr>
      <w:r w:rsidRPr="005E1103">
        <w:rPr>
          <w:rFonts w:cstheme="minorHAnsi"/>
          <w:b/>
          <w:sz w:val="28"/>
          <w:szCs w:val="28"/>
        </w:rPr>
        <w:lastRenderedPageBreak/>
        <w:t>COMUNICACIÓN 1</w:t>
      </w:r>
    </w:p>
    <w:tbl>
      <w:tblPr>
        <w:tblW w:w="0" w:type="auto"/>
        <w:tblInd w:w="14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210"/>
      </w:tblGrid>
      <w:tr w:rsidR="008949B1" w:rsidRPr="005E1103" w:rsidTr="008949B1">
        <w:trPr>
          <w:trHeight w:val="952"/>
        </w:trPr>
        <w:tc>
          <w:tcPr>
            <w:tcW w:w="7787" w:type="dxa"/>
          </w:tcPr>
          <w:p w:rsidR="008949B1" w:rsidRPr="005E1103" w:rsidRDefault="008949B1" w:rsidP="008949B1">
            <w:pPr>
              <w:jc w:val="center"/>
              <w:rPr>
                <w:rFonts w:cstheme="minorHAnsi"/>
                <w:b/>
                <w:sz w:val="28"/>
                <w:szCs w:val="28"/>
              </w:rPr>
            </w:pPr>
            <w:bookmarkStart w:id="70" w:name="_Toc421053362"/>
            <w:r w:rsidRPr="005E1103">
              <w:rPr>
                <w:rFonts w:cstheme="minorHAnsi"/>
                <w:b/>
                <w:sz w:val="28"/>
                <w:szCs w:val="28"/>
              </w:rPr>
              <w:t>Diversidad funcional  y el uso de las TIC,s en la Universidad</w:t>
            </w:r>
          </w:p>
        </w:tc>
      </w:tr>
    </w:tbl>
    <w:p w:rsidR="008949B1" w:rsidRPr="005E1103" w:rsidRDefault="008949B1" w:rsidP="008949B1">
      <w:pPr>
        <w:rPr>
          <w:rFonts w:cstheme="minorHAnsi"/>
          <w:color w:val="4472C4"/>
          <w:sz w:val="28"/>
          <w:szCs w:val="28"/>
        </w:rPr>
      </w:pPr>
    </w:p>
    <w:p w:rsidR="008949B1" w:rsidRPr="005E1103" w:rsidRDefault="008949B1" w:rsidP="008949B1">
      <w:pPr>
        <w:rPr>
          <w:rFonts w:cstheme="minorHAnsi"/>
          <w:sz w:val="28"/>
          <w:szCs w:val="28"/>
        </w:rPr>
      </w:pPr>
      <w:r w:rsidRPr="005E1103">
        <w:rPr>
          <w:rFonts w:cstheme="minorHAnsi"/>
          <w:sz w:val="28"/>
          <w:szCs w:val="28"/>
        </w:rPr>
        <w:t>TIC y diversidad</w:t>
      </w:r>
      <w:bookmarkEnd w:id="70"/>
      <w:r w:rsidRPr="005E1103">
        <w:rPr>
          <w:rFonts w:cstheme="minorHAnsi"/>
          <w:sz w:val="28"/>
          <w:szCs w:val="28"/>
        </w:rPr>
        <w:t xml:space="preserve"> funcional en la universidad </w:t>
      </w:r>
      <w:r w:rsidRPr="005E1103">
        <w:rPr>
          <w:rFonts w:cstheme="minorHAnsi"/>
          <w:sz w:val="28"/>
          <w:szCs w:val="28"/>
        </w:rPr>
        <w:fldChar w:fldCharType="begin"/>
      </w:r>
      <w:r w:rsidRPr="005E1103">
        <w:rPr>
          <w:rFonts w:cstheme="minorHAnsi"/>
          <w:sz w:val="28"/>
          <w:szCs w:val="28"/>
        </w:rPr>
        <w:instrText>XE "TIC y diversidad: "</w:instrText>
      </w:r>
      <w:r w:rsidRPr="005E1103">
        <w:rPr>
          <w:rFonts w:cstheme="minorHAnsi"/>
          <w:sz w:val="28"/>
          <w:szCs w:val="28"/>
        </w:rPr>
        <w:fldChar w:fldCharType="end"/>
      </w:r>
    </w:p>
    <w:p w:rsidR="008949B1" w:rsidRPr="005E1103" w:rsidRDefault="008949B1" w:rsidP="008949B1">
      <w:pPr>
        <w:pStyle w:val="Standard"/>
        <w:spacing w:line="360" w:lineRule="auto"/>
        <w:ind w:firstLine="454"/>
        <w:jc w:val="both"/>
        <w:rPr>
          <w:rFonts w:asciiTheme="minorHAnsi" w:hAnsiTheme="minorHAnsi" w:cstheme="minorHAnsi"/>
          <w:sz w:val="28"/>
          <w:szCs w:val="28"/>
        </w:rPr>
      </w:pPr>
      <w:r w:rsidRPr="005E1103">
        <w:rPr>
          <w:rFonts w:asciiTheme="minorHAnsi" w:hAnsiTheme="minorHAnsi" w:cstheme="minorHAnsi"/>
          <w:sz w:val="28"/>
          <w:szCs w:val="28"/>
        </w:rPr>
        <w:tab/>
        <w:t>Hoy en día el uso de las nuevas tecnologías es fundamental en cualquier ámbito de la sociedad como herramienta de mejora. En el ámbito universitario las Tecnologías de la Información y la Comunicación (a partir de ahora TIC) tienen un papel fundamental siendo una herramienta muy motivadora para los alumnos, y en general podemos hablar de resultados positivos en cualquier etapa universitaria. La utilización por parte de los profesores de todos los recursos que se encuentren a su alcance, mejorará la integración de personas con diversidad funcional en la comunidad universitaria y su comunicación.</w:t>
      </w:r>
    </w:p>
    <w:p w:rsidR="008949B1" w:rsidRPr="005E1103" w:rsidRDefault="008949B1" w:rsidP="008949B1">
      <w:pPr>
        <w:pStyle w:val="Standard"/>
        <w:spacing w:line="360" w:lineRule="auto"/>
        <w:ind w:firstLine="454"/>
        <w:jc w:val="both"/>
        <w:rPr>
          <w:rFonts w:asciiTheme="minorHAnsi" w:hAnsiTheme="minorHAnsi" w:cstheme="minorHAnsi"/>
          <w:sz w:val="28"/>
          <w:szCs w:val="28"/>
        </w:rPr>
      </w:pPr>
      <w:r w:rsidRPr="005E1103">
        <w:rPr>
          <w:rFonts w:asciiTheme="minorHAnsi" w:hAnsiTheme="minorHAnsi" w:cstheme="minorHAnsi"/>
          <w:sz w:val="28"/>
          <w:szCs w:val="28"/>
        </w:rPr>
        <w:t>El uso de las TIC es un recurso de gran utilidad para el profesor que trabaja en este ámbito. El empleo de las TIC, permite acercar al alumno a una serie de experiencias que ayudarán a su desarrollo, de una manera mucho más atractiva y motivadora. Además, favorece la integración y la autoestima (ya que mediante estos recursos los alumnos con diversidad funcional son capaces de alcanzar ciertos objetivos por si solos, logrando un sentimiento de igualdad), la cual muchas veces se encuentra dañada.</w:t>
      </w:r>
    </w:p>
    <w:p w:rsidR="008949B1" w:rsidRPr="005E1103" w:rsidRDefault="008949B1" w:rsidP="008949B1">
      <w:pPr>
        <w:pStyle w:val="Ttulo2"/>
        <w:spacing w:before="240" w:after="200" w:line="360" w:lineRule="auto"/>
        <w:ind w:firstLine="454"/>
        <w:rPr>
          <w:rFonts w:asciiTheme="minorHAnsi" w:hAnsiTheme="minorHAnsi" w:cstheme="minorHAnsi"/>
          <w:color w:val="auto"/>
          <w:sz w:val="28"/>
          <w:szCs w:val="28"/>
        </w:rPr>
      </w:pPr>
      <w:bookmarkStart w:id="71" w:name="_Toc421053363"/>
      <w:r w:rsidRPr="005E1103">
        <w:rPr>
          <w:rFonts w:asciiTheme="minorHAnsi" w:hAnsiTheme="minorHAnsi" w:cstheme="minorHAnsi"/>
          <w:color w:val="auto"/>
          <w:sz w:val="28"/>
          <w:szCs w:val="28"/>
        </w:rPr>
        <w:t>La función de las TIC en la atención a la diversidad</w:t>
      </w:r>
      <w:bookmarkEnd w:id="71"/>
      <w:r w:rsidRPr="005E1103">
        <w:rPr>
          <w:rFonts w:asciiTheme="minorHAnsi" w:hAnsiTheme="minorHAnsi" w:cstheme="minorHAnsi"/>
          <w:color w:val="auto"/>
          <w:sz w:val="28"/>
          <w:szCs w:val="28"/>
        </w:rPr>
        <w:fldChar w:fldCharType="begin"/>
      </w:r>
      <w:r w:rsidRPr="005E1103">
        <w:rPr>
          <w:rFonts w:asciiTheme="minorHAnsi" w:hAnsiTheme="minorHAnsi" w:cstheme="minorHAnsi"/>
          <w:color w:val="auto"/>
          <w:sz w:val="28"/>
          <w:szCs w:val="28"/>
        </w:rPr>
        <w:instrText>XE "1. La función de las TIC en la atención a la diversidad: "</w:instrText>
      </w:r>
      <w:r w:rsidRPr="005E1103">
        <w:rPr>
          <w:rFonts w:asciiTheme="minorHAnsi" w:hAnsiTheme="minorHAnsi" w:cstheme="minorHAnsi"/>
          <w:color w:val="auto"/>
          <w:sz w:val="28"/>
          <w:szCs w:val="28"/>
        </w:rPr>
        <w:fldChar w:fldCharType="end"/>
      </w:r>
    </w:p>
    <w:p w:rsidR="008949B1" w:rsidRPr="005E1103" w:rsidRDefault="008949B1" w:rsidP="008949B1">
      <w:pPr>
        <w:pStyle w:val="Standard"/>
        <w:spacing w:line="360" w:lineRule="auto"/>
        <w:ind w:firstLine="454"/>
        <w:jc w:val="both"/>
        <w:rPr>
          <w:rFonts w:asciiTheme="minorHAnsi" w:hAnsiTheme="minorHAnsi" w:cstheme="minorHAnsi"/>
          <w:sz w:val="28"/>
          <w:szCs w:val="28"/>
        </w:rPr>
      </w:pPr>
      <w:r w:rsidRPr="005E1103">
        <w:rPr>
          <w:rFonts w:asciiTheme="minorHAnsi" w:hAnsiTheme="minorHAnsi" w:cstheme="minorHAnsi"/>
          <w:sz w:val="28"/>
          <w:szCs w:val="28"/>
        </w:rPr>
        <w:tab/>
        <w:t xml:space="preserve">Las adaptaciones en los elementos de acceso al currículo consisten en la modificación o provisión de recursos especiales, materiales o de comunicación que pueden facilitar que algunos alumnos con diversidad funcional puedan desarrollar el currículo ordinario o, en su caso, el </w:t>
      </w:r>
      <w:r w:rsidRPr="005E1103">
        <w:rPr>
          <w:rFonts w:asciiTheme="minorHAnsi" w:hAnsiTheme="minorHAnsi" w:cstheme="minorHAnsi"/>
          <w:sz w:val="28"/>
          <w:szCs w:val="28"/>
        </w:rPr>
        <w:lastRenderedPageBreak/>
        <w:t>currículo adaptado. En la universidad, el uso de las TIC lo debemos considerar como un recurso fundamental del cual debemos partir.</w:t>
      </w:r>
    </w:p>
    <w:p w:rsidR="008949B1" w:rsidRPr="005E1103" w:rsidRDefault="008949B1" w:rsidP="008949B1">
      <w:pPr>
        <w:pStyle w:val="Standard"/>
        <w:spacing w:line="360" w:lineRule="auto"/>
        <w:ind w:firstLine="454"/>
        <w:jc w:val="both"/>
        <w:rPr>
          <w:rFonts w:asciiTheme="minorHAnsi" w:hAnsiTheme="minorHAnsi" w:cstheme="minorHAnsi"/>
          <w:sz w:val="28"/>
          <w:szCs w:val="28"/>
        </w:rPr>
      </w:pPr>
      <w:r w:rsidRPr="005E1103">
        <w:rPr>
          <w:rFonts w:asciiTheme="minorHAnsi" w:hAnsiTheme="minorHAnsi" w:cstheme="minorHAnsi"/>
          <w:sz w:val="28"/>
          <w:szCs w:val="28"/>
        </w:rPr>
        <w:t>Existen muchas formas de usar este recurso presente en nuestros centros universitarios: el uso de programas existentes en el mercado, sobre matemáticas, lengua, razonamiento o composición; el uso de diccionarios, enciclopedias, culturales o recreativos; o la preparación de las actividades para lograr nuestro objetivo por el propio profesorado, como la realización de diversos ejercicios. Dentro de esta estrategia metodológica ocupa un papel destacado el uso de Internet, del correo electrónico y todas las posibilidades que actualmente se están abriendo con los diferentes programas de incorporación del ordenador, o tableta al aula, por lo que la motivación está garantizada.</w:t>
      </w:r>
    </w:p>
    <w:p w:rsidR="008949B1" w:rsidRPr="005E1103" w:rsidRDefault="008949B1" w:rsidP="008949B1">
      <w:pPr>
        <w:pStyle w:val="Standard"/>
        <w:spacing w:line="360" w:lineRule="auto"/>
        <w:ind w:firstLine="454"/>
        <w:jc w:val="both"/>
        <w:rPr>
          <w:rFonts w:asciiTheme="minorHAnsi" w:hAnsiTheme="minorHAnsi" w:cstheme="minorHAnsi"/>
          <w:sz w:val="28"/>
          <w:szCs w:val="28"/>
        </w:rPr>
      </w:pPr>
      <w:r w:rsidRPr="005E1103">
        <w:rPr>
          <w:rFonts w:asciiTheme="minorHAnsi" w:hAnsiTheme="minorHAnsi" w:cstheme="minorHAnsi"/>
          <w:sz w:val="28"/>
          <w:szCs w:val="28"/>
        </w:rPr>
        <w:tab/>
        <w:t>El mayor de los inconvenientes que tiene, es que necesita de tanta programación y tiempo como la de una clase y a veces no contamos con él. Al igual que con otras estrategias analizadas no se trata de hacer todo el trabajo de una vez, sino poco a poco y en equipo. El objetivo es tener una base de información y actividades para ser utilizado.</w:t>
      </w:r>
    </w:p>
    <w:p w:rsidR="008949B1" w:rsidRPr="005E1103" w:rsidRDefault="008949B1" w:rsidP="008949B1">
      <w:pPr>
        <w:pStyle w:val="Ttulo2"/>
        <w:spacing w:before="240" w:after="200" w:line="360" w:lineRule="auto"/>
        <w:ind w:firstLine="454"/>
        <w:rPr>
          <w:rFonts w:asciiTheme="minorHAnsi" w:hAnsiTheme="minorHAnsi" w:cstheme="minorHAnsi"/>
          <w:color w:val="auto"/>
          <w:sz w:val="28"/>
          <w:szCs w:val="28"/>
        </w:rPr>
      </w:pPr>
    </w:p>
    <w:p w:rsidR="008949B1" w:rsidRPr="005E1103" w:rsidRDefault="008949B1" w:rsidP="008949B1">
      <w:pPr>
        <w:pStyle w:val="Ttulo2"/>
        <w:spacing w:before="240" w:after="200" w:line="360" w:lineRule="auto"/>
        <w:ind w:firstLine="454"/>
        <w:rPr>
          <w:rFonts w:asciiTheme="minorHAnsi" w:hAnsiTheme="minorHAnsi" w:cstheme="minorHAnsi"/>
          <w:color w:val="auto"/>
          <w:sz w:val="28"/>
          <w:szCs w:val="28"/>
        </w:rPr>
      </w:pPr>
      <w:r w:rsidRPr="005E1103">
        <w:rPr>
          <w:rFonts w:asciiTheme="minorHAnsi" w:hAnsiTheme="minorHAnsi" w:cstheme="minorHAnsi"/>
          <w:color w:val="auto"/>
          <w:sz w:val="28"/>
          <w:szCs w:val="28"/>
        </w:rPr>
        <w:t xml:space="preserve"> </w:t>
      </w:r>
      <w:bookmarkStart w:id="72" w:name="_Toc421053364"/>
      <w:r w:rsidRPr="005E1103">
        <w:rPr>
          <w:rFonts w:asciiTheme="minorHAnsi" w:hAnsiTheme="minorHAnsi" w:cstheme="minorHAnsi"/>
          <w:color w:val="auto"/>
          <w:sz w:val="28"/>
          <w:szCs w:val="28"/>
        </w:rPr>
        <w:t>TIC como herramienta de apoyo</w:t>
      </w:r>
      <w:bookmarkEnd w:id="72"/>
      <w:r w:rsidRPr="005E1103">
        <w:rPr>
          <w:rFonts w:asciiTheme="minorHAnsi" w:hAnsiTheme="minorHAnsi" w:cstheme="minorHAnsi"/>
          <w:color w:val="auto"/>
          <w:sz w:val="28"/>
          <w:szCs w:val="28"/>
        </w:rPr>
        <w:fldChar w:fldCharType="begin"/>
      </w:r>
      <w:r w:rsidRPr="005E1103">
        <w:rPr>
          <w:rFonts w:asciiTheme="minorHAnsi" w:hAnsiTheme="minorHAnsi" w:cstheme="minorHAnsi"/>
          <w:color w:val="auto"/>
          <w:sz w:val="28"/>
          <w:szCs w:val="28"/>
        </w:rPr>
        <w:instrText>XE "2. El uso de las TIC como herramienta de apoyo: "</w:instrText>
      </w:r>
      <w:r w:rsidRPr="005E1103">
        <w:rPr>
          <w:rFonts w:asciiTheme="minorHAnsi" w:hAnsiTheme="minorHAnsi" w:cstheme="minorHAnsi"/>
          <w:color w:val="auto"/>
          <w:sz w:val="28"/>
          <w:szCs w:val="28"/>
        </w:rPr>
        <w:fldChar w:fldCharType="end"/>
      </w:r>
    </w:p>
    <w:p w:rsidR="008949B1" w:rsidRPr="005E1103" w:rsidRDefault="008949B1" w:rsidP="008949B1">
      <w:pPr>
        <w:pStyle w:val="Standard"/>
        <w:spacing w:line="360" w:lineRule="auto"/>
        <w:ind w:firstLine="454"/>
        <w:jc w:val="both"/>
        <w:rPr>
          <w:rFonts w:asciiTheme="minorHAnsi" w:hAnsiTheme="minorHAnsi" w:cstheme="minorHAnsi"/>
          <w:sz w:val="28"/>
          <w:szCs w:val="28"/>
        </w:rPr>
      </w:pPr>
      <w:r w:rsidRPr="005E1103">
        <w:rPr>
          <w:rFonts w:asciiTheme="minorHAnsi" w:hAnsiTheme="minorHAnsi" w:cstheme="minorHAnsi"/>
          <w:sz w:val="28"/>
          <w:szCs w:val="28"/>
        </w:rPr>
        <w:tab/>
        <w:t>El uso de las TIC se debe considerar como una herramienta de apoyo al trabajo realizado por el docente, como una alternativa más de ayuda dentro de un conjunto de recursos y metodologías que están a su disposición; nunca como sistemas alternativos y excluyentes de metodologías tradicionales, o como una herramienta que reemplaza cualquier técnica o metodología.</w:t>
      </w:r>
    </w:p>
    <w:p w:rsidR="008949B1" w:rsidRPr="005E1103" w:rsidRDefault="008949B1" w:rsidP="008949B1">
      <w:pPr>
        <w:pStyle w:val="Standard"/>
        <w:spacing w:line="360" w:lineRule="auto"/>
        <w:ind w:firstLine="454"/>
        <w:jc w:val="both"/>
        <w:rPr>
          <w:rFonts w:asciiTheme="minorHAnsi" w:hAnsiTheme="minorHAnsi" w:cstheme="minorHAnsi"/>
          <w:sz w:val="28"/>
          <w:szCs w:val="28"/>
        </w:rPr>
      </w:pPr>
      <w:r w:rsidRPr="005E1103">
        <w:rPr>
          <w:rFonts w:asciiTheme="minorHAnsi" w:hAnsiTheme="minorHAnsi" w:cstheme="minorHAnsi"/>
          <w:sz w:val="28"/>
          <w:szCs w:val="28"/>
        </w:rPr>
        <w:tab/>
        <w:t xml:space="preserve">El profesorado que trabaje con alumnado con cualquier tipo de </w:t>
      </w:r>
      <w:r w:rsidRPr="005E1103">
        <w:rPr>
          <w:rFonts w:asciiTheme="minorHAnsi" w:hAnsiTheme="minorHAnsi" w:cstheme="minorHAnsi"/>
          <w:sz w:val="28"/>
          <w:szCs w:val="28"/>
        </w:rPr>
        <w:lastRenderedPageBreak/>
        <w:t>diversidad funcional y que utilice las TIC debe tener presentes los principios básicos de accesibilidad, como principios singularmente indicados para el trabajo con contenidos y aplicaciones educativas para este tipo de alumnado. Según la W3C (2006), los principios generales de accesibilidad que debe cumplir cualquier contenido web son:</w:t>
      </w:r>
    </w:p>
    <w:p w:rsidR="008949B1" w:rsidRPr="005E1103" w:rsidRDefault="008949B1" w:rsidP="008949B1">
      <w:pPr>
        <w:pStyle w:val="Prrafodelista"/>
        <w:widowControl w:val="0"/>
        <w:numPr>
          <w:ilvl w:val="0"/>
          <w:numId w:val="113"/>
        </w:numPr>
        <w:suppressAutoHyphens/>
        <w:autoSpaceDN w:val="0"/>
        <w:spacing w:before="0" w:after="200" w:line="360" w:lineRule="auto"/>
        <w:ind w:left="0" w:firstLine="454"/>
        <w:contextualSpacing w:val="0"/>
        <w:jc w:val="both"/>
        <w:textAlignment w:val="baseline"/>
        <w:rPr>
          <w:rFonts w:asciiTheme="minorHAnsi" w:hAnsiTheme="minorHAnsi" w:cstheme="minorHAnsi"/>
          <w:sz w:val="28"/>
          <w:szCs w:val="28"/>
        </w:rPr>
      </w:pPr>
      <w:r w:rsidRPr="005E1103">
        <w:rPr>
          <w:rFonts w:asciiTheme="minorHAnsi" w:hAnsiTheme="minorHAnsi" w:cstheme="minorHAnsi"/>
          <w:b/>
          <w:sz w:val="28"/>
          <w:szCs w:val="28"/>
        </w:rPr>
        <w:t xml:space="preserve">Perceptibilidad: </w:t>
      </w:r>
      <w:r w:rsidRPr="005E1103">
        <w:rPr>
          <w:rFonts w:asciiTheme="minorHAnsi" w:hAnsiTheme="minorHAnsi" w:cstheme="minorHAnsi"/>
          <w:sz w:val="28"/>
          <w:szCs w:val="28"/>
        </w:rPr>
        <w:t>los contenidos e interacción con el sitio o aplicación web deben ser percibidos por cualquier tipo de usuario, incluso por parte de usuarios ciegos o sordo-ciegos, o por aquellos que utilizan dispositivos de salida limitados.</w:t>
      </w:r>
    </w:p>
    <w:p w:rsidR="008949B1" w:rsidRPr="005E1103" w:rsidRDefault="008949B1" w:rsidP="008949B1">
      <w:pPr>
        <w:pStyle w:val="Prrafodelista"/>
        <w:widowControl w:val="0"/>
        <w:numPr>
          <w:ilvl w:val="0"/>
          <w:numId w:val="113"/>
        </w:numPr>
        <w:suppressAutoHyphens/>
        <w:autoSpaceDN w:val="0"/>
        <w:spacing w:before="0" w:after="200" w:line="360" w:lineRule="auto"/>
        <w:ind w:left="0" w:firstLine="454"/>
        <w:contextualSpacing w:val="0"/>
        <w:jc w:val="both"/>
        <w:textAlignment w:val="baseline"/>
        <w:rPr>
          <w:rFonts w:asciiTheme="minorHAnsi" w:hAnsiTheme="minorHAnsi" w:cstheme="minorHAnsi"/>
          <w:sz w:val="28"/>
          <w:szCs w:val="28"/>
        </w:rPr>
      </w:pPr>
      <w:r w:rsidRPr="005E1103">
        <w:rPr>
          <w:rFonts w:asciiTheme="minorHAnsi" w:hAnsiTheme="minorHAnsi" w:cstheme="minorHAnsi"/>
          <w:b/>
          <w:sz w:val="28"/>
          <w:szCs w:val="28"/>
        </w:rPr>
        <w:t xml:space="preserve">Manejabilidad: </w:t>
      </w:r>
      <w:r w:rsidRPr="005E1103">
        <w:rPr>
          <w:rFonts w:asciiTheme="minorHAnsi" w:hAnsiTheme="minorHAnsi" w:cstheme="minorHAnsi"/>
          <w:sz w:val="28"/>
          <w:szCs w:val="28"/>
        </w:rPr>
        <w:t>manejable con cualquier tipo de dispositivo de entrada, sólo ratón, sólo teclado, pulsador y por una combinación de ellos, en el tiempo necesario para cada persona, y proporcionándoles sistemas de localización y orientación.</w:t>
      </w:r>
    </w:p>
    <w:p w:rsidR="008949B1" w:rsidRPr="005E1103" w:rsidRDefault="008949B1" w:rsidP="008949B1">
      <w:pPr>
        <w:pStyle w:val="Prrafodelista"/>
        <w:widowControl w:val="0"/>
        <w:numPr>
          <w:ilvl w:val="0"/>
          <w:numId w:val="113"/>
        </w:numPr>
        <w:suppressAutoHyphens/>
        <w:autoSpaceDN w:val="0"/>
        <w:spacing w:before="0" w:after="200" w:line="360" w:lineRule="auto"/>
        <w:ind w:left="0" w:firstLine="454"/>
        <w:contextualSpacing w:val="0"/>
        <w:jc w:val="both"/>
        <w:textAlignment w:val="baseline"/>
        <w:rPr>
          <w:rFonts w:asciiTheme="minorHAnsi" w:hAnsiTheme="minorHAnsi" w:cstheme="minorHAnsi"/>
          <w:sz w:val="28"/>
          <w:szCs w:val="28"/>
        </w:rPr>
      </w:pPr>
      <w:r w:rsidRPr="005E1103">
        <w:rPr>
          <w:rFonts w:asciiTheme="minorHAnsi" w:hAnsiTheme="minorHAnsi" w:cstheme="minorHAnsi"/>
          <w:b/>
          <w:sz w:val="28"/>
          <w:szCs w:val="28"/>
        </w:rPr>
        <w:t>Comprensibilidad:</w:t>
      </w:r>
      <w:r w:rsidRPr="005E1103">
        <w:rPr>
          <w:rFonts w:asciiTheme="minorHAnsi" w:hAnsiTheme="minorHAnsi" w:cstheme="minorHAnsi"/>
          <w:sz w:val="28"/>
          <w:szCs w:val="28"/>
        </w:rPr>
        <w:t xml:space="preserve"> que el lenguaje utilizado se adapte al nivel y contenido específico, y que la localización de elementos y funcionalidades sea predecible.</w:t>
      </w:r>
    </w:p>
    <w:p w:rsidR="008949B1" w:rsidRPr="005E1103" w:rsidRDefault="008949B1" w:rsidP="008949B1">
      <w:pPr>
        <w:widowControl w:val="0"/>
        <w:suppressAutoHyphens/>
        <w:autoSpaceDN w:val="0"/>
        <w:spacing w:line="360" w:lineRule="auto"/>
        <w:jc w:val="both"/>
        <w:textAlignment w:val="baseline"/>
        <w:rPr>
          <w:rFonts w:cstheme="minorHAnsi"/>
          <w:sz w:val="28"/>
          <w:szCs w:val="28"/>
        </w:rPr>
      </w:pPr>
    </w:p>
    <w:p w:rsidR="008949B1" w:rsidRPr="005E1103" w:rsidRDefault="008949B1" w:rsidP="008949B1">
      <w:pPr>
        <w:pStyle w:val="Prrafodelista"/>
        <w:widowControl w:val="0"/>
        <w:numPr>
          <w:ilvl w:val="0"/>
          <w:numId w:val="113"/>
        </w:numPr>
        <w:suppressAutoHyphens/>
        <w:autoSpaceDN w:val="0"/>
        <w:spacing w:before="0" w:after="200" w:line="360" w:lineRule="auto"/>
        <w:ind w:left="0" w:firstLine="454"/>
        <w:contextualSpacing w:val="0"/>
        <w:jc w:val="both"/>
        <w:textAlignment w:val="baseline"/>
        <w:rPr>
          <w:rFonts w:asciiTheme="minorHAnsi" w:hAnsiTheme="minorHAnsi" w:cstheme="minorHAnsi"/>
          <w:sz w:val="28"/>
          <w:szCs w:val="28"/>
        </w:rPr>
      </w:pPr>
      <w:r w:rsidRPr="005E1103">
        <w:rPr>
          <w:rFonts w:asciiTheme="minorHAnsi" w:hAnsiTheme="minorHAnsi" w:cstheme="minorHAnsi"/>
          <w:b/>
          <w:sz w:val="28"/>
          <w:szCs w:val="28"/>
        </w:rPr>
        <w:t>Compatibilidad:</w:t>
      </w:r>
      <w:r w:rsidRPr="005E1103">
        <w:rPr>
          <w:rFonts w:asciiTheme="minorHAnsi" w:hAnsiTheme="minorHAnsi" w:cstheme="minorHAnsi"/>
          <w:sz w:val="28"/>
          <w:szCs w:val="28"/>
        </w:rPr>
        <w:t xml:space="preserve"> compatible con los agentes de usuario (navegadores y ayudas técnicas) actuales y futuros (MEC, 2007, pg. 17).</w:t>
      </w:r>
    </w:p>
    <w:p w:rsidR="008949B1" w:rsidRPr="005E1103" w:rsidRDefault="008949B1" w:rsidP="008949B1">
      <w:pPr>
        <w:pStyle w:val="Standard"/>
        <w:spacing w:line="360" w:lineRule="auto"/>
        <w:ind w:firstLine="454"/>
        <w:jc w:val="both"/>
        <w:rPr>
          <w:rFonts w:asciiTheme="minorHAnsi" w:hAnsiTheme="minorHAnsi" w:cstheme="minorHAnsi"/>
          <w:sz w:val="28"/>
          <w:szCs w:val="28"/>
        </w:rPr>
      </w:pPr>
      <w:r w:rsidRPr="005E1103">
        <w:rPr>
          <w:rFonts w:asciiTheme="minorHAnsi" w:hAnsiTheme="minorHAnsi" w:cstheme="minorHAnsi"/>
          <w:sz w:val="28"/>
          <w:szCs w:val="28"/>
        </w:rPr>
        <w:tab/>
        <w:t>Los componentes fundamentales del uso de las TIC como herramienta de apoyo y comunicación para el docente, los podemos resumir en el siguiente cuadro</w:t>
      </w:r>
      <w:r w:rsidRPr="005E1103">
        <w:rPr>
          <w:rStyle w:val="Refdenotaalpie"/>
          <w:rFonts w:asciiTheme="minorHAnsi" w:hAnsiTheme="minorHAnsi" w:cstheme="minorHAnsi"/>
          <w:sz w:val="28"/>
          <w:szCs w:val="28"/>
        </w:rPr>
        <w:footnoteReference w:id="67"/>
      </w:r>
      <w:r w:rsidRPr="005E1103">
        <w:rPr>
          <w:rFonts w:asciiTheme="minorHAnsi" w:hAnsiTheme="minorHAnsi" w:cstheme="minorHAnsi"/>
          <w:sz w:val="28"/>
          <w:szCs w:val="28"/>
        </w:rPr>
        <w:t>:</w:t>
      </w:r>
    </w:p>
    <w:p w:rsidR="008949B1" w:rsidRPr="005E1103" w:rsidRDefault="008949B1" w:rsidP="008949B1">
      <w:pPr>
        <w:pStyle w:val="Standard"/>
        <w:spacing w:line="360" w:lineRule="auto"/>
        <w:ind w:firstLine="454"/>
        <w:jc w:val="both"/>
        <w:rPr>
          <w:rFonts w:asciiTheme="minorHAnsi" w:hAnsiTheme="minorHAnsi" w:cstheme="minorHAnsi"/>
          <w:sz w:val="28"/>
          <w:szCs w:val="28"/>
        </w:rPr>
      </w:pPr>
    </w:p>
    <w:tbl>
      <w:tblPr>
        <w:tblW w:w="8791" w:type="dxa"/>
        <w:jc w:val="center"/>
        <w:tblLayout w:type="fixed"/>
        <w:tblCellMar>
          <w:left w:w="10" w:type="dxa"/>
          <w:right w:w="10" w:type="dxa"/>
        </w:tblCellMar>
        <w:tblLook w:val="0000" w:firstRow="0" w:lastRow="0" w:firstColumn="0" w:lastColumn="0" w:noHBand="0" w:noVBand="0"/>
      </w:tblPr>
      <w:tblGrid>
        <w:gridCol w:w="2381"/>
        <w:gridCol w:w="6410"/>
      </w:tblGrid>
      <w:tr w:rsidR="008949B1" w:rsidRPr="005E1103" w:rsidTr="008949B1">
        <w:trPr>
          <w:trHeight w:val="20"/>
          <w:jc w:val="center"/>
        </w:trPr>
        <w:tc>
          <w:tcPr>
            <w:tcW w:w="8791" w:type="dxa"/>
            <w:gridSpan w:val="2"/>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vAlign w:val="bottom"/>
          </w:tcPr>
          <w:p w:rsidR="008949B1" w:rsidRPr="005E1103" w:rsidRDefault="008949B1" w:rsidP="008949B1">
            <w:pPr>
              <w:pStyle w:val="Standard"/>
              <w:spacing w:line="360" w:lineRule="auto"/>
              <w:ind w:firstLine="454"/>
              <w:jc w:val="center"/>
              <w:rPr>
                <w:rFonts w:asciiTheme="minorHAnsi" w:hAnsiTheme="minorHAnsi" w:cstheme="minorHAnsi"/>
                <w:b/>
                <w:sz w:val="28"/>
                <w:szCs w:val="28"/>
              </w:rPr>
            </w:pPr>
            <w:r w:rsidRPr="005E1103">
              <w:rPr>
                <w:rFonts w:asciiTheme="minorHAnsi" w:hAnsiTheme="minorHAnsi" w:cstheme="minorHAnsi"/>
                <w:b/>
                <w:sz w:val="28"/>
                <w:szCs w:val="28"/>
              </w:rPr>
              <w:lastRenderedPageBreak/>
              <w:t>Condiciones esenciales para la implementación de las TIC en la formación docente</w:t>
            </w:r>
          </w:p>
        </w:tc>
      </w:tr>
      <w:tr w:rsidR="008949B1" w:rsidRPr="005E1103" w:rsidTr="008949B1">
        <w:trPr>
          <w:trHeight w:val="20"/>
          <w:jc w:val="center"/>
        </w:trPr>
        <w:tc>
          <w:tcPr>
            <w:tcW w:w="2381"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vAlign w:val="center"/>
          </w:tcPr>
          <w:p w:rsidR="008949B1" w:rsidRPr="005E1103" w:rsidRDefault="008949B1" w:rsidP="008949B1">
            <w:pPr>
              <w:pStyle w:val="Standard"/>
              <w:spacing w:line="360" w:lineRule="auto"/>
              <w:ind w:firstLine="164"/>
              <w:jc w:val="center"/>
              <w:rPr>
                <w:rFonts w:asciiTheme="minorHAnsi" w:hAnsiTheme="minorHAnsi" w:cstheme="minorHAnsi"/>
                <w:b/>
                <w:sz w:val="28"/>
                <w:szCs w:val="28"/>
              </w:rPr>
            </w:pPr>
            <w:r w:rsidRPr="005E1103">
              <w:rPr>
                <w:rFonts w:asciiTheme="minorHAnsi" w:hAnsiTheme="minorHAnsi" w:cstheme="minorHAnsi"/>
                <w:b/>
                <w:sz w:val="28"/>
                <w:szCs w:val="28"/>
              </w:rPr>
              <w:t>Visión compartida</w:t>
            </w:r>
          </w:p>
        </w:tc>
        <w:tc>
          <w:tcPr>
            <w:tcW w:w="6410"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tcPr>
          <w:p w:rsidR="008949B1" w:rsidRPr="005E1103" w:rsidRDefault="008949B1" w:rsidP="008949B1">
            <w:pPr>
              <w:pStyle w:val="Standard"/>
              <w:spacing w:line="360" w:lineRule="auto"/>
              <w:ind w:firstLine="454"/>
              <w:rPr>
                <w:rFonts w:asciiTheme="minorHAnsi" w:hAnsiTheme="minorHAnsi" w:cstheme="minorHAnsi"/>
                <w:sz w:val="28"/>
                <w:szCs w:val="28"/>
              </w:rPr>
            </w:pPr>
            <w:r w:rsidRPr="005E1103">
              <w:rPr>
                <w:rFonts w:asciiTheme="minorHAnsi" w:hAnsiTheme="minorHAnsi" w:cstheme="minorHAnsi"/>
                <w:sz w:val="28"/>
                <w:szCs w:val="28"/>
              </w:rPr>
              <w:t>Existe un liderazgo proactivo y apoyo administrativo de parte de todo el sistema.</w:t>
            </w:r>
          </w:p>
        </w:tc>
      </w:tr>
      <w:tr w:rsidR="008949B1" w:rsidRPr="005E1103" w:rsidTr="008949B1">
        <w:trPr>
          <w:trHeight w:val="20"/>
          <w:jc w:val="center"/>
        </w:trPr>
        <w:tc>
          <w:tcPr>
            <w:tcW w:w="2381"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vAlign w:val="center"/>
          </w:tcPr>
          <w:p w:rsidR="008949B1" w:rsidRPr="005E1103" w:rsidRDefault="008949B1" w:rsidP="008949B1">
            <w:pPr>
              <w:pStyle w:val="Standard"/>
              <w:spacing w:line="360" w:lineRule="auto"/>
              <w:ind w:hanging="120"/>
              <w:jc w:val="center"/>
              <w:rPr>
                <w:rFonts w:asciiTheme="minorHAnsi" w:hAnsiTheme="minorHAnsi" w:cstheme="minorHAnsi"/>
                <w:b/>
                <w:sz w:val="28"/>
                <w:szCs w:val="28"/>
              </w:rPr>
            </w:pPr>
            <w:r w:rsidRPr="005E1103">
              <w:rPr>
                <w:rFonts w:asciiTheme="minorHAnsi" w:hAnsiTheme="minorHAnsi" w:cstheme="minorHAnsi"/>
                <w:b/>
                <w:sz w:val="28"/>
                <w:szCs w:val="28"/>
              </w:rPr>
              <w:t>Acceso</w:t>
            </w:r>
          </w:p>
        </w:tc>
        <w:tc>
          <w:tcPr>
            <w:tcW w:w="6410"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tcPr>
          <w:p w:rsidR="008949B1" w:rsidRPr="005E1103" w:rsidRDefault="008949B1" w:rsidP="008949B1">
            <w:pPr>
              <w:pStyle w:val="Standard"/>
              <w:spacing w:line="360" w:lineRule="auto"/>
              <w:ind w:firstLine="454"/>
              <w:rPr>
                <w:rFonts w:asciiTheme="minorHAnsi" w:hAnsiTheme="minorHAnsi" w:cstheme="minorHAnsi"/>
                <w:sz w:val="28"/>
                <w:szCs w:val="28"/>
              </w:rPr>
            </w:pPr>
            <w:r w:rsidRPr="005E1103">
              <w:rPr>
                <w:rFonts w:asciiTheme="minorHAnsi" w:hAnsiTheme="minorHAnsi" w:cstheme="minorHAnsi"/>
                <w:sz w:val="28"/>
                <w:szCs w:val="28"/>
              </w:rPr>
              <w:t>Los educadores tienen acceso a las nuevas tecnologías, software y redes de telecomunicaciones.</w:t>
            </w:r>
          </w:p>
        </w:tc>
      </w:tr>
      <w:tr w:rsidR="008949B1" w:rsidRPr="005E1103" w:rsidTr="008949B1">
        <w:trPr>
          <w:trHeight w:val="20"/>
          <w:jc w:val="center"/>
        </w:trPr>
        <w:tc>
          <w:tcPr>
            <w:tcW w:w="2381"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vAlign w:val="center"/>
          </w:tcPr>
          <w:p w:rsidR="008949B1" w:rsidRPr="005E1103" w:rsidRDefault="008949B1" w:rsidP="008949B1">
            <w:pPr>
              <w:pStyle w:val="Standard"/>
              <w:spacing w:line="360" w:lineRule="auto"/>
              <w:ind w:firstLine="22"/>
              <w:jc w:val="center"/>
              <w:rPr>
                <w:rFonts w:asciiTheme="minorHAnsi" w:hAnsiTheme="minorHAnsi" w:cstheme="minorHAnsi"/>
                <w:b/>
                <w:sz w:val="28"/>
                <w:szCs w:val="28"/>
              </w:rPr>
            </w:pPr>
            <w:r w:rsidRPr="005E1103">
              <w:rPr>
                <w:rFonts w:asciiTheme="minorHAnsi" w:hAnsiTheme="minorHAnsi" w:cstheme="minorHAnsi"/>
                <w:b/>
                <w:sz w:val="28"/>
                <w:szCs w:val="28"/>
              </w:rPr>
              <w:t>Educadores capacitados</w:t>
            </w:r>
          </w:p>
        </w:tc>
        <w:tc>
          <w:tcPr>
            <w:tcW w:w="6410"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tcPr>
          <w:p w:rsidR="008949B1" w:rsidRPr="005E1103" w:rsidRDefault="008949B1" w:rsidP="008949B1">
            <w:pPr>
              <w:pStyle w:val="Standard"/>
              <w:spacing w:line="360" w:lineRule="auto"/>
              <w:ind w:firstLine="454"/>
              <w:rPr>
                <w:rFonts w:asciiTheme="minorHAnsi" w:hAnsiTheme="minorHAnsi" w:cstheme="minorHAnsi"/>
                <w:sz w:val="28"/>
                <w:szCs w:val="28"/>
              </w:rPr>
            </w:pPr>
            <w:r w:rsidRPr="005E1103">
              <w:rPr>
                <w:rFonts w:asciiTheme="minorHAnsi" w:hAnsiTheme="minorHAnsi" w:cstheme="minorHAnsi"/>
                <w:sz w:val="28"/>
                <w:szCs w:val="28"/>
              </w:rPr>
              <w:t>Los educadores están capacitados para utilizar la tecnología en un entorno de aprendizaje.</w:t>
            </w:r>
          </w:p>
        </w:tc>
      </w:tr>
      <w:tr w:rsidR="008949B1" w:rsidRPr="005E1103" w:rsidTr="008949B1">
        <w:trPr>
          <w:trHeight w:val="20"/>
          <w:jc w:val="center"/>
        </w:trPr>
        <w:tc>
          <w:tcPr>
            <w:tcW w:w="2381"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vAlign w:val="center"/>
          </w:tcPr>
          <w:p w:rsidR="008949B1" w:rsidRPr="005E1103" w:rsidRDefault="008949B1" w:rsidP="008949B1">
            <w:pPr>
              <w:pStyle w:val="Standard"/>
              <w:spacing w:line="360" w:lineRule="auto"/>
              <w:ind w:firstLine="22"/>
              <w:jc w:val="center"/>
              <w:rPr>
                <w:rFonts w:asciiTheme="minorHAnsi" w:hAnsiTheme="minorHAnsi" w:cstheme="minorHAnsi"/>
                <w:b/>
                <w:sz w:val="28"/>
                <w:szCs w:val="28"/>
              </w:rPr>
            </w:pPr>
            <w:r w:rsidRPr="005E1103">
              <w:rPr>
                <w:rFonts w:asciiTheme="minorHAnsi" w:hAnsiTheme="minorHAnsi" w:cstheme="minorHAnsi"/>
                <w:b/>
                <w:sz w:val="28"/>
                <w:szCs w:val="28"/>
              </w:rPr>
              <w:t>Desarrollo profesional</w:t>
            </w:r>
          </w:p>
        </w:tc>
        <w:tc>
          <w:tcPr>
            <w:tcW w:w="6410"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tcPr>
          <w:p w:rsidR="008949B1" w:rsidRPr="005E1103" w:rsidRDefault="008949B1" w:rsidP="008949B1">
            <w:pPr>
              <w:pStyle w:val="Standard"/>
              <w:spacing w:line="360" w:lineRule="auto"/>
              <w:ind w:firstLine="454"/>
              <w:rPr>
                <w:rFonts w:asciiTheme="minorHAnsi" w:hAnsiTheme="minorHAnsi" w:cstheme="minorHAnsi"/>
                <w:sz w:val="28"/>
                <w:szCs w:val="28"/>
              </w:rPr>
            </w:pPr>
            <w:r w:rsidRPr="005E1103">
              <w:rPr>
                <w:rFonts w:asciiTheme="minorHAnsi" w:hAnsiTheme="minorHAnsi" w:cstheme="minorHAnsi"/>
                <w:sz w:val="28"/>
                <w:szCs w:val="28"/>
              </w:rPr>
              <w:t>Los educadores tienen acceso continuo a instancias de desarrollo profesional para apoyar el uso de la tecnología en la enseñanza.</w:t>
            </w:r>
          </w:p>
        </w:tc>
      </w:tr>
      <w:tr w:rsidR="008949B1" w:rsidRPr="005E1103" w:rsidTr="008949B1">
        <w:trPr>
          <w:trHeight w:val="20"/>
          <w:jc w:val="center"/>
        </w:trPr>
        <w:tc>
          <w:tcPr>
            <w:tcW w:w="2381"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vAlign w:val="center"/>
          </w:tcPr>
          <w:p w:rsidR="008949B1" w:rsidRPr="005E1103" w:rsidRDefault="008949B1" w:rsidP="008949B1">
            <w:pPr>
              <w:pStyle w:val="Standard"/>
              <w:spacing w:line="360" w:lineRule="auto"/>
              <w:ind w:firstLine="306"/>
              <w:jc w:val="center"/>
              <w:rPr>
                <w:rFonts w:asciiTheme="minorHAnsi" w:hAnsiTheme="minorHAnsi" w:cstheme="minorHAnsi"/>
                <w:b/>
                <w:sz w:val="28"/>
                <w:szCs w:val="28"/>
              </w:rPr>
            </w:pPr>
            <w:r w:rsidRPr="005E1103">
              <w:rPr>
                <w:rFonts w:asciiTheme="minorHAnsi" w:hAnsiTheme="minorHAnsi" w:cstheme="minorHAnsi"/>
                <w:b/>
                <w:sz w:val="28"/>
                <w:szCs w:val="28"/>
              </w:rPr>
              <w:t>Asistencia técnica</w:t>
            </w:r>
          </w:p>
        </w:tc>
        <w:tc>
          <w:tcPr>
            <w:tcW w:w="6410"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tcPr>
          <w:p w:rsidR="008949B1" w:rsidRPr="005E1103" w:rsidRDefault="008949B1" w:rsidP="008949B1">
            <w:pPr>
              <w:pStyle w:val="Standard"/>
              <w:spacing w:line="360" w:lineRule="auto"/>
              <w:ind w:firstLine="454"/>
              <w:rPr>
                <w:rFonts w:asciiTheme="minorHAnsi" w:hAnsiTheme="minorHAnsi" w:cstheme="minorHAnsi"/>
                <w:sz w:val="28"/>
                <w:szCs w:val="28"/>
              </w:rPr>
            </w:pPr>
            <w:r w:rsidRPr="005E1103">
              <w:rPr>
                <w:rFonts w:asciiTheme="minorHAnsi" w:hAnsiTheme="minorHAnsi" w:cstheme="minorHAnsi"/>
                <w:sz w:val="28"/>
                <w:szCs w:val="28"/>
              </w:rPr>
              <w:t>Los educadores tienen a su disposición asistencia técnica para mantener y habilitar el uso adecuado de la tecnología.</w:t>
            </w:r>
          </w:p>
        </w:tc>
      </w:tr>
      <w:tr w:rsidR="008949B1" w:rsidRPr="005E1103" w:rsidTr="008949B1">
        <w:trPr>
          <w:trHeight w:val="20"/>
          <w:jc w:val="center"/>
        </w:trPr>
        <w:tc>
          <w:tcPr>
            <w:tcW w:w="2381"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vAlign w:val="center"/>
          </w:tcPr>
          <w:p w:rsidR="008949B1" w:rsidRPr="005E1103" w:rsidRDefault="008949B1" w:rsidP="008949B1">
            <w:pPr>
              <w:pStyle w:val="Standard"/>
              <w:spacing w:line="360" w:lineRule="auto"/>
              <w:ind w:firstLine="306"/>
              <w:jc w:val="center"/>
              <w:rPr>
                <w:rFonts w:asciiTheme="minorHAnsi" w:hAnsiTheme="minorHAnsi" w:cstheme="minorHAnsi"/>
                <w:b/>
                <w:sz w:val="28"/>
                <w:szCs w:val="28"/>
              </w:rPr>
            </w:pPr>
            <w:r w:rsidRPr="005E1103">
              <w:rPr>
                <w:rFonts w:asciiTheme="minorHAnsi" w:hAnsiTheme="minorHAnsi" w:cstheme="minorHAnsi"/>
                <w:b/>
                <w:sz w:val="28"/>
                <w:szCs w:val="28"/>
              </w:rPr>
              <w:t>Estándares sobre contenido y recursos académicos</w:t>
            </w:r>
          </w:p>
        </w:tc>
        <w:tc>
          <w:tcPr>
            <w:tcW w:w="6410"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tcPr>
          <w:p w:rsidR="008949B1" w:rsidRPr="005E1103" w:rsidRDefault="008949B1" w:rsidP="008949B1">
            <w:pPr>
              <w:pStyle w:val="Standard"/>
              <w:spacing w:line="360" w:lineRule="auto"/>
              <w:ind w:firstLine="454"/>
              <w:rPr>
                <w:rFonts w:asciiTheme="minorHAnsi" w:hAnsiTheme="minorHAnsi" w:cstheme="minorHAnsi"/>
                <w:sz w:val="28"/>
                <w:szCs w:val="28"/>
              </w:rPr>
            </w:pPr>
            <w:r w:rsidRPr="005E1103">
              <w:rPr>
                <w:rFonts w:asciiTheme="minorHAnsi" w:hAnsiTheme="minorHAnsi" w:cstheme="minorHAnsi"/>
                <w:sz w:val="28"/>
                <w:szCs w:val="28"/>
              </w:rPr>
              <w:t>Los educadores cuentan con los conocimientos necesarios en sus materias y cumplen con los estándares relacionados con el contenido y con las metodologías adecuadas para el desempeño en sus disciplinas. (mejorable)</w:t>
            </w:r>
          </w:p>
        </w:tc>
      </w:tr>
      <w:tr w:rsidR="008949B1" w:rsidRPr="005E1103" w:rsidTr="008949B1">
        <w:trPr>
          <w:trHeight w:val="20"/>
          <w:jc w:val="center"/>
        </w:trPr>
        <w:tc>
          <w:tcPr>
            <w:tcW w:w="2381"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vAlign w:val="center"/>
          </w:tcPr>
          <w:p w:rsidR="008949B1" w:rsidRPr="005E1103" w:rsidRDefault="008949B1" w:rsidP="008949B1">
            <w:pPr>
              <w:pStyle w:val="Standard"/>
              <w:spacing w:line="360" w:lineRule="auto"/>
              <w:ind w:firstLine="22"/>
              <w:jc w:val="center"/>
              <w:rPr>
                <w:rFonts w:asciiTheme="minorHAnsi" w:hAnsiTheme="minorHAnsi" w:cstheme="minorHAnsi"/>
                <w:b/>
                <w:sz w:val="28"/>
                <w:szCs w:val="28"/>
              </w:rPr>
            </w:pPr>
            <w:r w:rsidRPr="005E1103">
              <w:rPr>
                <w:rFonts w:asciiTheme="minorHAnsi" w:hAnsiTheme="minorHAnsi" w:cstheme="minorHAnsi"/>
                <w:b/>
                <w:sz w:val="28"/>
                <w:szCs w:val="28"/>
              </w:rPr>
              <w:t>Enseñanza centrada en el alumno</w:t>
            </w:r>
          </w:p>
        </w:tc>
        <w:tc>
          <w:tcPr>
            <w:tcW w:w="6410"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tcPr>
          <w:p w:rsidR="008949B1" w:rsidRPr="005E1103" w:rsidRDefault="008949B1" w:rsidP="008949B1">
            <w:pPr>
              <w:pStyle w:val="Standard"/>
              <w:spacing w:line="360" w:lineRule="auto"/>
              <w:ind w:firstLine="454"/>
              <w:rPr>
                <w:rFonts w:asciiTheme="minorHAnsi" w:hAnsiTheme="minorHAnsi" w:cstheme="minorHAnsi"/>
                <w:sz w:val="28"/>
                <w:szCs w:val="28"/>
              </w:rPr>
            </w:pPr>
            <w:r w:rsidRPr="005E1103">
              <w:rPr>
                <w:rFonts w:asciiTheme="minorHAnsi" w:hAnsiTheme="minorHAnsi" w:cstheme="minorHAnsi"/>
                <w:sz w:val="28"/>
                <w:szCs w:val="28"/>
              </w:rPr>
              <w:t>La enseñanza en los diversos entornos es consistente con los enfoques de aprendizaje centrados en el alumno.</w:t>
            </w:r>
          </w:p>
        </w:tc>
      </w:tr>
      <w:tr w:rsidR="008949B1" w:rsidRPr="005E1103" w:rsidTr="008949B1">
        <w:trPr>
          <w:trHeight w:val="20"/>
          <w:jc w:val="center"/>
        </w:trPr>
        <w:tc>
          <w:tcPr>
            <w:tcW w:w="2381"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vAlign w:val="center"/>
          </w:tcPr>
          <w:p w:rsidR="008949B1" w:rsidRPr="005E1103" w:rsidRDefault="008949B1" w:rsidP="008949B1">
            <w:pPr>
              <w:pStyle w:val="Standard"/>
              <w:spacing w:line="360" w:lineRule="auto"/>
              <w:ind w:firstLine="22"/>
              <w:jc w:val="center"/>
              <w:rPr>
                <w:rFonts w:asciiTheme="minorHAnsi" w:hAnsiTheme="minorHAnsi" w:cstheme="minorHAnsi"/>
                <w:b/>
                <w:sz w:val="28"/>
                <w:szCs w:val="28"/>
              </w:rPr>
            </w:pPr>
            <w:r w:rsidRPr="005E1103">
              <w:rPr>
                <w:rFonts w:asciiTheme="minorHAnsi" w:hAnsiTheme="minorHAnsi" w:cstheme="minorHAnsi"/>
                <w:b/>
                <w:sz w:val="28"/>
                <w:szCs w:val="28"/>
              </w:rPr>
              <w:t>Evaluación</w:t>
            </w:r>
          </w:p>
        </w:tc>
        <w:tc>
          <w:tcPr>
            <w:tcW w:w="6410"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tcPr>
          <w:p w:rsidR="008949B1" w:rsidRPr="005E1103" w:rsidRDefault="008949B1" w:rsidP="008949B1">
            <w:pPr>
              <w:pStyle w:val="Standard"/>
              <w:spacing w:line="360" w:lineRule="auto"/>
              <w:ind w:firstLine="454"/>
              <w:rPr>
                <w:rFonts w:asciiTheme="minorHAnsi" w:hAnsiTheme="minorHAnsi" w:cstheme="minorHAnsi"/>
                <w:sz w:val="28"/>
                <w:szCs w:val="28"/>
              </w:rPr>
            </w:pPr>
            <w:r w:rsidRPr="005E1103">
              <w:rPr>
                <w:rFonts w:asciiTheme="minorHAnsi" w:hAnsiTheme="minorHAnsi" w:cstheme="minorHAnsi"/>
                <w:sz w:val="28"/>
                <w:szCs w:val="28"/>
              </w:rPr>
              <w:t>Se realiza una evaluación continua de la efectividad de la tecnología en el aprendizaje.</w:t>
            </w:r>
          </w:p>
        </w:tc>
      </w:tr>
      <w:tr w:rsidR="008949B1" w:rsidRPr="005E1103" w:rsidTr="008949B1">
        <w:trPr>
          <w:trHeight w:val="20"/>
          <w:jc w:val="center"/>
        </w:trPr>
        <w:tc>
          <w:tcPr>
            <w:tcW w:w="2381"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vAlign w:val="center"/>
          </w:tcPr>
          <w:p w:rsidR="008949B1" w:rsidRPr="005E1103" w:rsidRDefault="008949B1" w:rsidP="008949B1">
            <w:pPr>
              <w:pStyle w:val="Standard"/>
              <w:spacing w:line="360" w:lineRule="auto"/>
              <w:ind w:firstLine="164"/>
              <w:jc w:val="center"/>
              <w:rPr>
                <w:rFonts w:asciiTheme="minorHAnsi" w:hAnsiTheme="minorHAnsi" w:cstheme="minorHAnsi"/>
                <w:b/>
                <w:sz w:val="28"/>
                <w:szCs w:val="28"/>
              </w:rPr>
            </w:pPr>
            <w:r w:rsidRPr="005E1103">
              <w:rPr>
                <w:rFonts w:asciiTheme="minorHAnsi" w:hAnsiTheme="minorHAnsi" w:cstheme="minorHAnsi"/>
                <w:b/>
                <w:sz w:val="28"/>
                <w:szCs w:val="28"/>
              </w:rPr>
              <w:t>Apoyo comunitario</w:t>
            </w:r>
          </w:p>
        </w:tc>
        <w:tc>
          <w:tcPr>
            <w:tcW w:w="6410"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tcPr>
          <w:p w:rsidR="008949B1" w:rsidRPr="005E1103" w:rsidRDefault="008949B1" w:rsidP="008949B1">
            <w:pPr>
              <w:pStyle w:val="Standard"/>
              <w:spacing w:line="360" w:lineRule="auto"/>
              <w:ind w:firstLine="454"/>
              <w:rPr>
                <w:rFonts w:asciiTheme="minorHAnsi" w:hAnsiTheme="minorHAnsi" w:cstheme="minorHAnsi"/>
                <w:sz w:val="28"/>
                <w:szCs w:val="28"/>
              </w:rPr>
            </w:pPr>
            <w:r w:rsidRPr="005E1103">
              <w:rPr>
                <w:rFonts w:asciiTheme="minorHAnsi" w:hAnsiTheme="minorHAnsi" w:cstheme="minorHAnsi"/>
                <w:sz w:val="28"/>
                <w:szCs w:val="28"/>
              </w:rPr>
              <w:t>La comunidad y los socios de la institución proveen conocimientos, apoyo y recursos.</w:t>
            </w:r>
          </w:p>
        </w:tc>
      </w:tr>
      <w:tr w:rsidR="008949B1" w:rsidRPr="005E1103" w:rsidTr="008949B1">
        <w:trPr>
          <w:trHeight w:val="20"/>
          <w:jc w:val="center"/>
        </w:trPr>
        <w:tc>
          <w:tcPr>
            <w:tcW w:w="2381"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vAlign w:val="center"/>
          </w:tcPr>
          <w:p w:rsidR="008949B1" w:rsidRPr="005E1103" w:rsidRDefault="008949B1" w:rsidP="008949B1">
            <w:pPr>
              <w:pStyle w:val="Standard"/>
              <w:spacing w:line="360" w:lineRule="auto"/>
              <w:ind w:firstLine="164"/>
              <w:jc w:val="center"/>
              <w:rPr>
                <w:rFonts w:asciiTheme="minorHAnsi" w:hAnsiTheme="minorHAnsi" w:cstheme="minorHAnsi"/>
                <w:b/>
                <w:sz w:val="28"/>
                <w:szCs w:val="28"/>
              </w:rPr>
            </w:pPr>
            <w:r w:rsidRPr="005E1103">
              <w:rPr>
                <w:rFonts w:asciiTheme="minorHAnsi" w:hAnsiTheme="minorHAnsi" w:cstheme="minorHAnsi"/>
                <w:b/>
                <w:sz w:val="28"/>
                <w:szCs w:val="28"/>
              </w:rPr>
              <w:t xml:space="preserve">Políticas de </w:t>
            </w:r>
            <w:r w:rsidRPr="005E1103">
              <w:rPr>
                <w:rFonts w:asciiTheme="minorHAnsi" w:hAnsiTheme="minorHAnsi" w:cstheme="minorHAnsi"/>
                <w:b/>
                <w:sz w:val="28"/>
                <w:szCs w:val="28"/>
              </w:rPr>
              <w:lastRenderedPageBreak/>
              <w:t>apoyo</w:t>
            </w:r>
          </w:p>
        </w:tc>
        <w:tc>
          <w:tcPr>
            <w:tcW w:w="6410"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tcPr>
          <w:p w:rsidR="008949B1" w:rsidRPr="005E1103" w:rsidRDefault="008949B1" w:rsidP="008949B1">
            <w:pPr>
              <w:pStyle w:val="Standard"/>
              <w:spacing w:line="360" w:lineRule="auto"/>
              <w:ind w:firstLine="454"/>
              <w:rPr>
                <w:rFonts w:asciiTheme="minorHAnsi" w:hAnsiTheme="minorHAnsi" w:cstheme="minorHAnsi"/>
                <w:sz w:val="28"/>
                <w:szCs w:val="28"/>
              </w:rPr>
            </w:pPr>
            <w:r w:rsidRPr="005E1103">
              <w:rPr>
                <w:rFonts w:asciiTheme="minorHAnsi" w:hAnsiTheme="minorHAnsi" w:cstheme="minorHAnsi"/>
                <w:sz w:val="28"/>
                <w:szCs w:val="28"/>
              </w:rPr>
              <w:lastRenderedPageBreak/>
              <w:t xml:space="preserve">Las políticas, el financiamiento y las estructuras de </w:t>
            </w:r>
            <w:r w:rsidRPr="005E1103">
              <w:rPr>
                <w:rFonts w:asciiTheme="minorHAnsi" w:hAnsiTheme="minorHAnsi" w:cstheme="minorHAnsi"/>
                <w:sz w:val="28"/>
                <w:szCs w:val="28"/>
              </w:rPr>
              <w:lastRenderedPageBreak/>
              <w:t>incentivo de la institución permiten apoyar la implementación de la tecnología en la educación. (ISTE, 2000)</w:t>
            </w:r>
          </w:p>
        </w:tc>
      </w:tr>
    </w:tbl>
    <w:p w:rsidR="008949B1" w:rsidRPr="005E1103" w:rsidRDefault="008949B1" w:rsidP="008949B1">
      <w:pPr>
        <w:pStyle w:val="Ttulo2"/>
        <w:spacing w:before="240" w:after="200" w:line="360" w:lineRule="auto"/>
        <w:ind w:firstLine="454"/>
        <w:rPr>
          <w:rFonts w:asciiTheme="minorHAnsi" w:hAnsiTheme="minorHAnsi" w:cstheme="minorHAnsi"/>
          <w:color w:val="auto"/>
          <w:sz w:val="28"/>
          <w:szCs w:val="28"/>
        </w:rPr>
      </w:pPr>
      <w:bookmarkStart w:id="73" w:name="_Toc421053365"/>
      <w:r w:rsidRPr="005E1103">
        <w:rPr>
          <w:rFonts w:asciiTheme="minorHAnsi" w:hAnsiTheme="minorHAnsi" w:cstheme="minorHAnsi"/>
          <w:color w:val="auto"/>
          <w:sz w:val="28"/>
          <w:szCs w:val="28"/>
        </w:rPr>
        <w:lastRenderedPageBreak/>
        <w:t xml:space="preserve">El uso de las TIC en centros </w:t>
      </w:r>
      <w:bookmarkEnd w:id="73"/>
      <w:r w:rsidRPr="005E1103">
        <w:rPr>
          <w:rFonts w:asciiTheme="minorHAnsi" w:hAnsiTheme="minorHAnsi" w:cstheme="minorHAnsi"/>
          <w:color w:val="auto"/>
          <w:sz w:val="28"/>
          <w:szCs w:val="28"/>
        </w:rPr>
        <w:t>universitarios</w:t>
      </w:r>
      <w:r w:rsidRPr="005E1103">
        <w:rPr>
          <w:rFonts w:asciiTheme="minorHAnsi" w:hAnsiTheme="minorHAnsi" w:cstheme="minorHAnsi"/>
          <w:color w:val="auto"/>
          <w:sz w:val="28"/>
          <w:szCs w:val="28"/>
        </w:rPr>
        <w:fldChar w:fldCharType="begin"/>
      </w:r>
      <w:r w:rsidRPr="005E1103">
        <w:rPr>
          <w:rFonts w:asciiTheme="minorHAnsi" w:hAnsiTheme="minorHAnsi" w:cstheme="minorHAnsi"/>
          <w:color w:val="auto"/>
          <w:sz w:val="28"/>
          <w:szCs w:val="28"/>
        </w:rPr>
        <w:instrText>XE "El uso de  las TIC en centros específicos de discapacidad motórica: "</w:instrText>
      </w:r>
      <w:r w:rsidRPr="005E1103">
        <w:rPr>
          <w:rFonts w:asciiTheme="minorHAnsi" w:hAnsiTheme="minorHAnsi" w:cstheme="minorHAnsi"/>
          <w:color w:val="auto"/>
          <w:sz w:val="28"/>
          <w:szCs w:val="28"/>
        </w:rPr>
        <w:fldChar w:fldCharType="end"/>
      </w:r>
    </w:p>
    <w:p w:rsidR="008949B1" w:rsidRPr="005E1103" w:rsidRDefault="008949B1" w:rsidP="008949B1">
      <w:pPr>
        <w:pStyle w:val="Standard"/>
        <w:spacing w:line="360" w:lineRule="auto"/>
        <w:ind w:firstLine="454"/>
        <w:jc w:val="both"/>
        <w:rPr>
          <w:rFonts w:asciiTheme="minorHAnsi" w:hAnsiTheme="minorHAnsi" w:cstheme="minorHAnsi"/>
          <w:sz w:val="28"/>
          <w:szCs w:val="28"/>
        </w:rPr>
      </w:pPr>
      <w:r w:rsidRPr="005E1103">
        <w:rPr>
          <w:rFonts w:asciiTheme="minorHAnsi" w:hAnsiTheme="minorHAnsi" w:cstheme="minorHAnsi"/>
          <w:sz w:val="28"/>
          <w:szCs w:val="28"/>
        </w:rPr>
        <w:tab/>
        <w:t>El uso del ordenador en el alumnado con diversidad funcional supone derribar las limitaciones en el ámbito de la comunicación, lenguaje, acceso a la información, control del entorno e incluso en las posibilidades laborales que pueden presentarse.</w:t>
      </w:r>
    </w:p>
    <w:p w:rsidR="008949B1" w:rsidRPr="005E1103" w:rsidRDefault="008949B1" w:rsidP="008949B1">
      <w:pPr>
        <w:pStyle w:val="Standard"/>
        <w:spacing w:line="360" w:lineRule="auto"/>
        <w:ind w:firstLine="454"/>
        <w:jc w:val="both"/>
        <w:rPr>
          <w:rFonts w:asciiTheme="minorHAnsi" w:hAnsiTheme="minorHAnsi" w:cstheme="minorHAnsi"/>
          <w:sz w:val="28"/>
          <w:szCs w:val="28"/>
        </w:rPr>
      </w:pPr>
      <w:r w:rsidRPr="005E1103">
        <w:rPr>
          <w:rFonts w:asciiTheme="minorHAnsi" w:hAnsiTheme="minorHAnsi" w:cstheme="minorHAnsi"/>
          <w:sz w:val="28"/>
          <w:szCs w:val="28"/>
        </w:rPr>
        <w:tab/>
        <w:t>La mayoría de dificultades que presentan los alumnos con diversidad funcional son en los sistemas de entrada de información al ordenador, por ejemplo, no pueden acceder al teclado y ratón convencionales, y algunas veces presentan dificultades en los sistemas de salida de información del ordenador.</w:t>
      </w:r>
    </w:p>
    <w:p w:rsidR="008949B1" w:rsidRPr="005E1103" w:rsidRDefault="008949B1" w:rsidP="008949B1">
      <w:pPr>
        <w:pStyle w:val="Ttulo3"/>
        <w:spacing w:before="240" w:after="200"/>
        <w:ind w:firstLine="454"/>
        <w:rPr>
          <w:rFonts w:asciiTheme="minorHAnsi" w:hAnsiTheme="minorHAnsi" w:cstheme="minorHAnsi"/>
          <w:color w:val="auto"/>
          <w:sz w:val="28"/>
          <w:szCs w:val="28"/>
        </w:rPr>
      </w:pPr>
      <w:bookmarkStart w:id="74" w:name="_Toc421053366"/>
      <w:r w:rsidRPr="005E1103">
        <w:rPr>
          <w:rFonts w:asciiTheme="minorHAnsi" w:hAnsiTheme="minorHAnsi" w:cstheme="minorHAnsi"/>
          <w:color w:val="auto"/>
          <w:sz w:val="28"/>
          <w:szCs w:val="28"/>
        </w:rPr>
        <w:t xml:space="preserve">Ayudas Técnicas para </w:t>
      </w:r>
      <w:bookmarkEnd w:id="74"/>
      <w:r w:rsidRPr="005E1103">
        <w:rPr>
          <w:rFonts w:asciiTheme="minorHAnsi" w:hAnsiTheme="minorHAnsi" w:cstheme="minorHAnsi"/>
          <w:color w:val="auto"/>
          <w:sz w:val="28"/>
          <w:szCs w:val="28"/>
        </w:rPr>
        <w:t>alumnos con diversidad funcional</w:t>
      </w:r>
      <w:r w:rsidRPr="005E1103">
        <w:rPr>
          <w:rFonts w:asciiTheme="minorHAnsi" w:hAnsiTheme="minorHAnsi" w:cstheme="minorHAnsi"/>
          <w:color w:val="auto"/>
          <w:sz w:val="28"/>
          <w:szCs w:val="28"/>
        </w:rPr>
        <w:fldChar w:fldCharType="begin"/>
      </w:r>
      <w:r w:rsidRPr="005E1103">
        <w:rPr>
          <w:rFonts w:asciiTheme="minorHAnsi" w:hAnsiTheme="minorHAnsi" w:cstheme="minorHAnsi"/>
          <w:color w:val="auto"/>
          <w:sz w:val="28"/>
          <w:szCs w:val="28"/>
        </w:rPr>
        <w:instrText>XE "a. Ayudas Técnicas para la discapacidad motórica: "</w:instrText>
      </w:r>
      <w:r w:rsidRPr="005E1103">
        <w:rPr>
          <w:rFonts w:asciiTheme="minorHAnsi" w:hAnsiTheme="minorHAnsi" w:cstheme="minorHAnsi"/>
          <w:color w:val="auto"/>
          <w:sz w:val="28"/>
          <w:szCs w:val="28"/>
        </w:rPr>
        <w:fldChar w:fldCharType="end"/>
      </w:r>
    </w:p>
    <w:p w:rsidR="008949B1" w:rsidRPr="005E1103" w:rsidRDefault="008949B1" w:rsidP="008949B1">
      <w:pPr>
        <w:pStyle w:val="Prrafodelista"/>
        <w:widowControl w:val="0"/>
        <w:numPr>
          <w:ilvl w:val="0"/>
          <w:numId w:val="114"/>
        </w:numPr>
        <w:tabs>
          <w:tab w:val="left" w:pos="993"/>
        </w:tabs>
        <w:suppressAutoHyphens/>
        <w:autoSpaceDN w:val="0"/>
        <w:spacing w:before="0" w:after="200" w:line="360" w:lineRule="auto"/>
        <w:ind w:left="284" w:firstLine="454"/>
        <w:contextualSpacing w:val="0"/>
        <w:jc w:val="both"/>
        <w:textAlignment w:val="baseline"/>
        <w:rPr>
          <w:rFonts w:asciiTheme="minorHAnsi" w:hAnsiTheme="minorHAnsi" w:cstheme="minorHAnsi"/>
          <w:sz w:val="28"/>
          <w:szCs w:val="28"/>
        </w:rPr>
      </w:pPr>
      <w:r w:rsidRPr="005E1103">
        <w:rPr>
          <w:rFonts w:asciiTheme="minorHAnsi" w:hAnsiTheme="minorHAnsi" w:cstheme="minorHAnsi"/>
          <w:b/>
          <w:sz w:val="28"/>
          <w:szCs w:val="28"/>
        </w:rPr>
        <w:t>Recursos integrados en el sistema:</w:t>
      </w:r>
      <w:r w:rsidRPr="005E1103">
        <w:rPr>
          <w:rFonts w:asciiTheme="minorHAnsi" w:hAnsiTheme="minorHAnsi" w:cstheme="minorHAnsi"/>
          <w:sz w:val="28"/>
          <w:szCs w:val="28"/>
        </w:rPr>
        <w:t xml:space="preserve"> bloqueadores de tecla – Redefinición del teclado: permite pulsar de manera secuencial combinaciones de teclas que deben ser pulsadas de forma simultánea. Por ejemplo, la pulsación múltiple en caso de tener que teclear el símbolo “@” o las mayúsculas.</w:t>
      </w:r>
    </w:p>
    <w:p w:rsidR="008949B1" w:rsidRPr="005E1103" w:rsidRDefault="008949B1" w:rsidP="008949B1">
      <w:pPr>
        <w:pStyle w:val="Prrafodelista"/>
        <w:widowControl w:val="0"/>
        <w:numPr>
          <w:ilvl w:val="0"/>
          <w:numId w:val="114"/>
        </w:numPr>
        <w:tabs>
          <w:tab w:val="left" w:pos="993"/>
        </w:tabs>
        <w:suppressAutoHyphens/>
        <w:autoSpaceDN w:val="0"/>
        <w:spacing w:before="0" w:after="200" w:line="360" w:lineRule="auto"/>
        <w:ind w:left="284" w:firstLine="454"/>
        <w:contextualSpacing w:val="0"/>
        <w:jc w:val="both"/>
        <w:textAlignment w:val="baseline"/>
        <w:rPr>
          <w:rFonts w:asciiTheme="minorHAnsi" w:hAnsiTheme="minorHAnsi" w:cstheme="minorHAnsi"/>
          <w:sz w:val="28"/>
          <w:szCs w:val="28"/>
        </w:rPr>
      </w:pPr>
      <w:r w:rsidRPr="005E1103">
        <w:rPr>
          <w:rFonts w:asciiTheme="minorHAnsi" w:hAnsiTheme="minorHAnsi" w:cstheme="minorHAnsi"/>
          <w:b/>
          <w:sz w:val="28"/>
          <w:szCs w:val="28"/>
        </w:rPr>
        <w:t>Teclados virtuales:</w:t>
      </w:r>
      <w:r w:rsidRPr="005E1103">
        <w:rPr>
          <w:rFonts w:asciiTheme="minorHAnsi" w:hAnsiTheme="minorHAnsi" w:cstheme="minorHAnsi"/>
          <w:sz w:val="28"/>
          <w:szCs w:val="28"/>
        </w:rPr>
        <w:t xml:space="preserve"> los teclados virtuales posibilitan la interacción con el ordenador, a través del teclado, para alumnos gravemente afectados que no pueden manejar los convencionales. Se trata de una aplicación transparente que presenta un teclado en pantalla con el que puede escribirse mediante la selección de teclas por un procedimiento de barrido.</w:t>
      </w:r>
    </w:p>
    <w:p w:rsidR="008949B1" w:rsidRPr="005E1103" w:rsidRDefault="008949B1" w:rsidP="008949B1">
      <w:pPr>
        <w:pStyle w:val="Prrafodelista"/>
        <w:widowControl w:val="0"/>
        <w:numPr>
          <w:ilvl w:val="0"/>
          <w:numId w:val="114"/>
        </w:numPr>
        <w:tabs>
          <w:tab w:val="left" w:pos="993"/>
        </w:tabs>
        <w:suppressAutoHyphens/>
        <w:autoSpaceDN w:val="0"/>
        <w:spacing w:before="0" w:after="200" w:line="360" w:lineRule="auto"/>
        <w:ind w:left="284" w:firstLine="454"/>
        <w:contextualSpacing w:val="0"/>
        <w:jc w:val="both"/>
        <w:textAlignment w:val="baseline"/>
        <w:rPr>
          <w:rFonts w:asciiTheme="minorHAnsi" w:hAnsiTheme="minorHAnsi" w:cstheme="minorHAnsi"/>
          <w:sz w:val="28"/>
          <w:szCs w:val="28"/>
        </w:rPr>
      </w:pPr>
      <w:r w:rsidRPr="005E1103">
        <w:rPr>
          <w:rFonts w:asciiTheme="minorHAnsi" w:hAnsiTheme="minorHAnsi" w:cstheme="minorHAnsi"/>
          <w:b/>
          <w:sz w:val="28"/>
          <w:szCs w:val="28"/>
        </w:rPr>
        <w:lastRenderedPageBreak/>
        <w:t>Emuladores de ratón:</w:t>
      </w:r>
      <w:r w:rsidRPr="005E1103">
        <w:rPr>
          <w:rFonts w:asciiTheme="minorHAnsi" w:hAnsiTheme="minorHAnsi" w:cstheme="minorHAnsi"/>
          <w:sz w:val="28"/>
          <w:szCs w:val="28"/>
        </w:rPr>
        <w:t xml:space="preserve"> este software permite realizar funciones de emulación de los periféricos de entrada que permiten la interacción y el control del propio ordenador y los programas y aplicaciones que el alumnado pudiera necesitar.</w:t>
      </w:r>
    </w:p>
    <w:p w:rsidR="008949B1" w:rsidRPr="005E1103" w:rsidRDefault="008949B1" w:rsidP="008949B1">
      <w:pPr>
        <w:pStyle w:val="Prrafodelista"/>
        <w:widowControl w:val="0"/>
        <w:numPr>
          <w:ilvl w:val="1"/>
          <w:numId w:val="114"/>
        </w:numPr>
        <w:suppressAutoHyphens/>
        <w:autoSpaceDN w:val="0"/>
        <w:spacing w:before="0" w:after="200" w:line="360" w:lineRule="auto"/>
        <w:ind w:left="0" w:firstLine="454"/>
        <w:contextualSpacing w:val="0"/>
        <w:jc w:val="both"/>
        <w:textAlignment w:val="baseline"/>
        <w:rPr>
          <w:rFonts w:asciiTheme="minorHAnsi" w:hAnsiTheme="minorHAnsi" w:cstheme="minorHAnsi"/>
          <w:sz w:val="28"/>
          <w:szCs w:val="28"/>
        </w:rPr>
      </w:pPr>
      <w:r w:rsidRPr="005E1103">
        <w:rPr>
          <w:rFonts w:asciiTheme="minorHAnsi" w:hAnsiTheme="minorHAnsi" w:cstheme="minorHAnsi"/>
          <w:b/>
          <w:sz w:val="28"/>
          <w:szCs w:val="28"/>
        </w:rPr>
        <w:t>Conversor Mouse Teclat:</w:t>
      </w:r>
      <w:r w:rsidRPr="005E1103">
        <w:rPr>
          <w:rFonts w:asciiTheme="minorHAnsi" w:hAnsiTheme="minorHAnsi" w:cstheme="minorHAnsi"/>
          <w:sz w:val="28"/>
          <w:szCs w:val="28"/>
        </w:rPr>
        <w:t xml:space="preserve"> es un programa que permite convertir los dos clics del ratón en dos pulsaciones de tecla.</w:t>
      </w:r>
    </w:p>
    <w:p w:rsidR="008949B1" w:rsidRPr="005E1103" w:rsidRDefault="008949B1" w:rsidP="008949B1">
      <w:pPr>
        <w:pStyle w:val="Prrafodelista"/>
        <w:widowControl w:val="0"/>
        <w:suppressAutoHyphens/>
        <w:autoSpaceDN w:val="0"/>
        <w:spacing w:before="0" w:after="200" w:line="360" w:lineRule="auto"/>
        <w:ind w:left="454"/>
        <w:contextualSpacing w:val="0"/>
        <w:jc w:val="both"/>
        <w:textAlignment w:val="baseline"/>
        <w:rPr>
          <w:rFonts w:asciiTheme="minorHAnsi" w:hAnsiTheme="minorHAnsi" w:cstheme="minorHAnsi"/>
          <w:sz w:val="28"/>
          <w:szCs w:val="28"/>
        </w:rPr>
      </w:pPr>
    </w:p>
    <w:p w:rsidR="008949B1" w:rsidRPr="005E1103" w:rsidRDefault="008949B1" w:rsidP="008949B1">
      <w:pPr>
        <w:pStyle w:val="Prrafodelista"/>
        <w:widowControl w:val="0"/>
        <w:numPr>
          <w:ilvl w:val="1"/>
          <w:numId w:val="114"/>
        </w:numPr>
        <w:suppressAutoHyphens/>
        <w:autoSpaceDN w:val="0"/>
        <w:spacing w:before="0" w:after="200" w:line="360" w:lineRule="auto"/>
        <w:ind w:left="0" w:firstLine="454"/>
        <w:contextualSpacing w:val="0"/>
        <w:jc w:val="both"/>
        <w:textAlignment w:val="baseline"/>
        <w:rPr>
          <w:rFonts w:asciiTheme="minorHAnsi" w:hAnsiTheme="minorHAnsi" w:cstheme="minorHAnsi"/>
          <w:sz w:val="28"/>
          <w:szCs w:val="28"/>
        </w:rPr>
      </w:pPr>
      <w:r w:rsidRPr="005E1103">
        <w:rPr>
          <w:rFonts w:asciiTheme="minorHAnsi" w:hAnsiTheme="minorHAnsi" w:cstheme="minorHAnsi"/>
          <w:b/>
          <w:sz w:val="28"/>
          <w:szCs w:val="28"/>
        </w:rPr>
        <w:t>Mouse Joystick:</w:t>
      </w:r>
      <w:r w:rsidRPr="005E1103">
        <w:rPr>
          <w:rFonts w:asciiTheme="minorHAnsi" w:hAnsiTheme="minorHAnsi" w:cstheme="minorHAnsi"/>
          <w:sz w:val="28"/>
          <w:szCs w:val="28"/>
        </w:rPr>
        <w:t xml:space="preserve"> es un programa que permite controlar el ratón mediante un joystick normal. Resulta apropiado para alumnos con una reducida amplitud de movimiento o con dificultades para la manipulación sobre la mesa.</w:t>
      </w:r>
    </w:p>
    <w:p w:rsidR="008949B1" w:rsidRPr="005E1103" w:rsidRDefault="008949B1" w:rsidP="008949B1">
      <w:pPr>
        <w:pStyle w:val="Prrafodelista"/>
        <w:widowControl w:val="0"/>
        <w:numPr>
          <w:ilvl w:val="1"/>
          <w:numId w:val="114"/>
        </w:numPr>
        <w:suppressAutoHyphens/>
        <w:autoSpaceDN w:val="0"/>
        <w:spacing w:before="0" w:after="200" w:line="360" w:lineRule="auto"/>
        <w:ind w:left="0" w:firstLine="454"/>
        <w:contextualSpacing w:val="0"/>
        <w:jc w:val="both"/>
        <w:textAlignment w:val="baseline"/>
        <w:rPr>
          <w:rFonts w:asciiTheme="minorHAnsi" w:hAnsiTheme="minorHAnsi" w:cstheme="minorHAnsi"/>
          <w:sz w:val="28"/>
          <w:szCs w:val="28"/>
        </w:rPr>
      </w:pPr>
      <w:r w:rsidRPr="005E1103">
        <w:rPr>
          <w:rFonts w:asciiTheme="minorHAnsi" w:hAnsiTheme="minorHAnsi" w:cstheme="minorHAnsi"/>
          <w:b/>
          <w:sz w:val="28"/>
          <w:szCs w:val="28"/>
        </w:rPr>
        <w:t>Rata Plaphoons:</w:t>
      </w:r>
      <w:r w:rsidRPr="005E1103">
        <w:rPr>
          <w:rFonts w:asciiTheme="minorHAnsi" w:hAnsiTheme="minorHAnsi" w:cstheme="minorHAnsi"/>
          <w:sz w:val="28"/>
          <w:szCs w:val="28"/>
        </w:rPr>
        <w:t xml:space="preserve"> es un programa pensado para personas con diversidad funcional severa que permite controlar el ratón con posibilidad de barrido.</w:t>
      </w:r>
    </w:p>
    <w:p w:rsidR="008949B1" w:rsidRPr="005E1103" w:rsidRDefault="008949B1" w:rsidP="008949B1">
      <w:pPr>
        <w:pStyle w:val="Prrafodelista"/>
        <w:widowControl w:val="0"/>
        <w:numPr>
          <w:ilvl w:val="1"/>
          <w:numId w:val="114"/>
        </w:numPr>
        <w:suppressAutoHyphens/>
        <w:autoSpaceDN w:val="0"/>
        <w:spacing w:before="0" w:after="200" w:line="360" w:lineRule="auto"/>
        <w:ind w:left="0" w:firstLine="454"/>
        <w:contextualSpacing w:val="0"/>
        <w:jc w:val="both"/>
        <w:textAlignment w:val="baseline"/>
        <w:rPr>
          <w:rFonts w:asciiTheme="minorHAnsi" w:hAnsiTheme="minorHAnsi" w:cstheme="minorHAnsi"/>
          <w:sz w:val="28"/>
          <w:szCs w:val="28"/>
        </w:rPr>
      </w:pPr>
      <w:r w:rsidRPr="005E1103">
        <w:rPr>
          <w:rFonts w:asciiTheme="minorHAnsi" w:hAnsiTheme="minorHAnsi" w:cstheme="minorHAnsi"/>
          <w:b/>
          <w:sz w:val="28"/>
          <w:szCs w:val="28"/>
        </w:rPr>
        <w:t xml:space="preserve">Control del </w:t>
      </w:r>
      <w:r w:rsidRPr="005E1103">
        <w:rPr>
          <w:rFonts w:asciiTheme="minorHAnsi" w:hAnsiTheme="minorHAnsi" w:cstheme="minorHAnsi"/>
          <w:b/>
          <w:i/>
          <w:sz w:val="28"/>
          <w:szCs w:val="28"/>
        </w:rPr>
        <w:t>mouse</w:t>
      </w:r>
      <w:r w:rsidRPr="005E1103">
        <w:rPr>
          <w:rFonts w:asciiTheme="minorHAnsi" w:hAnsiTheme="minorHAnsi" w:cstheme="minorHAnsi"/>
          <w:b/>
          <w:sz w:val="28"/>
          <w:szCs w:val="28"/>
        </w:rPr>
        <w:t xml:space="preserve"> mediante órdenes de voz: </w:t>
      </w:r>
      <w:r w:rsidRPr="005E1103">
        <w:rPr>
          <w:rFonts w:asciiTheme="minorHAnsi" w:hAnsiTheme="minorHAnsi" w:cstheme="minorHAnsi"/>
          <w:sz w:val="28"/>
          <w:szCs w:val="28"/>
        </w:rPr>
        <w:t>este programa permite el control del ratón a través de la emisión de la voz del usuario recogida en un micrófono conectado a la tarjeta de sonido del ordenador. Está indicado en el caso de personas con graves dificultades motrices, pero con control de la voz.</w:t>
      </w:r>
    </w:p>
    <w:p w:rsidR="008949B1" w:rsidRPr="005E1103" w:rsidRDefault="008949B1" w:rsidP="008949B1">
      <w:pPr>
        <w:pStyle w:val="Prrafodelista"/>
        <w:widowControl w:val="0"/>
        <w:numPr>
          <w:ilvl w:val="0"/>
          <w:numId w:val="114"/>
        </w:numPr>
        <w:tabs>
          <w:tab w:val="left" w:pos="993"/>
        </w:tabs>
        <w:suppressAutoHyphens/>
        <w:autoSpaceDN w:val="0"/>
        <w:spacing w:before="0" w:after="200" w:line="360" w:lineRule="auto"/>
        <w:ind w:left="284" w:firstLine="454"/>
        <w:contextualSpacing w:val="0"/>
        <w:jc w:val="both"/>
        <w:textAlignment w:val="baseline"/>
        <w:rPr>
          <w:rFonts w:asciiTheme="minorHAnsi" w:hAnsiTheme="minorHAnsi" w:cstheme="minorHAnsi"/>
          <w:b/>
          <w:sz w:val="28"/>
          <w:szCs w:val="28"/>
        </w:rPr>
      </w:pPr>
      <w:r w:rsidRPr="005E1103">
        <w:rPr>
          <w:rFonts w:asciiTheme="minorHAnsi" w:hAnsiTheme="minorHAnsi" w:cstheme="minorHAnsi"/>
          <w:b/>
          <w:sz w:val="28"/>
          <w:szCs w:val="28"/>
        </w:rPr>
        <w:t>Escaneadores de pantalla:</w:t>
      </w:r>
    </w:p>
    <w:p w:rsidR="008949B1" w:rsidRPr="005E1103" w:rsidRDefault="008949B1" w:rsidP="008949B1">
      <w:pPr>
        <w:pStyle w:val="Prrafodelista"/>
        <w:widowControl w:val="0"/>
        <w:numPr>
          <w:ilvl w:val="1"/>
          <w:numId w:val="114"/>
        </w:numPr>
        <w:suppressAutoHyphens/>
        <w:autoSpaceDN w:val="0"/>
        <w:spacing w:before="0" w:after="200" w:line="360" w:lineRule="auto"/>
        <w:ind w:left="0" w:firstLine="454"/>
        <w:contextualSpacing w:val="0"/>
        <w:jc w:val="both"/>
        <w:textAlignment w:val="baseline"/>
        <w:rPr>
          <w:rFonts w:asciiTheme="minorHAnsi" w:hAnsiTheme="minorHAnsi" w:cstheme="minorHAnsi"/>
          <w:sz w:val="28"/>
          <w:szCs w:val="28"/>
        </w:rPr>
      </w:pPr>
      <w:r w:rsidRPr="005E1103">
        <w:rPr>
          <w:rFonts w:asciiTheme="minorHAnsi" w:hAnsiTheme="minorHAnsi" w:cstheme="minorHAnsi"/>
          <w:b/>
          <w:sz w:val="28"/>
          <w:szCs w:val="28"/>
        </w:rPr>
        <w:t>Kanghooru</w:t>
      </w:r>
      <w:r w:rsidRPr="005E1103">
        <w:rPr>
          <w:rFonts w:asciiTheme="minorHAnsi" w:hAnsiTheme="minorHAnsi" w:cstheme="minorHAnsi"/>
          <w:sz w:val="28"/>
          <w:szCs w:val="28"/>
        </w:rPr>
        <w:t>: es un programa que está pensado para que personas con discapacidad motórica puedan manejar aplicaciones y programas que no soportan barrido.</w:t>
      </w:r>
    </w:p>
    <w:p w:rsidR="008949B1" w:rsidRPr="005E1103" w:rsidRDefault="008949B1" w:rsidP="008949B1">
      <w:pPr>
        <w:pStyle w:val="Prrafodelista"/>
        <w:widowControl w:val="0"/>
        <w:numPr>
          <w:ilvl w:val="1"/>
          <w:numId w:val="114"/>
        </w:numPr>
        <w:suppressAutoHyphens/>
        <w:autoSpaceDN w:val="0"/>
        <w:spacing w:before="0" w:after="200" w:line="360" w:lineRule="auto"/>
        <w:ind w:left="0" w:firstLine="454"/>
        <w:contextualSpacing w:val="0"/>
        <w:jc w:val="both"/>
        <w:textAlignment w:val="baseline"/>
        <w:rPr>
          <w:rFonts w:asciiTheme="minorHAnsi" w:hAnsiTheme="minorHAnsi" w:cstheme="minorHAnsi"/>
          <w:sz w:val="28"/>
          <w:szCs w:val="28"/>
        </w:rPr>
      </w:pPr>
      <w:r w:rsidRPr="005E1103">
        <w:rPr>
          <w:rFonts w:asciiTheme="minorHAnsi" w:hAnsiTheme="minorHAnsi" w:cstheme="minorHAnsi"/>
          <w:b/>
          <w:sz w:val="28"/>
          <w:szCs w:val="28"/>
        </w:rPr>
        <w:t>Screen Scanner</w:t>
      </w:r>
      <w:r w:rsidRPr="005E1103">
        <w:rPr>
          <w:rFonts w:asciiTheme="minorHAnsi" w:hAnsiTheme="minorHAnsi" w:cstheme="minorHAnsi"/>
          <w:sz w:val="28"/>
          <w:szCs w:val="28"/>
        </w:rPr>
        <w:t xml:space="preserve">: podrías considerarse un emulador de ratón. Screen </w:t>
      </w:r>
      <w:r w:rsidRPr="005E1103">
        <w:rPr>
          <w:rFonts w:asciiTheme="minorHAnsi" w:hAnsiTheme="minorHAnsi" w:cstheme="minorHAnsi"/>
          <w:sz w:val="28"/>
          <w:szCs w:val="28"/>
        </w:rPr>
        <w:lastRenderedPageBreak/>
        <w:t>Scanner barre la pantalla de manera vertical y horizontal detectándose las zonas activas de está posibilitando el clic del ratón en cada una de ellas.</w:t>
      </w:r>
    </w:p>
    <w:p w:rsidR="008949B1" w:rsidRPr="005E1103" w:rsidRDefault="008949B1" w:rsidP="008949B1">
      <w:pPr>
        <w:pStyle w:val="Prrafodelista"/>
        <w:widowControl w:val="0"/>
        <w:numPr>
          <w:ilvl w:val="0"/>
          <w:numId w:val="114"/>
        </w:numPr>
        <w:tabs>
          <w:tab w:val="left" w:pos="993"/>
        </w:tabs>
        <w:suppressAutoHyphens/>
        <w:autoSpaceDN w:val="0"/>
        <w:spacing w:before="0" w:after="200" w:line="360" w:lineRule="auto"/>
        <w:ind w:left="284" w:firstLine="454"/>
        <w:contextualSpacing w:val="0"/>
        <w:jc w:val="both"/>
        <w:textAlignment w:val="baseline"/>
        <w:rPr>
          <w:rFonts w:asciiTheme="minorHAnsi" w:hAnsiTheme="minorHAnsi" w:cstheme="minorHAnsi"/>
          <w:sz w:val="28"/>
          <w:szCs w:val="28"/>
        </w:rPr>
      </w:pPr>
      <w:r w:rsidRPr="005E1103">
        <w:rPr>
          <w:rFonts w:asciiTheme="minorHAnsi" w:hAnsiTheme="minorHAnsi" w:cstheme="minorHAnsi"/>
          <w:b/>
          <w:sz w:val="28"/>
          <w:szCs w:val="28"/>
        </w:rPr>
        <w:t>Software para la comunicación y lenguaje:</w:t>
      </w:r>
      <w:r w:rsidRPr="005E1103">
        <w:rPr>
          <w:rFonts w:asciiTheme="minorHAnsi" w:hAnsiTheme="minorHAnsi" w:cstheme="minorHAnsi"/>
          <w:sz w:val="28"/>
          <w:szCs w:val="28"/>
        </w:rPr>
        <w:t xml:space="preserve"> existen en el mercado algunos programas para generar paneles de comunicación.</w:t>
      </w:r>
    </w:p>
    <w:p w:rsidR="008949B1" w:rsidRPr="005E1103" w:rsidRDefault="008949B1" w:rsidP="008949B1">
      <w:pPr>
        <w:pStyle w:val="Prrafodelista"/>
        <w:widowControl w:val="0"/>
        <w:numPr>
          <w:ilvl w:val="1"/>
          <w:numId w:val="114"/>
        </w:numPr>
        <w:suppressAutoHyphens/>
        <w:autoSpaceDN w:val="0"/>
        <w:spacing w:before="0" w:after="200" w:line="360" w:lineRule="auto"/>
        <w:ind w:left="0" w:firstLine="454"/>
        <w:contextualSpacing w:val="0"/>
        <w:jc w:val="both"/>
        <w:textAlignment w:val="baseline"/>
        <w:rPr>
          <w:rFonts w:asciiTheme="minorHAnsi" w:hAnsiTheme="minorHAnsi" w:cstheme="minorHAnsi"/>
          <w:sz w:val="28"/>
          <w:szCs w:val="28"/>
        </w:rPr>
      </w:pPr>
      <w:r w:rsidRPr="005E1103">
        <w:rPr>
          <w:rFonts w:asciiTheme="minorHAnsi" w:hAnsiTheme="minorHAnsi" w:cstheme="minorHAnsi"/>
          <w:b/>
          <w:sz w:val="28"/>
          <w:szCs w:val="28"/>
        </w:rPr>
        <w:t>BoardMaker:</w:t>
      </w:r>
      <w:r w:rsidRPr="005E1103">
        <w:rPr>
          <w:rFonts w:asciiTheme="minorHAnsi" w:hAnsiTheme="minorHAnsi" w:cstheme="minorHAnsi"/>
          <w:sz w:val="28"/>
          <w:szCs w:val="28"/>
        </w:rPr>
        <w:t xml:space="preserve"> es un programa de Mayer&amp;Johnson que permite acceder a los más de tres mil cliparts de SPC. Boardmaker permite la realización de paneles de comunicación generando casillas de cualquier tamaño y cualquier espacio.</w:t>
      </w:r>
    </w:p>
    <w:p w:rsidR="008949B1" w:rsidRPr="005E1103" w:rsidRDefault="008949B1" w:rsidP="008949B1">
      <w:pPr>
        <w:pStyle w:val="Prrafodelista"/>
        <w:widowControl w:val="0"/>
        <w:numPr>
          <w:ilvl w:val="1"/>
          <w:numId w:val="114"/>
        </w:numPr>
        <w:suppressAutoHyphens/>
        <w:autoSpaceDN w:val="0"/>
        <w:spacing w:before="0" w:after="200" w:line="360" w:lineRule="auto"/>
        <w:ind w:left="0" w:firstLine="454"/>
        <w:contextualSpacing w:val="0"/>
        <w:jc w:val="both"/>
        <w:textAlignment w:val="baseline"/>
        <w:rPr>
          <w:rFonts w:asciiTheme="minorHAnsi" w:hAnsiTheme="minorHAnsi" w:cstheme="minorHAnsi"/>
          <w:sz w:val="28"/>
          <w:szCs w:val="28"/>
        </w:rPr>
      </w:pPr>
      <w:r w:rsidRPr="005E1103">
        <w:rPr>
          <w:rFonts w:asciiTheme="minorHAnsi" w:hAnsiTheme="minorHAnsi" w:cstheme="minorHAnsi"/>
          <w:b/>
          <w:sz w:val="28"/>
          <w:szCs w:val="28"/>
        </w:rPr>
        <w:t>Plaphoons:</w:t>
      </w:r>
      <w:r w:rsidRPr="005E1103">
        <w:rPr>
          <w:rFonts w:asciiTheme="minorHAnsi" w:hAnsiTheme="minorHAnsi" w:cstheme="minorHAnsi"/>
          <w:sz w:val="28"/>
          <w:szCs w:val="28"/>
        </w:rPr>
        <w:t xml:space="preserve"> se trata de un programa de comunicación diseñado para personas con discapacidad motora que no tienen posibilidad de comunicarse a través del habla. Para ello permite desarrollar paneles de comunicación de forma fácil e intuitiva, a los que se les puede añadir sonido, programarles tiempo de respuesta para el barrido u otras aplicaciones. Puede usarse con conmutadores, ratón y otros periféricos.</w:t>
      </w:r>
    </w:p>
    <w:p w:rsidR="008949B1" w:rsidRPr="005E1103" w:rsidRDefault="008949B1" w:rsidP="008949B1">
      <w:pPr>
        <w:widowControl w:val="0"/>
        <w:suppressAutoHyphens/>
        <w:autoSpaceDN w:val="0"/>
        <w:spacing w:line="360" w:lineRule="auto"/>
        <w:jc w:val="both"/>
        <w:textAlignment w:val="baseline"/>
        <w:rPr>
          <w:rFonts w:cstheme="minorHAnsi"/>
          <w:sz w:val="28"/>
          <w:szCs w:val="28"/>
        </w:rPr>
      </w:pPr>
    </w:p>
    <w:p w:rsidR="008949B1" w:rsidRPr="005E1103" w:rsidRDefault="008949B1" w:rsidP="008949B1">
      <w:pPr>
        <w:widowControl w:val="0"/>
        <w:suppressAutoHyphens/>
        <w:autoSpaceDN w:val="0"/>
        <w:spacing w:line="360" w:lineRule="auto"/>
        <w:jc w:val="both"/>
        <w:textAlignment w:val="baseline"/>
        <w:rPr>
          <w:rFonts w:cstheme="minorHAnsi"/>
          <w:sz w:val="28"/>
          <w:szCs w:val="28"/>
        </w:rPr>
      </w:pPr>
    </w:p>
    <w:p w:rsidR="008949B1" w:rsidRPr="005E1103" w:rsidRDefault="008949B1" w:rsidP="008949B1">
      <w:pPr>
        <w:widowControl w:val="0"/>
        <w:suppressAutoHyphens/>
        <w:autoSpaceDN w:val="0"/>
        <w:spacing w:line="360" w:lineRule="auto"/>
        <w:jc w:val="both"/>
        <w:textAlignment w:val="baseline"/>
        <w:rPr>
          <w:rFonts w:cstheme="minorHAnsi"/>
          <w:sz w:val="28"/>
          <w:szCs w:val="28"/>
        </w:rPr>
      </w:pPr>
    </w:p>
    <w:p w:rsidR="008949B1" w:rsidRPr="005E1103" w:rsidRDefault="008949B1" w:rsidP="008949B1">
      <w:pPr>
        <w:pStyle w:val="Prrafodelista"/>
        <w:widowControl w:val="0"/>
        <w:numPr>
          <w:ilvl w:val="0"/>
          <w:numId w:val="114"/>
        </w:numPr>
        <w:tabs>
          <w:tab w:val="left" w:pos="993"/>
        </w:tabs>
        <w:suppressAutoHyphens/>
        <w:autoSpaceDN w:val="0"/>
        <w:spacing w:before="0" w:after="200" w:line="360" w:lineRule="auto"/>
        <w:ind w:left="284" w:firstLine="454"/>
        <w:contextualSpacing w:val="0"/>
        <w:jc w:val="both"/>
        <w:textAlignment w:val="baseline"/>
        <w:rPr>
          <w:rFonts w:asciiTheme="minorHAnsi" w:hAnsiTheme="minorHAnsi" w:cstheme="minorHAnsi"/>
          <w:sz w:val="28"/>
          <w:szCs w:val="28"/>
        </w:rPr>
      </w:pPr>
      <w:r w:rsidRPr="005E1103">
        <w:rPr>
          <w:rFonts w:asciiTheme="minorHAnsi" w:hAnsiTheme="minorHAnsi" w:cstheme="minorHAnsi"/>
          <w:b/>
          <w:sz w:val="28"/>
          <w:szCs w:val="28"/>
        </w:rPr>
        <w:t>Programas de reconocimiento de voz:</w:t>
      </w:r>
      <w:r w:rsidRPr="005E1103">
        <w:rPr>
          <w:rFonts w:asciiTheme="minorHAnsi" w:hAnsiTheme="minorHAnsi" w:cstheme="minorHAnsi"/>
          <w:sz w:val="28"/>
          <w:szCs w:val="28"/>
        </w:rPr>
        <w:t xml:space="preserve"> son programas que permiten que los usuarios controlen Microsoft Windows y algunas de sus aplicaciones exclusivamente con la voz. Permiten también la lectura de documentos. Los usados más frecuentemente son Dragon Naturally Speaking y Via Voice.</w:t>
      </w:r>
    </w:p>
    <w:p w:rsidR="008949B1" w:rsidRPr="005E1103" w:rsidRDefault="008949B1" w:rsidP="008949B1">
      <w:pPr>
        <w:pStyle w:val="Prrafodelista"/>
        <w:widowControl w:val="0"/>
        <w:numPr>
          <w:ilvl w:val="0"/>
          <w:numId w:val="114"/>
        </w:numPr>
        <w:tabs>
          <w:tab w:val="left" w:pos="993"/>
        </w:tabs>
        <w:suppressAutoHyphens/>
        <w:autoSpaceDN w:val="0"/>
        <w:spacing w:before="0" w:after="200" w:line="360" w:lineRule="auto"/>
        <w:ind w:left="284" w:firstLine="454"/>
        <w:contextualSpacing w:val="0"/>
        <w:jc w:val="both"/>
        <w:textAlignment w:val="baseline"/>
        <w:rPr>
          <w:rFonts w:asciiTheme="minorHAnsi" w:hAnsiTheme="minorHAnsi" w:cstheme="minorHAnsi"/>
          <w:sz w:val="28"/>
          <w:szCs w:val="28"/>
        </w:rPr>
      </w:pPr>
      <w:r w:rsidRPr="005E1103">
        <w:rPr>
          <w:rFonts w:asciiTheme="minorHAnsi" w:hAnsiTheme="minorHAnsi" w:cstheme="minorHAnsi"/>
          <w:b/>
          <w:sz w:val="28"/>
          <w:szCs w:val="28"/>
        </w:rPr>
        <w:t>Lectores de pantalla:</w:t>
      </w:r>
      <w:r w:rsidRPr="005E1103">
        <w:rPr>
          <w:rFonts w:asciiTheme="minorHAnsi" w:hAnsiTheme="minorHAnsi" w:cstheme="minorHAnsi"/>
          <w:sz w:val="28"/>
          <w:szCs w:val="28"/>
        </w:rPr>
        <w:t xml:space="preserve"> permite analizar el contenido de la pantalla y a su vez ser emitido por síntesis de voz.</w:t>
      </w:r>
    </w:p>
    <w:p w:rsidR="008949B1" w:rsidRPr="005E1103" w:rsidRDefault="008949B1" w:rsidP="008949B1">
      <w:pPr>
        <w:pStyle w:val="Prrafodelista"/>
        <w:widowControl w:val="0"/>
        <w:numPr>
          <w:ilvl w:val="0"/>
          <w:numId w:val="114"/>
        </w:numPr>
        <w:tabs>
          <w:tab w:val="left" w:pos="993"/>
        </w:tabs>
        <w:suppressAutoHyphens/>
        <w:autoSpaceDN w:val="0"/>
        <w:spacing w:before="0" w:after="200" w:line="360" w:lineRule="auto"/>
        <w:ind w:left="284" w:firstLine="454"/>
        <w:contextualSpacing w:val="0"/>
        <w:jc w:val="both"/>
        <w:textAlignment w:val="baseline"/>
        <w:rPr>
          <w:rFonts w:asciiTheme="minorHAnsi" w:hAnsiTheme="minorHAnsi" w:cstheme="minorHAnsi"/>
          <w:sz w:val="28"/>
          <w:szCs w:val="28"/>
        </w:rPr>
      </w:pPr>
      <w:r w:rsidRPr="005E1103">
        <w:rPr>
          <w:rFonts w:asciiTheme="minorHAnsi" w:hAnsiTheme="minorHAnsi" w:cstheme="minorHAnsi"/>
          <w:b/>
          <w:sz w:val="28"/>
          <w:szCs w:val="28"/>
        </w:rPr>
        <w:lastRenderedPageBreak/>
        <w:t>Lupas y ampliadores de pantalla:</w:t>
      </w:r>
      <w:r w:rsidRPr="005E1103">
        <w:rPr>
          <w:rFonts w:asciiTheme="minorHAnsi" w:hAnsiTheme="minorHAnsi" w:cstheme="minorHAnsi"/>
          <w:sz w:val="28"/>
          <w:szCs w:val="28"/>
        </w:rPr>
        <w:t xml:space="preserve"> son programas que, a modo de lupa, permiten ampliar la pantalla completa del ordenador o una parte de ella con el objeto de que sea más fácilmente perceptible por los usuarios.</w:t>
      </w:r>
    </w:p>
    <w:p w:rsidR="008949B1" w:rsidRPr="005E1103" w:rsidRDefault="008949B1" w:rsidP="008949B1">
      <w:pPr>
        <w:pStyle w:val="Prrafodelista"/>
        <w:widowControl w:val="0"/>
        <w:numPr>
          <w:ilvl w:val="0"/>
          <w:numId w:val="114"/>
        </w:numPr>
        <w:tabs>
          <w:tab w:val="left" w:pos="993"/>
        </w:tabs>
        <w:suppressAutoHyphens/>
        <w:autoSpaceDN w:val="0"/>
        <w:spacing w:before="0" w:after="200" w:line="360" w:lineRule="auto"/>
        <w:ind w:left="284" w:firstLine="454"/>
        <w:contextualSpacing w:val="0"/>
        <w:jc w:val="both"/>
        <w:textAlignment w:val="baseline"/>
        <w:rPr>
          <w:rFonts w:asciiTheme="minorHAnsi" w:hAnsiTheme="minorHAnsi" w:cstheme="minorHAnsi"/>
          <w:sz w:val="28"/>
          <w:szCs w:val="28"/>
        </w:rPr>
      </w:pPr>
      <w:r w:rsidRPr="005E1103">
        <w:rPr>
          <w:rFonts w:asciiTheme="minorHAnsi" w:hAnsiTheme="minorHAnsi" w:cstheme="minorHAnsi"/>
          <w:b/>
          <w:sz w:val="28"/>
          <w:szCs w:val="28"/>
        </w:rPr>
        <w:t>Ratones:</w:t>
      </w:r>
      <w:r w:rsidRPr="005E1103">
        <w:rPr>
          <w:rFonts w:asciiTheme="minorHAnsi" w:hAnsiTheme="minorHAnsi" w:cstheme="minorHAnsi"/>
          <w:sz w:val="28"/>
          <w:szCs w:val="28"/>
        </w:rPr>
        <w:t xml:space="preserve"> los más usados dependiendo de las características de los alumnos son: el ratón ergonómico; magnificados o de mayor tamaño; emulador de ratón por pulsadores o conmutadores; tipo joystick; con sensores ópticos; de boca; para barbilla…</w:t>
      </w:r>
    </w:p>
    <w:p w:rsidR="008949B1" w:rsidRPr="005E1103" w:rsidRDefault="008949B1" w:rsidP="008949B1">
      <w:pPr>
        <w:pStyle w:val="Prrafodelista"/>
        <w:widowControl w:val="0"/>
        <w:numPr>
          <w:ilvl w:val="0"/>
          <w:numId w:val="114"/>
        </w:numPr>
        <w:tabs>
          <w:tab w:val="left" w:pos="993"/>
        </w:tabs>
        <w:suppressAutoHyphens/>
        <w:autoSpaceDN w:val="0"/>
        <w:spacing w:before="0" w:after="200" w:line="360" w:lineRule="auto"/>
        <w:ind w:left="284" w:firstLine="454"/>
        <w:contextualSpacing w:val="0"/>
        <w:jc w:val="both"/>
        <w:textAlignment w:val="baseline"/>
        <w:rPr>
          <w:rFonts w:asciiTheme="minorHAnsi" w:hAnsiTheme="minorHAnsi" w:cstheme="minorHAnsi"/>
          <w:sz w:val="28"/>
          <w:szCs w:val="28"/>
        </w:rPr>
      </w:pPr>
      <w:r w:rsidRPr="005E1103">
        <w:rPr>
          <w:rFonts w:asciiTheme="minorHAnsi" w:hAnsiTheme="minorHAnsi" w:cstheme="minorHAnsi"/>
          <w:b/>
          <w:sz w:val="28"/>
          <w:szCs w:val="28"/>
        </w:rPr>
        <w:t>Teclados:</w:t>
      </w:r>
      <w:r w:rsidRPr="005E1103">
        <w:rPr>
          <w:rFonts w:asciiTheme="minorHAnsi" w:hAnsiTheme="minorHAnsi" w:cstheme="minorHAnsi"/>
          <w:sz w:val="28"/>
          <w:szCs w:val="28"/>
        </w:rPr>
        <w:t xml:space="preserve"> dependiendo de las características y necesidades de los alumnos encontramos los siguientes tipos de teclados: teclados reducidos; teclados ampliados; teclados agrandados; teclados programables; teclados para una sola mano; teclados especiales; teclados por pedales; teclado de conceptos.</w:t>
      </w:r>
    </w:p>
    <w:p w:rsidR="008949B1" w:rsidRPr="005E1103" w:rsidRDefault="008949B1" w:rsidP="008949B1">
      <w:pPr>
        <w:pStyle w:val="Prrafodelista"/>
        <w:widowControl w:val="0"/>
        <w:numPr>
          <w:ilvl w:val="0"/>
          <w:numId w:val="114"/>
        </w:numPr>
        <w:tabs>
          <w:tab w:val="left" w:pos="993"/>
        </w:tabs>
        <w:suppressAutoHyphens/>
        <w:autoSpaceDN w:val="0"/>
        <w:spacing w:before="0" w:after="200" w:line="360" w:lineRule="auto"/>
        <w:ind w:left="284" w:firstLine="454"/>
        <w:contextualSpacing w:val="0"/>
        <w:jc w:val="both"/>
        <w:textAlignment w:val="baseline"/>
        <w:rPr>
          <w:rFonts w:asciiTheme="minorHAnsi" w:hAnsiTheme="minorHAnsi" w:cstheme="minorHAnsi"/>
          <w:b/>
          <w:sz w:val="28"/>
          <w:szCs w:val="28"/>
        </w:rPr>
      </w:pPr>
      <w:r w:rsidRPr="005E1103">
        <w:rPr>
          <w:rFonts w:asciiTheme="minorHAnsi" w:hAnsiTheme="minorHAnsi" w:cstheme="minorHAnsi"/>
          <w:b/>
          <w:sz w:val="28"/>
          <w:szCs w:val="28"/>
        </w:rPr>
        <w:t>Dispositivos para el manejo del teclado:</w:t>
      </w:r>
    </w:p>
    <w:p w:rsidR="008949B1" w:rsidRPr="005E1103" w:rsidRDefault="008949B1" w:rsidP="008949B1">
      <w:pPr>
        <w:pStyle w:val="Prrafodelista"/>
        <w:widowControl w:val="0"/>
        <w:numPr>
          <w:ilvl w:val="1"/>
          <w:numId w:val="114"/>
        </w:numPr>
        <w:suppressAutoHyphens/>
        <w:autoSpaceDN w:val="0"/>
        <w:spacing w:before="0" w:after="200" w:line="360" w:lineRule="auto"/>
        <w:ind w:left="0" w:firstLine="454"/>
        <w:contextualSpacing w:val="0"/>
        <w:jc w:val="both"/>
        <w:textAlignment w:val="baseline"/>
        <w:rPr>
          <w:rFonts w:asciiTheme="minorHAnsi" w:hAnsiTheme="minorHAnsi" w:cstheme="minorHAnsi"/>
          <w:sz w:val="28"/>
          <w:szCs w:val="28"/>
        </w:rPr>
      </w:pPr>
      <w:r w:rsidRPr="005E1103">
        <w:rPr>
          <w:rFonts w:asciiTheme="minorHAnsi" w:hAnsiTheme="minorHAnsi" w:cstheme="minorHAnsi"/>
          <w:b/>
          <w:sz w:val="28"/>
          <w:szCs w:val="28"/>
        </w:rPr>
        <w:t xml:space="preserve">Licornio: </w:t>
      </w:r>
      <w:r w:rsidRPr="005E1103">
        <w:rPr>
          <w:rFonts w:asciiTheme="minorHAnsi" w:hAnsiTheme="minorHAnsi" w:cstheme="minorHAnsi"/>
          <w:sz w:val="28"/>
          <w:szCs w:val="28"/>
        </w:rPr>
        <w:t>es una adaptación, indicado para las personas que tienen un buen control cefálico, en la que a través de un casco se le acopla una varilla metálica a la cual se puede fijar en su extremo un pequeño puntero, lápiz, pincel… con el que tienen acceso al teclado o material de escritura.</w:t>
      </w:r>
    </w:p>
    <w:p w:rsidR="008949B1" w:rsidRPr="005E1103" w:rsidRDefault="008949B1" w:rsidP="008949B1">
      <w:pPr>
        <w:pStyle w:val="Prrafodelista"/>
        <w:widowControl w:val="0"/>
        <w:numPr>
          <w:ilvl w:val="1"/>
          <w:numId w:val="114"/>
        </w:numPr>
        <w:suppressAutoHyphens/>
        <w:autoSpaceDN w:val="0"/>
        <w:spacing w:before="0" w:after="200" w:line="360" w:lineRule="auto"/>
        <w:ind w:left="0" w:firstLine="454"/>
        <w:contextualSpacing w:val="0"/>
        <w:jc w:val="both"/>
        <w:textAlignment w:val="baseline"/>
        <w:rPr>
          <w:rFonts w:asciiTheme="minorHAnsi" w:hAnsiTheme="minorHAnsi" w:cstheme="minorHAnsi"/>
          <w:sz w:val="28"/>
          <w:szCs w:val="28"/>
        </w:rPr>
      </w:pPr>
      <w:r w:rsidRPr="005E1103">
        <w:rPr>
          <w:rFonts w:asciiTheme="minorHAnsi" w:hAnsiTheme="minorHAnsi" w:cstheme="minorHAnsi"/>
          <w:b/>
          <w:sz w:val="28"/>
          <w:szCs w:val="28"/>
        </w:rPr>
        <w:t>Carcasa:</w:t>
      </w:r>
      <w:r w:rsidRPr="005E1103">
        <w:rPr>
          <w:rFonts w:asciiTheme="minorHAnsi" w:hAnsiTheme="minorHAnsi" w:cstheme="minorHAnsi"/>
          <w:sz w:val="28"/>
          <w:szCs w:val="28"/>
        </w:rPr>
        <w:t xml:space="preserve"> se trata de una carcasa de metacrilato transparente agujereada de forma que se pueda acceder a cada tecla sin presionar las demás de forma involuntaria.</w:t>
      </w:r>
    </w:p>
    <w:p w:rsidR="008949B1" w:rsidRPr="005E1103" w:rsidRDefault="008949B1" w:rsidP="008949B1">
      <w:pPr>
        <w:pStyle w:val="Prrafodelista"/>
        <w:widowControl w:val="0"/>
        <w:numPr>
          <w:ilvl w:val="0"/>
          <w:numId w:val="114"/>
        </w:numPr>
        <w:tabs>
          <w:tab w:val="left" w:pos="491"/>
          <w:tab w:val="left" w:pos="632"/>
        </w:tabs>
        <w:suppressAutoHyphens/>
        <w:autoSpaceDN w:val="0"/>
        <w:spacing w:before="0" w:after="200" w:line="360" w:lineRule="auto"/>
        <w:ind w:left="0" w:firstLine="207"/>
        <w:contextualSpacing w:val="0"/>
        <w:jc w:val="both"/>
        <w:textAlignment w:val="baseline"/>
        <w:rPr>
          <w:rFonts w:asciiTheme="minorHAnsi" w:hAnsiTheme="minorHAnsi" w:cstheme="minorHAnsi"/>
          <w:sz w:val="28"/>
          <w:szCs w:val="28"/>
        </w:rPr>
      </w:pPr>
      <w:r w:rsidRPr="005E1103">
        <w:rPr>
          <w:rFonts w:asciiTheme="minorHAnsi" w:hAnsiTheme="minorHAnsi" w:cstheme="minorHAnsi"/>
          <w:b/>
          <w:sz w:val="28"/>
          <w:szCs w:val="28"/>
        </w:rPr>
        <w:t xml:space="preserve">Pulsadores: </w:t>
      </w:r>
      <w:r w:rsidRPr="005E1103">
        <w:rPr>
          <w:rFonts w:asciiTheme="minorHAnsi" w:hAnsiTheme="minorHAnsi" w:cstheme="minorHAnsi"/>
          <w:sz w:val="28"/>
          <w:szCs w:val="28"/>
        </w:rPr>
        <w:t xml:space="preserve">resultan unos dispositivos idóneos para el alumnado con diversidad funcional (la motórica) que presenta alteraciones muy significativas de su movilidad. Éstos, combinados con otras ayudas técnicas, pueden aportar o aumentar la funcionalidad a la hora de </w:t>
      </w:r>
      <w:r w:rsidRPr="005E1103">
        <w:rPr>
          <w:rFonts w:asciiTheme="minorHAnsi" w:hAnsiTheme="minorHAnsi" w:cstheme="minorHAnsi"/>
          <w:sz w:val="28"/>
          <w:szCs w:val="28"/>
        </w:rPr>
        <w:lastRenderedPageBreak/>
        <w:t>interaccionar con los ordenadores.</w:t>
      </w:r>
    </w:p>
    <w:p w:rsidR="008949B1" w:rsidRPr="005E1103" w:rsidRDefault="008949B1" w:rsidP="008949B1">
      <w:pPr>
        <w:pStyle w:val="Prrafodelista"/>
        <w:widowControl w:val="0"/>
        <w:numPr>
          <w:ilvl w:val="0"/>
          <w:numId w:val="114"/>
        </w:numPr>
        <w:tabs>
          <w:tab w:val="left" w:pos="993"/>
          <w:tab w:val="left" w:pos="1134"/>
        </w:tabs>
        <w:suppressAutoHyphens/>
        <w:autoSpaceDN w:val="0"/>
        <w:spacing w:before="0" w:after="200" w:line="360" w:lineRule="auto"/>
        <w:ind w:left="284" w:firstLine="454"/>
        <w:contextualSpacing w:val="0"/>
        <w:jc w:val="both"/>
        <w:textAlignment w:val="baseline"/>
        <w:rPr>
          <w:rFonts w:asciiTheme="minorHAnsi" w:hAnsiTheme="minorHAnsi" w:cstheme="minorHAnsi"/>
          <w:sz w:val="28"/>
          <w:szCs w:val="28"/>
        </w:rPr>
      </w:pPr>
      <w:r w:rsidRPr="005E1103">
        <w:rPr>
          <w:rFonts w:asciiTheme="minorHAnsi" w:hAnsiTheme="minorHAnsi" w:cstheme="minorHAnsi"/>
          <w:b/>
          <w:sz w:val="28"/>
          <w:szCs w:val="28"/>
        </w:rPr>
        <w:t xml:space="preserve">Pantallas táctiles: </w:t>
      </w:r>
      <w:r w:rsidRPr="005E1103">
        <w:rPr>
          <w:rFonts w:asciiTheme="minorHAnsi" w:hAnsiTheme="minorHAnsi" w:cstheme="minorHAnsi"/>
          <w:sz w:val="28"/>
          <w:szCs w:val="28"/>
        </w:rPr>
        <w:t>permiten al alumnado con diversidad funcional la interacción con el ordenador cuando no se tiene posibilidad de acceso a través de teclados y ratones convencionales.</w:t>
      </w:r>
    </w:p>
    <w:p w:rsidR="008949B1" w:rsidRPr="005E1103" w:rsidRDefault="008949B1" w:rsidP="008949B1">
      <w:pPr>
        <w:pStyle w:val="Ttulo2"/>
        <w:spacing w:before="240" w:after="200" w:line="360" w:lineRule="auto"/>
        <w:ind w:firstLine="454"/>
        <w:rPr>
          <w:rFonts w:asciiTheme="minorHAnsi" w:hAnsiTheme="minorHAnsi" w:cstheme="minorHAnsi"/>
          <w:color w:val="auto"/>
          <w:sz w:val="28"/>
          <w:szCs w:val="28"/>
        </w:rPr>
      </w:pPr>
      <w:bookmarkStart w:id="75" w:name="_Toc421053367"/>
      <w:r w:rsidRPr="005E1103">
        <w:rPr>
          <w:rFonts w:asciiTheme="minorHAnsi" w:hAnsiTheme="minorHAnsi" w:cstheme="minorHAnsi"/>
          <w:color w:val="auto"/>
          <w:sz w:val="28"/>
          <w:szCs w:val="28"/>
        </w:rPr>
        <w:t xml:space="preserve">La actualidad del profesorado con las TIC en un centro </w:t>
      </w:r>
      <w:bookmarkEnd w:id="75"/>
      <w:r w:rsidRPr="005E1103">
        <w:rPr>
          <w:rFonts w:asciiTheme="minorHAnsi" w:hAnsiTheme="minorHAnsi" w:cstheme="minorHAnsi"/>
          <w:color w:val="auto"/>
          <w:sz w:val="28"/>
          <w:szCs w:val="28"/>
        </w:rPr>
        <w:t>universitario</w:t>
      </w:r>
    </w:p>
    <w:p w:rsidR="008949B1" w:rsidRPr="005E1103" w:rsidRDefault="008949B1" w:rsidP="008949B1">
      <w:pPr>
        <w:pStyle w:val="Standard"/>
        <w:spacing w:line="360" w:lineRule="auto"/>
        <w:ind w:firstLine="454"/>
        <w:jc w:val="both"/>
        <w:rPr>
          <w:rFonts w:asciiTheme="minorHAnsi" w:hAnsiTheme="minorHAnsi" w:cstheme="minorHAnsi"/>
          <w:sz w:val="28"/>
          <w:szCs w:val="28"/>
        </w:rPr>
      </w:pPr>
      <w:r w:rsidRPr="005E1103">
        <w:rPr>
          <w:rFonts w:asciiTheme="minorHAnsi" w:hAnsiTheme="minorHAnsi" w:cstheme="minorHAnsi"/>
          <w:sz w:val="28"/>
          <w:szCs w:val="28"/>
        </w:rPr>
        <w:tab/>
        <w:t>Resulta evidente que no basta con dotar a los centros con recursos tecnológicos, sino que la motivación, la orientación, los intereses y la formación del profesorado son aspectos imprescindibles para lograr la plena alfabetización digital de los actuales alumnos (futuros ciudadanos).</w:t>
      </w:r>
    </w:p>
    <w:p w:rsidR="008949B1" w:rsidRPr="005E1103" w:rsidRDefault="008949B1" w:rsidP="008949B1">
      <w:pPr>
        <w:pStyle w:val="Standard"/>
        <w:spacing w:line="360" w:lineRule="auto"/>
        <w:ind w:firstLine="454"/>
        <w:jc w:val="both"/>
        <w:rPr>
          <w:rFonts w:asciiTheme="minorHAnsi" w:hAnsiTheme="minorHAnsi" w:cstheme="minorHAnsi"/>
          <w:sz w:val="28"/>
          <w:szCs w:val="28"/>
        </w:rPr>
      </w:pPr>
      <w:r w:rsidRPr="005E1103">
        <w:rPr>
          <w:rFonts w:asciiTheme="minorHAnsi" w:hAnsiTheme="minorHAnsi" w:cstheme="minorHAnsi"/>
          <w:sz w:val="28"/>
          <w:szCs w:val="28"/>
        </w:rPr>
        <w:tab/>
        <w:t>El docente se ha convertido en la piedra angular para la implantación de la tecnología en los centros escolares. Una fugaz reflexión sobre lo que diariamente se le exige a los maestros puede dar una idea de la susceptibilidad con que éstos han acogido a los nuevos intrusos.</w:t>
      </w:r>
    </w:p>
    <w:p w:rsidR="008949B1" w:rsidRPr="005E1103" w:rsidRDefault="008949B1" w:rsidP="008949B1">
      <w:pPr>
        <w:pStyle w:val="Standard"/>
        <w:spacing w:line="360" w:lineRule="auto"/>
        <w:ind w:firstLine="454"/>
        <w:jc w:val="both"/>
        <w:rPr>
          <w:rFonts w:asciiTheme="minorHAnsi" w:hAnsiTheme="minorHAnsi" w:cstheme="minorHAnsi"/>
          <w:sz w:val="28"/>
          <w:szCs w:val="28"/>
        </w:rPr>
      </w:pPr>
      <w:r w:rsidRPr="005E1103">
        <w:rPr>
          <w:rFonts w:asciiTheme="minorHAnsi" w:hAnsiTheme="minorHAnsi" w:cstheme="minorHAnsi"/>
          <w:sz w:val="28"/>
          <w:szCs w:val="28"/>
        </w:rPr>
        <w:t>La penetración de las TIC en el ámbito universitario se está llevando a cabo con excesiva timidez; entre las razones que podríamos aludir como motivo de tal lentitud encontramos la existencia de problemas relacionados con la actitud de los profesores hacia los nuevos medios desde perspectivas diversas.</w:t>
      </w:r>
    </w:p>
    <w:p w:rsidR="008949B1" w:rsidRPr="005E1103" w:rsidRDefault="008949B1" w:rsidP="008949B1">
      <w:pPr>
        <w:pStyle w:val="Standard"/>
        <w:spacing w:line="360" w:lineRule="auto"/>
        <w:ind w:firstLine="454"/>
        <w:jc w:val="both"/>
        <w:rPr>
          <w:rFonts w:asciiTheme="minorHAnsi" w:hAnsiTheme="minorHAnsi" w:cstheme="minorHAnsi"/>
          <w:sz w:val="28"/>
          <w:szCs w:val="28"/>
        </w:rPr>
      </w:pPr>
      <w:r w:rsidRPr="005E1103">
        <w:rPr>
          <w:rFonts w:asciiTheme="minorHAnsi" w:hAnsiTheme="minorHAnsi" w:cstheme="minorHAnsi"/>
          <w:sz w:val="28"/>
          <w:szCs w:val="28"/>
        </w:rPr>
        <w:t>Llegados a este punto y antes de adentrarnos con mayor profundidad en este apartado nos parece conveniente establecer que rasgos definen tanto a profesores noveles como a profesores veteranos respecto a las TIC. (Lombarte, 2005):</w:t>
      </w:r>
    </w:p>
    <w:p w:rsidR="008949B1" w:rsidRPr="005E1103" w:rsidRDefault="008949B1" w:rsidP="008949B1">
      <w:pPr>
        <w:pStyle w:val="Standard"/>
        <w:spacing w:line="360" w:lineRule="auto"/>
        <w:ind w:firstLine="454"/>
        <w:jc w:val="both"/>
        <w:rPr>
          <w:rFonts w:asciiTheme="minorHAnsi" w:hAnsiTheme="minorHAnsi" w:cstheme="minorHAnsi"/>
          <w:sz w:val="28"/>
          <w:szCs w:val="28"/>
        </w:rPr>
      </w:pPr>
    </w:p>
    <w:p w:rsidR="008949B1" w:rsidRPr="005E1103" w:rsidRDefault="008949B1" w:rsidP="008949B1">
      <w:pPr>
        <w:pStyle w:val="Standard"/>
        <w:spacing w:line="360" w:lineRule="auto"/>
        <w:ind w:firstLine="454"/>
        <w:jc w:val="both"/>
        <w:rPr>
          <w:rFonts w:asciiTheme="minorHAnsi" w:hAnsiTheme="minorHAnsi" w:cstheme="minorHAnsi"/>
          <w:sz w:val="28"/>
          <w:szCs w:val="28"/>
        </w:rPr>
      </w:pPr>
    </w:p>
    <w:tbl>
      <w:tblPr>
        <w:tblW w:w="8916" w:type="dxa"/>
        <w:jc w:val="center"/>
        <w:tblLayout w:type="fixed"/>
        <w:tblCellMar>
          <w:left w:w="10" w:type="dxa"/>
          <w:right w:w="10" w:type="dxa"/>
        </w:tblCellMar>
        <w:tblLook w:val="0000" w:firstRow="0" w:lastRow="0" w:firstColumn="0" w:lastColumn="0" w:noHBand="0" w:noVBand="0"/>
      </w:tblPr>
      <w:tblGrid>
        <w:gridCol w:w="2199"/>
        <w:gridCol w:w="6717"/>
      </w:tblGrid>
      <w:tr w:rsidR="008949B1" w:rsidRPr="005E1103" w:rsidTr="008949B1">
        <w:trPr>
          <w:trHeight w:val="510"/>
          <w:jc w:val="center"/>
        </w:trPr>
        <w:tc>
          <w:tcPr>
            <w:tcW w:w="2199" w:type="dxa"/>
            <w:tcBorders>
              <w:top w:val="double" w:sz="4" w:space="0" w:color="00000A"/>
              <w:left w:val="double" w:sz="4" w:space="0" w:color="00000A"/>
              <w:bottom w:val="single" w:sz="4" w:space="0" w:color="00000A"/>
            </w:tcBorders>
            <w:tcMar>
              <w:top w:w="0" w:type="dxa"/>
              <w:left w:w="122" w:type="dxa"/>
              <w:bottom w:w="0" w:type="dxa"/>
              <w:right w:w="108" w:type="dxa"/>
            </w:tcMar>
            <w:vAlign w:val="center"/>
          </w:tcPr>
          <w:p w:rsidR="008949B1" w:rsidRPr="005E1103" w:rsidRDefault="008949B1" w:rsidP="008949B1">
            <w:pPr>
              <w:pStyle w:val="Standard"/>
              <w:spacing w:line="360" w:lineRule="auto"/>
              <w:ind w:firstLine="454"/>
              <w:jc w:val="both"/>
              <w:rPr>
                <w:rFonts w:asciiTheme="minorHAnsi" w:hAnsiTheme="minorHAnsi" w:cstheme="minorHAnsi"/>
                <w:sz w:val="28"/>
                <w:szCs w:val="28"/>
              </w:rPr>
            </w:pPr>
          </w:p>
          <w:p w:rsidR="008949B1" w:rsidRPr="005E1103" w:rsidRDefault="008949B1" w:rsidP="008949B1">
            <w:pPr>
              <w:pStyle w:val="Standard"/>
              <w:spacing w:line="360" w:lineRule="auto"/>
              <w:ind w:firstLine="454"/>
              <w:jc w:val="both"/>
              <w:rPr>
                <w:rFonts w:asciiTheme="minorHAnsi" w:hAnsiTheme="minorHAnsi" w:cstheme="minorHAnsi"/>
                <w:b/>
                <w:sz w:val="28"/>
                <w:szCs w:val="28"/>
              </w:rPr>
            </w:pPr>
            <w:r w:rsidRPr="005E1103">
              <w:rPr>
                <w:rFonts w:asciiTheme="minorHAnsi" w:hAnsiTheme="minorHAnsi" w:cstheme="minorHAnsi"/>
                <w:b/>
                <w:sz w:val="28"/>
                <w:szCs w:val="28"/>
              </w:rPr>
              <w:lastRenderedPageBreak/>
              <w:t>Profesor veterano</w:t>
            </w:r>
          </w:p>
        </w:tc>
        <w:tc>
          <w:tcPr>
            <w:tcW w:w="6717" w:type="dxa"/>
            <w:tcBorders>
              <w:top w:val="double" w:sz="4" w:space="0" w:color="00000A"/>
              <w:bottom w:val="single" w:sz="4" w:space="0" w:color="00000A"/>
              <w:right w:val="double" w:sz="4" w:space="0" w:color="00000A"/>
            </w:tcBorders>
            <w:tcMar>
              <w:top w:w="0" w:type="dxa"/>
              <w:left w:w="122" w:type="dxa"/>
              <w:bottom w:w="0" w:type="dxa"/>
              <w:right w:w="108" w:type="dxa"/>
            </w:tcMar>
          </w:tcPr>
          <w:p w:rsidR="008949B1" w:rsidRPr="005E1103" w:rsidRDefault="008949B1" w:rsidP="008949B1">
            <w:pPr>
              <w:pStyle w:val="Standard"/>
              <w:numPr>
                <w:ilvl w:val="0"/>
                <w:numId w:val="115"/>
              </w:numPr>
              <w:spacing w:line="360" w:lineRule="auto"/>
              <w:ind w:firstLine="454"/>
              <w:jc w:val="both"/>
              <w:rPr>
                <w:rFonts w:asciiTheme="minorHAnsi" w:hAnsiTheme="minorHAnsi" w:cstheme="minorHAnsi"/>
                <w:sz w:val="28"/>
                <w:szCs w:val="28"/>
              </w:rPr>
            </w:pPr>
            <w:r w:rsidRPr="005E1103">
              <w:rPr>
                <w:rFonts w:asciiTheme="minorHAnsi" w:hAnsiTheme="minorHAnsi" w:cstheme="minorHAnsi"/>
                <w:sz w:val="28"/>
                <w:szCs w:val="28"/>
              </w:rPr>
              <w:lastRenderedPageBreak/>
              <w:t xml:space="preserve">Su alfabetización cultural se basó principalmente </w:t>
            </w:r>
            <w:r w:rsidRPr="005E1103">
              <w:rPr>
                <w:rFonts w:asciiTheme="minorHAnsi" w:hAnsiTheme="minorHAnsi" w:cstheme="minorHAnsi"/>
                <w:sz w:val="28"/>
                <w:szCs w:val="28"/>
              </w:rPr>
              <w:lastRenderedPageBreak/>
              <w:t>en la utilización de formas impresas y no desea modificar esta manera de transmisión de la cultura tradicional.</w:t>
            </w:r>
          </w:p>
          <w:p w:rsidR="008949B1" w:rsidRPr="005E1103" w:rsidRDefault="008949B1" w:rsidP="008949B1">
            <w:pPr>
              <w:pStyle w:val="Standard"/>
              <w:numPr>
                <w:ilvl w:val="0"/>
                <w:numId w:val="115"/>
              </w:numPr>
              <w:spacing w:line="360" w:lineRule="auto"/>
              <w:ind w:firstLine="454"/>
              <w:jc w:val="both"/>
              <w:rPr>
                <w:rFonts w:asciiTheme="minorHAnsi" w:hAnsiTheme="minorHAnsi" w:cstheme="minorHAnsi"/>
                <w:sz w:val="28"/>
                <w:szCs w:val="28"/>
              </w:rPr>
            </w:pPr>
            <w:r w:rsidRPr="005E1103">
              <w:rPr>
                <w:rFonts w:asciiTheme="minorHAnsi" w:hAnsiTheme="minorHAnsi" w:cstheme="minorHAnsi"/>
                <w:sz w:val="28"/>
                <w:szCs w:val="28"/>
              </w:rPr>
              <w:t>No desea alterar su modelo pedagógico, así como su forma de transmisión de la cultura por miedo a lo desconocido o por desidia.</w:t>
            </w:r>
          </w:p>
          <w:p w:rsidR="008949B1" w:rsidRPr="005E1103" w:rsidRDefault="008949B1" w:rsidP="008949B1">
            <w:pPr>
              <w:pStyle w:val="Standard"/>
              <w:numPr>
                <w:ilvl w:val="0"/>
                <w:numId w:val="115"/>
              </w:numPr>
              <w:spacing w:line="360" w:lineRule="auto"/>
              <w:ind w:firstLine="454"/>
              <w:jc w:val="both"/>
              <w:rPr>
                <w:rFonts w:asciiTheme="minorHAnsi" w:hAnsiTheme="minorHAnsi" w:cstheme="minorHAnsi"/>
                <w:sz w:val="28"/>
                <w:szCs w:val="28"/>
              </w:rPr>
            </w:pPr>
            <w:r w:rsidRPr="005E1103">
              <w:rPr>
                <w:rFonts w:asciiTheme="minorHAnsi" w:hAnsiTheme="minorHAnsi" w:cstheme="minorHAnsi"/>
                <w:sz w:val="28"/>
                <w:szCs w:val="28"/>
              </w:rPr>
              <w:t>Su experiencia interactiva con las máquinas como usuario es escasa; tampoco encuentra razones de peso para promover dicha experiencia.</w:t>
            </w:r>
          </w:p>
          <w:p w:rsidR="008949B1" w:rsidRPr="005E1103" w:rsidRDefault="008949B1" w:rsidP="008949B1">
            <w:pPr>
              <w:pStyle w:val="Standard"/>
              <w:numPr>
                <w:ilvl w:val="0"/>
                <w:numId w:val="115"/>
              </w:numPr>
              <w:spacing w:line="360" w:lineRule="auto"/>
              <w:ind w:firstLine="454"/>
              <w:jc w:val="both"/>
              <w:rPr>
                <w:rFonts w:asciiTheme="minorHAnsi" w:hAnsiTheme="minorHAnsi" w:cstheme="minorHAnsi"/>
                <w:sz w:val="28"/>
                <w:szCs w:val="28"/>
              </w:rPr>
            </w:pPr>
            <w:r w:rsidRPr="005E1103">
              <w:rPr>
                <w:rFonts w:asciiTheme="minorHAnsi" w:hAnsiTheme="minorHAnsi" w:cstheme="minorHAnsi"/>
                <w:sz w:val="28"/>
                <w:szCs w:val="28"/>
              </w:rPr>
              <w:t>Sus ideas y actuaciones respecto a las TIC resultan ser, en numerosas ocasiones, retrógradas, reticentes, aversivas… por miedo a lo desconocido y a la escasa iniciativa personal para abrir la nueva puerta que brinda Internet.</w:t>
            </w:r>
          </w:p>
          <w:p w:rsidR="008949B1" w:rsidRPr="005E1103" w:rsidRDefault="008949B1" w:rsidP="008949B1">
            <w:pPr>
              <w:pStyle w:val="Standard"/>
              <w:numPr>
                <w:ilvl w:val="0"/>
                <w:numId w:val="115"/>
              </w:numPr>
              <w:spacing w:line="360" w:lineRule="auto"/>
              <w:ind w:firstLine="454"/>
              <w:jc w:val="both"/>
              <w:rPr>
                <w:rFonts w:asciiTheme="minorHAnsi" w:hAnsiTheme="minorHAnsi" w:cstheme="minorHAnsi"/>
                <w:sz w:val="28"/>
                <w:szCs w:val="28"/>
              </w:rPr>
            </w:pPr>
            <w:r w:rsidRPr="005E1103">
              <w:rPr>
                <w:rFonts w:asciiTheme="minorHAnsi" w:hAnsiTheme="minorHAnsi" w:cstheme="minorHAnsi"/>
                <w:sz w:val="28"/>
                <w:szCs w:val="28"/>
              </w:rPr>
              <w:t>No se muestra interesado por realizar cursos de formación relacionados con las posibilidades que las TIC pueden llevar a las aulas; y si ha realizado formación vinculada a las TIC esta no ha hecho mella en él, ya que, no ha cultivado la reflexión y la inteligencia que le permitiría navegar por el ciberespacio con tranquilidad y cierto dominio.</w:t>
            </w:r>
          </w:p>
        </w:tc>
      </w:tr>
      <w:tr w:rsidR="008949B1" w:rsidRPr="005E1103" w:rsidTr="008949B1">
        <w:trPr>
          <w:trHeight w:val="703"/>
          <w:jc w:val="center"/>
        </w:trPr>
        <w:tc>
          <w:tcPr>
            <w:tcW w:w="2199" w:type="dxa"/>
            <w:tcBorders>
              <w:top w:val="single" w:sz="4" w:space="0" w:color="00000A"/>
              <w:left w:val="double" w:sz="4" w:space="0" w:color="00000A"/>
              <w:bottom w:val="double" w:sz="4" w:space="0" w:color="00000A"/>
            </w:tcBorders>
            <w:tcMar>
              <w:top w:w="0" w:type="dxa"/>
              <w:left w:w="122" w:type="dxa"/>
              <w:bottom w:w="0" w:type="dxa"/>
              <w:right w:w="108" w:type="dxa"/>
            </w:tcMar>
            <w:vAlign w:val="center"/>
          </w:tcPr>
          <w:p w:rsidR="008949B1" w:rsidRPr="005E1103" w:rsidRDefault="008949B1" w:rsidP="008949B1">
            <w:pPr>
              <w:pStyle w:val="Standard"/>
              <w:spacing w:line="360" w:lineRule="auto"/>
              <w:ind w:firstLine="454"/>
              <w:jc w:val="both"/>
              <w:rPr>
                <w:rFonts w:asciiTheme="minorHAnsi" w:hAnsiTheme="minorHAnsi" w:cstheme="minorHAnsi"/>
                <w:b/>
                <w:sz w:val="28"/>
                <w:szCs w:val="28"/>
              </w:rPr>
            </w:pPr>
            <w:r w:rsidRPr="005E1103">
              <w:rPr>
                <w:rFonts w:asciiTheme="minorHAnsi" w:hAnsiTheme="minorHAnsi" w:cstheme="minorHAnsi"/>
                <w:b/>
                <w:sz w:val="28"/>
                <w:szCs w:val="28"/>
              </w:rPr>
              <w:lastRenderedPageBreak/>
              <w:t>Profesor novel</w:t>
            </w:r>
          </w:p>
        </w:tc>
        <w:tc>
          <w:tcPr>
            <w:tcW w:w="6717" w:type="dxa"/>
            <w:tcBorders>
              <w:top w:val="single" w:sz="4" w:space="0" w:color="00000A"/>
              <w:bottom w:val="double" w:sz="4" w:space="0" w:color="00000A"/>
              <w:right w:val="double" w:sz="4" w:space="0" w:color="00000A"/>
            </w:tcBorders>
            <w:tcMar>
              <w:top w:w="0" w:type="dxa"/>
              <w:left w:w="122" w:type="dxa"/>
              <w:bottom w:w="0" w:type="dxa"/>
              <w:right w:w="108" w:type="dxa"/>
            </w:tcMar>
          </w:tcPr>
          <w:p w:rsidR="008949B1" w:rsidRPr="005E1103" w:rsidRDefault="008949B1" w:rsidP="008949B1">
            <w:pPr>
              <w:pStyle w:val="Standard"/>
              <w:numPr>
                <w:ilvl w:val="0"/>
                <w:numId w:val="116"/>
              </w:numPr>
              <w:spacing w:line="360" w:lineRule="auto"/>
              <w:ind w:firstLine="454"/>
              <w:jc w:val="both"/>
              <w:rPr>
                <w:rFonts w:asciiTheme="minorHAnsi" w:hAnsiTheme="minorHAnsi" w:cstheme="minorHAnsi"/>
                <w:sz w:val="28"/>
                <w:szCs w:val="28"/>
              </w:rPr>
            </w:pPr>
            <w:r w:rsidRPr="005E1103">
              <w:rPr>
                <w:rFonts w:asciiTheme="minorHAnsi" w:hAnsiTheme="minorHAnsi" w:cstheme="minorHAnsi"/>
                <w:sz w:val="28"/>
                <w:szCs w:val="28"/>
              </w:rPr>
              <w:t>Pese a que en numerosas ocasiones su formación ha estado íntimamente ligada a la transmisión de saberes culturales mediante los libros, es consciente de que se halla en la sociedad de la información y de que sus alumnos pertenecen a la denominada “generación @” y por tanto, debe adaptarse a dicha situación de la mejor manera posible.</w:t>
            </w:r>
          </w:p>
          <w:p w:rsidR="008949B1" w:rsidRPr="005E1103" w:rsidRDefault="008949B1" w:rsidP="008949B1">
            <w:pPr>
              <w:pStyle w:val="Standard"/>
              <w:numPr>
                <w:ilvl w:val="0"/>
                <w:numId w:val="116"/>
              </w:numPr>
              <w:spacing w:line="360" w:lineRule="auto"/>
              <w:ind w:firstLine="454"/>
              <w:jc w:val="both"/>
              <w:rPr>
                <w:rFonts w:asciiTheme="minorHAnsi" w:hAnsiTheme="minorHAnsi" w:cstheme="minorHAnsi"/>
                <w:sz w:val="28"/>
                <w:szCs w:val="28"/>
              </w:rPr>
            </w:pPr>
            <w:r w:rsidRPr="005E1103">
              <w:rPr>
                <w:rFonts w:asciiTheme="minorHAnsi" w:hAnsiTheme="minorHAnsi" w:cstheme="minorHAnsi"/>
                <w:sz w:val="28"/>
                <w:szCs w:val="28"/>
              </w:rPr>
              <w:lastRenderedPageBreak/>
              <w:t>Es un ciudadano experimentado y autosuficiente a la hora de moverse por la cultura de redes.</w:t>
            </w:r>
          </w:p>
          <w:p w:rsidR="008949B1" w:rsidRPr="005E1103" w:rsidRDefault="008949B1" w:rsidP="008949B1">
            <w:pPr>
              <w:pStyle w:val="Standard"/>
              <w:numPr>
                <w:ilvl w:val="0"/>
                <w:numId w:val="116"/>
              </w:numPr>
              <w:spacing w:line="360" w:lineRule="auto"/>
              <w:ind w:firstLine="454"/>
              <w:jc w:val="both"/>
              <w:rPr>
                <w:rFonts w:asciiTheme="minorHAnsi" w:hAnsiTheme="minorHAnsi" w:cstheme="minorHAnsi"/>
                <w:sz w:val="28"/>
                <w:szCs w:val="28"/>
              </w:rPr>
            </w:pPr>
            <w:r w:rsidRPr="005E1103">
              <w:rPr>
                <w:rFonts w:asciiTheme="minorHAnsi" w:hAnsiTheme="minorHAnsi" w:cstheme="minorHAnsi"/>
                <w:sz w:val="28"/>
                <w:szCs w:val="28"/>
              </w:rPr>
              <w:t>Su mentalidad y actitud respecto a la implantación de las TIC en la escuela es abierta, inquieta y experimentadora.</w:t>
            </w:r>
          </w:p>
          <w:p w:rsidR="008949B1" w:rsidRPr="005E1103" w:rsidRDefault="008949B1" w:rsidP="008949B1">
            <w:pPr>
              <w:pStyle w:val="Standard"/>
              <w:numPr>
                <w:ilvl w:val="0"/>
                <w:numId w:val="116"/>
              </w:numPr>
              <w:spacing w:line="360" w:lineRule="auto"/>
              <w:ind w:firstLine="454"/>
              <w:jc w:val="both"/>
              <w:rPr>
                <w:rFonts w:asciiTheme="minorHAnsi" w:hAnsiTheme="minorHAnsi" w:cstheme="minorHAnsi"/>
                <w:sz w:val="28"/>
                <w:szCs w:val="28"/>
              </w:rPr>
            </w:pPr>
            <w:r w:rsidRPr="005E1103">
              <w:rPr>
                <w:rFonts w:asciiTheme="minorHAnsi" w:hAnsiTheme="minorHAnsi" w:cstheme="minorHAnsi"/>
                <w:sz w:val="28"/>
                <w:szCs w:val="28"/>
              </w:rPr>
              <w:t>Su formación técnica en cuanto al manejo del software educativo es buena.</w:t>
            </w:r>
          </w:p>
          <w:p w:rsidR="008949B1" w:rsidRPr="005E1103" w:rsidRDefault="008949B1" w:rsidP="008949B1">
            <w:pPr>
              <w:pStyle w:val="Standard"/>
              <w:numPr>
                <w:ilvl w:val="0"/>
                <w:numId w:val="116"/>
              </w:numPr>
              <w:spacing w:line="360" w:lineRule="auto"/>
              <w:ind w:firstLine="454"/>
              <w:jc w:val="both"/>
              <w:rPr>
                <w:rFonts w:asciiTheme="minorHAnsi" w:hAnsiTheme="minorHAnsi" w:cstheme="minorHAnsi"/>
                <w:sz w:val="28"/>
                <w:szCs w:val="28"/>
              </w:rPr>
            </w:pPr>
            <w:r w:rsidRPr="005E1103">
              <w:rPr>
                <w:rFonts w:asciiTheme="minorHAnsi" w:hAnsiTheme="minorHAnsi" w:cstheme="minorHAnsi"/>
                <w:sz w:val="28"/>
                <w:szCs w:val="28"/>
              </w:rPr>
              <w:t>Es conocedor del potencial didáctico que se encuentra en las TIC y sabe cómo extraerlo en la práctica diaria con su alumnado.</w:t>
            </w:r>
          </w:p>
          <w:p w:rsidR="008949B1" w:rsidRPr="005E1103" w:rsidRDefault="008949B1" w:rsidP="008949B1">
            <w:pPr>
              <w:pStyle w:val="Standard"/>
              <w:numPr>
                <w:ilvl w:val="0"/>
                <w:numId w:val="116"/>
              </w:numPr>
              <w:spacing w:line="360" w:lineRule="auto"/>
              <w:ind w:firstLine="454"/>
              <w:jc w:val="both"/>
              <w:rPr>
                <w:rFonts w:asciiTheme="minorHAnsi" w:hAnsiTheme="minorHAnsi" w:cstheme="minorHAnsi"/>
                <w:sz w:val="28"/>
                <w:szCs w:val="28"/>
              </w:rPr>
            </w:pPr>
            <w:r w:rsidRPr="005E1103">
              <w:rPr>
                <w:rFonts w:asciiTheme="minorHAnsi" w:hAnsiTheme="minorHAnsi" w:cstheme="minorHAnsi"/>
                <w:sz w:val="28"/>
                <w:szCs w:val="28"/>
              </w:rPr>
              <w:t>En él se complementan a la perfección conocimiento técnico, pedagógico y experiencial respecto a las TIC.</w:t>
            </w:r>
          </w:p>
          <w:p w:rsidR="008949B1" w:rsidRPr="005E1103" w:rsidRDefault="008949B1" w:rsidP="008949B1">
            <w:pPr>
              <w:pStyle w:val="Standard"/>
              <w:numPr>
                <w:ilvl w:val="0"/>
                <w:numId w:val="116"/>
              </w:numPr>
              <w:spacing w:line="360" w:lineRule="auto"/>
              <w:ind w:firstLine="454"/>
              <w:jc w:val="both"/>
              <w:rPr>
                <w:rFonts w:asciiTheme="minorHAnsi" w:hAnsiTheme="minorHAnsi" w:cstheme="minorHAnsi"/>
                <w:sz w:val="28"/>
                <w:szCs w:val="28"/>
              </w:rPr>
            </w:pPr>
            <w:r w:rsidRPr="005E1103">
              <w:rPr>
                <w:rFonts w:asciiTheme="minorHAnsi" w:hAnsiTheme="minorHAnsi" w:cstheme="minorHAnsi"/>
                <w:sz w:val="28"/>
                <w:szCs w:val="28"/>
              </w:rPr>
              <w:t>Considera la formación continua como un elemento de gran valor de cara a su mejora tanto personal como profesional.</w:t>
            </w:r>
          </w:p>
        </w:tc>
      </w:tr>
    </w:tbl>
    <w:p w:rsidR="008949B1" w:rsidRPr="005E1103" w:rsidRDefault="008949B1" w:rsidP="008949B1">
      <w:pPr>
        <w:pStyle w:val="Standard"/>
        <w:spacing w:line="360" w:lineRule="auto"/>
        <w:ind w:firstLine="454"/>
        <w:jc w:val="both"/>
        <w:rPr>
          <w:rFonts w:asciiTheme="minorHAnsi" w:hAnsiTheme="minorHAnsi" w:cstheme="minorHAnsi"/>
          <w:b/>
          <w:sz w:val="28"/>
          <w:szCs w:val="28"/>
          <w:u w:val="single"/>
        </w:rPr>
      </w:pPr>
    </w:p>
    <w:p w:rsidR="008949B1" w:rsidRPr="005E1103" w:rsidRDefault="008949B1" w:rsidP="008949B1">
      <w:pPr>
        <w:pStyle w:val="Standard"/>
        <w:spacing w:line="360" w:lineRule="auto"/>
        <w:ind w:firstLine="454"/>
        <w:jc w:val="both"/>
        <w:rPr>
          <w:rFonts w:asciiTheme="minorHAnsi" w:hAnsiTheme="minorHAnsi" w:cstheme="minorHAnsi"/>
          <w:b/>
          <w:sz w:val="28"/>
          <w:szCs w:val="28"/>
          <w:u w:val="single"/>
        </w:rPr>
      </w:pPr>
    </w:p>
    <w:p w:rsidR="008949B1" w:rsidRPr="005E1103" w:rsidRDefault="008949B1" w:rsidP="008949B1">
      <w:pPr>
        <w:pStyle w:val="Standard"/>
        <w:spacing w:line="360" w:lineRule="auto"/>
        <w:ind w:firstLine="454"/>
        <w:jc w:val="both"/>
        <w:rPr>
          <w:rFonts w:asciiTheme="minorHAnsi" w:hAnsiTheme="minorHAnsi" w:cstheme="minorHAnsi"/>
          <w:b/>
          <w:sz w:val="28"/>
          <w:szCs w:val="28"/>
          <w:u w:val="single"/>
        </w:rPr>
      </w:pPr>
    </w:p>
    <w:p w:rsidR="008949B1" w:rsidRPr="005E1103" w:rsidRDefault="008949B1" w:rsidP="008949B1">
      <w:pPr>
        <w:pStyle w:val="Standard"/>
        <w:spacing w:line="360" w:lineRule="auto"/>
        <w:ind w:firstLine="454"/>
        <w:jc w:val="both"/>
        <w:rPr>
          <w:rFonts w:asciiTheme="minorHAnsi" w:hAnsiTheme="minorHAnsi" w:cstheme="minorHAnsi"/>
          <w:b/>
          <w:sz w:val="28"/>
          <w:szCs w:val="28"/>
          <w:u w:val="single"/>
        </w:rPr>
      </w:pPr>
    </w:p>
    <w:p w:rsidR="008949B1" w:rsidRPr="005E1103" w:rsidRDefault="008949B1" w:rsidP="008949B1">
      <w:pPr>
        <w:pStyle w:val="Standard"/>
        <w:spacing w:line="360" w:lineRule="auto"/>
        <w:ind w:firstLine="454"/>
        <w:jc w:val="both"/>
        <w:rPr>
          <w:rFonts w:asciiTheme="minorHAnsi" w:hAnsiTheme="minorHAnsi" w:cstheme="minorHAnsi"/>
          <w:b/>
          <w:sz w:val="28"/>
          <w:szCs w:val="28"/>
          <w:u w:val="single"/>
        </w:rPr>
      </w:pPr>
    </w:p>
    <w:p w:rsidR="008949B1" w:rsidRPr="005E1103" w:rsidRDefault="008949B1" w:rsidP="008949B1">
      <w:pPr>
        <w:pStyle w:val="Standard"/>
        <w:spacing w:line="360" w:lineRule="auto"/>
        <w:ind w:firstLine="454"/>
        <w:jc w:val="both"/>
        <w:rPr>
          <w:rFonts w:asciiTheme="minorHAnsi" w:hAnsiTheme="minorHAnsi" w:cstheme="minorHAnsi"/>
          <w:b/>
          <w:sz w:val="28"/>
          <w:szCs w:val="28"/>
          <w:u w:val="single"/>
        </w:rPr>
      </w:pPr>
    </w:p>
    <w:p w:rsidR="008949B1" w:rsidRPr="005E1103" w:rsidRDefault="008949B1" w:rsidP="008949B1">
      <w:pPr>
        <w:pStyle w:val="Standard"/>
        <w:spacing w:line="360" w:lineRule="auto"/>
        <w:ind w:firstLine="454"/>
        <w:jc w:val="both"/>
        <w:rPr>
          <w:rFonts w:asciiTheme="minorHAnsi" w:hAnsiTheme="minorHAnsi" w:cstheme="minorHAnsi"/>
          <w:b/>
          <w:sz w:val="28"/>
          <w:szCs w:val="28"/>
          <w:u w:val="single"/>
        </w:rPr>
      </w:pPr>
      <w:r w:rsidRPr="005E1103">
        <w:rPr>
          <w:rFonts w:asciiTheme="minorHAnsi" w:hAnsiTheme="minorHAnsi" w:cstheme="minorHAnsi"/>
          <w:b/>
          <w:sz w:val="28"/>
          <w:szCs w:val="28"/>
          <w:u w:val="single"/>
        </w:rPr>
        <w:t>Cursos en el Centro Territorial de Innovación y Formación</w:t>
      </w:r>
    </w:p>
    <w:p w:rsidR="008949B1" w:rsidRPr="005E1103" w:rsidRDefault="008949B1" w:rsidP="008949B1">
      <w:pPr>
        <w:pStyle w:val="Standard"/>
        <w:spacing w:line="360" w:lineRule="auto"/>
        <w:ind w:firstLine="454"/>
        <w:jc w:val="both"/>
        <w:rPr>
          <w:rFonts w:asciiTheme="minorHAnsi" w:hAnsiTheme="minorHAnsi" w:cstheme="minorHAnsi"/>
          <w:sz w:val="28"/>
          <w:szCs w:val="28"/>
        </w:rPr>
      </w:pPr>
      <w:r w:rsidRPr="005E1103">
        <w:rPr>
          <w:rFonts w:asciiTheme="minorHAnsi" w:hAnsiTheme="minorHAnsi" w:cstheme="minorHAnsi"/>
          <w:sz w:val="28"/>
          <w:szCs w:val="28"/>
        </w:rPr>
        <w:tab/>
        <w:t xml:space="preserve">En el Centro Territorial de Innovación y Formación en mi ciudad Alcalá de Henares, me han ofrecido la información de los cursos que se imparten a lo largo del curso académico. Muchos cursos están destinados a la diversidad funcional, pero también me han mencionado que los </w:t>
      </w:r>
      <w:r w:rsidRPr="005E1103">
        <w:rPr>
          <w:rFonts w:asciiTheme="minorHAnsi" w:hAnsiTheme="minorHAnsi" w:cstheme="minorHAnsi"/>
          <w:sz w:val="28"/>
          <w:szCs w:val="28"/>
        </w:rPr>
        <w:lastRenderedPageBreak/>
        <w:t>profesores no solicitan mucho los cursos relacionados con el uso de las TIC.</w:t>
      </w:r>
    </w:p>
    <w:p w:rsidR="008949B1" w:rsidRPr="005E1103" w:rsidRDefault="008949B1" w:rsidP="008949B1">
      <w:pPr>
        <w:pStyle w:val="Standard"/>
        <w:spacing w:line="360" w:lineRule="auto"/>
        <w:ind w:firstLine="454"/>
        <w:jc w:val="both"/>
        <w:rPr>
          <w:rFonts w:asciiTheme="minorHAnsi" w:hAnsiTheme="minorHAnsi" w:cstheme="minorHAnsi"/>
          <w:sz w:val="28"/>
          <w:szCs w:val="28"/>
        </w:rPr>
      </w:pPr>
    </w:p>
    <w:p w:rsidR="008949B1" w:rsidRPr="005E1103" w:rsidRDefault="008949B1" w:rsidP="008949B1">
      <w:pPr>
        <w:pStyle w:val="Standard"/>
        <w:spacing w:line="360" w:lineRule="auto"/>
        <w:ind w:firstLine="454"/>
        <w:jc w:val="both"/>
        <w:rPr>
          <w:rFonts w:asciiTheme="minorHAnsi" w:hAnsiTheme="minorHAnsi" w:cstheme="minorHAnsi"/>
          <w:b/>
          <w:bCs/>
          <w:sz w:val="28"/>
          <w:szCs w:val="28"/>
          <w:u w:val="single"/>
        </w:rPr>
      </w:pPr>
      <w:r w:rsidRPr="005E1103">
        <w:rPr>
          <w:rFonts w:asciiTheme="minorHAnsi" w:hAnsiTheme="minorHAnsi" w:cstheme="minorHAnsi"/>
          <w:b/>
          <w:bCs/>
          <w:sz w:val="28"/>
          <w:szCs w:val="28"/>
          <w:u w:val="single"/>
        </w:rPr>
        <w:t>Propuesta de mejora de los servicios de apoyo en la universidad</w:t>
      </w:r>
    </w:p>
    <w:p w:rsidR="008949B1" w:rsidRPr="005E1103" w:rsidRDefault="008949B1" w:rsidP="008949B1">
      <w:pPr>
        <w:pStyle w:val="Standard"/>
        <w:spacing w:line="360" w:lineRule="auto"/>
        <w:ind w:firstLine="454"/>
        <w:jc w:val="both"/>
        <w:rPr>
          <w:rFonts w:asciiTheme="minorHAnsi" w:hAnsiTheme="minorHAnsi" w:cstheme="minorHAnsi"/>
          <w:sz w:val="28"/>
          <w:szCs w:val="28"/>
        </w:rPr>
      </w:pPr>
      <w:r w:rsidRPr="005E1103">
        <w:rPr>
          <w:rFonts w:asciiTheme="minorHAnsi" w:hAnsiTheme="minorHAnsi" w:cstheme="minorHAnsi"/>
          <w:sz w:val="28"/>
          <w:szCs w:val="28"/>
        </w:rPr>
        <w:t>El número de estudiantes con diversidad funcional matriculados en estudios universitarios ha aumentado en los últimos años. Además, desde las distintas universidades españolas se han incrementado los servicios de apoyo para el año 2016. Finalizan Estudios de Educación Secundaria 13,12 % - 15,37 % Finalizan Estudios Universitarios 3,60 % - 7,91 %, atender a este colectivo.  Ambos aspectos pueden ser causa directa el uno del otro y nos indica la necesidad de valorar los datos positivos y continuar teniendo en cuenta los aspectos a mejorar.</w:t>
      </w:r>
    </w:p>
    <w:p w:rsidR="008949B1" w:rsidRPr="005E1103" w:rsidRDefault="008949B1" w:rsidP="008949B1">
      <w:pPr>
        <w:pStyle w:val="Standard"/>
        <w:spacing w:line="360" w:lineRule="auto"/>
        <w:ind w:firstLine="454"/>
        <w:jc w:val="both"/>
        <w:rPr>
          <w:rFonts w:asciiTheme="minorHAnsi" w:hAnsiTheme="minorHAnsi" w:cstheme="minorHAnsi"/>
          <w:sz w:val="28"/>
          <w:szCs w:val="28"/>
        </w:rPr>
      </w:pPr>
      <w:r w:rsidRPr="005E1103">
        <w:rPr>
          <w:rFonts w:asciiTheme="minorHAnsi" w:hAnsiTheme="minorHAnsi" w:cstheme="minorHAnsi"/>
          <w:sz w:val="28"/>
          <w:szCs w:val="28"/>
        </w:rPr>
        <w:t>Para ello, con la finalidad de desarrollar un protocolo común de actuación que garantice que los servicios de apoyo que ofrecen las distintas universidades cubren las necesidades de los estudiantes con diversidad funcional, los recientes estudios muestran interés por establecer aspectos a tener en cuenta, y desde los que trabajar.</w:t>
      </w:r>
    </w:p>
    <w:p w:rsidR="008949B1" w:rsidRPr="005E1103" w:rsidRDefault="008949B1" w:rsidP="008949B1">
      <w:pPr>
        <w:pStyle w:val="Standard"/>
        <w:spacing w:line="360" w:lineRule="auto"/>
        <w:ind w:firstLine="454"/>
        <w:jc w:val="both"/>
        <w:rPr>
          <w:rFonts w:asciiTheme="minorHAnsi" w:hAnsiTheme="minorHAnsi" w:cstheme="minorHAnsi"/>
          <w:sz w:val="28"/>
          <w:szCs w:val="28"/>
        </w:rPr>
      </w:pPr>
      <w:r w:rsidRPr="005E1103">
        <w:rPr>
          <w:rFonts w:asciiTheme="minorHAnsi" w:hAnsiTheme="minorHAnsi" w:cstheme="minorHAnsi"/>
          <w:sz w:val="28"/>
          <w:szCs w:val="28"/>
        </w:rPr>
        <w:t>Desde el Espacio Europeo de Educación Superior (EEES), se establecieron los estándares e indicadores de buenas prácticas en cuanto a la atención al alumnado universitario con diversidad funcional, a través de un estudio, con el fin de valorar qué actuaciones eficaces se llevan a cabo desde las distintas universidades y qué otras se hacen necesarias.</w:t>
      </w:r>
    </w:p>
    <w:p w:rsidR="008949B1" w:rsidRPr="005E1103" w:rsidRDefault="008949B1" w:rsidP="008949B1">
      <w:pPr>
        <w:pStyle w:val="Standard"/>
        <w:spacing w:line="360" w:lineRule="auto"/>
        <w:ind w:firstLine="454"/>
        <w:jc w:val="both"/>
        <w:rPr>
          <w:rFonts w:asciiTheme="minorHAnsi" w:hAnsiTheme="minorHAnsi" w:cstheme="minorHAnsi"/>
          <w:sz w:val="28"/>
          <w:szCs w:val="28"/>
        </w:rPr>
      </w:pPr>
      <w:r w:rsidRPr="005E1103">
        <w:rPr>
          <w:rFonts w:asciiTheme="minorHAnsi" w:hAnsiTheme="minorHAnsi" w:cstheme="minorHAnsi"/>
          <w:sz w:val="28"/>
          <w:szCs w:val="28"/>
        </w:rPr>
        <w:t>Se estudiaron los siguientes aspectos:</w:t>
      </w:r>
    </w:p>
    <w:p w:rsidR="008949B1" w:rsidRPr="005E1103" w:rsidRDefault="008949B1" w:rsidP="008949B1">
      <w:pPr>
        <w:pStyle w:val="Standard"/>
        <w:numPr>
          <w:ilvl w:val="0"/>
          <w:numId w:val="117"/>
        </w:numPr>
        <w:tabs>
          <w:tab w:val="left" w:pos="208"/>
        </w:tabs>
        <w:spacing w:line="360" w:lineRule="auto"/>
        <w:jc w:val="both"/>
        <w:rPr>
          <w:rFonts w:asciiTheme="minorHAnsi" w:hAnsiTheme="minorHAnsi" w:cstheme="minorHAnsi"/>
          <w:sz w:val="28"/>
          <w:szCs w:val="28"/>
        </w:rPr>
      </w:pPr>
      <w:r w:rsidRPr="005E1103">
        <w:rPr>
          <w:rFonts w:asciiTheme="minorHAnsi" w:hAnsiTheme="minorHAnsi" w:cstheme="minorHAnsi"/>
          <w:sz w:val="28"/>
          <w:szCs w:val="28"/>
        </w:rPr>
        <w:t>La accesibilidad que tienen estos estudiantes a documentos, materiales, instalaciones y a los recursos de la web.</w:t>
      </w:r>
    </w:p>
    <w:p w:rsidR="008949B1" w:rsidRPr="005E1103" w:rsidRDefault="008949B1" w:rsidP="008949B1">
      <w:pPr>
        <w:pStyle w:val="Standard"/>
        <w:numPr>
          <w:ilvl w:val="0"/>
          <w:numId w:val="117"/>
        </w:numPr>
        <w:tabs>
          <w:tab w:val="left" w:pos="208"/>
        </w:tabs>
        <w:spacing w:line="360" w:lineRule="auto"/>
        <w:jc w:val="both"/>
        <w:rPr>
          <w:rFonts w:asciiTheme="minorHAnsi" w:hAnsiTheme="minorHAnsi" w:cstheme="minorHAnsi"/>
          <w:sz w:val="28"/>
          <w:szCs w:val="28"/>
        </w:rPr>
      </w:pPr>
      <w:r w:rsidRPr="005E1103">
        <w:rPr>
          <w:rFonts w:asciiTheme="minorHAnsi" w:hAnsiTheme="minorHAnsi" w:cstheme="minorHAnsi"/>
          <w:sz w:val="28"/>
          <w:szCs w:val="28"/>
        </w:rPr>
        <w:t>Cuál es la respuesta que se ofrece ante las adaptaciones no significativas.</w:t>
      </w:r>
    </w:p>
    <w:p w:rsidR="008949B1" w:rsidRPr="005E1103" w:rsidRDefault="008949B1" w:rsidP="008949B1">
      <w:pPr>
        <w:pStyle w:val="Standard"/>
        <w:numPr>
          <w:ilvl w:val="0"/>
          <w:numId w:val="117"/>
        </w:numPr>
        <w:tabs>
          <w:tab w:val="left" w:pos="208"/>
        </w:tabs>
        <w:spacing w:line="360" w:lineRule="auto"/>
        <w:jc w:val="both"/>
        <w:rPr>
          <w:rFonts w:asciiTheme="minorHAnsi" w:hAnsiTheme="minorHAnsi" w:cstheme="minorHAnsi"/>
          <w:sz w:val="28"/>
          <w:szCs w:val="28"/>
        </w:rPr>
      </w:pPr>
      <w:r w:rsidRPr="005E1103">
        <w:rPr>
          <w:rFonts w:asciiTheme="minorHAnsi" w:hAnsiTheme="minorHAnsi" w:cstheme="minorHAnsi"/>
          <w:sz w:val="28"/>
          <w:szCs w:val="28"/>
        </w:rPr>
        <w:t xml:space="preserve">Qué características presentan los servicios de apoyo, la importancia de la </w:t>
      </w:r>
      <w:r w:rsidRPr="005E1103">
        <w:rPr>
          <w:rFonts w:asciiTheme="minorHAnsi" w:hAnsiTheme="minorHAnsi" w:cstheme="minorHAnsi"/>
          <w:sz w:val="28"/>
          <w:szCs w:val="28"/>
        </w:rPr>
        <w:lastRenderedPageBreak/>
        <w:t>comunicación y la confidencialidad de la información.</w:t>
      </w:r>
    </w:p>
    <w:p w:rsidR="008949B1" w:rsidRPr="005E1103" w:rsidRDefault="008949B1" w:rsidP="008949B1">
      <w:pPr>
        <w:pStyle w:val="Standard"/>
        <w:numPr>
          <w:ilvl w:val="0"/>
          <w:numId w:val="117"/>
        </w:numPr>
        <w:tabs>
          <w:tab w:val="left" w:pos="208"/>
        </w:tabs>
        <w:spacing w:line="360" w:lineRule="auto"/>
        <w:jc w:val="both"/>
        <w:rPr>
          <w:rFonts w:asciiTheme="minorHAnsi" w:hAnsiTheme="minorHAnsi" w:cstheme="minorHAnsi"/>
          <w:sz w:val="28"/>
          <w:szCs w:val="28"/>
        </w:rPr>
      </w:pPr>
      <w:r w:rsidRPr="005E1103">
        <w:rPr>
          <w:rFonts w:asciiTheme="minorHAnsi" w:hAnsiTheme="minorHAnsi" w:cstheme="minorHAnsi"/>
          <w:sz w:val="28"/>
          <w:szCs w:val="28"/>
        </w:rPr>
        <w:t>El diseño universal de aprendizaje para garantizar que, tanto de forma teórica como práctica, sea accesible para todos.</w:t>
      </w:r>
    </w:p>
    <w:p w:rsidR="008949B1" w:rsidRPr="005E1103" w:rsidRDefault="008949B1" w:rsidP="008949B1">
      <w:pPr>
        <w:pStyle w:val="Standard"/>
        <w:numPr>
          <w:ilvl w:val="0"/>
          <w:numId w:val="117"/>
        </w:numPr>
        <w:tabs>
          <w:tab w:val="left" w:pos="208"/>
        </w:tabs>
        <w:spacing w:line="360" w:lineRule="auto"/>
        <w:jc w:val="both"/>
        <w:rPr>
          <w:rFonts w:asciiTheme="minorHAnsi" w:hAnsiTheme="minorHAnsi" w:cstheme="minorHAnsi"/>
          <w:sz w:val="28"/>
          <w:szCs w:val="28"/>
        </w:rPr>
      </w:pPr>
      <w:r w:rsidRPr="005E1103">
        <w:rPr>
          <w:rFonts w:asciiTheme="minorHAnsi" w:hAnsiTheme="minorHAnsi" w:cstheme="minorHAnsi"/>
          <w:sz w:val="28"/>
          <w:szCs w:val="28"/>
        </w:rPr>
        <w:t>El diseño y revisión curricular, la divulgación de información relevante.</w:t>
      </w:r>
    </w:p>
    <w:p w:rsidR="008949B1" w:rsidRPr="005E1103" w:rsidRDefault="008949B1" w:rsidP="008949B1">
      <w:pPr>
        <w:pStyle w:val="Standard"/>
        <w:numPr>
          <w:ilvl w:val="0"/>
          <w:numId w:val="117"/>
        </w:numPr>
        <w:tabs>
          <w:tab w:val="left" w:pos="208"/>
        </w:tabs>
        <w:spacing w:line="360" w:lineRule="auto"/>
        <w:jc w:val="both"/>
        <w:rPr>
          <w:rFonts w:asciiTheme="minorHAnsi" w:hAnsiTheme="minorHAnsi" w:cstheme="minorHAnsi"/>
          <w:sz w:val="28"/>
          <w:szCs w:val="28"/>
        </w:rPr>
      </w:pPr>
      <w:r w:rsidRPr="005E1103">
        <w:rPr>
          <w:rFonts w:asciiTheme="minorHAnsi" w:hAnsiTheme="minorHAnsi" w:cstheme="minorHAnsi"/>
          <w:sz w:val="28"/>
          <w:szCs w:val="28"/>
        </w:rPr>
        <w:t>La evaluación teniendo en cuenta las dificultades que se puedan presentar a estos estudiantes.</w:t>
      </w:r>
    </w:p>
    <w:p w:rsidR="008949B1" w:rsidRPr="005E1103" w:rsidRDefault="008949B1" w:rsidP="008949B1">
      <w:pPr>
        <w:pStyle w:val="Standard"/>
        <w:numPr>
          <w:ilvl w:val="0"/>
          <w:numId w:val="117"/>
        </w:numPr>
        <w:tabs>
          <w:tab w:val="left" w:pos="208"/>
        </w:tabs>
        <w:spacing w:line="360" w:lineRule="auto"/>
        <w:jc w:val="both"/>
        <w:rPr>
          <w:rFonts w:asciiTheme="minorHAnsi" w:hAnsiTheme="minorHAnsi" w:cstheme="minorHAnsi"/>
          <w:sz w:val="28"/>
          <w:szCs w:val="28"/>
        </w:rPr>
      </w:pPr>
      <w:r w:rsidRPr="005E1103">
        <w:rPr>
          <w:rFonts w:asciiTheme="minorHAnsi" w:hAnsiTheme="minorHAnsi" w:cstheme="minorHAnsi"/>
          <w:sz w:val="28"/>
          <w:szCs w:val="28"/>
        </w:rPr>
        <w:t>La continua formación, información y sensibilización.</w:t>
      </w:r>
    </w:p>
    <w:p w:rsidR="008949B1" w:rsidRPr="005E1103" w:rsidRDefault="008949B1" w:rsidP="008949B1">
      <w:pPr>
        <w:pStyle w:val="Standard"/>
        <w:tabs>
          <w:tab w:val="left" w:pos="993"/>
        </w:tabs>
        <w:spacing w:line="360" w:lineRule="auto"/>
        <w:jc w:val="both"/>
        <w:rPr>
          <w:rFonts w:asciiTheme="minorHAnsi" w:hAnsiTheme="minorHAnsi" w:cstheme="minorHAnsi"/>
          <w:sz w:val="28"/>
          <w:szCs w:val="28"/>
        </w:rPr>
      </w:pPr>
      <w:r w:rsidRPr="005E1103">
        <w:rPr>
          <w:rFonts w:asciiTheme="minorHAnsi" w:hAnsiTheme="minorHAnsi" w:cstheme="minorHAnsi"/>
          <w:sz w:val="28"/>
          <w:szCs w:val="28"/>
        </w:rPr>
        <w:t>Teniendo en cuenta también las medidas y productos de apoyo para los distintos tipos de discapacidad, las políticas y procedimientos transversales, admisión y matrícula, políticas y procedimientos de evaluación y la inserción al mundo laboral. Estableciendo que los estándares comunes sobre los que trabajar desde los servicios de apoyo universitario y sobre los que se deben abordar las futuras investigaciones, son (Díez et al. 2011):</w:t>
      </w:r>
    </w:p>
    <w:p w:rsidR="008949B1" w:rsidRPr="005E1103" w:rsidRDefault="008949B1" w:rsidP="008949B1">
      <w:pPr>
        <w:pStyle w:val="Standard"/>
        <w:spacing w:line="360" w:lineRule="auto"/>
        <w:ind w:left="709" w:firstLine="454"/>
        <w:jc w:val="both"/>
        <w:rPr>
          <w:rFonts w:asciiTheme="minorHAnsi" w:hAnsiTheme="minorHAnsi" w:cstheme="minorHAnsi"/>
          <w:sz w:val="28"/>
          <w:szCs w:val="28"/>
        </w:rPr>
      </w:pPr>
      <w:r w:rsidRPr="005E1103">
        <w:rPr>
          <w:rFonts w:asciiTheme="minorHAnsi" w:hAnsiTheme="minorHAnsi" w:cstheme="minorHAnsi"/>
          <w:sz w:val="28"/>
          <w:szCs w:val="28"/>
        </w:rPr>
        <w:t> Consultoría y colaboración</w:t>
      </w:r>
    </w:p>
    <w:p w:rsidR="008949B1" w:rsidRPr="005E1103" w:rsidRDefault="008949B1" w:rsidP="008949B1">
      <w:pPr>
        <w:pStyle w:val="Standard"/>
        <w:spacing w:line="360" w:lineRule="auto"/>
        <w:ind w:left="709" w:firstLine="454"/>
        <w:jc w:val="both"/>
        <w:rPr>
          <w:rFonts w:asciiTheme="minorHAnsi" w:hAnsiTheme="minorHAnsi" w:cstheme="minorHAnsi"/>
          <w:sz w:val="28"/>
          <w:szCs w:val="28"/>
        </w:rPr>
      </w:pPr>
      <w:r w:rsidRPr="005E1103">
        <w:rPr>
          <w:rFonts w:asciiTheme="minorHAnsi" w:hAnsiTheme="minorHAnsi" w:cstheme="minorHAnsi"/>
          <w:sz w:val="28"/>
          <w:szCs w:val="28"/>
        </w:rPr>
        <w:t> Difusión de información</w:t>
      </w:r>
    </w:p>
    <w:p w:rsidR="008949B1" w:rsidRPr="005E1103" w:rsidRDefault="008949B1" w:rsidP="008949B1">
      <w:pPr>
        <w:pStyle w:val="Standard"/>
        <w:spacing w:line="360" w:lineRule="auto"/>
        <w:ind w:left="709" w:firstLine="454"/>
        <w:jc w:val="both"/>
        <w:rPr>
          <w:rFonts w:asciiTheme="minorHAnsi" w:hAnsiTheme="minorHAnsi" w:cstheme="minorHAnsi"/>
          <w:sz w:val="28"/>
          <w:szCs w:val="28"/>
        </w:rPr>
      </w:pPr>
      <w:r w:rsidRPr="005E1103">
        <w:rPr>
          <w:rFonts w:asciiTheme="minorHAnsi" w:hAnsiTheme="minorHAnsi" w:cstheme="minorHAnsi"/>
          <w:sz w:val="28"/>
          <w:szCs w:val="28"/>
        </w:rPr>
        <w:t> Sensibilización PDI/PAS</w:t>
      </w:r>
    </w:p>
    <w:p w:rsidR="008949B1" w:rsidRPr="005E1103" w:rsidRDefault="008949B1" w:rsidP="008949B1">
      <w:pPr>
        <w:pStyle w:val="Standard"/>
        <w:spacing w:line="360" w:lineRule="auto"/>
        <w:ind w:left="709" w:firstLine="454"/>
        <w:jc w:val="both"/>
        <w:rPr>
          <w:rFonts w:asciiTheme="minorHAnsi" w:hAnsiTheme="minorHAnsi" w:cstheme="minorHAnsi"/>
          <w:sz w:val="28"/>
          <w:szCs w:val="28"/>
        </w:rPr>
      </w:pPr>
      <w:r w:rsidRPr="005E1103">
        <w:rPr>
          <w:rFonts w:asciiTheme="minorHAnsi" w:hAnsiTheme="minorHAnsi" w:cstheme="minorHAnsi"/>
          <w:sz w:val="28"/>
          <w:szCs w:val="28"/>
        </w:rPr>
        <w:t> Adaptaciones académicas</w:t>
      </w:r>
    </w:p>
    <w:p w:rsidR="008949B1" w:rsidRPr="005E1103" w:rsidRDefault="008949B1" w:rsidP="008949B1">
      <w:pPr>
        <w:pStyle w:val="Standard"/>
        <w:spacing w:line="360" w:lineRule="auto"/>
        <w:ind w:left="709" w:firstLine="454"/>
        <w:jc w:val="both"/>
        <w:rPr>
          <w:rFonts w:asciiTheme="minorHAnsi" w:hAnsiTheme="minorHAnsi" w:cstheme="minorHAnsi"/>
          <w:sz w:val="28"/>
          <w:szCs w:val="28"/>
        </w:rPr>
      </w:pPr>
      <w:r w:rsidRPr="005E1103">
        <w:rPr>
          <w:rFonts w:asciiTheme="minorHAnsi" w:hAnsiTheme="minorHAnsi" w:cstheme="minorHAnsi"/>
          <w:sz w:val="28"/>
          <w:szCs w:val="28"/>
        </w:rPr>
        <w:t> Asesoramiento y apoyo</w:t>
      </w:r>
    </w:p>
    <w:p w:rsidR="008949B1" w:rsidRPr="005E1103" w:rsidRDefault="008949B1" w:rsidP="008949B1">
      <w:pPr>
        <w:pStyle w:val="Standard"/>
        <w:spacing w:line="360" w:lineRule="auto"/>
        <w:ind w:left="709" w:firstLine="454"/>
        <w:jc w:val="both"/>
        <w:rPr>
          <w:rFonts w:asciiTheme="minorHAnsi" w:hAnsiTheme="minorHAnsi" w:cstheme="minorHAnsi"/>
          <w:sz w:val="28"/>
          <w:szCs w:val="28"/>
        </w:rPr>
      </w:pPr>
      <w:r w:rsidRPr="005E1103">
        <w:rPr>
          <w:rFonts w:asciiTheme="minorHAnsi" w:hAnsiTheme="minorHAnsi" w:cstheme="minorHAnsi"/>
          <w:sz w:val="28"/>
          <w:szCs w:val="28"/>
        </w:rPr>
        <w:t> Políticas y procedimientos</w:t>
      </w:r>
    </w:p>
    <w:p w:rsidR="008949B1" w:rsidRPr="005E1103" w:rsidRDefault="008949B1" w:rsidP="008949B1">
      <w:pPr>
        <w:pStyle w:val="Standard"/>
        <w:spacing w:line="360" w:lineRule="auto"/>
        <w:ind w:left="709" w:firstLine="454"/>
        <w:jc w:val="both"/>
        <w:rPr>
          <w:rFonts w:asciiTheme="minorHAnsi" w:hAnsiTheme="minorHAnsi" w:cstheme="minorHAnsi"/>
          <w:sz w:val="28"/>
          <w:szCs w:val="28"/>
        </w:rPr>
      </w:pPr>
      <w:r w:rsidRPr="005E1103">
        <w:rPr>
          <w:rFonts w:asciiTheme="minorHAnsi" w:hAnsiTheme="minorHAnsi" w:cstheme="minorHAnsi"/>
          <w:sz w:val="28"/>
          <w:szCs w:val="28"/>
        </w:rPr>
        <w:t> Gestión y evaluación del Programa/Servicio</w:t>
      </w:r>
    </w:p>
    <w:p w:rsidR="008949B1" w:rsidRPr="005E1103" w:rsidRDefault="008949B1" w:rsidP="008949B1">
      <w:pPr>
        <w:pStyle w:val="Standard"/>
        <w:spacing w:line="360" w:lineRule="auto"/>
        <w:ind w:left="709" w:firstLine="454"/>
        <w:jc w:val="both"/>
        <w:rPr>
          <w:rFonts w:asciiTheme="minorHAnsi" w:hAnsiTheme="minorHAnsi" w:cstheme="minorHAnsi"/>
          <w:sz w:val="28"/>
          <w:szCs w:val="28"/>
        </w:rPr>
      </w:pPr>
      <w:r w:rsidRPr="005E1103">
        <w:rPr>
          <w:rFonts w:asciiTheme="minorHAnsi" w:hAnsiTheme="minorHAnsi" w:cstheme="minorHAnsi"/>
          <w:sz w:val="28"/>
          <w:szCs w:val="28"/>
        </w:rPr>
        <w:t> Formación y desarrollo de profesionales</w:t>
      </w:r>
    </w:p>
    <w:p w:rsidR="008949B1" w:rsidRPr="005E1103" w:rsidRDefault="008949B1" w:rsidP="008949B1">
      <w:pPr>
        <w:pStyle w:val="Standard"/>
        <w:spacing w:line="360" w:lineRule="auto"/>
        <w:ind w:left="709" w:firstLine="454"/>
        <w:jc w:val="both"/>
        <w:rPr>
          <w:rFonts w:asciiTheme="minorHAnsi" w:hAnsiTheme="minorHAnsi" w:cstheme="minorHAnsi"/>
          <w:sz w:val="28"/>
          <w:szCs w:val="28"/>
        </w:rPr>
      </w:pPr>
      <w:r w:rsidRPr="005E1103">
        <w:rPr>
          <w:rFonts w:asciiTheme="minorHAnsi" w:hAnsiTheme="minorHAnsi" w:cstheme="minorHAnsi"/>
          <w:sz w:val="28"/>
          <w:szCs w:val="28"/>
        </w:rPr>
        <w:t> Admisiones</w:t>
      </w:r>
    </w:p>
    <w:p w:rsidR="008949B1" w:rsidRPr="005E1103" w:rsidRDefault="008949B1" w:rsidP="008949B1">
      <w:pPr>
        <w:pStyle w:val="Standard"/>
        <w:spacing w:line="360" w:lineRule="auto"/>
        <w:ind w:left="709" w:firstLine="454"/>
        <w:jc w:val="both"/>
        <w:rPr>
          <w:rFonts w:asciiTheme="minorHAnsi" w:hAnsiTheme="minorHAnsi" w:cstheme="minorHAnsi"/>
          <w:sz w:val="28"/>
          <w:szCs w:val="28"/>
        </w:rPr>
      </w:pPr>
      <w:r w:rsidRPr="005E1103">
        <w:rPr>
          <w:rFonts w:asciiTheme="minorHAnsi" w:hAnsiTheme="minorHAnsi" w:cstheme="minorHAnsi"/>
          <w:sz w:val="28"/>
          <w:szCs w:val="28"/>
        </w:rPr>
        <w:t> Evaluación de la discapacidad</w:t>
      </w:r>
    </w:p>
    <w:p w:rsidR="008949B1" w:rsidRPr="005E1103" w:rsidRDefault="008949B1" w:rsidP="008949B1">
      <w:pPr>
        <w:pStyle w:val="Standard"/>
        <w:spacing w:line="360" w:lineRule="auto"/>
        <w:ind w:left="709" w:firstLine="454"/>
        <w:jc w:val="both"/>
        <w:rPr>
          <w:rFonts w:asciiTheme="minorHAnsi" w:hAnsiTheme="minorHAnsi" w:cstheme="minorHAnsi"/>
          <w:sz w:val="28"/>
          <w:szCs w:val="28"/>
        </w:rPr>
      </w:pPr>
      <w:r w:rsidRPr="005E1103">
        <w:rPr>
          <w:rFonts w:asciiTheme="minorHAnsi" w:hAnsiTheme="minorHAnsi" w:cstheme="minorHAnsi"/>
          <w:sz w:val="28"/>
          <w:szCs w:val="28"/>
        </w:rPr>
        <w:t> Cursos/Talleres especiales</w:t>
      </w:r>
    </w:p>
    <w:p w:rsidR="008949B1" w:rsidRPr="005E1103" w:rsidRDefault="008949B1" w:rsidP="008949B1">
      <w:pPr>
        <w:pStyle w:val="Standard"/>
        <w:spacing w:line="360" w:lineRule="auto"/>
        <w:ind w:left="709" w:firstLine="454"/>
        <w:jc w:val="both"/>
        <w:rPr>
          <w:rFonts w:asciiTheme="minorHAnsi" w:hAnsiTheme="minorHAnsi" w:cstheme="minorHAnsi"/>
          <w:sz w:val="28"/>
          <w:szCs w:val="28"/>
        </w:rPr>
      </w:pPr>
      <w:r w:rsidRPr="005E1103">
        <w:rPr>
          <w:rFonts w:asciiTheme="minorHAnsi" w:hAnsiTheme="minorHAnsi" w:cstheme="minorHAnsi"/>
          <w:sz w:val="28"/>
          <w:szCs w:val="28"/>
        </w:rPr>
        <w:t> Intervenciones educativas</w:t>
      </w:r>
    </w:p>
    <w:p w:rsidR="008949B1" w:rsidRPr="005E1103" w:rsidRDefault="008949B1" w:rsidP="008949B1">
      <w:pPr>
        <w:pStyle w:val="Standard"/>
        <w:spacing w:line="360" w:lineRule="auto"/>
        <w:ind w:firstLine="454"/>
        <w:jc w:val="both"/>
        <w:rPr>
          <w:rFonts w:asciiTheme="minorHAnsi" w:hAnsiTheme="minorHAnsi" w:cstheme="minorHAnsi"/>
          <w:sz w:val="28"/>
          <w:szCs w:val="28"/>
        </w:rPr>
      </w:pPr>
      <w:r w:rsidRPr="005E1103">
        <w:rPr>
          <w:rFonts w:asciiTheme="minorHAnsi" w:hAnsiTheme="minorHAnsi" w:cstheme="minorHAnsi"/>
          <w:sz w:val="28"/>
          <w:szCs w:val="28"/>
        </w:rPr>
        <w:t xml:space="preserve">También encontramos otras recientes publicaciones que intentan </w:t>
      </w:r>
      <w:r w:rsidRPr="005E1103">
        <w:rPr>
          <w:rFonts w:asciiTheme="minorHAnsi" w:hAnsiTheme="minorHAnsi" w:cstheme="minorHAnsi"/>
          <w:sz w:val="28"/>
          <w:szCs w:val="28"/>
        </w:rPr>
        <w:lastRenderedPageBreak/>
        <w:t>reunir los retos que afectan a la institución universitaria y a los profesionales de los servicios (Forteza, 2009)</w:t>
      </w:r>
    </w:p>
    <w:p w:rsidR="008949B1" w:rsidRPr="005E1103" w:rsidRDefault="008949B1" w:rsidP="008949B1">
      <w:pPr>
        <w:pStyle w:val="Standard"/>
        <w:spacing w:line="360" w:lineRule="auto"/>
        <w:ind w:firstLine="454"/>
        <w:jc w:val="both"/>
        <w:rPr>
          <w:rFonts w:asciiTheme="minorHAnsi" w:hAnsiTheme="minorHAnsi" w:cstheme="minorHAnsi"/>
          <w:sz w:val="28"/>
          <w:szCs w:val="28"/>
        </w:rPr>
      </w:pPr>
      <w:r w:rsidRPr="005E1103">
        <w:rPr>
          <w:rFonts w:asciiTheme="minorHAnsi" w:hAnsiTheme="minorHAnsi" w:cstheme="minorHAnsi"/>
          <w:sz w:val="28"/>
          <w:szCs w:val="28"/>
        </w:rPr>
        <w:t>En cuanto a la institución universitaria se debe:</w:t>
      </w:r>
    </w:p>
    <w:p w:rsidR="008949B1" w:rsidRPr="005E1103" w:rsidRDefault="008949B1" w:rsidP="008949B1">
      <w:pPr>
        <w:pStyle w:val="Standard"/>
        <w:numPr>
          <w:ilvl w:val="0"/>
          <w:numId w:val="118"/>
        </w:numPr>
        <w:spacing w:line="360" w:lineRule="auto"/>
        <w:ind w:left="1072"/>
        <w:jc w:val="both"/>
        <w:rPr>
          <w:rFonts w:asciiTheme="minorHAnsi" w:hAnsiTheme="minorHAnsi" w:cstheme="minorHAnsi"/>
          <w:sz w:val="28"/>
          <w:szCs w:val="28"/>
        </w:rPr>
      </w:pPr>
      <w:r w:rsidRPr="005E1103">
        <w:rPr>
          <w:rFonts w:asciiTheme="minorHAnsi" w:hAnsiTheme="minorHAnsi" w:cstheme="minorHAnsi"/>
          <w:sz w:val="28"/>
          <w:szCs w:val="28"/>
        </w:rPr>
        <w:t>Definir las políticas a favor de la igualdad de oportunidades</w:t>
      </w:r>
    </w:p>
    <w:p w:rsidR="008949B1" w:rsidRPr="005E1103" w:rsidRDefault="008949B1" w:rsidP="008949B1">
      <w:pPr>
        <w:pStyle w:val="Standard"/>
        <w:numPr>
          <w:ilvl w:val="0"/>
          <w:numId w:val="118"/>
        </w:numPr>
        <w:spacing w:line="360" w:lineRule="auto"/>
        <w:ind w:left="1072"/>
        <w:jc w:val="both"/>
        <w:rPr>
          <w:rFonts w:asciiTheme="minorHAnsi" w:hAnsiTheme="minorHAnsi" w:cstheme="minorHAnsi"/>
          <w:sz w:val="28"/>
          <w:szCs w:val="28"/>
        </w:rPr>
      </w:pPr>
      <w:r w:rsidRPr="005E1103">
        <w:rPr>
          <w:rFonts w:asciiTheme="minorHAnsi" w:hAnsiTheme="minorHAnsi" w:cstheme="minorHAnsi"/>
          <w:sz w:val="28"/>
          <w:szCs w:val="28"/>
        </w:rPr>
        <w:t>Concretar normativas específicas</w:t>
      </w:r>
    </w:p>
    <w:p w:rsidR="008949B1" w:rsidRPr="005E1103" w:rsidRDefault="008949B1" w:rsidP="008949B1">
      <w:pPr>
        <w:pStyle w:val="Standard"/>
        <w:numPr>
          <w:ilvl w:val="0"/>
          <w:numId w:val="118"/>
        </w:numPr>
        <w:spacing w:line="360" w:lineRule="auto"/>
        <w:ind w:left="1072"/>
        <w:jc w:val="both"/>
        <w:rPr>
          <w:rFonts w:asciiTheme="minorHAnsi" w:hAnsiTheme="minorHAnsi" w:cstheme="minorHAnsi"/>
          <w:sz w:val="28"/>
          <w:szCs w:val="28"/>
        </w:rPr>
      </w:pPr>
      <w:r w:rsidRPr="005E1103">
        <w:rPr>
          <w:rFonts w:asciiTheme="minorHAnsi" w:hAnsiTheme="minorHAnsi" w:cstheme="minorHAnsi"/>
          <w:sz w:val="28"/>
          <w:szCs w:val="28"/>
        </w:rPr>
        <w:t>Garantizar la existencia de los servicios de apoyo y reforzar sus acciones</w:t>
      </w:r>
    </w:p>
    <w:p w:rsidR="008949B1" w:rsidRPr="005E1103" w:rsidRDefault="008949B1" w:rsidP="008949B1">
      <w:pPr>
        <w:pStyle w:val="Standard"/>
        <w:numPr>
          <w:ilvl w:val="0"/>
          <w:numId w:val="118"/>
        </w:numPr>
        <w:spacing w:line="360" w:lineRule="auto"/>
        <w:ind w:left="1072"/>
        <w:jc w:val="both"/>
        <w:rPr>
          <w:rFonts w:asciiTheme="minorHAnsi" w:hAnsiTheme="minorHAnsi" w:cstheme="minorHAnsi"/>
          <w:sz w:val="28"/>
          <w:szCs w:val="28"/>
        </w:rPr>
      </w:pPr>
      <w:r w:rsidRPr="005E1103">
        <w:rPr>
          <w:rFonts w:asciiTheme="minorHAnsi" w:hAnsiTheme="minorHAnsi" w:cstheme="minorHAnsi"/>
          <w:sz w:val="28"/>
          <w:szCs w:val="28"/>
        </w:rPr>
        <w:t>Avalar que los servicios de apoyo estén en manos de los profesionales cualificados</w:t>
      </w:r>
    </w:p>
    <w:p w:rsidR="008949B1" w:rsidRPr="005E1103" w:rsidRDefault="008949B1" w:rsidP="008949B1">
      <w:pPr>
        <w:pStyle w:val="Standard"/>
        <w:numPr>
          <w:ilvl w:val="0"/>
          <w:numId w:val="118"/>
        </w:numPr>
        <w:spacing w:line="360" w:lineRule="auto"/>
        <w:ind w:left="1072"/>
        <w:jc w:val="both"/>
        <w:rPr>
          <w:rFonts w:asciiTheme="minorHAnsi" w:hAnsiTheme="minorHAnsi" w:cstheme="minorHAnsi"/>
          <w:sz w:val="28"/>
          <w:szCs w:val="28"/>
        </w:rPr>
      </w:pPr>
      <w:r w:rsidRPr="005E1103">
        <w:rPr>
          <w:rFonts w:asciiTheme="minorHAnsi" w:hAnsiTheme="minorHAnsi" w:cstheme="minorHAnsi"/>
          <w:sz w:val="28"/>
          <w:szCs w:val="28"/>
        </w:rPr>
        <w:t>Responsabilizarse de los salarios</w:t>
      </w:r>
    </w:p>
    <w:p w:rsidR="008949B1" w:rsidRPr="005E1103" w:rsidRDefault="008949B1" w:rsidP="008949B1">
      <w:pPr>
        <w:pStyle w:val="Standard"/>
        <w:numPr>
          <w:ilvl w:val="0"/>
          <w:numId w:val="118"/>
        </w:numPr>
        <w:spacing w:line="360" w:lineRule="auto"/>
        <w:ind w:left="1072"/>
        <w:jc w:val="both"/>
        <w:rPr>
          <w:rFonts w:asciiTheme="minorHAnsi" w:hAnsiTheme="minorHAnsi" w:cstheme="minorHAnsi"/>
          <w:sz w:val="28"/>
          <w:szCs w:val="28"/>
        </w:rPr>
      </w:pPr>
      <w:r w:rsidRPr="005E1103">
        <w:rPr>
          <w:rFonts w:asciiTheme="minorHAnsi" w:hAnsiTheme="minorHAnsi" w:cstheme="minorHAnsi"/>
          <w:sz w:val="28"/>
          <w:szCs w:val="28"/>
        </w:rPr>
        <w:t>Promover la contratación de nuevos profesionales en función de las necesidades que se detectan.</w:t>
      </w:r>
    </w:p>
    <w:p w:rsidR="008949B1" w:rsidRPr="005E1103" w:rsidRDefault="008949B1" w:rsidP="008949B1">
      <w:pPr>
        <w:pStyle w:val="Standard"/>
        <w:numPr>
          <w:ilvl w:val="0"/>
          <w:numId w:val="118"/>
        </w:numPr>
        <w:spacing w:line="360" w:lineRule="auto"/>
        <w:ind w:left="1072"/>
        <w:jc w:val="both"/>
        <w:rPr>
          <w:rFonts w:asciiTheme="minorHAnsi" w:hAnsiTheme="minorHAnsi" w:cstheme="minorHAnsi"/>
          <w:sz w:val="28"/>
          <w:szCs w:val="28"/>
        </w:rPr>
      </w:pPr>
      <w:r w:rsidRPr="005E1103">
        <w:rPr>
          <w:rFonts w:asciiTheme="minorHAnsi" w:hAnsiTheme="minorHAnsi" w:cstheme="minorHAnsi"/>
          <w:sz w:val="28"/>
          <w:szCs w:val="28"/>
        </w:rPr>
        <w:t>Asegurar la accesibilidad universal.</w:t>
      </w:r>
    </w:p>
    <w:p w:rsidR="008949B1" w:rsidRPr="005E1103" w:rsidRDefault="008949B1" w:rsidP="008949B1">
      <w:pPr>
        <w:pStyle w:val="Standard"/>
        <w:numPr>
          <w:ilvl w:val="0"/>
          <w:numId w:val="118"/>
        </w:numPr>
        <w:spacing w:line="360" w:lineRule="auto"/>
        <w:ind w:left="1072"/>
        <w:jc w:val="both"/>
        <w:rPr>
          <w:rFonts w:asciiTheme="minorHAnsi" w:hAnsiTheme="minorHAnsi" w:cstheme="minorHAnsi"/>
          <w:sz w:val="28"/>
          <w:szCs w:val="28"/>
        </w:rPr>
      </w:pPr>
      <w:r w:rsidRPr="005E1103">
        <w:rPr>
          <w:rFonts w:asciiTheme="minorHAnsi" w:hAnsiTheme="minorHAnsi" w:cstheme="minorHAnsi"/>
          <w:sz w:val="28"/>
          <w:szCs w:val="28"/>
        </w:rPr>
        <w:t>Contemplar en sus reglamentos a otros estudiantes como beneficiarios de los servicios de apoyo, tales como los que presentan dificultades específicas de aprendizaje (dislexia, disgrafía, disortografía y discalculia).</w:t>
      </w:r>
    </w:p>
    <w:p w:rsidR="008949B1" w:rsidRPr="005E1103" w:rsidRDefault="008949B1" w:rsidP="008949B1">
      <w:pPr>
        <w:pStyle w:val="Standard"/>
        <w:numPr>
          <w:ilvl w:val="0"/>
          <w:numId w:val="118"/>
        </w:numPr>
        <w:spacing w:line="360" w:lineRule="auto"/>
        <w:ind w:left="1072"/>
        <w:jc w:val="both"/>
        <w:rPr>
          <w:rFonts w:asciiTheme="minorHAnsi" w:hAnsiTheme="minorHAnsi" w:cstheme="minorHAnsi"/>
          <w:sz w:val="28"/>
          <w:szCs w:val="28"/>
        </w:rPr>
      </w:pPr>
      <w:r w:rsidRPr="005E1103">
        <w:rPr>
          <w:rFonts w:asciiTheme="minorHAnsi" w:hAnsiTheme="minorHAnsi" w:cstheme="minorHAnsi"/>
          <w:sz w:val="28"/>
          <w:szCs w:val="28"/>
        </w:rPr>
        <w:t>Facilitar la definición de planes de trabajo en sinergia con todos los órganos de gobierno y de gestión universitarios.</w:t>
      </w:r>
    </w:p>
    <w:p w:rsidR="008949B1" w:rsidRPr="005E1103" w:rsidRDefault="008949B1" w:rsidP="008949B1">
      <w:pPr>
        <w:pStyle w:val="Standard"/>
        <w:numPr>
          <w:ilvl w:val="0"/>
          <w:numId w:val="118"/>
        </w:numPr>
        <w:spacing w:line="360" w:lineRule="auto"/>
        <w:ind w:left="1072"/>
        <w:jc w:val="both"/>
        <w:rPr>
          <w:rFonts w:asciiTheme="minorHAnsi" w:hAnsiTheme="minorHAnsi" w:cstheme="minorHAnsi"/>
          <w:sz w:val="28"/>
          <w:szCs w:val="28"/>
        </w:rPr>
      </w:pPr>
      <w:r w:rsidRPr="005E1103">
        <w:rPr>
          <w:rFonts w:asciiTheme="minorHAnsi" w:hAnsiTheme="minorHAnsi" w:cstheme="minorHAnsi"/>
          <w:sz w:val="28"/>
          <w:szCs w:val="28"/>
        </w:rPr>
        <w:t>Asegurar la inversión necesaria para el funcionamiento de los servicios</w:t>
      </w:r>
    </w:p>
    <w:p w:rsidR="008949B1" w:rsidRPr="005E1103" w:rsidRDefault="008949B1" w:rsidP="008949B1">
      <w:pPr>
        <w:pStyle w:val="Standard"/>
        <w:numPr>
          <w:ilvl w:val="0"/>
          <w:numId w:val="118"/>
        </w:numPr>
        <w:spacing w:line="360" w:lineRule="auto"/>
        <w:ind w:left="1072"/>
        <w:jc w:val="both"/>
        <w:rPr>
          <w:rFonts w:asciiTheme="minorHAnsi" w:hAnsiTheme="minorHAnsi" w:cstheme="minorHAnsi"/>
          <w:sz w:val="28"/>
          <w:szCs w:val="28"/>
        </w:rPr>
      </w:pPr>
      <w:r w:rsidRPr="005E1103">
        <w:rPr>
          <w:rFonts w:asciiTheme="minorHAnsi" w:hAnsiTheme="minorHAnsi" w:cstheme="minorHAnsi"/>
          <w:sz w:val="28"/>
          <w:szCs w:val="28"/>
        </w:rPr>
        <w:t>Potenciar la coordinación entre la universidad y los responsables de la administración educativa.</w:t>
      </w:r>
    </w:p>
    <w:p w:rsidR="008949B1" w:rsidRPr="005E1103" w:rsidRDefault="008949B1" w:rsidP="008949B1">
      <w:pPr>
        <w:pStyle w:val="Standard"/>
        <w:numPr>
          <w:ilvl w:val="0"/>
          <w:numId w:val="118"/>
        </w:numPr>
        <w:spacing w:line="360" w:lineRule="auto"/>
        <w:ind w:left="1072"/>
        <w:jc w:val="both"/>
        <w:rPr>
          <w:rFonts w:asciiTheme="minorHAnsi" w:hAnsiTheme="minorHAnsi" w:cstheme="minorHAnsi"/>
          <w:sz w:val="28"/>
          <w:szCs w:val="28"/>
        </w:rPr>
      </w:pPr>
      <w:r w:rsidRPr="005E1103">
        <w:rPr>
          <w:rFonts w:asciiTheme="minorHAnsi" w:hAnsiTheme="minorHAnsi" w:cstheme="minorHAnsi"/>
          <w:sz w:val="28"/>
          <w:szCs w:val="28"/>
        </w:rPr>
        <w:t>Evaluar el impacto de las acciones llevadas a cabo</w:t>
      </w:r>
    </w:p>
    <w:p w:rsidR="008949B1" w:rsidRPr="005E1103" w:rsidRDefault="008949B1" w:rsidP="008949B1">
      <w:pPr>
        <w:pStyle w:val="Standard"/>
        <w:numPr>
          <w:ilvl w:val="0"/>
          <w:numId w:val="118"/>
        </w:numPr>
        <w:spacing w:line="360" w:lineRule="auto"/>
        <w:ind w:left="1072"/>
        <w:jc w:val="both"/>
        <w:rPr>
          <w:rFonts w:asciiTheme="minorHAnsi" w:hAnsiTheme="minorHAnsi" w:cstheme="minorHAnsi"/>
          <w:sz w:val="28"/>
          <w:szCs w:val="28"/>
        </w:rPr>
      </w:pPr>
      <w:r w:rsidRPr="005E1103">
        <w:rPr>
          <w:rFonts w:asciiTheme="minorHAnsi" w:hAnsiTheme="minorHAnsi" w:cstheme="minorHAnsi"/>
          <w:sz w:val="28"/>
          <w:szCs w:val="28"/>
        </w:rPr>
        <w:t>Apoyar la sensibilización social</w:t>
      </w:r>
    </w:p>
    <w:p w:rsidR="008949B1" w:rsidRPr="005E1103" w:rsidRDefault="008949B1" w:rsidP="008949B1">
      <w:pPr>
        <w:pStyle w:val="Standard"/>
        <w:numPr>
          <w:ilvl w:val="0"/>
          <w:numId w:val="118"/>
        </w:numPr>
        <w:spacing w:line="360" w:lineRule="auto"/>
        <w:ind w:left="1072"/>
        <w:jc w:val="both"/>
        <w:rPr>
          <w:rFonts w:asciiTheme="minorHAnsi" w:hAnsiTheme="minorHAnsi" w:cstheme="minorHAnsi"/>
          <w:sz w:val="28"/>
          <w:szCs w:val="28"/>
        </w:rPr>
      </w:pPr>
      <w:r w:rsidRPr="005E1103">
        <w:rPr>
          <w:rFonts w:asciiTheme="minorHAnsi" w:hAnsiTheme="minorHAnsi" w:cstheme="minorHAnsi"/>
          <w:sz w:val="28"/>
          <w:szCs w:val="28"/>
        </w:rPr>
        <w:t xml:space="preserve">Valorar el trabajo de los profesionales de apoyo, reconociendo su papel dentro y fuera de la institución universitaria y fomentar </w:t>
      </w:r>
      <w:r w:rsidRPr="005E1103">
        <w:rPr>
          <w:rFonts w:asciiTheme="minorHAnsi" w:hAnsiTheme="minorHAnsi" w:cstheme="minorHAnsi"/>
          <w:sz w:val="28"/>
          <w:szCs w:val="28"/>
        </w:rPr>
        <w:lastRenderedPageBreak/>
        <w:t>el desarrollo profesional, estimulando la formación permanente e incentivando la investigación en este ámbito.</w:t>
      </w:r>
    </w:p>
    <w:p w:rsidR="008949B1" w:rsidRPr="005E1103" w:rsidRDefault="008949B1" w:rsidP="008949B1">
      <w:pPr>
        <w:pStyle w:val="Standard"/>
        <w:spacing w:line="360" w:lineRule="auto"/>
        <w:ind w:firstLine="454"/>
        <w:jc w:val="both"/>
        <w:rPr>
          <w:rFonts w:asciiTheme="minorHAnsi" w:hAnsiTheme="minorHAnsi" w:cstheme="minorHAnsi"/>
          <w:sz w:val="28"/>
          <w:szCs w:val="28"/>
        </w:rPr>
      </w:pPr>
      <w:r w:rsidRPr="005E1103">
        <w:rPr>
          <w:rFonts w:asciiTheme="minorHAnsi" w:hAnsiTheme="minorHAnsi" w:cstheme="minorHAnsi"/>
          <w:sz w:val="28"/>
          <w:szCs w:val="28"/>
        </w:rPr>
        <w:t>A su vez, y en cuanto a los profesionales de los servicios se debe:</w:t>
      </w:r>
    </w:p>
    <w:p w:rsidR="008949B1" w:rsidRPr="005E1103" w:rsidRDefault="008949B1" w:rsidP="008949B1">
      <w:pPr>
        <w:pStyle w:val="Standard"/>
        <w:numPr>
          <w:ilvl w:val="0"/>
          <w:numId w:val="119"/>
        </w:numPr>
        <w:spacing w:line="360" w:lineRule="auto"/>
        <w:ind w:left="1134"/>
        <w:jc w:val="both"/>
        <w:rPr>
          <w:rFonts w:asciiTheme="minorHAnsi" w:hAnsiTheme="minorHAnsi" w:cstheme="minorHAnsi"/>
          <w:sz w:val="28"/>
          <w:szCs w:val="28"/>
        </w:rPr>
      </w:pPr>
      <w:r w:rsidRPr="005E1103">
        <w:rPr>
          <w:rFonts w:asciiTheme="minorHAnsi" w:hAnsiTheme="minorHAnsi" w:cstheme="minorHAnsi"/>
          <w:sz w:val="28"/>
          <w:szCs w:val="28"/>
        </w:rPr>
        <w:t>Establecer un modelo de intervención psicopedagógica</w:t>
      </w:r>
    </w:p>
    <w:p w:rsidR="008949B1" w:rsidRPr="005E1103" w:rsidRDefault="008949B1" w:rsidP="008949B1">
      <w:pPr>
        <w:pStyle w:val="Standard"/>
        <w:numPr>
          <w:ilvl w:val="0"/>
          <w:numId w:val="119"/>
        </w:numPr>
        <w:spacing w:line="360" w:lineRule="auto"/>
        <w:ind w:left="1134"/>
        <w:jc w:val="both"/>
        <w:rPr>
          <w:rFonts w:asciiTheme="minorHAnsi" w:hAnsiTheme="minorHAnsi" w:cstheme="minorHAnsi"/>
          <w:sz w:val="28"/>
          <w:szCs w:val="28"/>
        </w:rPr>
      </w:pPr>
      <w:r w:rsidRPr="005E1103">
        <w:rPr>
          <w:rFonts w:asciiTheme="minorHAnsi" w:hAnsiTheme="minorHAnsi" w:cstheme="minorHAnsi"/>
          <w:sz w:val="28"/>
          <w:szCs w:val="28"/>
        </w:rPr>
        <w:t>Impulsar la autonomía del alumnado con discapacidad y dificultades específicas de aprendizaje.</w:t>
      </w:r>
    </w:p>
    <w:p w:rsidR="008949B1" w:rsidRPr="005E1103" w:rsidRDefault="008949B1" w:rsidP="008949B1">
      <w:pPr>
        <w:pStyle w:val="Standard"/>
        <w:numPr>
          <w:ilvl w:val="0"/>
          <w:numId w:val="119"/>
        </w:numPr>
        <w:spacing w:line="360" w:lineRule="auto"/>
        <w:ind w:left="1134"/>
        <w:jc w:val="both"/>
        <w:rPr>
          <w:rFonts w:asciiTheme="minorHAnsi" w:hAnsiTheme="minorHAnsi" w:cstheme="minorHAnsi"/>
          <w:sz w:val="28"/>
          <w:szCs w:val="28"/>
        </w:rPr>
      </w:pPr>
      <w:r w:rsidRPr="005E1103">
        <w:rPr>
          <w:rFonts w:asciiTheme="minorHAnsi" w:hAnsiTheme="minorHAnsi" w:cstheme="minorHAnsi"/>
          <w:sz w:val="28"/>
          <w:szCs w:val="28"/>
        </w:rPr>
        <w:t>Velar por el cumplimiento de los compromisos establecidos</w:t>
      </w:r>
    </w:p>
    <w:p w:rsidR="008949B1" w:rsidRPr="005E1103" w:rsidRDefault="008949B1" w:rsidP="008949B1">
      <w:pPr>
        <w:pStyle w:val="Standard"/>
        <w:numPr>
          <w:ilvl w:val="0"/>
          <w:numId w:val="119"/>
        </w:numPr>
        <w:spacing w:line="360" w:lineRule="auto"/>
        <w:ind w:left="1134"/>
        <w:jc w:val="both"/>
        <w:rPr>
          <w:rFonts w:asciiTheme="minorHAnsi" w:hAnsiTheme="minorHAnsi" w:cstheme="minorHAnsi"/>
          <w:sz w:val="28"/>
          <w:szCs w:val="28"/>
        </w:rPr>
      </w:pPr>
      <w:r w:rsidRPr="005E1103">
        <w:rPr>
          <w:rFonts w:asciiTheme="minorHAnsi" w:hAnsiTheme="minorHAnsi" w:cstheme="minorHAnsi"/>
          <w:sz w:val="28"/>
          <w:szCs w:val="28"/>
        </w:rPr>
        <w:t>Garantizar la confidencialidad de los datos de los estudiantes</w:t>
      </w:r>
    </w:p>
    <w:p w:rsidR="008949B1" w:rsidRPr="005E1103" w:rsidRDefault="008949B1" w:rsidP="008949B1">
      <w:pPr>
        <w:pStyle w:val="Standard"/>
        <w:numPr>
          <w:ilvl w:val="0"/>
          <w:numId w:val="119"/>
        </w:numPr>
        <w:spacing w:line="360" w:lineRule="auto"/>
        <w:ind w:left="1134"/>
        <w:jc w:val="both"/>
        <w:rPr>
          <w:rFonts w:asciiTheme="minorHAnsi" w:hAnsiTheme="minorHAnsi" w:cstheme="minorHAnsi"/>
          <w:sz w:val="28"/>
          <w:szCs w:val="28"/>
        </w:rPr>
      </w:pPr>
      <w:r w:rsidRPr="005E1103">
        <w:rPr>
          <w:rFonts w:asciiTheme="minorHAnsi" w:hAnsiTheme="minorHAnsi" w:cstheme="minorHAnsi"/>
          <w:sz w:val="28"/>
          <w:szCs w:val="28"/>
        </w:rPr>
        <w:t>Lograr mayores niveles de competencia en todas las áreas de trabajo propias de los servicios de apoyo</w:t>
      </w:r>
    </w:p>
    <w:p w:rsidR="008949B1" w:rsidRPr="005E1103" w:rsidRDefault="008949B1" w:rsidP="008949B1">
      <w:pPr>
        <w:pStyle w:val="Standard"/>
        <w:numPr>
          <w:ilvl w:val="0"/>
          <w:numId w:val="119"/>
        </w:numPr>
        <w:spacing w:line="360" w:lineRule="auto"/>
        <w:ind w:left="1134"/>
        <w:jc w:val="both"/>
        <w:rPr>
          <w:rFonts w:asciiTheme="minorHAnsi" w:hAnsiTheme="minorHAnsi" w:cstheme="minorHAnsi"/>
          <w:sz w:val="28"/>
          <w:szCs w:val="28"/>
        </w:rPr>
      </w:pPr>
      <w:r w:rsidRPr="005E1103">
        <w:rPr>
          <w:rFonts w:asciiTheme="minorHAnsi" w:hAnsiTheme="minorHAnsi" w:cstheme="minorHAnsi"/>
          <w:sz w:val="28"/>
          <w:szCs w:val="28"/>
        </w:rPr>
        <w:t>Facilitar la excelencia educativa para estos estudiantes, así como su calidad de vida</w:t>
      </w:r>
    </w:p>
    <w:p w:rsidR="008949B1" w:rsidRPr="005E1103" w:rsidRDefault="008949B1" w:rsidP="008949B1">
      <w:pPr>
        <w:pStyle w:val="Standard"/>
        <w:numPr>
          <w:ilvl w:val="0"/>
          <w:numId w:val="119"/>
        </w:numPr>
        <w:spacing w:line="360" w:lineRule="auto"/>
        <w:ind w:left="1134"/>
        <w:jc w:val="both"/>
        <w:rPr>
          <w:rFonts w:asciiTheme="minorHAnsi" w:hAnsiTheme="minorHAnsi" w:cstheme="minorHAnsi"/>
          <w:sz w:val="28"/>
          <w:szCs w:val="28"/>
        </w:rPr>
      </w:pPr>
      <w:r w:rsidRPr="005E1103">
        <w:rPr>
          <w:rFonts w:asciiTheme="minorHAnsi" w:hAnsiTheme="minorHAnsi" w:cstheme="minorHAnsi"/>
          <w:sz w:val="28"/>
          <w:szCs w:val="28"/>
        </w:rPr>
        <w:t>Asegurar el asesoramiento académico y personal</w:t>
      </w:r>
    </w:p>
    <w:p w:rsidR="008949B1" w:rsidRPr="005E1103" w:rsidRDefault="008949B1" w:rsidP="008949B1">
      <w:pPr>
        <w:pStyle w:val="Standard"/>
        <w:numPr>
          <w:ilvl w:val="0"/>
          <w:numId w:val="119"/>
        </w:numPr>
        <w:spacing w:line="360" w:lineRule="auto"/>
        <w:ind w:left="1134"/>
        <w:jc w:val="both"/>
        <w:rPr>
          <w:rFonts w:asciiTheme="minorHAnsi" w:hAnsiTheme="minorHAnsi" w:cstheme="minorHAnsi"/>
          <w:sz w:val="28"/>
          <w:szCs w:val="28"/>
        </w:rPr>
      </w:pPr>
      <w:r w:rsidRPr="005E1103">
        <w:rPr>
          <w:rFonts w:asciiTheme="minorHAnsi" w:hAnsiTheme="minorHAnsi" w:cstheme="minorHAnsi"/>
          <w:sz w:val="28"/>
          <w:szCs w:val="28"/>
        </w:rPr>
        <w:t>Promover la formación del personal docente y de administración y colaborar estrechamente con las organizaciones y asociaciones que trabajan a favor de estas personas</w:t>
      </w:r>
    </w:p>
    <w:p w:rsidR="008949B1" w:rsidRPr="005E1103" w:rsidRDefault="008949B1" w:rsidP="008949B1">
      <w:pPr>
        <w:pStyle w:val="Standard"/>
        <w:spacing w:line="360" w:lineRule="auto"/>
        <w:ind w:left="1239"/>
        <w:jc w:val="both"/>
        <w:rPr>
          <w:rFonts w:asciiTheme="minorHAnsi" w:hAnsiTheme="minorHAnsi" w:cstheme="minorHAnsi"/>
          <w:sz w:val="28"/>
          <w:szCs w:val="28"/>
        </w:rPr>
      </w:pPr>
    </w:p>
    <w:p w:rsidR="008949B1" w:rsidRPr="005E1103" w:rsidRDefault="008949B1" w:rsidP="008949B1">
      <w:pPr>
        <w:pStyle w:val="Standard"/>
        <w:spacing w:line="360" w:lineRule="auto"/>
        <w:ind w:firstLine="454"/>
        <w:jc w:val="both"/>
        <w:rPr>
          <w:rFonts w:asciiTheme="minorHAnsi" w:hAnsiTheme="minorHAnsi" w:cstheme="minorHAnsi"/>
          <w:b/>
          <w:sz w:val="28"/>
          <w:szCs w:val="28"/>
        </w:rPr>
      </w:pPr>
      <w:r w:rsidRPr="005E1103">
        <w:rPr>
          <w:rFonts w:asciiTheme="minorHAnsi" w:hAnsiTheme="minorHAnsi" w:cstheme="minorHAnsi"/>
          <w:b/>
          <w:sz w:val="28"/>
          <w:szCs w:val="28"/>
        </w:rPr>
        <w:t>Conclusiones</w:t>
      </w:r>
    </w:p>
    <w:p w:rsidR="008949B1" w:rsidRPr="005E1103" w:rsidRDefault="008949B1" w:rsidP="008949B1">
      <w:pPr>
        <w:pStyle w:val="Standard"/>
        <w:spacing w:line="360" w:lineRule="auto"/>
        <w:ind w:firstLine="454"/>
        <w:jc w:val="both"/>
        <w:rPr>
          <w:rFonts w:asciiTheme="minorHAnsi" w:hAnsiTheme="minorHAnsi" w:cstheme="minorHAnsi"/>
          <w:sz w:val="28"/>
          <w:szCs w:val="28"/>
        </w:rPr>
      </w:pPr>
      <w:r w:rsidRPr="005E1103">
        <w:rPr>
          <w:rFonts w:asciiTheme="minorHAnsi" w:hAnsiTheme="minorHAnsi" w:cstheme="minorHAnsi"/>
          <w:sz w:val="28"/>
          <w:szCs w:val="28"/>
        </w:rPr>
        <w:t>Podemos afirmar con esto, que tenemos material sobre el que trabajar en las futuras investigaciones, un protocolo común de actuación ante la diversidad funcional en la educación superior a nivel universitario.</w:t>
      </w:r>
    </w:p>
    <w:p w:rsidR="008949B1" w:rsidRPr="005E1103" w:rsidRDefault="008949B1" w:rsidP="008949B1">
      <w:pPr>
        <w:pStyle w:val="Standard"/>
        <w:spacing w:line="360" w:lineRule="auto"/>
        <w:ind w:firstLine="454"/>
        <w:jc w:val="both"/>
        <w:rPr>
          <w:rFonts w:asciiTheme="minorHAnsi" w:hAnsiTheme="minorHAnsi" w:cstheme="minorHAnsi"/>
          <w:sz w:val="28"/>
          <w:szCs w:val="28"/>
        </w:rPr>
      </w:pPr>
      <w:r w:rsidRPr="005E1103">
        <w:rPr>
          <w:rFonts w:asciiTheme="minorHAnsi" w:hAnsiTheme="minorHAnsi" w:cstheme="minorHAnsi"/>
          <w:sz w:val="28"/>
          <w:szCs w:val="28"/>
        </w:rPr>
        <w:t xml:space="preserve">Además, cabe destacar, que los estudios deben tener en cuenta incluir la propia manifestación de los estudiantes con diversidad funcional. Es interesante y se hace indispensable incluir lo que dicen los propios estudiantes, objeto de estudio. Aprovechando que cada día son más las personas matriculadas en estudios superiores podemos acceder a esta </w:t>
      </w:r>
      <w:r w:rsidRPr="005E1103">
        <w:rPr>
          <w:rFonts w:asciiTheme="minorHAnsi" w:hAnsiTheme="minorHAnsi" w:cstheme="minorHAnsi"/>
          <w:sz w:val="28"/>
          <w:szCs w:val="28"/>
        </w:rPr>
        <w:lastRenderedPageBreak/>
        <w:t>información con más facilidad, dejando lugar para la propia reflexión, y opinión acerca del grado de satisfacción que les proporcionan sus estudios.</w:t>
      </w:r>
    </w:p>
    <w:p w:rsidR="008949B1" w:rsidRPr="005E1103" w:rsidRDefault="008949B1" w:rsidP="008949B1">
      <w:pPr>
        <w:pStyle w:val="Standard"/>
        <w:spacing w:line="360" w:lineRule="auto"/>
        <w:ind w:firstLine="454"/>
        <w:jc w:val="both"/>
        <w:rPr>
          <w:rFonts w:asciiTheme="minorHAnsi" w:hAnsiTheme="minorHAnsi" w:cstheme="minorHAnsi"/>
          <w:sz w:val="28"/>
          <w:szCs w:val="28"/>
        </w:rPr>
      </w:pPr>
      <w:r w:rsidRPr="005E1103">
        <w:rPr>
          <w:rFonts w:asciiTheme="minorHAnsi" w:hAnsiTheme="minorHAnsi" w:cstheme="minorHAnsi"/>
          <w:sz w:val="28"/>
          <w:szCs w:val="28"/>
        </w:rPr>
        <w:t>Todo con la idea futura de que algún día puedan incluso, ser miembros gestores de los propios servicios de orientación para la diversidad funcional, las personas de este mismo colectivo.</w:t>
      </w:r>
    </w:p>
    <w:p w:rsidR="008949B1" w:rsidRPr="005E1103" w:rsidRDefault="008949B1" w:rsidP="008949B1">
      <w:pPr>
        <w:pStyle w:val="Standard"/>
        <w:spacing w:line="360" w:lineRule="auto"/>
        <w:ind w:firstLine="454"/>
        <w:jc w:val="both"/>
        <w:rPr>
          <w:rFonts w:asciiTheme="minorHAnsi" w:hAnsiTheme="minorHAnsi" w:cstheme="minorHAnsi"/>
          <w:sz w:val="28"/>
          <w:szCs w:val="28"/>
        </w:rPr>
      </w:pPr>
      <w:r w:rsidRPr="005E1103">
        <w:rPr>
          <w:rFonts w:asciiTheme="minorHAnsi" w:hAnsiTheme="minorHAnsi" w:cstheme="minorHAnsi"/>
          <w:sz w:val="28"/>
          <w:szCs w:val="28"/>
        </w:rPr>
        <w:t>Por qué no tener en cuenta su voz, si se debe garantizar que sean ellos mismos los responsables de sus propias vidas y de la toma de decisiones, (García, 2003) garantizando así, el derecho a la participación, tal y como afirma la filosofía del modelo de vida independiente.</w:t>
      </w:r>
    </w:p>
    <w:p w:rsidR="008949B1" w:rsidRPr="005E1103" w:rsidRDefault="008949B1" w:rsidP="008949B1">
      <w:pPr>
        <w:pStyle w:val="Standard"/>
        <w:spacing w:line="360" w:lineRule="auto"/>
        <w:ind w:firstLine="454"/>
        <w:jc w:val="both"/>
        <w:rPr>
          <w:rFonts w:asciiTheme="minorHAnsi" w:hAnsiTheme="minorHAnsi" w:cstheme="minorHAnsi"/>
          <w:sz w:val="28"/>
          <w:szCs w:val="28"/>
        </w:rPr>
      </w:pPr>
    </w:p>
    <w:p w:rsidR="008949B1" w:rsidRPr="005E1103" w:rsidRDefault="008949B1" w:rsidP="008949B1">
      <w:pPr>
        <w:pStyle w:val="Standard"/>
        <w:spacing w:line="360" w:lineRule="auto"/>
        <w:ind w:firstLine="454"/>
        <w:jc w:val="both"/>
        <w:rPr>
          <w:rFonts w:asciiTheme="minorHAnsi" w:hAnsiTheme="minorHAnsi" w:cstheme="minorHAnsi"/>
          <w:b/>
          <w:sz w:val="28"/>
          <w:szCs w:val="28"/>
        </w:rPr>
      </w:pPr>
      <w:r w:rsidRPr="005E1103">
        <w:rPr>
          <w:rFonts w:asciiTheme="minorHAnsi" w:hAnsiTheme="minorHAnsi" w:cstheme="minorHAnsi"/>
          <w:b/>
          <w:sz w:val="28"/>
          <w:szCs w:val="28"/>
        </w:rPr>
        <w:t>Bibliografía:</w:t>
      </w:r>
    </w:p>
    <w:p w:rsidR="008949B1" w:rsidRPr="005E1103" w:rsidRDefault="008949B1" w:rsidP="008949B1">
      <w:pPr>
        <w:pStyle w:val="Standard"/>
        <w:spacing w:line="360" w:lineRule="auto"/>
        <w:ind w:firstLine="454"/>
        <w:jc w:val="both"/>
        <w:rPr>
          <w:rFonts w:asciiTheme="minorHAnsi" w:hAnsiTheme="minorHAnsi" w:cstheme="minorHAnsi"/>
          <w:b/>
          <w:sz w:val="28"/>
          <w:szCs w:val="28"/>
        </w:rPr>
      </w:pPr>
    </w:p>
    <w:p w:rsidR="008949B1" w:rsidRPr="005E1103" w:rsidRDefault="008949B1" w:rsidP="008949B1">
      <w:pPr>
        <w:pStyle w:val="Prrafodelista"/>
        <w:numPr>
          <w:ilvl w:val="0"/>
          <w:numId w:val="120"/>
        </w:numPr>
        <w:autoSpaceDN w:val="0"/>
        <w:spacing w:before="0" w:line="360" w:lineRule="auto"/>
        <w:contextualSpacing w:val="0"/>
        <w:jc w:val="both"/>
        <w:rPr>
          <w:rFonts w:asciiTheme="minorHAnsi" w:hAnsiTheme="minorHAnsi" w:cstheme="minorHAnsi"/>
          <w:sz w:val="28"/>
          <w:szCs w:val="28"/>
        </w:rPr>
      </w:pPr>
      <w:r w:rsidRPr="005E1103">
        <w:rPr>
          <w:rFonts w:asciiTheme="minorHAnsi" w:hAnsiTheme="minorHAnsi" w:cstheme="minorHAnsi"/>
          <w:sz w:val="28"/>
          <w:szCs w:val="28"/>
        </w:rPr>
        <w:t>Cabero, J. (2000). Las nuevas tecnologías de la información y comunicación: aportaciones a la enseñanza. En J. Cabero (Ed.), Nuevas tecnologías aplicadas a la educación (pp. 15-37). Madrid: Síntesis.</w:t>
      </w:r>
    </w:p>
    <w:p w:rsidR="008949B1" w:rsidRPr="005E1103" w:rsidRDefault="008949B1" w:rsidP="008949B1">
      <w:pPr>
        <w:pStyle w:val="Prrafodelista"/>
        <w:numPr>
          <w:ilvl w:val="0"/>
          <w:numId w:val="120"/>
        </w:numPr>
        <w:autoSpaceDN w:val="0"/>
        <w:spacing w:before="0" w:line="360" w:lineRule="auto"/>
        <w:contextualSpacing w:val="0"/>
        <w:jc w:val="both"/>
        <w:rPr>
          <w:rFonts w:asciiTheme="minorHAnsi" w:hAnsiTheme="minorHAnsi" w:cstheme="minorHAnsi"/>
          <w:sz w:val="28"/>
          <w:szCs w:val="28"/>
        </w:rPr>
      </w:pPr>
      <w:r w:rsidRPr="005E1103">
        <w:rPr>
          <w:rFonts w:asciiTheme="minorHAnsi" w:hAnsiTheme="minorHAnsi" w:cstheme="minorHAnsi"/>
          <w:sz w:val="28"/>
          <w:szCs w:val="28"/>
        </w:rPr>
        <w:t>Congreso Nacional de Dificultades Específicas del Aprendizaje y VII Congreso Nacional de Tecnología Educativa y Atención a la Diversidad, Cartagena, 18-20 de octubre de 2012. Murcia: Consejería de Educación, Formación y Empleo.</w:t>
      </w:r>
    </w:p>
    <w:p w:rsidR="008949B1" w:rsidRPr="005E1103" w:rsidRDefault="008949B1" w:rsidP="008949B1">
      <w:pPr>
        <w:pStyle w:val="Prrafodelista"/>
        <w:numPr>
          <w:ilvl w:val="0"/>
          <w:numId w:val="120"/>
        </w:numPr>
        <w:autoSpaceDN w:val="0"/>
        <w:spacing w:before="0" w:line="360" w:lineRule="auto"/>
        <w:contextualSpacing w:val="0"/>
        <w:jc w:val="both"/>
        <w:rPr>
          <w:rFonts w:asciiTheme="minorHAnsi" w:hAnsiTheme="minorHAnsi" w:cstheme="minorHAnsi"/>
          <w:sz w:val="28"/>
          <w:szCs w:val="28"/>
        </w:rPr>
      </w:pPr>
      <w:r w:rsidRPr="005E1103">
        <w:rPr>
          <w:rFonts w:asciiTheme="minorHAnsi" w:hAnsiTheme="minorHAnsi" w:cstheme="minorHAnsi"/>
          <w:sz w:val="28"/>
          <w:szCs w:val="28"/>
        </w:rPr>
        <w:t>Gallardo, Mª.V. y Salvador M.L. Discapacidad motórica. Aspectos psicoevolutivos y educativos. Aljibe. Madrid, 1994</w:t>
      </w:r>
    </w:p>
    <w:p w:rsidR="008949B1" w:rsidRPr="005E1103" w:rsidRDefault="008949B1" w:rsidP="008949B1">
      <w:pPr>
        <w:pStyle w:val="Prrafodelista"/>
        <w:numPr>
          <w:ilvl w:val="0"/>
          <w:numId w:val="120"/>
        </w:numPr>
        <w:autoSpaceDN w:val="0"/>
        <w:spacing w:before="0" w:line="360" w:lineRule="auto"/>
        <w:contextualSpacing w:val="0"/>
        <w:jc w:val="both"/>
        <w:rPr>
          <w:rFonts w:asciiTheme="minorHAnsi" w:hAnsiTheme="minorHAnsi" w:cstheme="minorHAnsi"/>
          <w:bCs/>
          <w:iCs/>
          <w:sz w:val="28"/>
          <w:szCs w:val="28"/>
        </w:rPr>
      </w:pPr>
      <w:r w:rsidRPr="005E1103">
        <w:rPr>
          <w:rFonts w:asciiTheme="minorHAnsi" w:hAnsiTheme="minorHAnsi" w:cstheme="minorHAnsi"/>
          <w:bCs/>
          <w:iCs/>
          <w:sz w:val="28"/>
          <w:szCs w:val="28"/>
        </w:rPr>
        <w:t>Majó, J. y Marquès, P. (2001). La revolución educativa en la era Internet. Barcelona: CissPraxis.</w:t>
      </w:r>
    </w:p>
    <w:p w:rsidR="008949B1" w:rsidRPr="005E1103" w:rsidRDefault="008949B1" w:rsidP="008949B1">
      <w:pPr>
        <w:pStyle w:val="Prrafodelista"/>
        <w:numPr>
          <w:ilvl w:val="0"/>
          <w:numId w:val="120"/>
        </w:numPr>
        <w:autoSpaceDN w:val="0"/>
        <w:spacing w:before="0" w:line="360" w:lineRule="auto"/>
        <w:contextualSpacing w:val="0"/>
        <w:jc w:val="both"/>
        <w:rPr>
          <w:rFonts w:asciiTheme="minorHAnsi" w:hAnsiTheme="minorHAnsi" w:cstheme="minorHAnsi"/>
          <w:bCs/>
          <w:iCs/>
          <w:sz w:val="28"/>
          <w:szCs w:val="28"/>
        </w:rPr>
      </w:pPr>
      <w:r w:rsidRPr="005E1103">
        <w:rPr>
          <w:rFonts w:asciiTheme="minorHAnsi" w:hAnsiTheme="minorHAnsi" w:cstheme="minorHAnsi"/>
          <w:bCs/>
          <w:iCs/>
          <w:sz w:val="28"/>
          <w:szCs w:val="28"/>
        </w:rPr>
        <w:lastRenderedPageBreak/>
        <w:t>UNESCO.  (2004). Las tecnologías de la información y la comunicación en la formación docente. Guía de Planificación. División de educación Superior.</w:t>
      </w:r>
    </w:p>
    <w:p w:rsidR="008949B1" w:rsidRPr="005E1103" w:rsidRDefault="008949B1">
      <w:pPr>
        <w:rPr>
          <w:rFonts w:eastAsia="Calibri" w:cstheme="minorHAnsi"/>
          <w:bCs/>
          <w:iCs/>
          <w:sz w:val="28"/>
          <w:szCs w:val="28"/>
        </w:rPr>
      </w:pPr>
      <w:r w:rsidRPr="005E1103">
        <w:rPr>
          <w:rFonts w:cstheme="minorHAnsi"/>
          <w:bCs/>
          <w:iCs/>
          <w:sz w:val="28"/>
          <w:szCs w:val="28"/>
        </w:rPr>
        <w:br w:type="page"/>
      </w:r>
    </w:p>
    <w:p w:rsidR="008949B1" w:rsidRPr="005E1103" w:rsidRDefault="008949B1" w:rsidP="008949B1">
      <w:pPr>
        <w:spacing w:line="360" w:lineRule="auto"/>
        <w:jc w:val="center"/>
        <w:rPr>
          <w:rFonts w:cstheme="minorHAnsi"/>
          <w:b/>
          <w:sz w:val="28"/>
          <w:szCs w:val="28"/>
        </w:rPr>
      </w:pPr>
      <w:r w:rsidRPr="005E1103">
        <w:rPr>
          <w:rFonts w:cstheme="minorHAnsi"/>
          <w:b/>
          <w:sz w:val="28"/>
          <w:szCs w:val="28"/>
        </w:rPr>
        <w:lastRenderedPageBreak/>
        <w:t>COMUNICACIÓN 2</w:t>
      </w:r>
    </w:p>
    <w:tbl>
      <w:tblPr>
        <w:tblW w:w="102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0258"/>
      </w:tblGrid>
      <w:tr w:rsidR="008949B1" w:rsidRPr="005E1103" w:rsidTr="008949B1">
        <w:trPr>
          <w:trHeight w:val="840"/>
          <w:jc w:val="center"/>
        </w:trPr>
        <w:tc>
          <w:tcPr>
            <w:tcW w:w="10258" w:type="dxa"/>
          </w:tcPr>
          <w:p w:rsidR="008949B1" w:rsidRPr="005E1103" w:rsidRDefault="008949B1" w:rsidP="008949B1">
            <w:pPr>
              <w:spacing w:after="0" w:line="360" w:lineRule="auto"/>
              <w:jc w:val="center"/>
              <w:rPr>
                <w:rFonts w:cstheme="minorHAnsi"/>
                <w:b/>
                <w:sz w:val="28"/>
                <w:szCs w:val="28"/>
              </w:rPr>
            </w:pPr>
            <w:r w:rsidRPr="005E1103">
              <w:rPr>
                <w:rFonts w:cstheme="minorHAnsi"/>
                <w:b/>
                <w:sz w:val="28"/>
                <w:szCs w:val="28"/>
              </w:rPr>
              <w:t>El iBook (iPad) como recurso formativo para personas con discapacidad intelectual en el ámbito universitario</w:t>
            </w:r>
          </w:p>
        </w:tc>
      </w:tr>
    </w:tbl>
    <w:p w:rsidR="008949B1" w:rsidRPr="005E1103" w:rsidRDefault="008949B1" w:rsidP="008949B1">
      <w:pPr>
        <w:spacing w:after="0" w:line="360" w:lineRule="auto"/>
        <w:jc w:val="right"/>
        <w:rPr>
          <w:rFonts w:cstheme="minorHAnsi"/>
          <w:b/>
          <w:sz w:val="28"/>
          <w:szCs w:val="28"/>
        </w:rPr>
      </w:pPr>
    </w:p>
    <w:p w:rsidR="008949B1" w:rsidRPr="005E1103" w:rsidRDefault="008949B1" w:rsidP="008949B1">
      <w:pPr>
        <w:spacing w:after="0" w:line="360" w:lineRule="auto"/>
        <w:jc w:val="right"/>
        <w:rPr>
          <w:rFonts w:cstheme="minorHAnsi"/>
          <w:sz w:val="28"/>
          <w:szCs w:val="28"/>
        </w:rPr>
      </w:pPr>
      <w:r w:rsidRPr="005E1103">
        <w:rPr>
          <w:rFonts w:cstheme="minorHAnsi"/>
          <w:sz w:val="28"/>
          <w:szCs w:val="28"/>
        </w:rPr>
        <w:t xml:space="preserve">Pablo Rodríguez Herrero </w:t>
      </w:r>
    </w:p>
    <w:p w:rsidR="008949B1" w:rsidRPr="005E1103" w:rsidRDefault="008949B1" w:rsidP="008949B1">
      <w:pPr>
        <w:spacing w:after="0" w:line="360" w:lineRule="auto"/>
        <w:jc w:val="right"/>
        <w:rPr>
          <w:rFonts w:cstheme="minorHAnsi"/>
          <w:sz w:val="28"/>
          <w:szCs w:val="28"/>
        </w:rPr>
      </w:pPr>
      <w:r w:rsidRPr="005E1103">
        <w:rPr>
          <w:rFonts w:cstheme="minorHAnsi"/>
          <w:sz w:val="28"/>
          <w:szCs w:val="28"/>
        </w:rPr>
        <w:t>Profesor Asociado / Orientador</w:t>
      </w:r>
    </w:p>
    <w:p w:rsidR="008949B1" w:rsidRPr="005E1103" w:rsidRDefault="008949B1" w:rsidP="008949B1">
      <w:pPr>
        <w:spacing w:after="0" w:line="360" w:lineRule="auto"/>
        <w:jc w:val="right"/>
        <w:rPr>
          <w:rFonts w:cstheme="minorHAnsi"/>
          <w:sz w:val="28"/>
          <w:szCs w:val="28"/>
        </w:rPr>
      </w:pPr>
      <w:r w:rsidRPr="005E1103">
        <w:rPr>
          <w:rFonts w:cstheme="minorHAnsi"/>
          <w:sz w:val="28"/>
          <w:szCs w:val="28"/>
        </w:rPr>
        <w:t>UAM / Fundación Prodis</w:t>
      </w:r>
    </w:p>
    <w:p w:rsidR="008949B1" w:rsidRPr="005E1103" w:rsidRDefault="008949B1" w:rsidP="008949B1">
      <w:pPr>
        <w:spacing w:after="0" w:line="360" w:lineRule="auto"/>
        <w:jc w:val="right"/>
        <w:rPr>
          <w:rFonts w:cstheme="minorHAnsi"/>
          <w:sz w:val="28"/>
          <w:szCs w:val="28"/>
        </w:rPr>
      </w:pPr>
    </w:p>
    <w:p w:rsidR="008949B1" w:rsidRPr="005E1103" w:rsidRDefault="008949B1" w:rsidP="008949B1">
      <w:pPr>
        <w:spacing w:after="0" w:line="360" w:lineRule="auto"/>
        <w:jc w:val="right"/>
        <w:rPr>
          <w:rFonts w:cstheme="minorHAnsi"/>
          <w:sz w:val="28"/>
          <w:szCs w:val="28"/>
        </w:rPr>
      </w:pPr>
      <w:r w:rsidRPr="005E1103">
        <w:rPr>
          <w:rFonts w:cstheme="minorHAnsi"/>
          <w:sz w:val="28"/>
          <w:szCs w:val="28"/>
        </w:rPr>
        <w:t xml:space="preserve">Dolores Izuzquiza Gasset </w:t>
      </w:r>
    </w:p>
    <w:p w:rsidR="008949B1" w:rsidRPr="005E1103" w:rsidRDefault="008949B1" w:rsidP="008949B1">
      <w:pPr>
        <w:spacing w:after="0" w:line="360" w:lineRule="auto"/>
        <w:jc w:val="right"/>
        <w:rPr>
          <w:rFonts w:cstheme="minorHAnsi"/>
          <w:sz w:val="28"/>
          <w:szCs w:val="28"/>
        </w:rPr>
      </w:pPr>
      <w:r w:rsidRPr="005E1103">
        <w:rPr>
          <w:rFonts w:cstheme="minorHAnsi"/>
          <w:sz w:val="28"/>
          <w:szCs w:val="28"/>
        </w:rPr>
        <w:t>Profesor Contratado Doctor</w:t>
      </w:r>
    </w:p>
    <w:p w:rsidR="008949B1" w:rsidRPr="005E1103" w:rsidRDefault="008949B1" w:rsidP="008949B1">
      <w:pPr>
        <w:spacing w:after="0" w:line="360" w:lineRule="auto"/>
        <w:jc w:val="right"/>
        <w:rPr>
          <w:rFonts w:cstheme="minorHAnsi"/>
          <w:sz w:val="28"/>
          <w:szCs w:val="28"/>
        </w:rPr>
      </w:pPr>
      <w:r w:rsidRPr="005E1103">
        <w:rPr>
          <w:rFonts w:cstheme="minorHAnsi"/>
          <w:sz w:val="28"/>
          <w:szCs w:val="28"/>
        </w:rPr>
        <w:t>UAM</w:t>
      </w:r>
    </w:p>
    <w:p w:rsidR="008949B1" w:rsidRPr="005E1103" w:rsidRDefault="008949B1" w:rsidP="008949B1">
      <w:pPr>
        <w:spacing w:after="0" w:line="360" w:lineRule="auto"/>
        <w:jc w:val="right"/>
        <w:rPr>
          <w:rFonts w:cstheme="minorHAnsi"/>
          <w:sz w:val="28"/>
          <w:szCs w:val="28"/>
        </w:rPr>
      </w:pPr>
    </w:p>
    <w:p w:rsidR="008949B1" w:rsidRPr="005E1103" w:rsidRDefault="008949B1" w:rsidP="008949B1">
      <w:pPr>
        <w:spacing w:after="0" w:line="360" w:lineRule="auto"/>
        <w:jc w:val="right"/>
        <w:rPr>
          <w:rFonts w:cstheme="minorHAnsi"/>
          <w:sz w:val="28"/>
          <w:szCs w:val="28"/>
        </w:rPr>
      </w:pPr>
      <w:r w:rsidRPr="005E1103">
        <w:rPr>
          <w:rFonts w:cstheme="minorHAnsi"/>
          <w:sz w:val="28"/>
          <w:szCs w:val="28"/>
        </w:rPr>
        <w:t>Olga Rodríguez Alejandre</w:t>
      </w:r>
    </w:p>
    <w:p w:rsidR="008949B1" w:rsidRPr="005E1103" w:rsidRDefault="008949B1" w:rsidP="008949B1">
      <w:pPr>
        <w:spacing w:after="0" w:line="360" w:lineRule="auto"/>
        <w:jc w:val="right"/>
        <w:rPr>
          <w:rFonts w:cstheme="minorHAnsi"/>
          <w:sz w:val="28"/>
          <w:szCs w:val="28"/>
        </w:rPr>
      </w:pPr>
      <w:r w:rsidRPr="005E1103">
        <w:rPr>
          <w:rFonts w:cstheme="minorHAnsi"/>
          <w:sz w:val="28"/>
          <w:szCs w:val="28"/>
        </w:rPr>
        <w:t>Coordinadora de programas pre y post universitarios</w:t>
      </w:r>
    </w:p>
    <w:p w:rsidR="008949B1" w:rsidRPr="005E1103" w:rsidRDefault="008949B1" w:rsidP="008949B1">
      <w:pPr>
        <w:spacing w:after="0" w:line="360" w:lineRule="auto"/>
        <w:jc w:val="right"/>
        <w:rPr>
          <w:rFonts w:cstheme="minorHAnsi"/>
          <w:sz w:val="28"/>
          <w:szCs w:val="28"/>
        </w:rPr>
      </w:pPr>
      <w:r w:rsidRPr="005E1103">
        <w:rPr>
          <w:rFonts w:cstheme="minorHAnsi"/>
          <w:sz w:val="28"/>
          <w:szCs w:val="28"/>
        </w:rPr>
        <w:t>Fundación Prodis</w:t>
      </w:r>
    </w:p>
    <w:p w:rsidR="008949B1" w:rsidRPr="005E1103" w:rsidRDefault="008949B1" w:rsidP="008949B1">
      <w:pPr>
        <w:spacing w:after="0" w:line="360" w:lineRule="auto"/>
        <w:jc w:val="right"/>
        <w:rPr>
          <w:rFonts w:cstheme="minorHAnsi"/>
          <w:sz w:val="28"/>
          <w:szCs w:val="28"/>
        </w:rPr>
      </w:pPr>
    </w:p>
    <w:p w:rsidR="008949B1" w:rsidRPr="005E1103" w:rsidRDefault="008949B1" w:rsidP="008949B1">
      <w:pPr>
        <w:spacing w:after="0" w:line="360" w:lineRule="auto"/>
        <w:jc w:val="right"/>
        <w:rPr>
          <w:rFonts w:cstheme="minorHAnsi"/>
          <w:sz w:val="28"/>
          <w:szCs w:val="28"/>
        </w:rPr>
      </w:pPr>
      <w:r w:rsidRPr="005E1103">
        <w:rPr>
          <w:rFonts w:cstheme="minorHAnsi"/>
          <w:sz w:val="28"/>
          <w:szCs w:val="28"/>
        </w:rPr>
        <w:t>Sandra Ruiz Ambit</w:t>
      </w:r>
    </w:p>
    <w:p w:rsidR="008949B1" w:rsidRPr="005E1103" w:rsidRDefault="008949B1" w:rsidP="008949B1">
      <w:pPr>
        <w:spacing w:after="0" w:line="360" w:lineRule="auto"/>
        <w:jc w:val="right"/>
        <w:rPr>
          <w:rFonts w:cstheme="minorHAnsi"/>
          <w:sz w:val="28"/>
          <w:szCs w:val="28"/>
        </w:rPr>
      </w:pPr>
      <w:r w:rsidRPr="005E1103">
        <w:rPr>
          <w:rFonts w:cstheme="minorHAnsi"/>
          <w:sz w:val="28"/>
          <w:szCs w:val="28"/>
        </w:rPr>
        <w:t>Profesora</w:t>
      </w:r>
    </w:p>
    <w:p w:rsidR="008949B1" w:rsidRPr="005E1103" w:rsidRDefault="008949B1" w:rsidP="008949B1">
      <w:pPr>
        <w:spacing w:after="0" w:line="360" w:lineRule="auto"/>
        <w:jc w:val="right"/>
        <w:rPr>
          <w:rFonts w:cstheme="minorHAnsi"/>
          <w:sz w:val="28"/>
          <w:szCs w:val="28"/>
        </w:rPr>
      </w:pPr>
      <w:r w:rsidRPr="005E1103">
        <w:rPr>
          <w:rFonts w:cstheme="minorHAnsi"/>
          <w:sz w:val="28"/>
          <w:szCs w:val="28"/>
        </w:rPr>
        <w:t>Fundación Prodis</w:t>
      </w:r>
    </w:p>
    <w:p w:rsidR="008949B1" w:rsidRPr="005E1103" w:rsidRDefault="008949B1" w:rsidP="008949B1">
      <w:pPr>
        <w:spacing w:after="0" w:line="360" w:lineRule="auto"/>
        <w:jc w:val="right"/>
        <w:rPr>
          <w:rFonts w:cstheme="minorHAnsi"/>
          <w:b/>
          <w:sz w:val="28"/>
          <w:szCs w:val="28"/>
        </w:rPr>
      </w:pPr>
    </w:p>
    <w:p w:rsidR="008949B1" w:rsidRPr="005E1103" w:rsidRDefault="008949B1" w:rsidP="008949B1">
      <w:pPr>
        <w:spacing w:after="0" w:line="360" w:lineRule="auto"/>
        <w:jc w:val="both"/>
        <w:rPr>
          <w:rFonts w:cstheme="minorHAnsi"/>
          <w:sz w:val="28"/>
          <w:szCs w:val="28"/>
        </w:rPr>
      </w:pPr>
    </w:p>
    <w:p w:rsidR="008949B1" w:rsidRPr="005E1103" w:rsidRDefault="008949B1" w:rsidP="008949B1">
      <w:pPr>
        <w:spacing w:after="0" w:line="360" w:lineRule="auto"/>
        <w:jc w:val="both"/>
        <w:rPr>
          <w:rFonts w:cstheme="minorHAnsi"/>
          <w:sz w:val="28"/>
          <w:szCs w:val="28"/>
        </w:rPr>
      </w:pPr>
    </w:p>
    <w:p w:rsidR="008949B1" w:rsidRPr="005E1103" w:rsidRDefault="008949B1" w:rsidP="008949B1">
      <w:pPr>
        <w:spacing w:after="0" w:line="360" w:lineRule="auto"/>
        <w:jc w:val="both"/>
        <w:rPr>
          <w:rFonts w:cstheme="minorHAnsi"/>
          <w:b/>
          <w:sz w:val="28"/>
          <w:szCs w:val="28"/>
        </w:rPr>
      </w:pPr>
      <w:r w:rsidRPr="005E1103">
        <w:rPr>
          <w:rFonts w:cstheme="minorHAnsi"/>
          <w:b/>
          <w:sz w:val="28"/>
          <w:szCs w:val="28"/>
        </w:rPr>
        <w:t>Resumen</w:t>
      </w:r>
    </w:p>
    <w:p w:rsidR="008949B1" w:rsidRPr="005E1103" w:rsidRDefault="008949B1" w:rsidP="008949B1">
      <w:pPr>
        <w:spacing w:after="0" w:line="360" w:lineRule="auto"/>
        <w:jc w:val="both"/>
        <w:rPr>
          <w:rFonts w:cstheme="minorHAnsi"/>
          <w:sz w:val="28"/>
          <w:szCs w:val="28"/>
        </w:rPr>
      </w:pPr>
      <w:r w:rsidRPr="005E1103">
        <w:rPr>
          <w:rFonts w:cstheme="minorHAnsi"/>
          <w:sz w:val="28"/>
          <w:szCs w:val="28"/>
        </w:rPr>
        <w:t xml:space="preserve">En esta comunicación se presentan los resultados del proyecto “Elaboración, aplicación y evaluación de materiales educativos interactivos para personas con discapacidad intelectual a través del iBooks Author (iPad)”, premiado por la Convocatoria Tecnologías de Accesibilidad </w:t>
      </w:r>
      <w:r w:rsidRPr="005E1103">
        <w:rPr>
          <w:rFonts w:cstheme="minorHAnsi"/>
          <w:sz w:val="28"/>
          <w:szCs w:val="28"/>
        </w:rPr>
        <w:lastRenderedPageBreak/>
        <w:t xml:space="preserve">de la Fundación Vodafone y la Fundación de la Universidad Autónoma de Madrid 2015. Asimismo, es un proyecto que se enmarca en las líneas de acción del proyecto europeo “Able-to-include” en el que participa la Cátedra de Patrocinio UAM-PRODIS, y que pretende mejorar la accesibilidad tecnológica de las personas con discapacidad intelectual. Se describe el proceso por el cual se han creado 6 libros interactivos para visualizar en el iPad en temáticas de interés para la formación y el apoyo a personas adultas con discapacidad intelectual: Habilidades sociales, Habilidades emocionales, Autonomía en el transporte, Orientación laboral, Imagen y protocolo, Vida independiente. En una primera fase del proyecto, se realizó un grupo de discusión de expertos para valorar las áreas de conocimientos susceptibles de incluirse en la colección de iBooks. Los profesionales que han elaborado los libros recibieron la formación adecuada, creándose posteriormente los materiales siguiendo los siguientes principios básicos: 1) Temas que pueden interesar a personas con distintas necesidades de apoyo; 2) Inclusión de distintos recursos audiovisuales y dinámicos (videos, fotos, texto, actividades interactivas, etc.), en base al Diseño Universal del Aprendizaje (DUA); y 3) Posibilidad de utilizarse tanto en ámbitos formativos como familiares. Los 6 libros que conforman la colección han sido evaluados a través de un juicio de expertos, y están publicados en la plataforma Apple de descarga de ibooks. Este proyecto responde a la necesidad de crear libros interactivos que se puedan visualizar en tabletas para personas adultas con discapacidad intelectual, al no existir en la actualidad recursos similares con esta población.  </w:t>
      </w:r>
    </w:p>
    <w:p w:rsidR="008949B1" w:rsidRPr="005E1103" w:rsidRDefault="008949B1" w:rsidP="008949B1">
      <w:pPr>
        <w:spacing w:after="0" w:line="360" w:lineRule="auto"/>
        <w:jc w:val="both"/>
        <w:rPr>
          <w:rFonts w:cstheme="minorHAnsi"/>
          <w:sz w:val="28"/>
          <w:szCs w:val="28"/>
        </w:rPr>
      </w:pPr>
    </w:p>
    <w:p w:rsidR="008949B1" w:rsidRPr="005E1103" w:rsidRDefault="008949B1" w:rsidP="008949B1">
      <w:pPr>
        <w:spacing w:after="0" w:line="360" w:lineRule="auto"/>
        <w:jc w:val="both"/>
        <w:rPr>
          <w:rFonts w:cstheme="minorHAnsi"/>
          <w:b/>
          <w:sz w:val="28"/>
          <w:szCs w:val="28"/>
          <w:lang w:val="en-US"/>
        </w:rPr>
      </w:pPr>
      <w:r w:rsidRPr="005E1103">
        <w:rPr>
          <w:rFonts w:cstheme="minorHAnsi"/>
          <w:b/>
          <w:sz w:val="28"/>
          <w:szCs w:val="28"/>
          <w:lang w:val="en-US"/>
        </w:rPr>
        <w:t>Abstract</w:t>
      </w:r>
    </w:p>
    <w:p w:rsidR="008949B1" w:rsidRPr="005E1103" w:rsidRDefault="008949B1" w:rsidP="008949B1">
      <w:pPr>
        <w:spacing w:after="0" w:line="360" w:lineRule="auto"/>
        <w:jc w:val="both"/>
        <w:rPr>
          <w:rFonts w:cstheme="minorHAnsi"/>
          <w:sz w:val="28"/>
          <w:szCs w:val="28"/>
          <w:lang w:val="en-US"/>
        </w:rPr>
      </w:pPr>
      <w:r w:rsidRPr="005E1103">
        <w:rPr>
          <w:rFonts w:cstheme="minorHAnsi"/>
          <w:sz w:val="28"/>
          <w:szCs w:val="28"/>
          <w:lang w:val="en-US"/>
        </w:rPr>
        <w:lastRenderedPageBreak/>
        <w:t>In this communication are presented the results of the project "Development, implementation and evaluation of interactive educational materials for people with intellectual disabilities through iBooks Author (iPad)" awarded by the Technology Accessibility Convocation of the Vodafone Foundation and the Universidad Autónoma de Madrid Foundation 2015. It is also a project that is part of the action lines of the European project “Able-to-include”, in which participates the Sponsorship Chair UAM-PRODIS. The main goal of this project is to improve technological accessibility for people with intellectual disabilities. The process by which it have been created six interactive books for display on the iPad on topics of interest to the training and support to adults with intellectual disabilities are described: Social skills, emotional skills, Autonomy on transportation, Career Counseling, Personal image and Independent living. In a first phase, a discussion group of experts was conducted to assess the areas of knowledge could be included in the collection of iBooks. The professionals who have made the books received appropriate training, creating further materials with the following basic principles: 1) Topics that may interest people with different support needs; 2) Inclusion of different audiovisual and dynamic resources (videos, photos, text, interactive activities, etc.), based on the Universal Design for Learning (DUA); and 3) Ability to use both in training and family areas. The 6 books that make up the collection have been evaluated by an expert opinion and are able in the Apple platform for uploading ibooks. This project responds to the need to create interactive books that can be viewed on tablets for adults with intellectual disabilities, as there aren´t currently similar resources to this population.</w:t>
      </w:r>
    </w:p>
    <w:p w:rsidR="008949B1" w:rsidRPr="005E1103" w:rsidRDefault="008949B1" w:rsidP="008949B1">
      <w:pPr>
        <w:spacing w:after="0" w:line="360" w:lineRule="auto"/>
        <w:jc w:val="both"/>
        <w:rPr>
          <w:rFonts w:cstheme="minorHAnsi"/>
          <w:b/>
          <w:sz w:val="28"/>
          <w:szCs w:val="28"/>
          <w:lang w:val="en-US"/>
        </w:rPr>
      </w:pPr>
    </w:p>
    <w:p w:rsidR="008949B1" w:rsidRPr="005E1103" w:rsidRDefault="008949B1" w:rsidP="008949B1">
      <w:pPr>
        <w:spacing w:after="0" w:line="360" w:lineRule="auto"/>
        <w:jc w:val="both"/>
        <w:rPr>
          <w:rFonts w:cstheme="minorHAnsi"/>
          <w:b/>
          <w:sz w:val="28"/>
          <w:szCs w:val="28"/>
        </w:rPr>
      </w:pPr>
      <w:r w:rsidRPr="005E1103">
        <w:rPr>
          <w:rFonts w:cstheme="minorHAnsi"/>
          <w:b/>
          <w:sz w:val="28"/>
          <w:szCs w:val="28"/>
        </w:rPr>
        <w:lastRenderedPageBreak/>
        <w:t>Palabras clave</w:t>
      </w:r>
    </w:p>
    <w:p w:rsidR="008949B1" w:rsidRPr="005E1103" w:rsidRDefault="008949B1" w:rsidP="008949B1">
      <w:pPr>
        <w:spacing w:after="0" w:line="360" w:lineRule="auto"/>
        <w:jc w:val="both"/>
        <w:rPr>
          <w:rFonts w:cstheme="minorHAnsi"/>
          <w:sz w:val="28"/>
          <w:szCs w:val="28"/>
        </w:rPr>
      </w:pPr>
      <w:r w:rsidRPr="005E1103">
        <w:rPr>
          <w:rFonts w:cstheme="minorHAnsi"/>
          <w:sz w:val="28"/>
          <w:szCs w:val="28"/>
        </w:rPr>
        <w:t>Discapacidad intelectual, iBook, Materiales interactivos; Formación, iPad</w:t>
      </w:r>
    </w:p>
    <w:p w:rsidR="008949B1" w:rsidRPr="005E1103" w:rsidRDefault="008949B1" w:rsidP="008949B1">
      <w:pPr>
        <w:spacing w:after="0" w:line="360" w:lineRule="auto"/>
        <w:jc w:val="both"/>
        <w:rPr>
          <w:rFonts w:cstheme="minorHAnsi"/>
          <w:sz w:val="28"/>
          <w:szCs w:val="28"/>
        </w:rPr>
      </w:pPr>
    </w:p>
    <w:p w:rsidR="008949B1" w:rsidRPr="005E1103" w:rsidRDefault="008949B1" w:rsidP="008949B1">
      <w:pPr>
        <w:spacing w:after="0" w:line="360" w:lineRule="auto"/>
        <w:jc w:val="both"/>
        <w:rPr>
          <w:rFonts w:cstheme="minorHAnsi"/>
          <w:b/>
          <w:sz w:val="28"/>
          <w:szCs w:val="28"/>
          <w:lang w:val="en-US"/>
        </w:rPr>
      </w:pPr>
      <w:r w:rsidRPr="005E1103">
        <w:rPr>
          <w:rFonts w:cstheme="minorHAnsi"/>
          <w:b/>
          <w:sz w:val="28"/>
          <w:szCs w:val="28"/>
          <w:lang w:val="en-US"/>
        </w:rPr>
        <w:t xml:space="preserve">Key words </w:t>
      </w:r>
    </w:p>
    <w:p w:rsidR="008949B1" w:rsidRPr="005E1103" w:rsidRDefault="008949B1" w:rsidP="008949B1">
      <w:pPr>
        <w:spacing w:after="0" w:line="360" w:lineRule="auto"/>
        <w:jc w:val="both"/>
        <w:rPr>
          <w:rFonts w:cstheme="minorHAnsi"/>
          <w:sz w:val="28"/>
          <w:szCs w:val="28"/>
          <w:lang w:val="en-US"/>
        </w:rPr>
      </w:pPr>
      <w:r w:rsidRPr="005E1103">
        <w:rPr>
          <w:rFonts w:cstheme="minorHAnsi"/>
          <w:sz w:val="28"/>
          <w:szCs w:val="28"/>
          <w:lang w:val="en-US"/>
        </w:rPr>
        <w:t xml:space="preserve">Intellectual disability, iBook, Interactive resources, Training, iPad </w:t>
      </w:r>
    </w:p>
    <w:p w:rsidR="008949B1" w:rsidRPr="005E1103" w:rsidRDefault="008949B1" w:rsidP="008949B1">
      <w:pPr>
        <w:spacing w:after="0" w:line="360" w:lineRule="auto"/>
        <w:jc w:val="both"/>
        <w:rPr>
          <w:rFonts w:cstheme="minorHAnsi"/>
          <w:sz w:val="28"/>
          <w:szCs w:val="28"/>
          <w:lang w:val="en-US"/>
        </w:rPr>
      </w:pPr>
    </w:p>
    <w:p w:rsidR="008949B1" w:rsidRPr="005E1103" w:rsidRDefault="008949B1" w:rsidP="008949B1">
      <w:pPr>
        <w:spacing w:after="0" w:line="360" w:lineRule="auto"/>
        <w:jc w:val="both"/>
        <w:rPr>
          <w:rFonts w:cstheme="minorHAnsi"/>
          <w:b/>
          <w:sz w:val="28"/>
          <w:szCs w:val="28"/>
        </w:rPr>
      </w:pPr>
      <w:r w:rsidRPr="005E1103">
        <w:rPr>
          <w:rFonts w:cstheme="minorHAnsi"/>
          <w:b/>
          <w:sz w:val="28"/>
          <w:szCs w:val="28"/>
        </w:rPr>
        <w:t>1. Introducción</w:t>
      </w:r>
    </w:p>
    <w:p w:rsidR="008949B1" w:rsidRPr="005E1103" w:rsidRDefault="008949B1" w:rsidP="008949B1">
      <w:pPr>
        <w:spacing w:after="0" w:line="360" w:lineRule="auto"/>
        <w:jc w:val="both"/>
        <w:rPr>
          <w:rFonts w:cstheme="minorHAnsi"/>
          <w:b/>
          <w:sz w:val="28"/>
          <w:szCs w:val="28"/>
        </w:rPr>
      </w:pPr>
    </w:p>
    <w:p w:rsidR="008949B1" w:rsidRPr="005E1103" w:rsidRDefault="008949B1" w:rsidP="008949B1">
      <w:pPr>
        <w:spacing w:after="0" w:line="360" w:lineRule="auto"/>
        <w:ind w:firstLine="708"/>
        <w:jc w:val="both"/>
        <w:rPr>
          <w:rFonts w:cstheme="minorHAnsi"/>
          <w:sz w:val="28"/>
          <w:szCs w:val="28"/>
        </w:rPr>
      </w:pPr>
      <w:r w:rsidRPr="005E1103">
        <w:rPr>
          <w:rFonts w:cstheme="minorHAnsi"/>
          <w:sz w:val="28"/>
          <w:szCs w:val="28"/>
        </w:rPr>
        <w:t>Vivimos en una sociedad en la que la tecnología está presente prácticamente en todas las áreas y facetas de la vida. Saber utilizarlas adecuadamente, con una perspectiva crítica y ética, se ha convertido en un principio básico de la inclusión social. De hecho, se puede considerar en la actualidad un nuevo analfabetismo, relativo al conocimiento digital y, en muchos casos, preocupantemente limitante para acceder a participar en la comunidad y en la sociedad.</w:t>
      </w:r>
    </w:p>
    <w:p w:rsidR="008949B1" w:rsidRPr="005E1103" w:rsidRDefault="008949B1" w:rsidP="008949B1">
      <w:pPr>
        <w:spacing w:after="0" w:line="360" w:lineRule="auto"/>
        <w:ind w:firstLine="708"/>
        <w:jc w:val="both"/>
        <w:rPr>
          <w:rFonts w:cstheme="minorHAnsi"/>
          <w:sz w:val="28"/>
          <w:szCs w:val="28"/>
        </w:rPr>
      </w:pPr>
      <w:r w:rsidRPr="005E1103">
        <w:rPr>
          <w:rFonts w:cstheme="minorHAnsi"/>
          <w:sz w:val="28"/>
          <w:szCs w:val="28"/>
        </w:rPr>
        <w:t xml:space="preserve">Es por ello que, en el apoyo a personas con discapacidad intelectual, se hace necesario abordar la formación en tecnologías de la información y la comunicación desde un modelo inclusivo. </w:t>
      </w:r>
    </w:p>
    <w:p w:rsidR="008949B1" w:rsidRPr="005E1103" w:rsidRDefault="008949B1" w:rsidP="008949B1">
      <w:pPr>
        <w:spacing w:after="0" w:line="360" w:lineRule="auto"/>
        <w:ind w:firstLine="708"/>
        <w:jc w:val="both"/>
        <w:rPr>
          <w:rFonts w:cstheme="minorHAnsi"/>
          <w:sz w:val="28"/>
          <w:szCs w:val="28"/>
        </w:rPr>
      </w:pPr>
      <w:r w:rsidRPr="005E1103">
        <w:rPr>
          <w:rFonts w:cstheme="minorHAnsi"/>
          <w:sz w:val="28"/>
          <w:szCs w:val="28"/>
        </w:rPr>
        <w:t xml:space="preserve">En esta comunicación se presenta una contribución realizada desde la Fundación Prodis que aúna estas áreas en un proyecto de innovación e investigación, y que pretende favorecer la inclusión universitaria de personas con discapacidad intelectual. El objetivo del proyecto es crear 6 libros interactivos digitales (iBooks) para visualizar en el iPad, cuyas áreas de conocimiento tienen relevancia para la formación y apoyo a personas adultas con discapacidad intelectual. </w:t>
      </w:r>
    </w:p>
    <w:p w:rsidR="008949B1" w:rsidRPr="005E1103" w:rsidRDefault="008949B1" w:rsidP="008949B1">
      <w:pPr>
        <w:spacing w:after="0" w:line="360" w:lineRule="auto"/>
        <w:jc w:val="both"/>
        <w:rPr>
          <w:rFonts w:cstheme="minorHAnsi"/>
          <w:sz w:val="28"/>
          <w:szCs w:val="28"/>
        </w:rPr>
      </w:pPr>
    </w:p>
    <w:p w:rsidR="008949B1" w:rsidRPr="005E1103" w:rsidRDefault="008949B1" w:rsidP="008949B1">
      <w:pPr>
        <w:spacing w:after="0" w:line="360" w:lineRule="auto"/>
        <w:jc w:val="both"/>
        <w:rPr>
          <w:rFonts w:cstheme="minorHAnsi"/>
          <w:b/>
          <w:sz w:val="28"/>
          <w:szCs w:val="28"/>
        </w:rPr>
      </w:pPr>
      <w:r w:rsidRPr="005E1103">
        <w:rPr>
          <w:rFonts w:cstheme="minorHAnsi"/>
          <w:b/>
          <w:sz w:val="28"/>
          <w:szCs w:val="28"/>
        </w:rPr>
        <w:t>2. Marco teórico</w:t>
      </w:r>
    </w:p>
    <w:p w:rsidR="008949B1" w:rsidRPr="005E1103" w:rsidRDefault="008949B1" w:rsidP="008949B1">
      <w:pPr>
        <w:spacing w:after="0" w:line="360" w:lineRule="auto"/>
        <w:jc w:val="both"/>
        <w:rPr>
          <w:rFonts w:cstheme="minorHAnsi"/>
          <w:b/>
          <w:sz w:val="28"/>
          <w:szCs w:val="28"/>
        </w:rPr>
      </w:pPr>
    </w:p>
    <w:p w:rsidR="008949B1" w:rsidRPr="005E1103" w:rsidRDefault="008949B1" w:rsidP="008949B1">
      <w:pPr>
        <w:spacing w:after="0" w:line="360" w:lineRule="auto"/>
        <w:ind w:firstLine="708"/>
        <w:jc w:val="both"/>
        <w:rPr>
          <w:rFonts w:cstheme="minorHAnsi"/>
          <w:sz w:val="28"/>
          <w:szCs w:val="28"/>
        </w:rPr>
      </w:pPr>
      <w:r w:rsidRPr="005E1103">
        <w:rPr>
          <w:rFonts w:cstheme="minorHAnsi"/>
          <w:sz w:val="28"/>
          <w:szCs w:val="28"/>
        </w:rPr>
        <w:t xml:space="preserve">La educación del siglo XXI tiene que tener en cuenta las TIC como recurso educativo esencial y como factor que favorece la inclusión social, y por consiguiente el bienestar emocional de los usuarios. Esta consideración no quiere decir que la utilización de las TIC por sí misma sea un elemento innovador y formativo para los alumnos. Las TIC son un recurso que ha de tener como vector la formación. </w:t>
      </w:r>
    </w:p>
    <w:p w:rsidR="008949B1" w:rsidRPr="005E1103" w:rsidRDefault="008949B1" w:rsidP="008949B1">
      <w:pPr>
        <w:spacing w:after="0" w:line="360" w:lineRule="auto"/>
        <w:ind w:firstLine="708"/>
        <w:jc w:val="both"/>
        <w:rPr>
          <w:rFonts w:cstheme="minorHAnsi"/>
          <w:sz w:val="28"/>
          <w:szCs w:val="28"/>
        </w:rPr>
      </w:pPr>
      <w:r w:rsidRPr="005E1103">
        <w:rPr>
          <w:rFonts w:cstheme="minorHAnsi"/>
          <w:sz w:val="28"/>
          <w:szCs w:val="28"/>
        </w:rPr>
        <w:t xml:space="preserve">En cualquier caso, no abordar las TIC ni introducirlas en la formación, podría favorecer la exclusión social de los alumnos. En el caso de algunos colectivos como las personas con discapacidad intelectual, este riesgo es aún mayor. Y, sin embargo, las investigaciones sobre el uso de las TIC en personas con discapacidad intelectual está todavía muy poco desarrollada (Gutiérrez y Martorell, 2011). </w:t>
      </w:r>
    </w:p>
    <w:p w:rsidR="008949B1" w:rsidRPr="005E1103" w:rsidRDefault="008949B1" w:rsidP="008949B1">
      <w:pPr>
        <w:spacing w:after="0" w:line="360" w:lineRule="auto"/>
        <w:ind w:firstLine="708"/>
        <w:jc w:val="both"/>
        <w:rPr>
          <w:rFonts w:cstheme="minorHAnsi"/>
          <w:sz w:val="28"/>
          <w:szCs w:val="28"/>
        </w:rPr>
      </w:pPr>
      <w:r w:rsidRPr="005E1103">
        <w:rPr>
          <w:rFonts w:cstheme="minorHAnsi"/>
          <w:sz w:val="28"/>
          <w:szCs w:val="28"/>
        </w:rPr>
        <w:t xml:space="preserve">En el ámbito de la formación de personas con discapacidad intelectual, la utilización de las TIC puede contribuir de forma efectiva a la mejora de su calidad de vida (Naslund y Gardelli, 2013). Tiene relación con el desarrollo en las diferentes dimensiones de la vida de la persona: bienestar emocional, relaciones interpersonales, bienestar material, desarrollo personal, bienestar físico, autodeterminación, inclusión social y derechos (Schalock y Verdugo, 2007). En este sentido, las TIC pueden favorecer el desarrollo de una mayor autonomía en actividades básicas de la vida diaria (De la Fuente y Hernández-Galán, 2014). El modelo de calidad de vida es aplicable a una formación permanente a lo largo de toda la vida, que no se ciña a la formación escolar y que incluya la utilización de las nuevas tecnologías no solo para la formación, sino también en el apoyo en el empleo, en el ocio o en otros aspectos de la vida independiente. Además, las TIC están en continuo cambio, por lo que </w:t>
      </w:r>
      <w:r w:rsidRPr="005E1103">
        <w:rPr>
          <w:rFonts w:cstheme="minorHAnsi"/>
          <w:sz w:val="28"/>
          <w:szCs w:val="28"/>
        </w:rPr>
        <w:lastRenderedPageBreak/>
        <w:t xml:space="preserve">es preciso renovarse y recibir una formación continua (Li-Tsang y col., 2007). </w:t>
      </w:r>
    </w:p>
    <w:p w:rsidR="008949B1" w:rsidRPr="005E1103" w:rsidRDefault="008949B1" w:rsidP="008949B1">
      <w:pPr>
        <w:spacing w:after="0" w:line="360" w:lineRule="auto"/>
        <w:ind w:firstLine="708"/>
        <w:jc w:val="both"/>
        <w:rPr>
          <w:rFonts w:cstheme="minorHAnsi"/>
          <w:sz w:val="28"/>
          <w:szCs w:val="28"/>
        </w:rPr>
      </w:pPr>
      <w:r w:rsidRPr="005E1103">
        <w:rPr>
          <w:rFonts w:cstheme="minorHAnsi"/>
          <w:sz w:val="28"/>
          <w:szCs w:val="28"/>
        </w:rPr>
        <w:t xml:space="preserve">Tanto en el caso de las personas con discapacidad intelectual como en el de otros colectivos, parece necesario recibir una formación de calidad, para enseñar a utilizar procedimientos y pautas de consumo saludables y beneficiosas para el desarrollo y la inclusión de la persona. Más si cabe con personas que suelen sufrir la denominada “brecha digital” (Prefasi y col., 2010), por motivos económicos, culturales o de accesibilidad cognitiva. </w:t>
      </w:r>
    </w:p>
    <w:p w:rsidR="008949B1" w:rsidRPr="005E1103" w:rsidRDefault="008949B1" w:rsidP="008949B1">
      <w:pPr>
        <w:spacing w:after="0" w:line="360" w:lineRule="auto"/>
        <w:ind w:firstLine="708"/>
        <w:jc w:val="both"/>
        <w:rPr>
          <w:rFonts w:cstheme="minorHAnsi"/>
          <w:sz w:val="28"/>
          <w:szCs w:val="28"/>
        </w:rPr>
      </w:pPr>
      <w:r w:rsidRPr="005E1103">
        <w:rPr>
          <w:rFonts w:cstheme="minorHAnsi"/>
          <w:sz w:val="28"/>
          <w:szCs w:val="28"/>
        </w:rPr>
        <w:t xml:space="preserve">Los entornos tecnológicos a partir de los cuales mejorar la calidad de vida de las personas con discapacidad intelectual y disminuir la brecha digital existente, son muy diversos (Zubillaga, Alba y Sánchez, 2013): acceso a la tecnología, acceso a la comunicación, acceso a la información, acceso a los espacios de formación, acceso a las actividades de formación, acceso al mundo laboral y profesional. </w:t>
      </w:r>
    </w:p>
    <w:p w:rsidR="008949B1" w:rsidRPr="005E1103" w:rsidRDefault="008949B1" w:rsidP="008949B1">
      <w:pPr>
        <w:spacing w:after="0" w:line="360" w:lineRule="auto"/>
        <w:ind w:firstLine="708"/>
        <w:jc w:val="both"/>
        <w:rPr>
          <w:rFonts w:cstheme="minorHAnsi"/>
          <w:sz w:val="28"/>
          <w:szCs w:val="28"/>
        </w:rPr>
      </w:pPr>
      <w:r w:rsidRPr="005E1103">
        <w:rPr>
          <w:rFonts w:cstheme="minorHAnsi"/>
          <w:sz w:val="28"/>
          <w:szCs w:val="28"/>
        </w:rPr>
        <w:t xml:space="preserve">En el caso de la presente investigación, nos centramos en las posibilidades de la edición de materiales educativos interactivos y su visualización en tabletas, para la formación de jóvenes con discapacidad intelectual en el ámbito universitario. La inclusión de las personas con discapacidad intelectual es un reto emergente, respondido hasta la fecha en España con la puesta en marcha de varios programas de formación universitaria. El primero de ellos es el Programa Promentor, que se plantea en el marco de la Cátedra de Patrocinio UAM-PRODIS.  </w:t>
      </w:r>
    </w:p>
    <w:p w:rsidR="008949B1" w:rsidRPr="005E1103" w:rsidRDefault="008949B1" w:rsidP="008949B1">
      <w:pPr>
        <w:spacing w:after="0" w:line="360" w:lineRule="auto"/>
        <w:ind w:firstLine="708"/>
        <w:jc w:val="both"/>
        <w:rPr>
          <w:rFonts w:cstheme="minorHAnsi"/>
          <w:sz w:val="28"/>
          <w:szCs w:val="28"/>
        </w:rPr>
      </w:pPr>
      <w:r w:rsidRPr="005E1103">
        <w:rPr>
          <w:rFonts w:cstheme="minorHAnsi"/>
          <w:sz w:val="28"/>
          <w:szCs w:val="28"/>
        </w:rPr>
        <w:t xml:space="preserve">La posibilidad de crear materiales educativos con los que los alumnos interactúen, puede transformar el ámbito del diseño de libros de texto u otros materiales didácticos. Los libros interactivos dan la posibilidad de incluir elementos que los textos tradicionales no pueden </w:t>
      </w:r>
      <w:r w:rsidRPr="005E1103">
        <w:rPr>
          <w:rFonts w:cstheme="minorHAnsi"/>
          <w:sz w:val="28"/>
          <w:szCs w:val="28"/>
        </w:rPr>
        <w:lastRenderedPageBreak/>
        <w:t xml:space="preserve">(Lamb, 2011), por lo que en principio podrían tener mayor impacto didáctico. Coincidimos con Mol, Bus y De Jong (2009), en que es necesario investigar la relevancia de la utilización de materiales educativos interactivos para la formación, a través de herramientas como las tabletas. La reciente salida al mercado de estos recursos hace que todavía no se haya investigado en profundidad esta cuestión (Parish-Morris y col., 2013). </w:t>
      </w:r>
    </w:p>
    <w:p w:rsidR="008949B1" w:rsidRPr="005E1103" w:rsidRDefault="008949B1" w:rsidP="008949B1">
      <w:pPr>
        <w:spacing w:after="0" w:line="360" w:lineRule="auto"/>
        <w:ind w:firstLine="708"/>
        <w:jc w:val="both"/>
        <w:rPr>
          <w:rFonts w:cstheme="minorHAnsi"/>
          <w:sz w:val="28"/>
          <w:szCs w:val="28"/>
        </w:rPr>
      </w:pPr>
      <w:r w:rsidRPr="005E1103">
        <w:rPr>
          <w:rFonts w:cstheme="minorHAnsi"/>
          <w:sz w:val="28"/>
          <w:szCs w:val="28"/>
        </w:rPr>
        <w:t>En cualquier caso, sí se puede partir de algunos preceptos pedagógicos básicos: el principal, que la utilización de nuevas tecnologías como las tabletas y los materiales educativos interactivos, no es positiva en sí misma. Es necesario darle un sentido formativo y que sea coherente con los objetivos pedagógicos que a nivel global se proponen, así como asegurar la calidad de las interacciones que ofrece, el vocabulario o las capacidades inferenciales que exige (Lennox, 2013).</w:t>
      </w:r>
    </w:p>
    <w:p w:rsidR="008949B1" w:rsidRPr="005E1103" w:rsidRDefault="008949B1" w:rsidP="008949B1">
      <w:pPr>
        <w:spacing w:after="0" w:line="360" w:lineRule="auto"/>
        <w:ind w:firstLine="708"/>
        <w:jc w:val="both"/>
        <w:rPr>
          <w:rFonts w:cstheme="minorHAnsi"/>
          <w:sz w:val="28"/>
          <w:szCs w:val="28"/>
        </w:rPr>
      </w:pPr>
      <w:r w:rsidRPr="005E1103">
        <w:rPr>
          <w:rFonts w:cstheme="minorHAnsi"/>
          <w:sz w:val="28"/>
          <w:szCs w:val="28"/>
        </w:rPr>
        <w:t xml:space="preserve">En el ámbito de la educación de personas con discapacidad intelectual, prácticamente no existe literatura en cuanto a la utilización de materiales didácticos interactivos (Ganz y col., 2014). Asimismo, una revisión por las plataformas a través de las que acceder en las tabletas a libros interactivos, nos indica que tampoco existen en castellano libros o materiales publicados que introduzcan interactividad dirigidos a personas con discapacidad intelectual. </w:t>
      </w:r>
    </w:p>
    <w:p w:rsidR="008949B1" w:rsidRPr="005E1103" w:rsidRDefault="008949B1" w:rsidP="008949B1">
      <w:pPr>
        <w:spacing w:after="0" w:line="360" w:lineRule="auto"/>
        <w:ind w:firstLine="708"/>
        <w:jc w:val="both"/>
        <w:rPr>
          <w:rFonts w:cstheme="minorHAnsi"/>
          <w:sz w:val="28"/>
          <w:szCs w:val="28"/>
        </w:rPr>
      </w:pPr>
      <w:r w:rsidRPr="005E1103">
        <w:rPr>
          <w:rFonts w:cstheme="minorHAnsi"/>
          <w:sz w:val="28"/>
          <w:szCs w:val="28"/>
        </w:rPr>
        <w:t xml:space="preserve">Esta investigación trata de abrir este campo, con el objetivo último de contribuir a mejorar la calidad formativa en la educación de personas con discapacidad intelectual. </w:t>
      </w:r>
    </w:p>
    <w:p w:rsidR="008949B1" w:rsidRPr="005E1103" w:rsidRDefault="008949B1" w:rsidP="008949B1">
      <w:pPr>
        <w:spacing w:after="0" w:line="360" w:lineRule="auto"/>
        <w:jc w:val="both"/>
        <w:rPr>
          <w:rFonts w:cstheme="minorHAnsi"/>
          <w:sz w:val="28"/>
          <w:szCs w:val="28"/>
        </w:rPr>
      </w:pPr>
    </w:p>
    <w:p w:rsidR="008949B1" w:rsidRPr="005E1103" w:rsidRDefault="008949B1" w:rsidP="008949B1">
      <w:pPr>
        <w:spacing w:after="0" w:line="360" w:lineRule="auto"/>
        <w:jc w:val="both"/>
        <w:rPr>
          <w:rFonts w:cstheme="minorHAnsi"/>
          <w:b/>
          <w:sz w:val="28"/>
          <w:szCs w:val="28"/>
        </w:rPr>
      </w:pPr>
      <w:r w:rsidRPr="005E1103">
        <w:rPr>
          <w:rFonts w:cstheme="minorHAnsi"/>
          <w:b/>
          <w:sz w:val="28"/>
          <w:szCs w:val="28"/>
        </w:rPr>
        <w:t>2. Desarrollo del Proyecto</w:t>
      </w:r>
    </w:p>
    <w:p w:rsidR="008949B1" w:rsidRPr="005E1103" w:rsidRDefault="008949B1" w:rsidP="008949B1">
      <w:pPr>
        <w:spacing w:after="0" w:line="360" w:lineRule="auto"/>
        <w:jc w:val="both"/>
        <w:rPr>
          <w:rFonts w:cstheme="minorHAnsi"/>
          <w:b/>
          <w:sz w:val="28"/>
          <w:szCs w:val="28"/>
        </w:rPr>
      </w:pPr>
    </w:p>
    <w:p w:rsidR="008949B1" w:rsidRPr="005E1103" w:rsidRDefault="008949B1" w:rsidP="008949B1">
      <w:pPr>
        <w:spacing w:after="0" w:line="360" w:lineRule="auto"/>
        <w:jc w:val="both"/>
        <w:rPr>
          <w:rFonts w:cstheme="minorHAnsi"/>
          <w:b/>
          <w:sz w:val="28"/>
          <w:szCs w:val="28"/>
        </w:rPr>
      </w:pPr>
      <w:r w:rsidRPr="005E1103">
        <w:rPr>
          <w:rFonts w:cstheme="minorHAnsi"/>
          <w:b/>
          <w:sz w:val="28"/>
          <w:szCs w:val="28"/>
        </w:rPr>
        <w:lastRenderedPageBreak/>
        <w:t>2. 1. Objetivos</w:t>
      </w:r>
    </w:p>
    <w:p w:rsidR="008949B1" w:rsidRPr="005E1103" w:rsidRDefault="008949B1" w:rsidP="008949B1">
      <w:pPr>
        <w:spacing w:after="0" w:line="360" w:lineRule="auto"/>
        <w:jc w:val="both"/>
        <w:rPr>
          <w:rFonts w:cstheme="minorHAnsi"/>
          <w:sz w:val="28"/>
          <w:szCs w:val="28"/>
        </w:rPr>
      </w:pPr>
    </w:p>
    <w:p w:rsidR="008949B1" w:rsidRPr="005E1103" w:rsidRDefault="008949B1" w:rsidP="008949B1">
      <w:pPr>
        <w:spacing w:after="0" w:line="360" w:lineRule="auto"/>
        <w:ind w:firstLine="708"/>
        <w:jc w:val="both"/>
        <w:rPr>
          <w:rFonts w:cstheme="minorHAnsi"/>
          <w:sz w:val="28"/>
          <w:szCs w:val="28"/>
        </w:rPr>
      </w:pPr>
      <w:r w:rsidRPr="005E1103">
        <w:rPr>
          <w:rFonts w:cstheme="minorHAnsi"/>
          <w:sz w:val="28"/>
          <w:szCs w:val="28"/>
        </w:rPr>
        <w:t>Los objetivos del Proyecto son los siguientes:</w:t>
      </w:r>
    </w:p>
    <w:p w:rsidR="008949B1" w:rsidRPr="005E1103" w:rsidRDefault="008949B1" w:rsidP="008949B1">
      <w:pPr>
        <w:spacing w:after="0" w:line="360" w:lineRule="auto"/>
        <w:jc w:val="both"/>
        <w:rPr>
          <w:rFonts w:cstheme="minorHAnsi"/>
          <w:sz w:val="28"/>
          <w:szCs w:val="28"/>
        </w:rPr>
      </w:pPr>
      <w:r w:rsidRPr="005E1103">
        <w:rPr>
          <w:rFonts w:cstheme="minorHAnsi"/>
          <w:sz w:val="28"/>
          <w:szCs w:val="28"/>
        </w:rPr>
        <w:t xml:space="preserve">1. Realizar un análisis de las necesidades de formación a través de materiales interactivos de jóvenes con discapacidad intelectual. </w:t>
      </w:r>
    </w:p>
    <w:p w:rsidR="008949B1" w:rsidRPr="005E1103" w:rsidRDefault="008949B1" w:rsidP="008949B1">
      <w:pPr>
        <w:spacing w:after="0" w:line="360" w:lineRule="auto"/>
        <w:jc w:val="both"/>
        <w:rPr>
          <w:rFonts w:cstheme="minorHAnsi"/>
          <w:sz w:val="28"/>
          <w:szCs w:val="28"/>
        </w:rPr>
      </w:pPr>
      <w:r w:rsidRPr="005E1103">
        <w:rPr>
          <w:rFonts w:cstheme="minorHAnsi"/>
          <w:sz w:val="28"/>
          <w:szCs w:val="28"/>
        </w:rPr>
        <w:t xml:space="preserve">2. Crear materiales educativos interactivos en diferentes dimensiones formativas, dirigidos a jóvenes con discapacidad intelectual. </w:t>
      </w:r>
    </w:p>
    <w:p w:rsidR="008949B1" w:rsidRPr="005E1103" w:rsidRDefault="008949B1" w:rsidP="008949B1">
      <w:pPr>
        <w:spacing w:after="0" w:line="360" w:lineRule="auto"/>
        <w:jc w:val="both"/>
        <w:rPr>
          <w:rFonts w:cstheme="minorHAnsi"/>
          <w:sz w:val="28"/>
          <w:szCs w:val="28"/>
        </w:rPr>
      </w:pPr>
      <w:r w:rsidRPr="005E1103">
        <w:rPr>
          <w:rFonts w:cstheme="minorHAnsi"/>
          <w:sz w:val="28"/>
          <w:szCs w:val="28"/>
        </w:rPr>
        <w:t>3. Aplicar los materiales interactivos en contextos formativos.</w:t>
      </w:r>
    </w:p>
    <w:p w:rsidR="008949B1" w:rsidRPr="005E1103" w:rsidRDefault="008949B1" w:rsidP="008949B1">
      <w:pPr>
        <w:spacing w:after="0" w:line="360" w:lineRule="auto"/>
        <w:jc w:val="both"/>
        <w:rPr>
          <w:rFonts w:cstheme="minorHAnsi"/>
          <w:sz w:val="28"/>
          <w:szCs w:val="28"/>
        </w:rPr>
      </w:pPr>
      <w:r w:rsidRPr="005E1103">
        <w:rPr>
          <w:rFonts w:cstheme="minorHAnsi"/>
          <w:sz w:val="28"/>
          <w:szCs w:val="28"/>
        </w:rPr>
        <w:t xml:space="preserve">4. Evaluar los resultados de la aplicación de los materiales educativos interactivos. </w:t>
      </w:r>
    </w:p>
    <w:p w:rsidR="008949B1" w:rsidRPr="005E1103" w:rsidRDefault="008949B1" w:rsidP="008949B1">
      <w:pPr>
        <w:spacing w:after="0" w:line="360" w:lineRule="auto"/>
        <w:ind w:firstLine="708"/>
        <w:jc w:val="both"/>
        <w:rPr>
          <w:rFonts w:cstheme="minorHAnsi"/>
          <w:sz w:val="28"/>
          <w:szCs w:val="28"/>
        </w:rPr>
      </w:pPr>
      <w:r w:rsidRPr="005E1103">
        <w:rPr>
          <w:rFonts w:cstheme="minorHAnsi"/>
          <w:sz w:val="28"/>
          <w:szCs w:val="28"/>
        </w:rPr>
        <w:t xml:space="preserve">La generación de materiales interactivos a través de esta investigación, se valora como un avance significativo en la utilización de las TIC para la formación  universitaria de personas adultas con discapacidad intelectual, ya que serían los primeros libros electrónicos publicados con esta finalidad en castellano que se puedan visualizar en iPads. </w:t>
      </w:r>
    </w:p>
    <w:p w:rsidR="008949B1" w:rsidRPr="005E1103" w:rsidRDefault="008949B1" w:rsidP="008949B1">
      <w:pPr>
        <w:spacing w:after="0" w:line="360" w:lineRule="auto"/>
        <w:ind w:firstLine="708"/>
        <w:jc w:val="both"/>
        <w:rPr>
          <w:rFonts w:cstheme="minorHAnsi"/>
          <w:sz w:val="28"/>
          <w:szCs w:val="28"/>
        </w:rPr>
      </w:pPr>
      <w:r w:rsidRPr="005E1103">
        <w:rPr>
          <w:rFonts w:cstheme="minorHAnsi"/>
          <w:sz w:val="28"/>
          <w:szCs w:val="28"/>
        </w:rPr>
        <w:t xml:space="preserve">En la actualidad, se han desarrollado los dos primeros objetivos, planteándose en los próximos meses tanto la aplicación de los materiales como la evaluación de los resultados de la aplicación. </w:t>
      </w:r>
    </w:p>
    <w:p w:rsidR="008949B1" w:rsidRPr="005E1103" w:rsidRDefault="008949B1" w:rsidP="008949B1">
      <w:pPr>
        <w:spacing w:after="0" w:line="360" w:lineRule="auto"/>
        <w:jc w:val="both"/>
        <w:rPr>
          <w:rFonts w:cstheme="minorHAnsi"/>
          <w:sz w:val="28"/>
          <w:szCs w:val="28"/>
        </w:rPr>
      </w:pPr>
    </w:p>
    <w:p w:rsidR="008949B1" w:rsidRPr="005E1103" w:rsidRDefault="008949B1" w:rsidP="008949B1">
      <w:pPr>
        <w:spacing w:after="0" w:line="360" w:lineRule="auto"/>
        <w:jc w:val="both"/>
        <w:rPr>
          <w:rFonts w:cstheme="minorHAnsi"/>
          <w:b/>
          <w:sz w:val="28"/>
          <w:szCs w:val="28"/>
        </w:rPr>
      </w:pPr>
      <w:r w:rsidRPr="005E1103">
        <w:rPr>
          <w:rFonts w:cstheme="minorHAnsi"/>
          <w:b/>
          <w:sz w:val="28"/>
          <w:szCs w:val="28"/>
        </w:rPr>
        <w:t>2. 2. Descripción de los iBook</w:t>
      </w:r>
    </w:p>
    <w:p w:rsidR="008949B1" w:rsidRPr="005E1103" w:rsidRDefault="008949B1" w:rsidP="008949B1">
      <w:pPr>
        <w:spacing w:after="0" w:line="360" w:lineRule="auto"/>
        <w:jc w:val="both"/>
        <w:rPr>
          <w:rFonts w:cstheme="minorHAnsi"/>
          <w:sz w:val="28"/>
          <w:szCs w:val="28"/>
        </w:rPr>
      </w:pPr>
    </w:p>
    <w:p w:rsidR="008949B1" w:rsidRPr="005E1103" w:rsidRDefault="008949B1" w:rsidP="008949B1">
      <w:pPr>
        <w:spacing w:after="0" w:line="360" w:lineRule="auto"/>
        <w:ind w:firstLine="708"/>
        <w:jc w:val="both"/>
        <w:rPr>
          <w:rFonts w:cstheme="minorHAnsi"/>
          <w:sz w:val="28"/>
          <w:szCs w:val="28"/>
        </w:rPr>
      </w:pPr>
      <w:r w:rsidRPr="005E1103">
        <w:rPr>
          <w:rFonts w:cstheme="minorHAnsi"/>
          <w:sz w:val="28"/>
          <w:szCs w:val="28"/>
        </w:rPr>
        <w:t>En el marco de este Proyecto de innovación e investigación, se han creado 6 iBook:</w:t>
      </w:r>
    </w:p>
    <w:p w:rsidR="008949B1" w:rsidRPr="005E1103" w:rsidRDefault="008949B1" w:rsidP="008949B1">
      <w:pPr>
        <w:numPr>
          <w:ilvl w:val="0"/>
          <w:numId w:val="121"/>
        </w:numPr>
        <w:spacing w:after="0" w:line="360" w:lineRule="auto"/>
        <w:jc w:val="both"/>
        <w:rPr>
          <w:rFonts w:cstheme="minorHAnsi"/>
          <w:sz w:val="28"/>
          <w:szCs w:val="28"/>
        </w:rPr>
      </w:pPr>
      <w:r w:rsidRPr="005E1103">
        <w:rPr>
          <w:rFonts w:cstheme="minorHAnsi"/>
          <w:sz w:val="28"/>
          <w:szCs w:val="28"/>
        </w:rPr>
        <w:t xml:space="preserve">Habilidades emocionales: Identificación de emociones, aprendizaje de habilidades para gestionarlas y comunicación positiva de las emociones en los distintos contextos. </w:t>
      </w:r>
    </w:p>
    <w:p w:rsidR="008949B1" w:rsidRPr="005E1103" w:rsidRDefault="008949B1" w:rsidP="008949B1">
      <w:pPr>
        <w:numPr>
          <w:ilvl w:val="0"/>
          <w:numId w:val="121"/>
        </w:numPr>
        <w:spacing w:after="0" w:line="360" w:lineRule="auto"/>
        <w:jc w:val="both"/>
        <w:rPr>
          <w:rFonts w:cstheme="minorHAnsi"/>
          <w:sz w:val="28"/>
          <w:szCs w:val="28"/>
        </w:rPr>
      </w:pPr>
      <w:r w:rsidRPr="005E1103">
        <w:rPr>
          <w:rFonts w:cstheme="minorHAnsi"/>
          <w:sz w:val="28"/>
          <w:szCs w:val="28"/>
        </w:rPr>
        <w:lastRenderedPageBreak/>
        <w:t xml:space="preserve">Habilidades sociales: Estrategias sociales para la mejora de la convivencia y de la autoestima en contextos formales e informales. </w:t>
      </w:r>
    </w:p>
    <w:p w:rsidR="008949B1" w:rsidRPr="005E1103" w:rsidRDefault="008949B1" w:rsidP="008949B1">
      <w:pPr>
        <w:numPr>
          <w:ilvl w:val="0"/>
          <w:numId w:val="121"/>
        </w:numPr>
        <w:spacing w:after="0" w:line="360" w:lineRule="auto"/>
        <w:jc w:val="both"/>
        <w:rPr>
          <w:rFonts w:cstheme="minorHAnsi"/>
          <w:sz w:val="28"/>
          <w:szCs w:val="28"/>
        </w:rPr>
      </w:pPr>
      <w:r w:rsidRPr="005E1103">
        <w:rPr>
          <w:rFonts w:cstheme="minorHAnsi"/>
          <w:sz w:val="28"/>
          <w:szCs w:val="28"/>
        </w:rPr>
        <w:t xml:space="preserve">Vida independiente: Aprendizaje de habilidades relacionadas con la vida independiente. </w:t>
      </w:r>
    </w:p>
    <w:p w:rsidR="008949B1" w:rsidRPr="005E1103" w:rsidRDefault="008949B1" w:rsidP="008949B1">
      <w:pPr>
        <w:numPr>
          <w:ilvl w:val="0"/>
          <w:numId w:val="121"/>
        </w:numPr>
        <w:spacing w:after="0" w:line="360" w:lineRule="auto"/>
        <w:jc w:val="both"/>
        <w:rPr>
          <w:rFonts w:cstheme="minorHAnsi"/>
          <w:sz w:val="28"/>
          <w:szCs w:val="28"/>
        </w:rPr>
      </w:pPr>
      <w:r w:rsidRPr="005E1103">
        <w:rPr>
          <w:rFonts w:cstheme="minorHAnsi"/>
          <w:sz w:val="28"/>
          <w:szCs w:val="28"/>
        </w:rPr>
        <w:t>Autonomía en el transporte: Estrategias para desplazarse con autonomía en los distintos medios de transporte que ofrece el entorno más cercano.</w:t>
      </w:r>
    </w:p>
    <w:p w:rsidR="008949B1" w:rsidRPr="005E1103" w:rsidRDefault="008949B1" w:rsidP="008949B1">
      <w:pPr>
        <w:numPr>
          <w:ilvl w:val="0"/>
          <w:numId w:val="121"/>
        </w:numPr>
        <w:spacing w:after="0" w:line="360" w:lineRule="auto"/>
        <w:jc w:val="both"/>
        <w:rPr>
          <w:rFonts w:cstheme="minorHAnsi"/>
          <w:sz w:val="28"/>
          <w:szCs w:val="28"/>
        </w:rPr>
      </w:pPr>
      <w:r w:rsidRPr="005E1103">
        <w:rPr>
          <w:rFonts w:cstheme="minorHAnsi"/>
          <w:sz w:val="28"/>
          <w:szCs w:val="28"/>
        </w:rPr>
        <w:t xml:space="preserve">Imagen personal y protocolo: Conocimiento de habilidades básicas para el cuidado personal, para elegir la vestimenta y para cumplir con el protocolo que exigen ciertas situaciones. </w:t>
      </w:r>
    </w:p>
    <w:p w:rsidR="008949B1" w:rsidRPr="005E1103" w:rsidRDefault="008949B1" w:rsidP="008949B1">
      <w:pPr>
        <w:numPr>
          <w:ilvl w:val="0"/>
          <w:numId w:val="121"/>
        </w:numPr>
        <w:spacing w:after="0" w:line="360" w:lineRule="auto"/>
        <w:jc w:val="both"/>
        <w:rPr>
          <w:rFonts w:cstheme="minorHAnsi"/>
          <w:sz w:val="28"/>
          <w:szCs w:val="28"/>
        </w:rPr>
      </w:pPr>
      <w:r w:rsidRPr="005E1103">
        <w:rPr>
          <w:rFonts w:cstheme="minorHAnsi"/>
          <w:sz w:val="28"/>
          <w:szCs w:val="28"/>
        </w:rPr>
        <w:t>Orientación laboral: Aprendizaje de estrategias para facilitar los procesos de orientación laboral e incorporación al mercado de trabajo.</w:t>
      </w:r>
    </w:p>
    <w:p w:rsidR="008949B1" w:rsidRPr="005E1103" w:rsidRDefault="008949B1" w:rsidP="008949B1">
      <w:pPr>
        <w:spacing w:after="0" w:line="360" w:lineRule="auto"/>
        <w:ind w:firstLine="708"/>
        <w:jc w:val="both"/>
        <w:rPr>
          <w:rFonts w:cstheme="minorHAnsi"/>
          <w:sz w:val="28"/>
          <w:szCs w:val="28"/>
        </w:rPr>
      </w:pPr>
      <w:r w:rsidRPr="005E1103">
        <w:rPr>
          <w:rFonts w:cstheme="minorHAnsi"/>
          <w:sz w:val="28"/>
          <w:szCs w:val="28"/>
        </w:rPr>
        <w:t xml:space="preserve">Todos los iBook se caracterizan por la presencia de widgets interactivos, como actividades, videos, imágenes interactivas, audios, etc. Asimismo, tienen un formato visual atractivo y motivador, que facilita la utilización de la herramienta de creación de los iBook (iBooks Author). </w:t>
      </w:r>
    </w:p>
    <w:p w:rsidR="008949B1" w:rsidRPr="005E1103" w:rsidRDefault="008949B1" w:rsidP="008949B1">
      <w:pPr>
        <w:spacing w:after="0" w:line="360" w:lineRule="auto"/>
        <w:jc w:val="both"/>
        <w:rPr>
          <w:rFonts w:cstheme="minorHAnsi"/>
          <w:sz w:val="28"/>
          <w:szCs w:val="28"/>
        </w:rPr>
      </w:pPr>
    </w:p>
    <w:p w:rsidR="008949B1" w:rsidRPr="005E1103" w:rsidRDefault="008949B1" w:rsidP="008949B1">
      <w:pPr>
        <w:spacing w:after="0" w:line="360" w:lineRule="auto"/>
        <w:jc w:val="both"/>
        <w:rPr>
          <w:rFonts w:cstheme="minorHAnsi"/>
          <w:b/>
          <w:sz w:val="28"/>
          <w:szCs w:val="28"/>
        </w:rPr>
      </w:pPr>
      <w:r w:rsidRPr="005E1103">
        <w:rPr>
          <w:rFonts w:cstheme="minorHAnsi"/>
          <w:b/>
          <w:sz w:val="28"/>
          <w:szCs w:val="28"/>
        </w:rPr>
        <w:t>2. 3. Métodos y técnicas de investigación</w:t>
      </w:r>
    </w:p>
    <w:p w:rsidR="008949B1" w:rsidRPr="005E1103" w:rsidRDefault="008949B1" w:rsidP="008949B1">
      <w:pPr>
        <w:spacing w:after="0" w:line="360" w:lineRule="auto"/>
        <w:jc w:val="both"/>
        <w:rPr>
          <w:rFonts w:cstheme="minorHAnsi"/>
          <w:sz w:val="28"/>
          <w:szCs w:val="28"/>
        </w:rPr>
      </w:pPr>
    </w:p>
    <w:p w:rsidR="008949B1" w:rsidRPr="005E1103" w:rsidRDefault="008949B1" w:rsidP="008949B1">
      <w:pPr>
        <w:spacing w:after="0" w:line="360" w:lineRule="auto"/>
        <w:ind w:firstLine="708"/>
        <w:jc w:val="both"/>
        <w:rPr>
          <w:rFonts w:cstheme="minorHAnsi"/>
          <w:sz w:val="28"/>
          <w:szCs w:val="28"/>
        </w:rPr>
      </w:pPr>
      <w:r w:rsidRPr="005E1103">
        <w:rPr>
          <w:rFonts w:cstheme="minorHAnsi"/>
          <w:sz w:val="28"/>
          <w:szCs w:val="28"/>
        </w:rPr>
        <w:t>El procedimiento que sigue la investigación es el siguiente:</w:t>
      </w:r>
    </w:p>
    <w:p w:rsidR="008949B1" w:rsidRPr="005E1103" w:rsidRDefault="008949B1" w:rsidP="008949B1">
      <w:pPr>
        <w:numPr>
          <w:ilvl w:val="0"/>
          <w:numId w:val="121"/>
        </w:numPr>
        <w:spacing w:after="0" w:line="360" w:lineRule="auto"/>
        <w:jc w:val="both"/>
        <w:rPr>
          <w:rFonts w:cstheme="minorHAnsi"/>
          <w:sz w:val="28"/>
          <w:szCs w:val="28"/>
        </w:rPr>
      </w:pPr>
      <w:r w:rsidRPr="005E1103">
        <w:rPr>
          <w:rFonts w:cstheme="minorHAnsi"/>
          <w:sz w:val="28"/>
          <w:szCs w:val="28"/>
        </w:rPr>
        <w:t>Formación sobre la creación de libros interactivos a través de la aplicación iBooks Author dirigida al equipo de profesionales de la Fundación Prodis que va a elaborarlos.</w:t>
      </w:r>
    </w:p>
    <w:p w:rsidR="008949B1" w:rsidRPr="005E1103" w:rsidRDefault="008949B1" w:rsidP="008949B1">
      <w:pPr>
        <w:numPr>
          <w:ilvl w:val="0"/>
          <w:numId w:val="121"/>
        </w:numPr>
        <w:spacing w:after="0" w:line="360" w:lineRule="auto"/>
        <w:jc w:val="both"/>
        <w:rPr>
          <w:rFonts w:cstheme="minorHAnsi"/>
          <w:sz w:val="28"/>
          <w:szCs w:val="28"/>
        </w:rPr>
      </w:pPr>
      <w:r w:rsidRPr="005E1103">
        <w:rPr>
          <w:rFonts w:cstheme="minorHAnsi"/>
          <w:sz w:val="28"/>
          <w:szCs w:val="28"/>
        </w:rPr>
        <w:t>Discusión grupal en el equipo de profesionales acerca de las áreas de formación prioritarias para personas adultas con discapacidad intelectual.</w:t>
      </w:r>
    </w:p>
    <w:p w:rsidR="008949B1" w:rsidRPr="005E1103" w:rsidRDefault="008949B1" w:rsidP="008949B1">
      <w:pPr>
        <w:numPr>
          <w:ilvl w:val="0"/>
          <w:numId w:val="121"/>
        </w:numPr>
        <w:spacing w:after="0" w:line="360" w:lineRule="auto"/>
        <w:jc w:val="both"/>
        <w:rPr>
          <w:rFonts w:cstheme="minorHAnsi"/>
          <w:sz w:val="28"/>
          <w:szCs w:val="28"/>
        </w:rPr>
      </w:pPr>
      <w:r w:rsidRPr="005E1103">
        <w:rPr>
          <w:rFonts w:cstheme="minorHAnsi"/>
          <w:sz w:val="28"/>
          <w:szCs w:val="28"/>
        </w:rPr>
        <w:lastRenderedPageBreak/>
        <w:t>Creación de los libros interactivos por parte del equipo de profesionales de la Fundación Prodis.</w:t>
      </w:r>
    </w:p>
    <w:p w:rsidR="008949B1" w:rsidRPr="005E1103" w:rsidRDefault="008949B1" w:rsidP="008949B1">
      <w:pPr>
        <w:numPr>
          <w:ilvl w:val="0"/>
          <w:numId w:val="121"/>
        </w:numPr>
        <w:spacing w:after="0" w:line="360" w:lineRule="auto"/>
        <w:jc w:val="both"/>
        <w:rPr>
          <w:rFonts w:cstheme="minorHAnsi"/>
          <w:sz w:val="28"/>
          <w:szCs w:val="28"/>
        </w:rPr>
      </w:pPr>
      <w:r w:rsidRPr="005E1103">
        <w:rPr>
          <w:rFonts w:cstheme="minorHAnsi"/>
          <w:sz w:val="28"/>
          <w:szCs w:val="28"/>
        </w:rPr>
        <w:t xml:space="preserve">Evaluación inicial de los materiales educativos por juicio de expertos en formación de personas con discapacidad intelectual y en utilización de las TIC en educación. </w:t>
      </w:r>
    </w:p>
    <w:p w:rsidR="008949B1" w:rsidRPr="005E1103" w:rsidRDefault="008949B1" w:rsidP="008949B1">
      <w:pPr>
        <w:numPr>
          <w:ilvl w:val="0"/>
          <w:numId w:val="121"/>
        </w:numPr>
        <w:spacing w:after="0" w:line="360" w:lineRule="auto"/>
        <w:jc w:val="both"/>
        <w:rPr>
          <w:rFonts w:cstheme="minorHAnsi"/>
          <w:sz w:val="28"/>
          <w:szCs w:val="28"/>
        </w:rPr>
      </w:pPr>
      <w:r w:rsidRPr="005E1103">
        <w:rPr>
          <w:rFonts w:cstheme="minorHAnsi"/>
          <w:sz w:val="28"/>
          <w:szCs w:val="28"/>
        </w:rPr>
        <w:t xml:space="preserve">Implementación de los materiales educativos en los distintos programas y servicios de la Fundación Prodis y de la Cátedra de Patrocinio UAM-PRODIS. </w:t>
      </w:r>
    </w:p>
    <w:p w:rsidR="008949B1" w:rsidRPr="005E1103" w:rsidRDefault="008949B1" w:rsidP="008949B1">
      <w:pPr>
        <w:numPr>
          <w:ilvl w:val="0"/>
          <w:numId w:val="121"/>
        </w:numPr>
        <w:spacing w:after="0" w:line="360" w:lineRule="auto"/>
        <w:jc w:val="both"/>
        <w:rPr>
          <w:rFonts w:cstheme="minorHAnsi"/>
          <w:sz w:val="28"/>
          <w:szCs w:val="28"/>
        </w:rPr>
      </w:pPr>
      <w:r w:rsidRPr="005E1103">
        <w:rPr>
          <w:rFonts w:cstheme="minorHAnsi"/>
          <w:sz w:val="28"/>
          <w:szCs w:val="28"/>
        </w:rPr>
        <w:t xml:space="preserve">Redacción de informes de resultados, artículos y comunicaciones. Publicación y difusión de los libros interactivos a través de Apple Store. </w:t>
      </w:r>
    </w:p>
    <w:p w:rsidR="008949B1" w:rsidRPr="005E1103" w:rsidRDefault="008949B1" w:rsidP="008949B1">
      <w:pPr>
        <w:spacing w:after="0" w:line="360" w:lineRule="auto"/>
        <w:ind w:firstLine="708"/>
        <w:jc w:val="both"/>
        <w:rPr>
          <w:rFonts w:cstheme="minorHAnsi"/>
          <w:sz w:val="28"/>
          <w:szCs w:val="28"/>
        </w:rPr>
      </w:pPr>
      <w:r w:rsidRPr="005E1103">
        <w:rPr>
          <w:rFonts w:cstheme="minorHAnsi"/>
          <w:sz w:val="28"/>
          <w:szCs w:val="28"/>
        </w:rPr>
        <w:t>A través de estas fases, se ha pretendido profundizar en el análisis de los materiales interactivos creados para implementarse a través del iPad en un contexto concreto, que son los programas y servicios de la Fundación Prodis y de la Cátedra de Patrocinio UAM-PRODIS en el ámbito de la formación universitaria inclusiva. Este conocimiento exhaustivo tiene el objetivo de indagar en las variables implicadas en todo el proceso de creación y aplicación de los materiales con alumnos con discapacidad intelectual. Si bien el propósito del estudio de casos no es generalizar los resultados, sí puede aportar una visión compleja de la experiencia, que genere orientaciones y pautas para utilizar materiales educativos interactivos con personas con discapacidad intelectual en contextos diferentes.</w:t>
      </w:r>
    </w:p>
    <w:p w:rsidR="008949B1" w:rsidRPr="005E1103" w:rsidRDefault="008949B1" w:rsidP="008949B1">
      <w:pPr>
        <w:spacing w:after="0" w:line="360" w:lineRule="auto"/>
        <w:ind w:firstLine="708"/>
        <w:jc w:val="both"/>
        <w:rPr>
          <w:rFonts w:cstheme="minorHAnsi"/>
          <w:sz w:val="28"/>
          <w:szCs w:val="28"/>
        </w:rPr>
      </w:pPr>
      <w:r w:rsidRPr="005E1103">
        <w:rPr>
          <w:rFonts w:cstheme="minorHAnsi"/>
          <w:sz w:val="28"/>
          <w:szCs w:val="28"/>
        </w:rPr>
        <w:t>En cuanto a las técnicas de investigación que se utilizan, se han contemplado las siguientes:</w:t>
      </w:r>
    </w:p>
    <w:p w:rsidR="008949B1" w:rsidRPr="005E1103" w:rsidRDefault="008949B1" w:rsidP="008949B1">
      <w:pPr>
        <w:numPr>
          <w:ilvl w:val="0"/>
          <w:numId w:val="121"/>
        </w:numPr>
        <w:spacing w:after="0" w:line="360" w:lineRule="auto"/>
        <w:jc w:val="both"/>
        <w:rPr>
          <w:rFonts w:cstheme="minorHAnsi"/>
          <w:sz w:val="28"/>
          <w:szCs w:val="28"/>
        </w:rPr>
      </w:pPr>
      <w:r w:rsidRPr="005E1103">
        <w:rPr>
          <w:rFonts w:cstheme="minorHAnsi"/>
          <w:sz w:val="28"/>
          <w:szCs w:val="28"/>
        </w:rPr>
        <w:lastRenderedPageBreak/>
        <w:t>Grupos de discusión de profesionales, en las distintas fases del proceso de creación, aplicación y evaluación de los materiales interactivos.</w:t>
      </w:r>
    </w:p>
    <w:p w:rsidR="008949B1" w:rsidRPr="005E1103" w:rsidRDefault="008949B1" w:rsidP="008949B1">
      <w:pPr>
        <w:numPr>
          <w:ilvl w:val="0"/>
          <w:numId w:val="121"/>
        </w:numPr>
        <w:spacing w:after="0" w:line="360" w:lineRule="auto"/>
        <w:jc w:val="both"/>
        <w:rPr>
          <w:rFonts w:cstheme="minorHAnsi"/>
          <w:sz w:val="28"/>
          <w:szCs w:val="28"/>
        </w:rPr>
      </w:pPr>
      <w:r w:rsidRPr="005E1103">
        <w:rPr>
          <w:rFonts w:cstheme="minorHAnsi"/>
          <w:sz w:val="28"/>
          <w:szCs w:val="28"/>
        </w:rPr>
        <w:t>Entrevistas semi-estructuradas con profesionales, familias y alumnos, para indagar en los factores y variables que puedan incluir en la experiencia de aprendizaje a través de los materiales interactivos.</w:t>
      </w:r>
    </w:p>
    <w:p w:rsidR="008949B1" w:rsidRPr="005E1103" w:rsidRDefault="008949B1" w:rsidP="008949B1">
      <w:pPr>
        <w:numPr>
          <w:ilvl w:val="0"/>
          <w:numId w:val="121"/>
        </w:numPr>
        <w:spacing w:after="0" w:line="360" w:lineRule="auto"/>
        <w:jc w:val="both"/>
        <w:rPr>
          <w:rFonts w:cstheme="minorHAnsi"/>
          <w:sz w:val="28"/>
          <w:szCs w:val="28"/>
        </w:rPr>
      </w:pPr>
      <w:r w:rsidRPr="005E1103">
        <w:rPr>
          <w:rFonts w:cstheme="minorHAnsi"/>
          <w:sz w:val="28"/>
          <w:szCs w:val="28"/>
        </w:rPr>
        <w:t xml:space="preserve">Registros de observación en el aula, que evalúen el proceso de implementación de aplicación de los materiales interactivos a través del iPad en el aula. </w:t>
      </w:r>
    </w:p>
    <w:p w:rsidR="008949B1" w:rsidRPr="005E1103" w:rsidRDefault="008949B1" w:rsidP="008949B1">
      <w:pPr>
        <w:numPr>
          <w:ilvl w:val="0"/>
          <w:numId w:val="121"/>
        </w:numPr>
        <w:spacing w:after="0" w:line="360" w:lineRule="auto"/>
        <w:jc w:val="both"/>
        <w:rPr>
          <w:rFonts w:cstheme="minorHAnsi"/>
          <w:sz w:val="28"/>
          <w:szCs w:val="28"/>
        </w:rPr>
      </w:pPr>
      <w:r w:rsidRPr="005E1103">
        <w:rPr>
          <w:rFonts w:cstheme="minorHAnsi"/>
          <w:sz w:val="28"/>
          <w:szCs w:val="28"/>
        </w:rPr>
        <w:t xml:space="preserve">Cuestionarios de evaluación de los recursos dirigidos a expertos en educación de personas con discapacidad intelectual y en utilización de las TIC. </w:t>
      </w:r>
    </w:p>
    <w:p w:rsidR="008949B1" w:rsidRPr="005E1103" w:rsidRDefault="008949B1" w:rsidP="008949B1">
      <w:pPr>
        <w:spacing w:after="0" w:line="360" w:lineRule="auto"/>
        <w:ind w:firstLine="708"/>
        <w:jc w:val="both"/>
        <w:rPr>
          <w:rFonts w:cstheme="minorHAnsi"/>
          <w:sz w:val="28"/>
          <w:szCs w:val="28"/>
        </w:rPr>
      </w:pPr>
      <w:r w:rsidRPr="005E1103">
        <w:rPr>
          <w:rFonts w:cstheme="minorHAnsi"/>
          <w:sz w:val="28"/>
          <w:szCs w:val="28"/>
        </w:rPr>
        <w:t xml:space="preserve">La utilización de técnicas de investigación complementarias como las mencionadas, contribuirá a que los resultados puedan interpretarse desde una visión más completa, coherente y fiable. Se trata de responder al principio de triangulación, por el cual se aborda un mismo objeto de estudio desde diferentes perspectivas y momentos temporales (Creswell, 2002). </w:t>
      </w:r>
    </w:p>
    <w:p w:rsidR="008949B1" w:rsidRPr="005E1103" w:rsidRDefault="008949B1" w:rsidP="008949B1">
      <w:pPr>
        <w:spacing w:after="0" w:line="360" w:lineRule="auto"/>
        <w:jc w:val="both"/>
        <w:rPr>
          <w:rFonts w:cstheme="minorHAnsi"/>
          <w:sz w:val="28"/>
          <w:szCs w:val="28"/>
        </w:rPr>
      </w:pPr>
    </w:p>
    <w:p w:rsidR="008949B1" w:rsidRPr="005E1103" w:rsidRDefault="008949B1" w:rsidP="008949B1">
      <w:pPr>
        <w:spacing w:after="0" w:line="360" w:lineRule="auto"/>
        <w:jc w:val="both"/>
        <w:rPr>
          <w:rFonts w:cstheme="minorHAnsi"/>
          <w:b/>
          <w:sz w:val="28"/>
          <w:szCs w:val="28"/>
        </w:rPr>
      </w:pPr>
      <w:r w:rsidRPr="005E1103">
        <w:rPr>
          <w:rFonts w:cstheme="minorHAnsi"/>
          <w:b/>
          <w:sz w:val="28"/>
          <w:szCs w:val="28"/>
        </w:rPr>
        <w:t>2. 4. Participantes</w:t>
      </w:r>
    </w:p>
    <w:p w:rsidR="008949B1" w:rsidRPr="005E1103" w:rsidRDefault="008949B1" w:rsidP="008949B1">
      <w:pPr>
        <w:spacing w:after="0" w:line="360" w:lineRule="auto"/>
        <w:jc w:val="both"/>
        <w:rPr>
          <w:rFonts w:cstheme="minorHAnsi"/>
          <w:sz w:val="28"/>
          <w:szCs w:val="28"/>
        </w:rPr>
      </w:pPr>
    </w:p>
    <w:p w:rsidR="008949B1" w:rsidRPr="005E1103" w:rsidRDefault="008949B1" w:rsidP="008949B1">
      <w:pPr>
        <w:spacing w:after="0" w:line="360" w:lineRule="auto"/>
        <w:jc w:val="both"/>
        <w:rPr>
          <w:rFonts w:cstheme="minorHAnsi"/>
          <w:sz w:val="28"/>
          <w:szCs w:val="28"/>
        </w:rPr>
      </w:pPr>
      <w:r w:rsidRPr="005E1103">
        <w:rPr>
          <w:rFonts w:cstheme="minorHAnsi"/>
          <w:sz w:val="28"/>
          <w:szCs w:val="28"/>
        </w:rPr>
        <w:t>En esta investigación, por la cual se crean y aplican materiales educativos interactivos a través de la aplicación iBooks Author (iPad), dirigidos a personas adultas con discapacidad intelectual, participan:</w:t>
      </w:r>
    </w:p>
    <w:p w:rsidR="008949B1" w:rsidRPr="005E1103" w:rsidRDefault="008949B1" w:rsidP="008949B1">
      <w:pPr>
        <w:numPr>
          <w:ilvl w:val="0"/>
          <w:numId w:val="121"/>
        </w:numPr>
        <w:spacing w:after="0" w:line="360" w:lineRule="auto"/>
        <w:jc w:val="both"/>
        <w:rPr>
          <w:rFonts w:cstheme="minorHAnsi"/>
          <w:sz w:val="28"/>
          <w:szCs w:val="28"/>
        </w:rPr>
      </w:pPr>
      <w:r w:rsidRPr="005E1103">
        <w:rPr>
          <w:rFonts w:cstheme="minorHAnsi"/>
          <w:sz w:val="28"/>
          <w:szCs w:val="28"/>
        </w:rPr>
        <w:t xml:space="preserve">14 profesionales en la elaboración y aplicación de 6 libros interactivos para utilizarse con tabletas (iPad). </w:t>
      </w:r>
    </w:p>
    <w:p w:rsidR="008949B1" w:rsidRPr="005E1103" w:rsidRDefault="008949B1" w:rsidP="008949B1">
      <w:pPr>
        <w:numPr>
          <w:ilvl w:val="0"/>
          <w:numId w:val="121"/>
        </w:numPr>
        <w:spacing w:after="0" w:line="360" w:lineRule="auto"/>
        <w:jc w:val="both"/>
        <w:rPr>
          <w:rFonts w:cstheme="minorHAnsi"/>
          <w:sz w:val="28"/>
          <w:szCs w:val="28"/>
        </w:rPr>
      </w:pPr>
      <w:r w:rsidRPr="005E1103">
        <w:rPr>
          <w:rFonts w:cstheme="minorHAnsi"/>
          <w:sz w:val="28"/>
          <w:szCs w:val="28"/>
        </w:rPr>
        <w:lastRenderedPageBreak/>
        <w:t>85 personas adultas con discapacidad intelectual que participan en los distintos programas o servicios de la Fundación Prodis y de la Cátedra de Patrocinio UAM-PRODIS.</w:t>
      </w:r>
    </w:p>
    <w:p w:rsidR="008949B1" w:rsidRPr="005E1103" w:rsidRDefault="008949B1" w:rsidP="008949B1">
      <w:pPr>
        <w:numPr>
          <w:ilvl w:val="0"/>
          <w:numId w:val="121"/>
        </w:numPr>
        <w:spacing w:after="0" w:line="360" w:lineRule="auto"/>
        <w:jc w:val="both"/>
        <w:rPr>
          <w:rFonts w:cstheme="minorHAnsi"/>
          <w:sz w:val="28"/>
          <w:szCs w:val="28"/>
        </w:rPr>
      </w:pPr>
      <w:r w:rsidRPr="005E1103">
        <w:rPr>
          <w:rFonts w:cstheme="minorHAnsi"/>
          <w:sz w:val="28"/>
          <w:szCs w:val="28"/>
        </w:rPr>
        <w:t xml:space="preserve">15 familias de personas adultas con discapacidad intelectual, que analizan la aplicabilidad de los materiales creados en el contexto familiar y su aportación a su formación. </w:t>
      </w:r>
    </w:p>
    <w:p w:rsidR="008949B1" w:rsidRPr="005E1103" w:rsidRDefault="008949B1" w:rsidP="008949B1">
      <w:pPr>
        <w:numPr>
          <w:ilvl w:val="0"/>
          <w:numId w:val="121"/>
        </w:numPr>
        <w:spacing w:after="0" w:line="360" w:lineRule="auto"/>
        <w:jc w:val="both"/>
        <w:rPr>
          <w:rFonts w:cstheme="minorHAnsi"/>
          <w:sz w:val="28"/>
          <w:szCs w:val="28"/>
        </w:rPr>
      </w:pPr>
      <w:r w:rsidRPr="005E1103">
        <w:rPr>
          <w:rFonts w:cstheme="minorHAnsi"/>
          <w:sz w:val="28"/>
          <w:szCs w:val="28"/>
        </w:rPr>
        <w:t>10 expertos en formación de personas con discapacidad intelectual y en utilización de las TIC en educación.</w:t>
      </w:r>
    </w:p>
    <w:p w:rsidR="008949B1" w:rsidRPr="005E1103" w:rsidRDefault="008949B1" w:rsidP="008949B1">
      <w:pPr>
        <w:spacing w:after="0" w:line="360" w:lineRule="auto"/>
        <w:ind w:firstLine="708"/>
        <w:jc w:val="both"/>
        <w:rPr>
          <w:rFonts w:cstheme="minorHAnsi"/>
          <w:sz w:val="28"/>
          <w:szCs w:val="28"/>
        </w:rPr>
      </w:pPr>
      <w:r w:rsidRPr="005E1103">
        <w:rPr>
          <w:rFonts w:cstheme="minorHAnsi"/>
          <w:sz w:val="28"/>
          <w:szCs w:val="28"/>
        </w:rPr>
        <w:t xml:space="preserve">La investigación se coordina desde el grupo de investigación de la UAM “PR-005 Inclusión social y laboral de jóvenes con discapacidad intelectual”. </w:t>
      </w:r>
    </w:p>
    <w:p w:rsidR="008949B1" w:rsidRPr="005E1103" w:rsidRDefault="008949B1" w:rsidP="008949B1">
      <w:pPr>
        <w:spacing w:after="0" w:line="360" w:lineRule="auto"/>
        <w:jc w:val="both"/>
        <w:rPr>
          <w:rFonts w:cstheme="minorHAnsi"/>
          <w:b/>
          <w:sz w:val="28"/>
          <w:szCs w:val="28"/>
        </w:rPr>
      </w:pPr>
      <w:r w:rsidRPr="005E1103">
        <w:rPr>
          <w:rFonts w:cstheme="minorHAnsi"/>
          <w:b/>
          <w:sz w:val="28"/>
          <w:szCs w:val="28"/>
        </w:rPr>
        <w:t>2. 5. Resultados parciales</w:t>
      </w:r>
    </w:p>
    <w:p w:rsidR="008949B1" w:rsidRPr="005E1103" w:rsidRDefault="008949B1" w:rsidP="008949B1">
      <w:pPr>
        <w:spacing w:after="0" w:line="360" w:lineRule="auto"/>
        <w:jc w:val="both"/>
        <w:rPr>
          <w:rFonts w:cstheme="minorHAnsi"/>
          <w:b/>
          <w:sz w:val="28"/>
          <w:szCs w:val="28"/>
        </w:rPr>
      </w:pPr>
    </w:p>
    <w:p w:rsidR="008949B1" w:rsidRPr="005E1103" w:rsidRDefault="008949B1" w:rsidP="008949B1">
      <w:pPr>
        <w:spacing w:after="0" w:line="360" w:lineRule="auto"/>
        <w:jc w:val="both"/>
        <w:rPr>
          <w:rFonts w:cstheme="minorHAnsi"/>
          <w:sz w:val="28"/>
          <w:szCs w:val="28"/>
        </w:rPr>
      </w:pPr>
      <w:r w:rsidRPr="005E1103">
        <w:rPr>
          <w:rFonts w:cstheme="minorHAnsi"/>
          <w:sz w:val="28"/>
          <w:szCs w:val="28"/>
        </w:rPr>
        <w:tab/>
        <w:t xml:space="preserve">Hasta la fecha, se ha realizado la primera fase de la investigación, por la cual se han creado y validado los 6 ibook a través de un juicio de expertos, lo que ha permitido publicar los materiales. </w:t>
      </w:r>
    </w:p>
    <w:p w:rsidR="008949B1" w:rsidRPr="005E1103" w:rsidRDefault="008949B1" w:rsidP="008949B1">
      <w:pPr>
        <w:spacing w:after="0" w:line="360" w:lineRule="auto"/>
        <w:jc w:val="both"/>
        <w:rPr>
          <w:rFonts w:cstheme="minorHAnsi"/>
          <w:sz w:val="28"/>
          <w:szCs w:val="28"/>
        </w:rPr>
      </w:pPr>
    </w:p>
    <w:p w:rsidR="008949B1" w:rsidRPr="005E1103" w:rsidRDefault="008949B1" w:rsidP="008949B1">
      <w:pPr>
        <w:spacing w:after="0" w:line="360" w:lineRule="auto"/>
        <w:jc w:val="both"/>
        <w:rPr>
          <w:rFonts w:cstheme="minorHAnsi"/>
          <w:b/>
          <w:sz w:val="28"/>
          <w:szCs w:val="28"/>
        </w:rPr>
      </w:pPr>
      <w:r w:rsidRPr="005E1103">
        <w:rPr>
          <w:rFonts w:cstheme="minorHAnsi"/>
          <w:b/>
          <w:sz w:val="28"/>
          <w:szCs w:val="28"/>
        </w:rPr>
        <w:t>3. Conclusiones</w:t>
      </w:r>
    </w:p>
    <w:p w:rsidR="008949B1" w:rsidRPr="005E1103" w:rsidRDefault="008949B1" w:rsidP="008949B1">
      <w:pPr>
        <w:spacing w:after="0" w:line="360" w:lineRule="auto"/>
        <w:jc w:val="both"/>
        <w:rPr>
          <w:rFonts w:cstheme="minorHAnsi"/>
          <w:sz w:val="28"/>
          <w:szCs w:val="28"/>
        </w:rPr>
      </w:pPr>
    </w:p>
    <w:p w:rsidR="008949B1" w:rsidRPr="005E1103" w:rsidRDefault="008949B1" w:rsidP="008949B1">
      <w:pPr>
        <w:spacing w:after="0" w:line="360" w:lineRule="auto"/>
        <w:ind w:firstLine="708"/>
        <w:jc w:val="both"/>
        <w:rPr>
          <w:rFonts w:cstheme="minorHAnsi"/>
          <w:sz w:val="28"/>
          <w:szCs w:val="28"/>
        </w:rPr>
      </w:pPr>
      <w:r w:rsidRPr="005E1103">
        <w:rPr>
          <w:rFonts w:cstheme="minorHAnsi"/>
          <w:sz w:val="28"/>
          <w:szCs w:val="28"/>
        </w:rPr>
        <w:t xml:space="preserve">El proyecto que en esta comunicación se presenta está en una fase intermedia. Se han creado y publicado los materiales interactivos en diversas áreas de interés, contemplándose para los próximos meses, según el cronograma de la investigación, la aplicación de los iBook en contextos de formación y apoyo a personas adultas con discapacidad intelectual, así como la evaluación de los resultados. </w:t>
      </w:r>
    </w:p>
    <w:p w:rsidR="008949B1" w:rsidRPr="005E1103" w:rsidRDefault="008949B1" w:rsidP="008949B1">
      <w:pPr>
        <w:spacing w:after="0" w:line="360" w:lineRule="auto"/>
        <w:ind w:firstLine="708"/>
        <w:jc w:val="both"/>
        <w:rPr>
          <w:rFonts w:cstheme="minorHAnsi"/>
          <w:sz w:val="28"/>
          <w:szCs w:val="28"/>
        </w:rPr>
      </w:pPr>
      <w:r w:rsidRPr="005E1103">
        <w:rPr>
          <w:rFonts w:cstheme="minorHAnsi"/>
          <w:sz w:val="28"/>
          <w:szCs w:val="28"/>
        </w:rPr>
        <w:t xml:space="preserve">La creación de estos iBook responde a la necesidad de contar con libros digitales adaptados a la población con discapacidad intelectual en </w:t>
      </w:r>
      <w:r w:rsidRPr="005E1103">
        <w:rPr>
          <w:rFonts w:cstheme="minorHAnsi"/>
          <w:sz w:val="28"/>
          <w:szCs w:val="28"/>
        </w:rPr>
        <w:lastRenderedPageBreak/>
        <w:t>sistemas operativos de referencia para visualizarse en tabletas. Este proyecto hace una contribución en cuanto al sistema operativo iOs.</w:t>
      </w:r>
    </w:p>
    <w:p w:rsidR="008949B1" w:rsidRPr="005E1103" w:rsidRDefault="008949B1" w:rsidP="008949B1">
      <w:pPr>
        <w:spacing w:after="0" w:line="360" w:lineRule="auto"/>
        <w:ind w:firstLine="708"/>
        <w:jc w:val="both"/>
        <w:rPr>
          <w:rFonts w:cstheme="minorHAnsi"/>
          <w:sz w:val="28"/>
          <w:szCs w:val="28"/>
        </w:rPr>
      </w:pPr>
      <w:r w:rsidRPr="005E1103">
        <w:rPr>
          <w:rFonts w:cstheme="minorHAnsi"/>
          <w:sz w:val="28"/>
          <w:szCs w:val="28"/>
        </w:rPr>
        <w:t xml:space="preserve">Como futuras líneas de investigación, se contemplan tanto la creación, en cada área de interés, de distintas versiones para personas con distintas necesidades de apoyo, como la adaptación al sistema operativo Android, de forma que se pueda hacer una mejora de la accesibilidad de los materiales. </w:t>
      </w:r>
    </w:p>
    <w:p w:rsidR="008949B1" w:rsidRPr="005E1103" w:rsidRDefault="008949B1" w:rsidP="008949B1">
      <w:pPr>
        <w:spacing w:after="0" w:line="360" w:lineRule="auto"/>
        <w:jc w:val="both"/>
        <w:rPr>
          <w:rFonts w:cstheme="minorHAnsi"/>
          <w:b/>
          <w:sz w:val="28"/>
          <w:szCs w:val="28"/>
        </w:rPr>
      </w:pPr>
    </w:p>
    <w:p w:rsidR="008949B1" w:rsidRPr="005E1103" w:rsidRDefault="008949B1" w:rsidP="008949B1">
      <w:pPr>
        <w:spacing w:after="0" w:line="360" w:lineRule="auto"/>
        <w:jc w:val="both"/>
        <w:rPr>
          <w:rFonts w:cstheme="minorHAnsi"/>
          <w:b/>
          <w:sz w:val="28"/>
          <w:szCs w:val="28"/>
        </w:rPr>
      </w:pPr>
      <w:r w:rsidRPr="005E1103">
        <w:rPr>
          <w:rFonts w:cstheme="minorHAnsi"/>
          <w:b/>
          <w:sz w:val="28"/>
          <w:szCs w:val="28"/>
        </w:rPr>
        <w:t>Referencias bibliográficas</w:t>
      </w:r>
    </w:p>
    <w:p w:rsidR="008949B1" w:rsidRPr="005E1103" w:rsidRDefault="008949B1" w:rsidP="008949B1">
      <w:pPr>
        <w:spacing w:after="0" w:line="360" w:lineRule="auto"/>
        <w:jc w:val="both"/>
        <w:rPr>
          <w:rFonts w:cstheme="minorHAnsi"/>
          <w:b/>
          <w:sz w:val="28"/>
          <w:szCs w:val="28"/>
        </w:rPr>
      </w:pPr>
    </w:p>
    <w:p w:rsidR="008949B1" w:rsidRPr="005E1103" w:rsidRDefault="008949B1" w:rsidP="008949B1">
      <w:pPr>
        <w:spacing w:after="0" w:line="360" w:lineRule="auto"/>
        <w:jc w:val="both"/>
        <w:rPr>
          <w:rFonts w:cstheme="minorHAnsi"/>
          <w:sz w:val="28"/>
          <w:szCs w:val="28"/>
          <w:lang w:val="en-US"/>
        </w:rPr>
      </w:pPr>
      <w:r w:rsidRPr="005E1103">
        <w:rPr>
          <w:rFonts w:cstheme="minorHAnsi"/>
          <w:sz w:val="28"/>
          <w:szCs w:val="28"/>
        </w:rPr>
        <w:t xml:space="preserve">De la Fuente, Y. y Hernández-Galán, J., «Las Tecnologías de la Información y la Comunicación como entorno de convergencia tecnológica. El Design Thinking aplicado a la discapacidad intelectual», </w:t>
      </w:r>
      <w:r w:rsidRPr="005E1103">
        <w:rPr>
          <w:rFonts w:cstheme="minorHAnsi"/>
          <w:i/>
          <w:sz w:val="28"/>
          <w:szCs w:val="28"/>
        </w:rPr>
        <w:t>Revista Internacional de Sociología (RIS),</w:t>
      </w:r>
      <w:r w:rsidRPr="005E1103">
        <w:rPr>
          <w:rFonts w:cstheme="minorHAnsi"/>
          <w:sz w:val="28"/>
          <w:szCs w:val="28"/>
        </w:rPr>
        <w:t xml:space="preserve"> 72 (1) (2014), págs. </w:t>
      </w:r>
      <w:r w:rsidRPr="005E1103">
        <w:rPr>
          <w:rFonts w:cstheme="minorHAnsi"/>
          <w:sz w:val="28"/>
          <w:szCs w:val="28"/>
          <w:lang w:val="en-US"/>
        </w:rPr>
        <w:t>93-112.</w:t>
      </w:r>
    </w:p>
    <w:p w:rsidR="008949B1" w:rsidRPr="005E1103" w:rsidRDefault="008949B1" w:rsidP="008949B1">
      <w:pPr>
        <w:spacing w:after="0" w:line="360" w:lineRule="auto"/>
        <w:jc w:val="both"/>
        <w:rPr>
          <w:rFonts w:cstheme="minorHAnsi"/>
          <w:sz w:val="28"/>
          <w:szCs w:val="28"/>
        </w:rPr>
      </w:pPr>
      <w:r w:rsidRPr="005E1103">
        <w:rPr>
          <w:rFonts w:cstheme="minorHAnsi"/>
          <w:sz w:val="28"/>
          <w:szCs w:val="28"/>
          <w:lang w:val="en-US"/>
        </w:rPr>
        <w:t xml:space="preserve">Ganz, J., Boles, M., Goodwyn, F. y Flores, M., «Efficacy of handheld electronic visual supports to enhance vocabulary in children with ASD», </w:t>
      </w:r>
      <w:r w:rsidRPr="005E1103">
        <w:rPr>
          <w:rFonts w:cstheme="minorHAnsi"/>
          <w:i/>
          <w:sz w:val="28"/>
          <w:szCs w:val="28"/>
          <w:lang w:val="en-US"/>
        </w:rPr>
        <w:t>Focus on Autism and Other Developmental Disabilities</w:t>
      </w:r>
      <w:r w:rsidRPr="005E1103">
        <w:rPr>
          <w:rFonts w:cstheme="minorHAnsi"/>
          <w:sz w:val="28"/>
          <w:szCs w:val="28"/>
          <w:lang w:val="en-US"/>
        </w:rPr>
        <w:t xml:space="preserve">, 29 (1) (2014), págs. </w:t>
      </w:r>
      <w:r w:rsidRPr="005E1103">
        <w:rPr>
          <w:rFonts w:cstheme="minorHAnsi"/>
          <w:sz w:val="28"/>
          <w:szCs w:val="28"/>
        </w:rPr>
        <w:t>3-12.</w:t>
      </w:r>
    </w:p>
    <w:p w:rsidR="008949B1" w:rsidRPr="005E1103" w:rsidRDefault="008949B1" w:rsidP="008949B1">
      <w:pPr>
        <w:spacing w:after="0" w:line="360" w:lineRule="auto"/>
        <w:jc w:val="both"/>
        <w:rPr>
          <w:rFonts w:cstheme="minorHAnsi"/>
          <w:sz w:val="28"/>
          <w:szCs w:val="28"/>
          <w:lang w:val="en-US"/>
        </w:rPr>
      </w:pPr>
      <w:r w:rsidRPr="005E1103">
        <w:rPr>
          <w:rFonts w:cstheme="minorHAnsi"/>
          <w:sz w:val="28"/>
          <w:szCs w:val="28"/>
        </w:rPr>
        <w:t xml:space="preserve">Gutiérrez, P. y Martorell, A., «Las personas con discapacidad intelectual ante las TIC». </w:t>
      </w:r>
      <w:r w:rsidRPr="005E1103">
        <w:rPr>
          <w:rFonts w:cstheme="minorHAnsi"/>
          <w:i/>
          <w:sz w:val="28"/>
          <w:szCs w:val="28"/>
          <w:lang w:val="en-US"/>
        </w:rPr>
        <w:t>Comunicar</w:t>
      </w:r>
      <w:r w:rsidRPr="005E1103">
        <w:rPr>
          <w:rFonts w:cstheme="minorHAnsi"/>
          <w:sz w:val="28"/>
          <w:szCs w:val="28"/>
          <w:lang w:val="en-US"/>
        </w:rPr>
        <w:t xml:space="preserve">, 36 (28) (2011), págs. 173-180. </w:t>
      </w:r>
    </w:p>
    <w:p w:rsidR="008949B1" w:rsidRPr="005E1103" w:rsidRDefault="008949B1" w:rsidP="008949B1">
      <w:pPr>
        <w:spacing w:after="0" w:line="360" w:lineRule="auto"/>
        <w:jc w:val="both"/>
        <w:rPr>
          <w:rFonts w:cstheme="minorHAnsi"/>
          <w:sz w:val="28"/>
          <w:szCs w:val="28"/>
          <w:lang w:val="en-US"/>
        </w:rPr>
      </w:pPr>
      <w:r w:rsidRPr="005E1103">
        <w:rPr>
          <w:rFonts w:cstheme="minorHAnsi"/>
          <w:sz w:val="28"/>
          <w:szCs w:val="28"/>
          <w:lang w:val="en-US"/>
        </w:rPr>
        <w:t xml:space="preserve">Lamb, A., «Reading redefined for a transmedia universe», </w:t>
      </w:r>
      <w:r w:rsidRPr="005E1103">
        <w:rPr>
          <w:rFonts w:cstheme="minorHAnsi"/>
          <w:i/>
          <w:sz w:val="28"/>
          <w:szCs w:val="28"/>
          <w:lang w:val="en-US"/>
        </w:rPr>
        <w:t>Learning &amp; Leading with Technology</w:t>
      </w:r>
      <w:r w:rsidRPr="005E1103">
        <w:rPr>
          <w:rFonts w:cstheme="minorHAnsi"/>
          <w:sz w:val="28"/>
          <w:szCs w:val="28"/>
          <w:lang w:val="en-US"/>
        </w:rPr>
        <w:t>, 39 (3) (2011), págs. 12-17.</w:t>
      </w:r>
    </w:p>
    <w:p w:rsidR="008949B1" w:rsidRPr="005E1103" w:rsidRDefault="008949B1" w:rsidP="008949B1">
      <w:pPr>
        <w:spacing w:after="0" w:line="360" w:lineRule="auto"/>
        <w:jc w:val="both"/>
        <w:rPr>
          <w:rFonts w:cstheme="minorHAnsi"/>
          <w:sz w:val="28"/>
          <w:szCs w:val="28"/>
          <w:lang w:val="en-US"/>
        </w:rPr>
      </w:pPr>
      <w:r w:rsidRPr="005E1103">
        <w:rPr>
          <w:rFonts w:cstheme="minorHAnsi"/>
          <w:sz w:val="28"/>
          <w:szCs w:val="28"/>
          <w:lang w:val="en-US"/>
        </w:rPr>
        <w:t xml:space="preserve">Lennox, S., «Interactive read-alouds an avenue for enhancing children´s language for thinking and understandings: a review of recent research», </w:t>
      </w:r>
      <w:r w:rsidRPr="005E1103">
        <w:rPr>
          <w:rFonts w:cstheme="minorHAnsi"/>
          <w:i/>
          <w:sz w:val="28"/>
          <w:szCs w:val="28"/>
          <w:lang w:val="en-US"/>
        </w:rPr>
        <w:t>Early Childhood Education Journal</w:t>
      </w:r>
      <w:r w:rsidRPr="005E1103">
        <w:rPr>
          <w:rFonts w:cstheme="minorHAnsi"/>
          <w:sz w:val="28"/>
          <w:szCs w:val="28"/>
          <w:lang w:val="en-US"/>
        </w:rPr>
        <w:t>, 41 (5) (2013), págs. 381-389.</w:t>
      </w:r>
    </w:p>
    <w:p w:rsidR="008949B1" w:rsidRPr="005E1103" w:rsidRDefault="008949B1" w:rsidP="008949B1">
      <w:pPr>
        <w:spacing w:after="0" w:line="360" w:lineRule="auto"/>
        <w:jc w:val="both"/>
        <w:rPr>
          <w:rFonts w:cstheme="minorHAnsi"/>
          <w:sz w:val="28"/>
          <w:szCs w:val="28"/>
          <w:lang w:val="en-US"/>
        </w:rPr>
      </w:pPr>
      <w:r w:rsidRPr="005E1103">
        <w:rPr>
          <w:rFonts w:cstheme="minorHAnsi"/>
          <w:sz w:val="28"/>
          <w:szCs w:val="28"/>
          <w:lang w:val="en-US"/>
        </w:rPr>
        <w:t xml:space="preserve">Li-Tsang, C., Lee, M., Yeung, S., Siu, A. y Lam, C., «A 6-month follow-up of the effects of an Information and Communication Technology (ICT) </w:t>
      </w:r>
      <w:r w:rsidRPr="005E1103">
        <w:rPr>
          <w:rFonts w:cstheme="minorHAnsi"/>
          <w:sz w:val="28"/>
          <w:szCs w:val="28"/>
          <w:lang w:val="en-US"/>
        </w:rPr>
        <w:lastRenderedPageBreak/>
        <w:t xml:space="preserve">training program on people with intellectual disabilities», </w:t>
      </w:r>
      <w:r w:rsidRPr="005E1103">
        <w:rPr>
          <w:rFonts w:cstheme="minorHAnsi"/>
          <w:i/>
          <w:sz w:val="28"/>
          <w:szCs w:val="28"/>
          <w:lang w:val="en-US"/>
        </w:rPr>
        <w:t>Research in Developmental Disabilities: A Multidisciplinary Journal</w:t>
      </w:r>
      <w:r w:rsidRPr="005E1103">
        <w:rPr>
          <w:rFonts w:cstheme="minorHAnsi"/>
          <w:sz w:val="28"/>
          <w:szCs w:val="28"/>
          <w:lang w:val="en-US"/>
        </w:rPr>
        <w:t>, 28 (6) (2007), págs. 559-566.</w:t>
      </w:r>
    </w:p>
    <w:p w:rsidR="008949B1" w:rsidRPr="005E1103" w:rsidRDefault="008949B1" w:rsidP="008949B1">
      <w:pPr>
        <w:spacing w:after="0" w:line="360" w:lineRule="auto"/>
        <w:jc w:val="both"/>
        <w:rPr>
          <w:rFonts w:cstheme="minorHAnsi"/>
          <w:sz w:val="28"/>
          <w:szCs w:val="28"/>
          <w:lang w:val="en-US"/>
        </w:rPr>
      </w:pPr>
      <w:r w:rsidRPr="005E1103">
        <w:rPr>
          <w:rFonts w:cstheme="minorHAnsi"/>
          <w:sz w:val="28"/>
          <w:szCs w:val="28"/>
          <w:lang w:val="en-US"/>
        </w:rPr>
        <w:t xml:space="preserve">Naslund, R. y Gardelli, A., «“I know, I can, I will try”: youths and adults with intellectual disabilities in Sweden using Information and Communication Technology in their everyday life», </w:t>
      </w:r>
      <w:r w:rsidRPr="005E1103">
        <w:rPr>
          <w:rFonts w:cstheme="minorHAnsi"/>
          <w:i/>
          <w:sz w:val="28"/>
          <w:szCs w:val="28"/>
          <w:lang w:val="en-US"/>
        </w:rPr>
        <w:t>Disability &amp; Society</w:t>
      </w:r>
      <w:r w:rsidRPr="005E1103">
        <w:rPr>
          <w:rFonts w:cstheme="minorHAnsi"/>
          <w:sz w:val="28"/>
          <w:szCs w:val="28"/>
          <w:lang w:val="en-US"/>
        </w:rPr>
        <w:t xml:space="preserve">, 28 (1) (2013), págs. 28-40. </w:t>
      </w:r>
    </w:p>
    <w:p w:rsidR="008949B1" w:rsidRPr="005E1103" w:rsidRDefault="008949B1" w:rsidP="008949B1">
      <w:pPr>
        <w:spacing w:after="0" w:line="360" w:lineRule="auto"/>
        <w:jc w:val="both"/>
        <w:rPr>
          <w:rFonts w:cstheme="minorHAnsi"/>
          <w:sz w:val="28"/>
          <w:szCs w:val="28"/>
          <w:lang w:val="en-US"/>
        </w:rPr>
      </w:pPr>
      <w:r w:rsidRPr="005E1103">
        <w:rPr>
          <w:rFonts w:cstheme="minorHAnsi"/>
          <w:sz w:val="28"/>
          <w:szCs w:val="28"/>
          <w:lang w:val="en-US"/>
        </w:rPr>
        <w:t xml:space="preserve">Mol, S., Bus, A. y De Jong, M., «Interactive book Reading in early: a tool to stimulate print knowledge as well as oral language», </w:t>
      </w:r>
      <w:r w:rsidRPr="005E1103">
        <w:rPr>
          <w:rFonts w:cstheme="minorHAnsi"/>
          <w:i/>
          <w:sz w:val="28"/>
          <w:szCs w:val="28"/>
          <w:lang w:val="en-US"/>
        </w:rPr>
        <w:t>Review of Educational Research</w:t>
      </w:r>
      <w:r w:rsidRPr="005E1103">
        <w:rPr>
          <w:rFonts w:cstheme="minorHAnsi"/>
          <w:sz w:val="28"/>
          <w:szCs w:val="28"/>
          <w:lang w:val="en-US"/>
        </w:rPr>
        <w:t xml:space="preserve">, 79 (2) (2009), págs. 979-1007. </w:t>
      </w:r>
    </w:p>
    <w:p w:rsidR="008949B1" w:rsidRPr="005E1103" w:rsidRDefault="008949B1" w:rsidP="008949B1">
      <w:pPr>
        <w:spacing w:after="0" w:line="360" w:lineRule="auto"/>
        <w:jc w:val="both"/>
        <w:rPr>
          <w:rFonts w:cstheme="minorHAnsi"/>
          <w:sz w:val="28"/>
          <w:szCs w:val="28"/>
        </w:rPr>
      </w:pPr>
      <w:r w:rsidRPr="005E1103">
        <w:rPr>
          <w:rFonts w:cstheme="minorHAnsi"/>
          <w:sz w:val="28"/>
          <w:szCs w:val="28"/>
          <w:lang w:val="en-US"/>
        </w:rPr>
        <w:t xml:space="preserve">Parish-Morris, J., Mahajan, N., Hirsh-Pasek, K., Golinkoff, R. y Collins, M., «Once upon a time: parent-child dialogue and storybook reading in the electronic era», </w:t>
      </w:r>
      <w:r w:rsidRPr="005E1103">
        <w:rPr>
          <w:rFonts w:cstheme="minorHAnsi"/>
          <w:i/>
          <w:sz w:val="28"/>
          <w:szCs w:val="28"/>
          <w:lang w:val="en-US"/>
        </w:rPr>
        <w:t>Mind, Brain and Education</w:t>
      </w:r>
      <w:r w:rsidRPr="005E1103">
        <w:rPr>
          <w:rFonts w:cstheme="minorHAnsi"/>
          <w:sz w:val="28"/>
          <w:szCs w:val="28"/>
          <w:lang w:val="en-US"/>
        </w:rPr>
        <w:t xml:space="preserve">, 7 (3) (2013), págs. </w:t>
      </w:r>
      <w:r w:rsidRPr="005E1103">
        <w:rPr>
          <w:rFonts w:cstheme="minorHAnsi"/>
          <w:sz w:val="28"/>
          <w:szCs w:val="28"/>
        </w:rPr>
        <w:t>200-211.</w:t>
      </w:r>
    </w:p>
    <w:p w:rsidR="008949B1" w:rsidRPr="005E1103" w:rsidRDefault="008949B1" w:rsidP="008949B1">
      <w:pPr>
        <w:spacing w:after="0" w:line="360" w:lineRule="auto"/>
        <w:jc w:val="both"/>
        <w:rPr>
          <w:rFonts w:cstheme="minorHAnsi"/>
          <w:sz w:val="28"/>
          <w:szCs w:val="28"/>
        </w:rPr>
      </w:pPr>
      <w:r w:rsidRPr="005E1103">
        <w:rPr>
          <w:rFonts w:cstheme="minorHAnsi"/>
          <w:sz w:val="28"/>
          <w:szCs w:val="28"/>
        </w:rPr>
        <w:t xml:space="preserve">Prefasi, S., Magal, T., Garde, F. y Giménez, J. L., «Tecnologías de la Información y de la Comunicación orientadas a la educación de personas con discapacidad cognitiva», </w:t>
      </w:r>
      <w:r w:rsidRPr="005E1103">
        <w:rPr>
          <w:rFonts w:cstheme="minorHAnsi"/>
          <w:i/>
          <w:sz w:val="28"/>
          <w:szCs w:val="28"/>
        </w:rPr>
        <w:t>Revista Latinoamericana de Tecnología Educativa – RELATEC</w:t>
      </w:r>
      <w:r w:rsidRPr="005E1103">
        <w:rPr>
          <w:rFonts w:cstheme="minorHAnsi"/>
          <w:sz w:val="28"/>
          <w:szCs w:val="28"/>
        </w:rPr>
        <w:t>, 9 (2) (2010), págs. 107-123.</w:t>
      </w:r>
    </w:p>
    <w:p w:rsidR="008949B1" w:rsidRPr="005E1103" w:rsidRDefault="008949B1" w:rsidP="008949B1">
      <w:pPr>
        <w:spacing w:after="0" w:line="360" w:lineRule="auto"/>
        <w:jc w:val="both"/>
        <w:rPr>
          <w:rFonts w:cstheme="minorHAnsi"/>
          <w:sz w:val="28"/>
          <w:szCs w:val="28"/>
        </w:rPr>
      </w:pPr>
      <w:r w:rsidRPr="005E1103">
        <w:rPr>
          <w:rFonts w:cstheme="minorHAnsi"/>
          <w:sz w:val="28"/>
          <w:szCs w:val="28"/>
        </w:rPr>
        <w:t xml:space="preserve">Schalock, R. y Verdugo, M. A., «El concepto de calidad de vida en los servicios y apoyos para personas con discapacidad intelectual». </w:t>
      </w:r>
      <w:r w:rsidRPr="005E1103">
        <w:rPr>
          <w:rFonts w:cstheme="minorHAnsi"/>
          <w:i/>
          <w:sz w:val="28"/>
          <w:szCs w:val="28"/>
        </w:rPr>
        <w:t>Siglo Cero. Revista Española sobre Discapacidad Intelectual</w:t>
      </w:r>
      <w:r w:rsidRPr="005E1103">
        <w:rPr>
          <w:rFonts w:cstheme="minorHAnsi"/>
          <w:sz w:val="28"/>
          <w:szCs w:val="28"/>
        </w:rPr>
        <w:t xml:space="preserve">, 21 (2007), págs. 21-36. </w:t>
      </w:r>
    </w:p>
    <w:p w:rsidR="00033066" w:rsidRPr="005E1103" w:rsidRDefault="008949B1" w:rsidP="008949B1">
      <w:pPr>
        <w:spacing w:after="0" w:line="360" w:lineRule="auto"/>
        <w:jc w:val="both"/>
        <w:rPr>
          <w:rFonts w:cstheme="minorHAnsi"/>
          <w:sz w:val="28"/>
          <w:szCs w:val="28"/>
        </w:rPr>
      </w:pPr>
      <w:r w:rsidRPr="005E1103">
        <w:rPr>
          <w:rFonts w:cstheme="minorHAnsi"/>
          <w:sz w:val="28"/>
          <w:szCs w:val="28"/>
        </w:rPr>
        <w:t xml:space="preserve">Zubillaga, A., Alba, C. y Sánchez, P., «La tecnología como herramienta de respuesta a la diversidad en la universidad: análisis de la discapacidad como elemento de diferenciación en el acceso y uso de las TIC entre estudiantes universitarios», </w:t>
      </w:r>
      <w:r w:rsidRPr="005E1103">
        <w:rPr>
          <w:rFonts w:cstheme="minorHAnsi"/>
          <w:i/>
          <w:sz w:val="28"/>
          <w:szCs w:val="28"/>
        </w:rPr>
        <w:t>Revista Fuentes</w:t>
      </w:r>
      <w:r w:rsidRPr="005E1103">
        <w:rPr>
          <w:rFonts w:cstheme="minorHAnsi"/>
          <w:sz w:val="28"/>
          <w:szCs w:val="28"/>
        </w:rPr>
        <w:t>, 13 (2013), págs. 193-216.</w:t>
      </w:r>
    </w:p>
    <w:p w:rsidR="00033066" w:rsidRPr="005E1103" w:rsidRDefault="00033066">
      <w:pPr>
        <w:rPr>
          <w:rFonts w:cstheme="minorHAnsi"/>
          <w:sz w:val="28"/>
          <w:szCs w:val="28"/>
        </w:rPr>
      </w:pPr>
      <w:r w:rsidRPr="005E1103">
        <w:rPr>
          <w:rFonts w:cstheme="minorHAnsi"/>
          <w:sz w:val="28"/>
          <w:szCs w:val="28"/>
        </w:rPr>
        <w:br w:type="page"/>
      </w:r>
    </w:p>
    <w:p w:rsidR="00033066" w:rsidRPr="005E1103" w:rsidRDefault="00033066" w:rsidP="00033066">
      <w:pPr>
        <w:spacing w:line="360" w:lineRule="auto"/>
        <w:jc w:val="center"/>
        <w:rPr>
          <w:rFonts w:cstheme="minorHAnsi"/>
          <w:b/>
          <w:sz w:val="28"/>
          <w:szCs w:val="28"/>
        </w:rPr>
      </w:pPr>
      <w:r w:rsidRPr="005E1103">
        <w:rPr>
          <w:rFonts w:cstheme="minorHAnsi"/>
          <w:b/>
          <w:sz w:val="28"/>
          <w:szCs w:val="28"/>
        </w:rPr>
        <w:lastRenderedPageBreak/>
        <w:t>COMUNICACIÓN 3</w:t>
      </w:r>
    </w:p>
    <w:tbl>
      <w:tblPr>
        <w:tblW w:w="9225" w:type="dxa"/>
        <w:tblInd w:w="-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225"/>
      </w:tblGrid>
      <w:tr w:rsidR="00033066" w:rsidRPr="005E1103" w:rsidTr="00033066">
        <w:trPr>
          <w:trHeight w:val="909"/>
        </w:trPr>
        <w:tc>
          <w:tcPr>
            <w:tcW w:w="9225" w:type="dxa"/>
          </w:tcPr>
          <w:p w:rsidR="00033066" w:rsidRPr="005E1103" w:rsidRDefault="00033066" w:rsidP="00033066">
            <w:pPr>
              <w:jc w:val="center"/>
              <w:rPr>
                <w:rFonts w:cstheme="minorHAnsi"/>
                <w:b/>
                <w:sz w:val="28"/>
                <w:szCs w:val="28"/>
              </w:rPr>
            </w:pPr>
            <w:r w:rsidRPr="005E1103">
              <w:rPr>
                <w:rFonts w:cstheme="minorHAnsi"/>
                <w:b/>
                <w:sz w:val="28"/>
                <w:szCs w:val="28"/>
              </w:rPr>
              <w:t>El valor de las tecnologías en la vida de las personas con Diversidad Funcional</w:t>
            </w:r>
          </w:p>
        </w:tc>
      </w:tr>
    </w:tbl>
    <w:p w:rsidR="00033066" w:rsidRPr="005E1103" w:rsidRDefault="00033066" w:rsidP="00033066">
      <w:pPr>
        <w:spacing w:line="360" w:lineRule="auto"/>
        <w:jc w:val="center"/>
        <w:rPr>
          <w:rFonts w:cstheme="minorHAnsi"/>
          <w:b/>
          <w:sz w:val="28"/>
          <w:szCs w:val="28"/>
        </w:rPr>
      </w:pPr>
    </w:p>
    <w:p w:rsidR="00033066" w:rsidRPr="005E1103" w:rsidRDefault="00033066" w:rsidP="00033066">
      <w:pPr>
        <w:ind w:left="6372" w:firstLine="708"/>
        <w:rPr>
          <w:rFonts w:cstheme="minorHAnsi"/>
          <w:sz w:val="28"/>
          <w:szCs w:val="28"/>
        </w:rPr>
      </w:pPr>
      <w:r w:rsidRPr="005E1103">
        <w:rPr>
          <w:rFonts w:cstheme="minorHAnsi"/>
          <w:sz w:val="28"/>
          <w:szCs w:val="28"/>
        </w:rPr>
        <w:t>Elena González Araujo</w:t>
      </w:r>
    </w:p>
    <w:p w:rsidR="00033066" w:rsidRPr="005E1103" w:rsidRDefault="00033066" w:rsidP="00033066">
      <w:pPr>
        <w:ind w:left="5487"/>
        <w:rPr>
          <w:rFonts w:cstheme="minorHAnsi"/>
          <w:sz w:val="28"/>
          <w:szCs w:val="28"/>
        </w:rPr>
      </w:pPr>
      <w:r w:rsidRPr="005E1103">
        <w:rPr>
          <w:rFonts w:cstheme="minorHAnsi"/>
          <w:sz w:val="28"/>
          <w:szCs w:val="28"/>
        </w:rPr>
        <w:t>Doctoranda Ciencias de la Educación</w:t>
      </w:r>
    </w:p>
    <w:p w:rsidR="00033066" w:rsidRPr="005E1103" w:rsidRDefault="00033066" w:rsidP="00033066">
      <w:pPr>
        <w:ind w:left="2124" w:firstLine="708"/>
        <w:rPr>
          <w:rFonts w:cstheme="minorHAnsi"/>
          <w:sz w:val="28"/>
          <w:szCs w:val="28"/>
        </w:rPr>
      </w:pPr>
      <w:r w:rsidRPr="005E1103">
        <w:rPr>
          <w:rFonts w:cstheme="minorHAnsi"/>
          <w:sz w:val="28"/>
          <w:szCs w:val="28"/>
        </w:rPr>
        <w:tab/>
      </w:r>
      <w:r w:rsidRPr="005E1103">
        <w:rPr>
          <w:rFonts w:cstheme="minorHAnsi"/>
          <w:sz w:val="28"/>
          <w:szCs w:val="28"/>
        </w:rPr>
        <w:tab/>
      </w:r>
      <w:r w:rsidRPr="005E1103">
        <w:rPr>
          <w:rFonts w:cstheme="minorHAnsi"/>
          <w:sz w:val="28"/>
          <w:szCs w:val="28"/>
        </w:rPr>
        <w:tab/>
        <w:t xml:space="preserve">         Universidad de Alcalá</w:t>
      </w:r>
    </w:p>
    <w:p w:rsidR="00033066" w:rsidRPr="005E1103" w:rsidRDefault="00033066" w:rsidP="00033066">
      <w:pPr>
        <w:rPr>
          <w:rFonts w:cstheme="minorHAnsi"/>
          <w:sz w:val="28"/>
          <w:szCs w:val="28"/>
          <w:u w:val="single"/>
        </w:rPr>
      </w:pPr>
    </w:p>
    <w:p w:rsidR="00033066" w:rsidRPr="005E1103" w:rsidRDefault="00033066" w:rsidP="00033066">
      <w:pPr>
        <w:pStyle w:val="Ttulo1"/>
        <w:rPr>
          <w:rFonts w:asciiTheme="minorHAnsi" w:hAnsiTheme="minorHAnsi" w:cstheme="minorHAnsi"/>
          <w:color w:val="auto"/>
        </w:rPr>
      </w:pPr>
      <w:r w:rsidRPr="005E1103">
        <w:rPr>
          <w:rFonts w:asciiTheme="minorHAnsi" w:hAnsiTheme="minorHAnsi" w:cstheme="minorHAnsi"/>
          <w:color w:val="auto"/>
        </w:rPr>
        <w:t>Introducción</w:t>
      </w:r>
    </w:p>
    <w:p w:rsidR="00033066" w:rsidRPr="005E1103" w:rsidRDefault="00033066" w:rsidP="00033066">
      <w:pPr>
        <w:spacing w:line="360" w:lineRule="auto"/>
        <w:rPr>
          <w:rFonts w:cstheme="minorHAnsi"/>
          <w:sz w:val="28"/>
          <w:szCs w:val="28"/>
          <w:u w:val="single"/>
        </w:rPr>
      </w:pPr>
    </w:p>
    <w:p w:rsidR="00033066" w:rsidRPr="005E1103" w:rsidRDefault="00033066" w:rsidP="00033066">
      <w:pPr>
        <w:spacing w:line="360" w:lineRule="auto"/>
        <w:ind w:firstLine="709"/>
        <w:jc w:val="both"/>
        <w:rPr>
          <w:rFonts w:cstheme="minorHAnsi"/>
          <w:sz w:val="28"/>
          <w:szCs w:val="28"/>
        </w:rPr>
      </w:pPr>
      <w:r w:rsidRPr="005E1103">
        <w:rPr>
          <w:rFonts w:cstheme="minorHAnsi"/>
          <w:sz w:val="28"/>
          <w:szCs w:val="28"/>
        </w:rPr>
        <w:t xml:space="preserve">Actualmente, en la sociedad existe un interés creciente por conocer la relevancia de las Tecnologías de la Información y la Comunicación (TIC) en la población. A pesar de existir dicho interés, se observa que no se presenta con la misma intensidad cuando nos referimos a la población con diversidad funcional. Este hecho queda constatado a la hora de consultar la información disponible acerca del acceso, uso e impacto de éstas; debido a que existe un mayor número de estudios destinados a la población sin aparente diversidad como, por ejemplo, la encuesta sobre el </w:t>
      </w:r>
      <w:r w:rsidRPr="005E1103">
        <w:rPr>
          <w:rFonts w:cstheme="minorHAnsi"/>
          <w:i/>
          <w:sz w:val="28"/>
          <w:szCs w:val="28"/>
        </w:rPr>
        <w:t>Equipamiento y Uso de las Tecnologías de la Información y la Comunicación en los hogares (TIC-H)</w:t>
      </w:r>
      <w:r w:rsidRPr="005E1103">
        <w:rPr>
          <w:rFonts w:cstheme="minorHAnsi"/>
          <w:sz w:val="28"/>
          <w:szCs w:val="28"/>
        </w:rPr>
        <w:t xml:space="preserve"> (2013) realizada por el INE o el </w:t>
      </w:r>
      <w:r w:rsidRPr="005E1103">
        <w:rPr>
          <w:rFonts w:cstheme="minorHAnsi"/>
          <w:i/>
          <w:sz w:val="28"/>
          <w:szCs w:val="28"/>
        </w:rPr>
        <w:t>Informe Anual de la Sociedad en Red</w:t>
      </w:r>
      <w:r w:rsidRPr="005E1103">
        <w:rPr>
          <w:rFonts w:cstheme="minorHAnsi"/>
          <w:sz w:val="28"/>
          <w:szCs w:val="28"/>
        </w:rPr>
        <w:t xml:space="preserve"> (2015) realizado por ONTIS</w:t>
      </w:r>
      <w:r w:rsidRPr="005E1103">
        <w:rPr>
          <w:rStyle w:val="Refdenotaalpie"/>
          <w:rFonts w:cstheme="minorHAnsi"/>
          <w:sz w:val="28"/>
          <w:szCs w:val="28"/>
        </w:rPr>
        <w:footnoteReference w:id="68"/>
      </w:r>
      <w:r w:rsidRPr="005E1103">
        <w:rPr>
          <w:rFonts w:cstheme="minorHAnsi"/>
          <w:sz w:val="28"/>
          <w:szCs w:val="28"/>
        </w:rPr>
        <w:t xml:space="preserve">, frente a la escasez de aquellos destinados a las personas con diversidad. </w:t>
      </w:r>
    </w:p>
    <w:p w:rsidR="00033066" w:rsidRPr="005E1103" w:rsidRDefault="00033066" w:rsidP="00033066">
      <w:pPr>
        <w:spacing w:line="360" w:lineRule="auto"/>
        <w:jc w:val="both"/>
        <w:rPr>
          <w:rFonts w:cstheme="minorHAnsi"/>
          <w:sz w:val="28"/>
          <w:szCs w:val="28"/>
        </w:rPr>
      </w:pPr>
    </w:p>
    <w:p w:rsidR="00033066" w:rsidRPr="005E1103" w:rsidRDefault="00033066" w:rsidP="00033066">
      <w:pPr>
        <w:spacing w:line="360" w:lineRule="auto"/>
        <w:jc w:val="both"/>
        <w:rPr>
          <w:rFonts w:cstheme="minorHAnsi"/>
          <w:sz w:val="28"/>
          <w:szCs w:val="28"/>
        </w:rPr>
      </w:pPr>
      <w:r w:rsidRPr="005E1103">
        <w:rPr>
          <w:rFonts w:cstheme="minorHAnsi"/>
          <w:sz w:val="28"/>
          <w:szCs w:val="28"/>
        </w:rPr>
        <w:lastRenderedPageBreak/>
        <w:t xml:space="preserve">Esta evidencia, ya nos advierte de la existencia de la desigualdad dentro de la Sociedad de la Información y el Conocimiento a la que se enfrentan las personas con diversidad.  Es por ello que, tras la consulta de dichos estudios, nació este estudio; cuyo objetivo era comprender el impacto que generan las TIC en la vida cotidiana de las personas con diversidad funcional, con especial énfasis en el ámbito educativo, laboral y de las relaciones sociales y personales. </w:t>
      </w:r>
    </w:p>
    <w:p w:rsidR="00033066" w:rsidRPr="005E1103" w:rsidRDefault="00033066" w:rsidP="00033066">
      <w:pPr>
        <w:spacing w:line="360" w:lineRule="auto"/>
        <w:jc w:val="both"/>
        <w:rPr>
          <w:rFonts w:cstheme="minorHAnsi"/>
          <w:sz w:val="28"/>
          <w:szCs w:val="28"/>
        </w:rPr>
      </w:pPr>
    </w:p>
    <w:p w:rsidR="00033066" w:rsidRPr="005E1103" w:rsidRDefault="00033066" w:rsidP="00033066">
      <w:pPr>
        <w:spacing w:line="360" w:lineRule="auto"/>
        <w:ind w:firstLine="709"/>
        <w:jc w:val="both"/>
        <w:rPr>
          <w:rFonts w:cstheme="minorHAnsi"/>
          <w:sz w:val="28"/>
          <w:szCs w:val="28"/>
        </w:rPr>
      </w:pPr>
      <w:r w:rsidRPr="005E1103">
        <w:rPr>
          <w:rFonts w:cstheme="minorHAnsi"/>
          <w:sz w:val="28"/>
          <w:szCs w:val="28"/>
        </w:rPr>
        <w:t xml:space="preserve">Atendiendo al planteamiento que recogen los diferentes estudios acerca de los factores que pueden facilitar, o, por el contrario, obstaculizar el acceso y uso de las TIC, consideramos que era necesario centrarse no sólo en dichos estudios analizados; sino que también era necesario ir más allá para poder comprender la información existente. De este modo, dos fueron las líneas imprescindibles; por un lado, el testimonio de las propias personas con diversidad; y por otro, ahondar en cuestiones relevantes que proporcionan información acerca del contexto actual en el que vivimos. </w:t>
      </w:r>
    </w:p>
    <w:p w:rsidR="00033066" w:rsidRPr="005E1103" w:rsidRDefault="00033066" w:rsidP="00033066">
      <w:pPr>
        <w:spacing w:line="360" w:lineRule="auto"/>
        <w:jc w:val="both"/>
        <w:rPr>
          <w:rFonts w:cstheme="minorHAnsi"/>
          <w:sz w:val="28"/>
          <w:szCs w:val="28"/>
        </w:rPr>
      </w:pPr>
      <w:r w:rsidRPr="005E1103">
        <w:rPr>
          <w:rFonts w:cstheme="minorHAnsi"/>
          <w:sz w:val="28"/>
          <w:szCs w:val="28"/>
        </w:rPr>
        <w:t xml:space="preserve">En el caso de las segundas, dichas cuestiones fueron el punto de partida para comprender las vivencias de las personas con diversidad. Es por ello que profundizamos en cuestiones como las características más significativas de la actual Sociedad de la Información y el Conocimiento, las diferentes posturas para definir a las Nuevas Tecnologías, la visión que presenta la sociedad hacia las personas con diversidad, qué supone la falta de accesibilidad y la importancia del Diseño Universal, entre otras. Además, tales cuestiones reflejan la repercusión que provocan en el acceso, en el proceso de asimilación y de apropiación y en el despliegue </w:t>
      </w:r>
      <w:r w:rsidRPr="005E1103">
        <w:rPr>
          <w:rFonts w:cstheme="minorHAnsi"/>
          <w:sz w:val="28"/>
          <w:szCs w:val="28"/>
        </w:rPr>
        <w:lastRenderedPageBreak/>
        <w:t xml:space="preserve">de determinadas estrategias y habilidades para utilizar las herramientas tecnológicas, que han de poseer las personas con diversidad. </w:t>
      </w:r>
    </w:p>
    <w:p w:rsidR="00033066" w:rsidRPr="005E1103" w:rsidRDefault="00033066" w:rsidP="00033066">
      <w:pPr>
        <w:spacing w:line="360" w:lineRule="auto"/>
        <w:jc w:val="both"/>
        <w:rPr>
          <w:rFonts w:cstheme="minorHAnsi"/>
          <w:sz w:val="28"/>
          <w:szCs w:val="28"/>
        </w:rPr>
      </w:pPr>
    </w:p>
    <w:p w:rsidR="00033066" w:rsidRPr="005E1103" w:rsidRDefault="00033066" w:rsidP="00033066">
      <w:pPr>
        <w:spacing w:line="360" w:lineRule="auto"/>
        <w:ind w:firstLine="709"/>
        <w:jc w:val="both"/>
        <w:rPr>
          <w:rFonts w:cstheme="minorHAnsi"/>
          <w:sz w:val="28"/>
          <w:szCs w:val="28"/>
        </w:rPr>
      </w:pPr>
      <w:r w:rsidRPr="005E1103">
        <w:rPr>
          <w:rFonts w:cstheme="minorHAnsi"/>
          <w:sz w:val="28"/>
          <w:szCs w:val="28"/>
        </w:rPr>
        <w:t>Sobre la base de estas ideas expuestas, cabe destacar que la sociedad actualmente posee una serie de características que determinan el papel que desempeñan los diferentes elementos que organizan nuestra sociedad. De este modo, la economía y las TIC se presentan como ejes principales que repercuten en las actividades de nuestra vida cotidiana; del mismo modo que la educación. Autores como Bautista (2010), se afanan por analizar la repercusión de la presencia de las tecnologías a lo largo de la historia- lo que denomina “desarrollo tecnológico”-; con el fin de que comprendamos el papel que desempeñan hoy en día. Así pues, este señala que dichas tecnologías son herramientas de cambio que a lo largo de la historia han modificado nuestra manera de percibir y entender la realidad que nos rodea, dando lugar a nuevas codificaciones, que propician que otorguemos nuevos significados a determinados hechos. Al mismo tiempo, han modificado nuestro concepto de alfabetización y educación, de un modo más complejo y ambicioso que el que hasta hace dos décadas era el referente de persona educada; puesto que el acceso y uso de estos recursos requiere un tipo de saber diferente al que hasta ahora han tenido las personas.</w:t>
      </w:r>
    </w:p>
    <w:p w:rsidR="00033066" w:rsidRPr="005E1103" w:rsidRDefault="00033066" w:rsidP="00033066">
      <w:pPr>
        <w:spacing w:line="360" w:lineRule="auto"/>
        <w:ind w:firstLine="709"/>
        <w:jc w:val="both"/>
        <w:rPr>
          <w:rFonts w:cstheme="minorHAnsi"/>
          <w:sz w:val="28"/>
          <w:szCs w:val="28"/>
        </w:rPr>
      </w:pPr>
    </w:p>
    <w:p w:rsidR="00033066" w:rsidRPr="005E1103" w:rsidRDefault="00033066" w:rsidP="00033066">
      <w:pPr>
        <w:spacing w:line="360" w:lineRule="auto"/>
        <w:jc w:val="both"/>
        <w:rPr>
          <w:rFonts w:cstheme="minorHAnsi"/>
          <w:sz w:val="28"/>
          <w:szCs w:val="28"/>
        </w:rPr>
      </w:pPr>
      <w:r w:rsidRPr="005E1103">
        <w:rPr>
          <w:rFonts w:cstheme="minorHAnsi"/>
          <w:sz w:val="28"/>
          <w:szCs w:val="28"/>
        </w:rPr>
        <w:t xml:space="preserve">Dentro de este marco, no solo las características de la Sociedad, cómo esta se organiza y lo que supone un desarrollo tecnológico, eran suficientes para comprender el impacto que generan las TIC en la vida diaria de las personas. Así pues, como ya hemos mencionado en los </w:t>
      </w:r>
      <w:r w:rsidRPr="005E1103">
        <w:rPr>
          <w:rFonts w:cstheme="minorHAnsi"/>
          <w:sz w:val="28"/>
          <w:szCs w:val="28"/>
        </w:rPr>
        <w:lastRenderedPageBreak/>
        <w:t xml:space="preserve">párrafos anteriores, fue necesario profundizar en las definiciones que los diferentes autores proponen acerca de qué entendemos por tecnologías. </w:t>
      </w:r>
    </w:p>
    <w:p w:rsidR="00033066" w:rsidRPr="005E1103" w:rsidRDefault="00033066" w:rsidP="00033066">
      <w:pPr>
        <w:spacing w:line="360" w:lineRule="auto"/>
        <w:jc w:val="both"/>
        <w:rPr>
          <w:rFonts w:cstheme="minorHAnsi"/>
          <w:sz w:val="28"/>
          <w:szCs w:val="28"/>
        </w:rPr>
      </w:pPr>
    </w:p>
    <w:p w:rsidR="00033066" w:rsidRPr="005E1103" w:rsidRDefault="00033066" w:rsidP="00033066">
      <w:pPr>
        <w:spacing w:line="360" w:lineRule="auto"/>
        <w:jc w:val="both"/>
        <w:rPr>
          <w:rFonts w:cstheme="minorHAnsi"/>
          <w:sz w:val="28"/>
          <w:szCs w:val="28"/>
        </w:rPr>
      </w:pPr>
      <w:r w:rsidRPr="005E1103">
        <w:rPr>
          <w:rFonts w:cstheme="minorHAnsi"/>
          <w:sz w:val="28"/>
          <w:szCs w:val="28"/>
        </w:rPr>
        <w:t>Desde el punto de vista de los autores López Aguilar, Díaz Vidal, Benítez Estrada y Gamboa Hernández D. (2006), las TIC son “</w:t>
      </w:r>
      <w:r w:rsidRPr="005E1103">
        <w:rPr>
          <w:rFonts w:cstheme="minorHAnsi"/>
          <w:iCs/>
          <w:sz w:val="28"/>
          <w:szCs w:val="28"/>
        </w:rPr>
        <w:t>Recursos y procesos tecnológicos (materiales y teóricos) que posibilitan al hombre crear, consultar, utilizar y compartir la información de modo libre e instantáneo, y son determinantes para el desarrollo de la Sociedad de la Información”</w:t>
      </w:r>
      <w:r w:rsidRPr="005E1103">
        <w:rPr>
          <w:rFonts w:cstheme="minorHAnsi"/>
          <w:sz w:val="28"/>
          <w:szCs w:val="28"/>
        </w:rPr>
        <w:t xml:space="preserve"> López Aguilar et alt., 2006: 101). Por lo tanto, bajo la influencia de este pensamiento, la actual sociedad puede considerarse como la sociedad del acceso a la información y la comunicación; acceso, que en determinadas ocasiones se enmarca en un contexto, donde se observan dinámicas de desigualdad que afectan a determinados grupos sociales, como es el caso de las personas con diversidad. De esta manera, la relevancia que estos recursos han adquirido para generar, almacenar y transmitir la información se combina con la evidencia de jugar un papel esencial para generar el conocimiento. Al mismo tiempo, dichas tecnologías han generado paradójicamente lo que se conoce como la brecha digital; debido a que paralelamente se produce una limitación para ciertos grupos sociales, en el acceso, uso y aprovechamiento de éstas que son decisivos para el acceso al capitula cultural, tan necesario para una integración social y personal plena. En el caso de las personas con diversidad funcional se puede ver especialmente agravado, puesto que la mayor parte de la tecnología es inaccesible. </w:t>
      </w:r>
    </w:p>
    <w:p w:rsidR="00033066" w:rsidRPr="005E1103" w:rsidRDefault="00033066" w:rsidP="00033066">
      <w:pPr>
        <w:spacing w:line="360" w:lineRule="auto"/>
        <w:jc w:val="both"/>
        <w:rPr>
          <w:rFonts w:cstheme="minorHAnsi"/>
          <w:sz w:val="28"/>
          <w:szCs w:val="28"/>
        </w:rPr>
      </w:pPr>
    </w:p>
    <w:p w:rsidR="00033066" w:rsidRPr="005E1103" w:rsidRDefault="00033066" w:rsidP="00033066">
      <w:pPr>
        <w:spacing w:line="360" w:lineRule="auto"/>
        <w:ind w:firstLine="709"/>
        <w:jc w:val="both"/>
        <w:rPr>
          <w:rFonts w:cstheme="minorHAnsi"/>
          <w:sz w:val="28"/>
          <w:szCs w:val="28"/>
        </w:rPr>
      </w:pPr>
      <w:r w:rsidRPr="005E1103">
        <w:rPr>
          <w:rFonts w:cstheme="minorHAnsi"/>
          <w:sz w:val="28"/>
          <w:szCs w:val="28"/>
        </w:rPr>
        <w:lastRenderedPageBreak/>
        <w:t xml:space="preserve">Desde la perspectiva que se adoptó en este estudio, teniendo en cuenta lo que suponen las TIC en la sociedad, consideramos que estas permiten a las personas con diversidad </w:t>
      </w:r>
      <w:r w:rsidRPr="005E1103">
        <w:rPr>
          <w:rFonts w:cstheme="minorHAnsi"/>
          <w:b/>
          <w:sz w:val="28"/>
          <w:szCs w:val="28"/>
        </w:rPr>
        <w:t>potenciar, compensar y recrear</w:t>
      </w:r>
      <w:r w:rsidRPr="005E1103">
        <w:rPr>
          <w:rFonts w:cstheme="minorHAnsi"/>
          <w:sz w:val="28"/>
          <w:szCs w:val="28"/>
        </w:rPr>
        <w:t xml:space="preserve"> </w:t>
      </w:r>
      <w:r w:rsidRPr="005E1103">
        <w:rPr>
          <w:rFonts w:cstheme="minorHAnsi"/>
          <w:b/>
          <w:sz w:val="28"/>
          <w:szCs w:val="28"/>
        </w:rPr>
        <w:t>sus otras capacidades</w:t>
      </w:r>
      <w:r w:rsidRPr="005E1103">
        <w:rPr>
          <w:rFonts w:cstheme="minorHAnsi"/>
          <w:sz w:val="28"/>
          <w:szCs w:val="28"/>
        </w:rPr>
        <w:t xml:space="preserve">, compartir sus conocimientos y ser independientes, a pesar de estar presente dicha brecha y la inaccesibilidad a éstas. </w:t>
      </w:r>
    </w:p>
    <w:p w:rsidR="00033066" w:rsidRPr="005E1103" w:rsidRDefault="00033066" w:rsidP="00033066">
      <w:pPr>
        <w:spacing w:line="360" w:lineRule="auto"/>
        <w:jc w:val="both"/>
        <w:rPr>
          <w:rFonts w:cstheme="minorHAnsi"/>
          <w:sz w:val="28"/>
          <w:szCs w:val="28"/>
        </w:rPr>
      </w:pPr>
    </w:p>
    <w:p w:rsidR="00033066" w:rsidRPr="005E1103" w:rsidRDefault="00033066" w:rsidP="00033066">
      <w:pPr>
        <w:spacing w:line="360" w:lineRule="auto"/>
        <w:ind w:firstLine="709"/>
        <w:jc w:val="both"/>
        <w:rPr>
          <w:rFonts w:eastAsia="Times" w:cstheme="minorHAnsi"/>
          <w:sz w:val="28"/>
          <w:szCs w:val="28"/>
          <w:lang w:val="es-ES_tradnl"/>
        </w:rPr>
      </w:pPr>
      <w:r w:rsidRPr="005E1103">
        <w:rPr>
          <w:rFonts w:eastAsia="Times" w:cstheme="minorHAnsi"/>
          <w:sz w:val="28"/>
          <w:szCs w:val="28"/>
          <w:lang w:val="es-ES_tradnl"/>
        </w:rPr>
        <w:t xml:space="preserve">Retomando de nuevo el discurso centrado en la consulta de estudios existentes que abordan el uso que da la población a las TIC, entendemos que existe una gran problemática, debido a que ni los estudios estatales, europeos y globales reflejan la realidad de la población en su totalidad, sino que únicamente arrojan datos e información acerca de las preferencias, actividades, propuestas de mejora y las dificultades a las que se presentan aquellos que aparentemente no presentan diversidad. De este modo, los informes quedan incompletos.  A pesar de ello, diferentes organismos específicos que tratan la diversidad y asociaciones se afanan por arrojar datos. Sin embargo, debido a la escasez de recursos no existe una continuidad en el tiempo, ni una información completa que pueda ser analizada y comparada para conocer la evolución de la población con diversidad, hecho que sí sucede en el caso del resto de la población. De igual modo, dicha información se presenta como valiosa y relevante para continuar con la mejora de los diferentes dispositivos y herramientas disponibles, en especial en cuanto a accesibilidad se refiere. </w:t>
      </w:r>
    </w:p>
    <w:p w:rsidR="00033066" w:rsidRPr="005E1103" w:rsidRDefault="00033066" w:rsidP="00033066">
      <w:pPr>
        <w:spacing w:line="360" w:lineRule="auto"/>
        <w:jc w:val="both"/>
        <w:rPr>
          <w:rFonts w:cstheme="minorHAnsi"/>
          <w:sz w:val="28"/>
          <w:szCs w:val="28"/>
        </w:rPr>
      </w:pPr>
    </w:p>
    <w:p w:rsidR="00033066" w:rsidRPr="005E1103" w:rsidRDefault="00033066" w:rsidP="00033066">
      <w:pPr>
        <w:spacing w:line="360" w:lineRule="auto"/>
        <w:jc w:val="both"/>
        <w:rPr>
          <w:rFonts w:cstheme="minorHAnsi"/>
          <w:sz w:val="28"/>
          <w:szCs w:val="28"/>
        </w:rPr>
      </w:pPr>
      <w:r w:rsidRPr="005E1103">
        <w:rPr>
          <w:rFonts w:cstheme="minorHAnsi"/>
          <w:sz w:val="28"/>
          <w:szCs w:val="28"/>
        </w:rPr>
        <w:t xml:space="preserve">Uno de los estudios que adquiere mayor relevancia es el realizado por la Fundación AUNA y el Ministerio de Trabajo y Asuntos Sociales, denominado </w:t>
      </w:r>
      <w:r w:rsidRPr="005E1103">
        <w:rPr>
          <w:rFonts w:eastAsia="Times" w:cstheme="minorHAnsi"/>
          <w:i/>
          <w:sz w:val="28"/>
          <w:szCs w:val="28"/>
          <w:lang w:val="es-ES_tradnl"/>
        </w:rPr>
        <w:t xml:space="preserve">Las personas con discapacidad frente a las tecnologías de la </w:t>
      </w:r>
      <w:r w:rsidRPr="005E1103">
        <w:rPr>
          <w:rFonts w:eastAsia="Times" w:cstheme="minorHAnsi"/>
          <w:i/>
          <w:sz w:val="28"/>
          <w:szCs w:val="28"/>
          <w:lang w:val="es-ES_tradnl"/>
        </w:rPr>
        <w:lastRenderedPageBreak/>
        <w:t xml:space="preserve">información y las comunicaciones en España </w:t>
      </w:r>
      <w:r w:rsidRPr="005E1103">
        <w:rPr>
          <w:rFonts w:eastAsia="Times" w:cstheme="minorHAnsi"/>
          <w:sz w:val="28"/>
          <w:szCs w:val="28"/>
          <w:lang w:val="es-ES_tradnl"/>
        </w:rPr>
        <w:t>(2004)</w:t>
      </w:r>
      <w:r w:rsidRPr="005E1103">
        <w:rPr>
          <w:rFonts w:cstheme="minorHAnsi"/>
          <w:sz w:val="28"/>
          <w:szCs w:val="28"/>
        </w:rPr>
        <w:t xml:space="preserve">. Dicho estudio es uno de los más exhaustivos realizados hasta el momento; a pesar de reflejar una realidad muy lejana, debido a la rapidez con la que avanza la tecnología. En este caso, únicamente nos centraremos en los datos que conciernen a las personas con diversidad visual, física e intelectual, por ser las tres diversidades que se eligieron para llevar a cabo este estudio, aunque cabe destacar que el estudio de la Fundación AUNA recoge otras diversidades funcionales. </w:t>
      </w:r>
    </w:p>
    <w:p w:rsidR="00033066" w:rsidRPr="005E1103" w:rsidRDefault="00033066" w:rsidP="00033066">
      <w:pPr>
        <w:spacing w:line="360" w:lineRule="auto"/>
        <w:jc w:val="both"/>
        <w:rPr>
          <w:rFonts w:cstheme="minorHAnsi"/>
          <w:sz w:val="28"/>
          <w:szCs w:val="28"/>
        </w:rPr>
      </w:pPr>
    </w:p>
    <w:p w:rsidR="00033066" w:rsidRPr="005E1103" w:rsidRDefault="00033066" w:rsidP="00033066">
      <w:pPr>
        <w:spacing w:line="360" w:lineRule="auto"/>
        <w:jc w:val="both"/>
        <w:rPr>
          <w:rFonts w:eastAsia="Times" w:cstheme="minorHAnsi"/>
          <w:sz w:val="28"/>
          <w:szCs w:val="28"/>
          <w:lang w:val="es-ES_tradnl"/>
        </w:rPr>
      </w:pPr>
      <w:r w:rsidRPr="005E1103">
        <w:rPr>
          <w:rFonts w:cstheme="minorHAnsi"/>
          <w:sz w:val="28"/>
          <w:szCs w:val="28"/>
        </w:rPr>
        <w:t xml:space="preserve">En términos generales, </w:t>
      </w:r>
      <w:r w:rsidRPr="005E1103">
        <w:rPr>
          <w:rFonts w:eastAsia="Times" w:cstheme="minorHAnsi"/>
          <w:sz w:val="28"/>
          <w:szCs w:val="28"/>
          <w:lang w:val="es-ES_tradnl"/>
        </w:rPr>
        <w:t>este estudio refleja que las personas con diversidad visual y física presentan una actitud muy positiva hacia las TIC, mientras que para las psíquicas</w:t>
      </w:r>
      <w:r w:rsidRPr="005E1103">
        <w:rPr>
          <w:rStyle w:val="Refdenotaalpie"/>
          <w:rFonts w:eastAsia="Times" w:cstheme="minorHAnsi"/>
          <w:sz w:val="28"/>
          <w:szCs w:val="28"/>
          <w:lang w:val="es-ES_tradnl"/>
        </w:rPr>
        <w:footnoteReference w:id="69"/>
      </w:r>
      <w:r w:rsidRPr="005E1103">
        <w:rPr>
          <w:rFonts w:eastAsia="Times" w:cstheme="minorHAnsi"/>
          <w:sz w:val="28"/>
          <w:szCs w:val="28"/>
          <w:lang w:val="es-ES_tradnl"/>
        </w:rPr>
        <w:t xml:space="preserve"> es solo positiva. También tiene en cuenta otros factores que repercuten en el acceso y uso de éstas, como son los factores socioculturales, en especial, el nivel formativo, la edad y el nivel socioeconómico. De este modo, en el estudio se señala que tanto las barreras económicas, como las de formación y las tecnológicas, –por ejemplo, la carencia de adaptaciones a las herramientas tecnológicas, como el ordenador- son las que más dificultan el acceso. De igual forma, en el estudio se señala que existe una privación de acceso a Internet y con ello a las redes sociales y a la información de las webs; por la falta de concienciación social para la adaptación de infraestructuras, páginas webs, entre otras. </w:t>
      </w:r>
    </w:p>
    <w:p w:rsidR="00033066" w:rsidRPr="005E1103" w:rsidRDefault="00033066" w:rsidP="00033066">
      <w:pPr>
        <w:spacing w:line="360" w:lineRule="auto"/>
        <w:jc w:val="both"/>
        <w:rPr>
          <w:rFonts w:eastAsia="Times" w:cstheme="minorHAnsi"/>
          <w:sz w:val="28"/>
          <w:szCs w:val="28"/>
          <w:lang w:val="es-ES_tradnl"/>
        </w:rPr>
      </w:pPr>
    </w:p>
    <w:p w:rsidR="00033066" w:rsidRPr="005E1103" w:rsidRDefault="00033066" w:rsidP="00033066">
      <w:pPr>
        <w:spacing w:line="360" w:lineRule="auto"/>
        <w:ind w:firstLine="709"/>
        <w:jc w:val="both"/>
        <w:rPr>
          <w:rFonts w:eastAsia="Times" w:cstheme="minorHAnsi"/>
          <w:sz w:val="28"/>
          <w:szCs w:val="28"/>
          <w:lang w:val="es-ES_tradnl"/>
        </w:rPr>
      </w:pPr>
      <w:r w:rsidRPr="005E1103">
        <w:rPr>
          <w:rFonts w:eastAsia="Times" w:cstheme="minorHAnsi"/>
          <w:sz w:val="28"/>
          <w:szCs w:val="28"/>
          <w:lang w:val="es-ES_tradnl"/>
        </w:rPr>
        <w:t xml:space="preserve">Por todo ello, quisimos con esta investigación aprovechar las ventajas del conocimiento informado socioculturalmente desde la </w:t>
      </w:r>
      <w:r w:rsidRPr="005E1103">
        <w:rPr>
          <w:rFonts w:eastAsia="Times" w:cstheme="minorHAnsi"/>
          <w:sz w:val="28"/>
          <w:szCs w:val="28"/>
          <w:lang w:val="es-ES_tradnl"/>
        </w:rPr>
        <w:lastRenderedPageBreak/>
        <w:t>experiencia subjetiva, singular, particular e idiosincrásica de las personas con diversidad, en relación con el uso y apropiaciones que han hecho de las tecnologías en su trayectoria vital. Apostamos por el reconocimiento de las posibilidades de cambio y transformación que nos permite situar a la diversidad funcional, al desarrollo tecnológico y sus apropiaciones en los contextos sociales como una realidad abierta y susceptible de una interpretación.</w:t>
      </w:r>
    </w:p>
    <w:p w:rsidR="00033066" w:rsidRPr="005E1103" w:rsidRDefault="00033066" w:rsidP="00033066">
      <w:pPr>
        <w:spacing w:line="360" w:lineRule="auto"/>
        <w:ind w:firstLine="709"/>
        <w:jc w:val="both"/>
        <w:rPr>
          <w:rFonts w:eastAsia="Times" w:cstheme="minorHAnsi"/>
          <w:sz w:val="28"/>
          <w:szCs w:val="28"/>
          <w:lang w:val="es-ES_tradnl"/>
        </w:rPr>
      </w:pPr>
    </w:p>
    <w:p w:rsidR="00033066" w:rsidRPr="005E1103" w:rsidRDefault="00033066" w:rsidP="00033066">
      <w:pPr>
        <w:spacing w:line="360" w:lineRule="auto"/>
        <w:ind w:firstLine="709"/>
        <w:jc w:val="both"/>
        <w:rPr>
          <w:rFonts w:eastAsia="Times" w:cstheme="minorHAnsi"/>
          <w:sz w:val="28"/>
          <w:szCs w:val="28"/>
          <w:lang w:val="es-ES_tradnl"/>
        </w:rPr>
      </w:pPr>
    </w:p>
    <w:p w:rsidR="00033066" w:rsidRPr="005E1103" w:rsidRDefault="00033066" w:rsidP="00033066">
      <w:pPr>
        <w:jc w:val="both"/>
        <w:rPr>
          <w:rFonts w:cstheme="minorHAnsi"/>
          <w:sz w:val="28"/>
          <w:szCs w:val="28"/>
        </w:rPr>
      </w:pPr>
    </w:p>
    <w:p w:rsidR="00033066" w:rsidRPr="005E1103" w:rsidRDefault="00033066" w:rsidP="00033066">
      <w:pPr>
        <w:pStyle w:val="Ttulo1"/>
        <w:rPr>
          <w:rFonts w:asciiTheme="minorHAnsi" w:hAnsiTheme="minorHAnsi" w:cstheme="minorHAnsi"/>
          <w:color w:val="auto"/>
        </w:rPr>
      </w:pPr>
      <w:r w:rsidRPr="005E1103">
        <w:rPr>
          <w:rFonts w:asciiTheme="minorHAnsi" w:hAnsiTheme="minorHAnsi" w:cstheme="minorHAnsi"/>
          <w:color w:val="auto"/>
        </w:rPr>
        <w:t>Objetivos</w:t>
      </w:r>
    </w:p>
    <w:p w:rsidR="00033066" w:rsidRPr="005E1103" w:rsidRDefault="00033066" w:rsidP="00033066">
      <w:pPr>
        <w:rPr>
          <w:rFonts w:cstheme="minorHAnsi"/>
          <w:sz w:val="28"/>
          <w:szCs w:val="28"/>
        </w:rPr>
      </w:pPr>
    </w:p>
    <w:p w:rsidR="00033066" w:rsidRPr="005E1103" w:rsidRDefault="00033066" w:rsidP="00033066">
      <w:pPr>
        <w:spacing w:line="360" w:lineRule="auto"/>
        <w:jc w:val="both"/>
        <w:rPr>
          <w:rFonts w:cstheme="minorHAnsi"/>
          <w:sz w:val="28"/>
          <w:szCs w:val="28"/>
        </w:rPr>
      </w:pPr>
      <w:r w:rsidRPr="005E1103">
        <w:rPr>
          <w:rFonts w:cstheme="minorHAnsi"/>
          <w:sz w:val="28"/>
          <w:szCs w:val="28"/>
        </w:rPr>
        <w:t xml:space="preserve">El propósito de esta investigación fue comprender el papel que desempeñan las TIC en la vida cotidiana de las personas con diversidad, debido a que estas son presentadas en contextos sociales diferentes como un proceso cultural que está en continua construcción y abierto, propiciando la apropiación de las tecnologías y provocando un despliegue de estrategias que son necesarias para poder utilizarlas. Dicha utilización de estrategia conlleva una serie de repercusiones en el día a día de las personas, y en especial en las relaciones con sus semejantes. Es por ello, que consideramos como cuestiones relevantes conocer qué les posibilita y en qué medida las tecnologías los conformaban y los constituía como sujetos sociales en la Sociedad de la Información y el Conocimiento. </w:t>
      </w:r>
    </w:p>
    <w:p w:rsidR="00033066" w:rsidRPr="005E1103" w:rsidRDefault="00033066" w:rsidP="00033066">
      <w:pPr>
        <w:spacing w:line="360" w:lineRule="auto"/>
        <w:jc w:val="both"/>
        <w:rPr>
          <w:rFonts w:cstheme="minorHAnsi"/>
          <w:sz w:val="28"/>
          <w:szCs w:val="28"/>
        </w:rPr>
      </w:pPr>
    </w:p>
    <w:p w:rsidR="00033066" w:rsidRPr="005E1103" w:rsidRDefault="00033066" w:rsidP="00033066">
      <w:pPr>
        <w:spacing w:line="360" w:lineRule="auto"/>
        <w:jc w:val="both"/>
        <w:rPr>
          <w:rFonts w:cstheme="minorHAnsi"/>
          <w:sz w:val="28"/>
          <w:szCs w:val="28"/>
        </w:rPr>
      </w:pPr>
      <w:r w:rsidRPr="005E1103">
        <w:rPr>
          <w:rFonts w:cstheme="minorHAnsi"/>
          <w:sz w:val="28"/>
          <w:szCs w:val="28"/>
        </w:rPr>
        <w:lastRenderedPageBreak/>
        <w:t xml:space="preserve">Partiendo de esta premisa, planteamos una serie de objetivos principales que fueron:  </w:t>
      </w:r>
    </w:p>
    <w:p w:rsidR="00033066" w:rsidRPr="005E1103" w:rsidRDefault="00033066" w:rsidP="00033066">
      <w:pPr>
        <w:spacing w:line="360" w:lineRule="auto"/>
        <w:jc w:val="both"/>
        <w:rPr>
          <w:rFonts w:cstheme="minorHAnsi"/>
          <w:sz w:val="28"/>
          <w:szCs w:val="28"/>
        </w:rPr>
      </w:pPr>
    </w:p>
    <w:p w:rsidR="00033066" w:rsidRPr="005E1103" w:rsidRDefault="00033066" w:rsidP="00033066">
      <w:pPr>
        <w:numPr>
          <w:ilvl w:val="0"/>
          <w:numId w:val="122"/>
        </w:numPr>
        <w:spacing w:after="0" w:line="360" w:lineRule="auto"/>
        <w:jc w:val="both"/>
        <w:rPr>
          <w:rFonts w:cstheme="minorHAnsi"/>
          <w:sz w:val="28"/>
          <w:szCs w:val="28"/>
        </w:rPr>
      </w:pPr>
      <w:r w:rsidRPr="005E1103">
        <w:rPr>
          <w:rFonts w:cstheme="minorHAnsi"/>
          <w:sz w:val="28"/>
          <w:szCs w:val="28"/>
        </w:rPr>
        <w:t>Descubrir cómo las personas con diversidad han transitado y tomado contacto con los diferentes dispositivos y herramientas tecnológicas.</w:t>
      </w:r>
    </w:p>
    <w:p w:rsidR="00033066" w:rsidRPr="005E1103" w:rsidRDefault="00033066" w:rsidP="00033066">
      <w:pPr>
        <w:spacing w:line="360" w:lineRule="auto"/>
        <w:ind w:left="705"/>
        <w:jc w:val="both"/>
        <w:rPr>
          <w:rFonts w:cstheme="minorHAnsi"/>
          <w:sz w:val="28"/>
          <w:szCs w:val="28"/>
        </w:rPr>
      </w:pPr>
    </w:p>
    <w:p w:rsidR="00033066" w:rsidRPr="005E1103" w:rsidRDefault="00033066" w:rsidP="00033066">
      <w:pPr>
        <w:numPr>
          <w:ilvl w:val="0"/>
          <w:numId w:val="122"/>
        </w:numPr>
        <w:spacing w:after="0" w:line="360" w:lineRule="auto"/>
        <w:jc w:val="both"/>
        <w:rPr>
          <w:rFonts w:cstheme="minorHAnsi"/>
          <w:sz w:val="28"/>
          <w:szCs w:val="28"/>
        </w:rPr>
      </w:pPr>
      <w:r w:rsidRPr="005E1103">
        <w:rPr>
          <w:rFonts w:cstheme="minorHAnsi"/>
          <w:sz w:val="28"/>
          <w:szCs w:val="28"/>
        </w:rPr>
        <w:t xml:space="preserve">Conocer en qué áreas las TIC se han presentado como herramientas facilitadoras de tareas y, por el contrario, en cuáles se han presentado como una barrera según los diferentes factores, entre ellos la inaccesibilidad. </w:t>
      </w:r>
    </w:p>
    <w:p w:rsidR="00033066" w:rsidRPr="005E1103" w:rsidRDefault="00033066" w:rsidP="00033066">
      <w:pPr>
        <w:spacing w:line="360" w:lineRule="auto"/>
        <w:ind w:left="705"/>
        <w:jc w:val="both"/>
        <w:rPr>
          <w:rFonts w:cstheme="minorHAnsi"/>
          <w:sz w:val="28"/>
          <w:szCs w:val="28"/>
        </w:rPr>
      </w:pPr>
    </w:p>
    <w:p w:rsidR="00033066" w:rsidRPr="005E1103" w:rsidRDefault="00033066" w:rsidP="00033066">
      <w:pPr>
        <w:numPr>
          <w:ilvl w:val="0"/>
          <w:numId w:val="122"/>
        </w:numPr>
        <w:spacing w:after="0" w:line="360" w:lineRule="auto"/>
        <w:jc w:val="both"/>
        <w:rPr>
          <w:rFonts w:cstheme="minorHAnsi"/>
          <w:sz w:val="28"/>
          <w:szCs w:val="28"/>
        </w:rPr>
      </w:pPr>
      <w:r w:rsidRPr="005E1103">
        <w:rPr>
          <w:rFonts w:cstheme="minorHAnsi"/>
          <w:sz w:val="28"/>
          <w:szCs w:val="28"/>
        </w:rPr>
        <w:t>Determinar diferentes conclusiones, entre ellas, cuál es el grado de importancia y la presencia de las TIC en la vida cotidiana de las personas con diversidad.</w:t>
      </w:r>
    </w:p>
    <w:p w:rsidR="00033066" w:rsidRPr="005E1103" w:rsidRDefault="00033066" w:rsidP="00033066">
      <w:pPr>
        <w:spacing w:line="360" w:lineRule="auto"/>
        <w:ind w:left="705"/>
        <w:jc w:val="both"/>
        <w:rPr>
          <w:rFonts w:cstheme="minorHAnsi"/>
          <w:sz w:val="28"/>
          <w:szCs w:val="28"/>
        </w:rPr>
      </w:pPr>
    </w:p>
    <w:p w:rsidR="00033066" w:rsidRPr="005E1103" w:rsidRDefault="00033066" w:rsidP="00033066">
      <w:pPr>
        <w:numPr>
          <w:ilvl w:val="0"/>
          <w:numId w:val="122"/>
        </w:numPr>
        <w:spacing w:after="0" w:line="360" w:lineRule="auto"/>
        <w:jc w:val="both"/>
        <w:rPr>
          <w:rFonts w:cstheme="minorHAnsi"/>
          <w:sz w:val="28"/>
          <w:szCs w:val="28"/>
        </w:rPr>
      </w:pPr>
      <w:r w:rsidRPr="005E1103">
        <w:rPr>
          <w:rFonts w:cstheme="minorHAnsi"/>
          <w:sz w:val="28"/>
          <w:szCs w:val="28"/>
        </w:rPr>
        <w:t xml:space="preserve">Conocer la importancia de la alfabetización para la apropiación y asimilación de los diferentes dispositivos y herramientas tecnológicas. </w:t>
      </w:r>
    </w:p>
    <w:p w:rsidR="00033066" w:rsidRPr="005E1103" w:rsidRDefault="00033066" w:rsidP="00033066">
      <w:pPr>
        <w:pStyle w:val="Ttulo1"/>
        <w:jc w:val="both"/>
        <w:rPr>
          <w:rFonts w:asciiTheme="minorHAnsi" w:hAnsiTheme="minorHAnsi" w:cstheme="minorHAnsi"/>
          <w:color w:val="auto"/>
        </w:rPr>
      </w:pPr>
      <w:r w:rsidRPr="005E1103">
        <w:rPr>
          <w:rFonts w:asciiTheme="minorHAnsi" w:hAnsiTheme="minorHAnsi" w:cstheme="minorHAnsi"/>
          <w:color w:val="auto"/>
        </w:rPr>
        <w:t xml:space="preserve">Metodología </w:t>
      </w:r>
    </w:p>
    <w:p w:rsidR="00033066" w:rsidRPr="005E1103" w:rsidRDefault="00033066" w:rsidP="00033066">
      <w:pPr>
        <w:rPr>
          <w:rFonts w:cstheme="minorHAnsi"/>
          <w:sz w:val="28"/>
          <w:szCs w:val="28"/>
          <w:u w:val="single"/>
        </w:rPr>
      </w:pPr>
    </w:p>
    <w:p w:rsidR="00033066" w:rsidRPr="005E1103" w:rsidRDefault="00033066" w:rsidP="00033066">
      <w:pPr>
        <w:spacing w:line="360" w:lineRule="auto"/>
        <w:ind w:firstLine="709"/>
        <w:jc w:val="both"/>
        <w:rPr>
          <w:rFonts w:cstheme="minorHAnsi"/>
          <w:sz w:val="28"/>
          <w:szCs w:val="28"/>
        </w:rPr>
      </w:pPr>
      <w:r w:rsidRPr="005E1103">
        <w:rPr>
          <w:rFonts w:cstheme="minorHAnsi"/>
          <w:sz w:val="28"/>
          <w:szCs w:val="28"/>
        </w:rPr>
        <w:t xml:space="preserve">La metodología que se empleó para este estudio fue la combinación de diferentes técnicas como la narrativa biográfica en educación- Historias de Vida-, la revisión de la literatura relacionada con los diferentes campos que comprenden la diversidad; tales como la educación, la tecnología, la </w:t>
      </w:r>
      <w:r w:rsidRPr="005E1103">
        <w:rPr>
          <w:rFonts w:cstheme="minorHAnsi"/>
          <w:sz w:val="28"/>
          <w:szCs w:val="28"/>
        </w:rPr>
        <w:lastRenderedPageBreak/>
        <w:t xml:space="preserve">legislación y la triangulación de la información proveniente de los diferentes canales mencionados. </w:t>
      </w:r>
    </w:p>
    <w:p w:rsidR="00033066" w:rsidRPr="005E1103" w:rsidRDefault="00033066" w:rsidP="00033066">
      <w:pPr>
        <w:spacing w:line="360" w:lineRule="auto"/>
        <w:ind w:firstLine="709"/>
        <w:jc w:val="both"/>
        <w:rPr>
          <w:rFonts w:cstheme="minorHAnsi"/>
          <w:sz w:val="28"/>
          <w:szCs w:val="28"/>
        </w:rPr>
      </w:pPr>
    </w:p>
    <w:p w:rsidR="00033066" w:rsidRPr="005E1103" w:rsidRDefault="00033066" w:rsidP="00033066">
      <w:pPr>
        <w:spacing w:line="360" w:lineRule="auto"/>
        <w:jc w:val="both"/>
        <w:rPr>
          <w:rFonts w:cstheme="minorHAnsi"/>
          <w:sz w:val="28"/>
          <w:szCs w:val="28"/>
        </w:rPr>
      </w:pPr>
      <w:r w:rsidRPr="005E1103">
        <w:rPr>
          <w:rFonts w:cstheme="minorHAnsi"/>
          <w:sz w:val="28"/>
          <w:szCs w:val="28"/>
        </w:rPr>
        <w:t>Bajo la influencia de autores como Tim Booth (1996) o Rivas Flores (2009) que reflejan con claridad qué son las Historias de Vida y cuál es el impacto que genera este tipo de metodología en los estudios y en la sociedad en términos generales, entendemos por estas que son relatos colaborativos de toda o una parte de la vida de una persona, contados oralmente y vinculados a la información obtenida mediante una variedad de recursos como documentos o exposiciones de personas de su entorno más cercano. Del mismo modo que entendemos que la Narrativa Biográfica permite construir relatos sobre las trayectorias biográficas de los sujetos, compaginando la perspectiva emic -del investigador- y la perspectiva etic -de los sujetos-. Además, para dichos autores, comprender lo social requiere primero, un análisis y una comprensión de lo personal y lo subjetivo, en la medida que las dinámicas sociales quedan instaladas en las personas como agentes activos de cultura. Es por esta razón que el acceder a los relatos personales proporciona la base para entender cómo las dinámicas sociales adquieren vida; y es así, cuando lo estructural adquiere conciencia y experiencia real, tal y como expone Ochoa (1997) en su artículo “Balcón para leer lo social”; donde realiza el símil de la historia de vida como un balcón.</w:t>
      </w:r>
    </w:p>
    <w:p w:rsidR="00033066" w:rsidRPr="005E1103" w:rsidRDefault="00033066" w:rsidP="00033066">
      <w:pPr>
        <w:spacing w:line="360" w:lineRule="auto"/>
        <w:jc w:val="both"/>
        <w:rPr>
          <w:rFonts w:cstheme="minorHAnsi"/>
          <w:sz w:val="28"/>
          <w:szCs w:val="28"/>
        </w:rPr>
      </w:pPr>
    </w:p>
    <w:p w:rsidR="00033066" w:rsidRPr="005E1103" w:rsidRDefault="00033066" w:rsidP="00033066">
      <w:pPr>
        <w:spacing w:line="360" w:lineRule="auto"/>
        <w:jc w:val="both"/>
        <w:rPr>
          <w:rFonts w:cstheme="minorHAnsi"/>
          <w:sz w:val="28"/>
          <w:szCs w:val="28"/>
        </w:rPr>
      </w:pPr>
      <w:r w:rsidRPr="005E1103">
        <w:rPr>
          <w:rFonts w:cstheme="minorHAnsi"/>
          <w:sz w:val="28"/>
          <w:szCs w:val="28"/>
        </w:rPr>
        <w:t xml:space="preserve">En esta investigación, las Historias de Vida fueron obtenidas mediante una serie de encuentros repetidos en el tiempo con tres personas que presentan una diversidad visual, física e intelectual respectivamente. Tras </w:t>
      </w:r>
      <w:r w:rsidRPr="005E1103">
        <w:rPr>
          <w:rFonts w:cstheme="minorHAnsi"/>
          <w:sz w:val="28"/>
          <w:szCs w:val="28"/>
        </w:rPr>
        <w:lastRenderedPageBreak/>
        <w:t>los encuentros con ellos, se realizó otra serie de encuentros repetidos con un familiar cercano a cada uno de ellos y con un profesional de diferentes instituciones del entorno de la persona con diversidad entrevistadas. Dichos encuentros, estuvieron caracterizados por ser entrevistas de carácter abierto, en las que se les realizó una serie de preguntas relacionadas con los diversos aspectos que giran en torno a la vida cotidiana, el aprendizaje para el uso de las TIC, las actividades que realizan con éstas, entre otras cuestiones. Al mismo tiempo, al ser de carácter abierto, dio la oportunidad a las propias personas de expresar aquello que era relevante para ellos y que querían que fuera reflejado.</w:t>
      </w:r>
    </w:p>
    <w:p w:rsidR="00033066" w:rsidRPr="005E1103" w:rsidRDefault="00033066" w:rsidP="00033066">
      <w:pPr>
        <w:spacing w:line="360" w:lineRule="auto"/>
        <w:jc w:val="both"/>
        <w:rPr>
          <w:rFonts w:cstheme="minorHAnsi"/>
          <w:sz w:val="28"/>
          <w:szCs w:val="28"/>
        </w:rPr>
      </w:pPr>
      <w:r w:rsidRPr="005E1103">
        <w:rPr>
          <w:rFonts w:cstheme="minorHAnsi"/>
          <w:sz w:val="28"/>
          <w:szCs w:val="28"/>
        </w:rPr>
        <w:t xml:space="preserve"> </w:t>
      </w:r>
    </w:p>
    <w:p w:rsidR="00033066" w:rsidRPr="005E1103" w:rsidRDefault="00033066" w:rsidP="00033066">
      <w:pPr>
        <w:spacing w:line="360" w:lineRule="auto"/>
        <w:ind w:firstLine="709"/>
        <w:jc w:val="both"/>
        <w:rPr>
          <w:rFonts w:cstheme="minorHAnsi"/>
          <w:sz w:val="28"/>
          <w:szCs w:val="28"/>
        </w:rPr>
      </w:pPr>
      <w:r w:rsidRPr="005E1103">
        <w:rPr>
          <w:rFonts w:cstheme="minorHAnsi"/>
          <w:sz w:val="28"/>
          <w:szCs w:val="28"/>
        </w:rPr>
        <w:t xml:space="preserve">El objetivo de dichas entrevistas fue el de obtener la información necesaria que nos permitió identificar, no sólo las inquietudes y visión de las personas con diversidad, sino también la identificación de patrones comunes y diferenciales de los procesos de apropiación y asimilación de las TIC en función del tipo de diversidad que presentaban, y aquellos factores que repercutían en dichos procesos como puede ser la importancia del nivel educativo, económico, familiar, entre otros. </w:t>
      </w:r>
    </w:p>
    <w:p w:rsidR="00033066" w:rsidRPr="005E1103" w:rsidRDefault="00033066" w:rsidP="00033066">
      <w:pPr>
        <w:spacing w:line="360" w:lineRule="auto"/>
        <w:jc w:val="both"/>
        <w:rPr>
          <w:rFonts w:cstheme="minorHAnsi"/>
          <w:sz w:val="28"/>
          <w:szCs w:val="28"/>
        </w:rPr>
      </w:pPr>
    </w:p>
    <w:p w:rsidR="00033066" w:rsidRPr="005E1103" w:rsidRDefault="00033066" w:rsidP="00033066">
      <w:pPr>
        <w:spacing w:line="360" w:lineRule="auto"/>
        <w:jc w:val="both"/>
        <w:rPr>
          <w:rFonts w:cstheme="minorHAnsi"/>
          <w:sz w:val="28"/>
          <w:szCs w:val="28"/>
        </w:rPr>
      </w:pPr>
      <w:r w:rsidRPr="005E1103">
        <w:rPr>
          <w:rFonts w:cstheme="minorHAnsi"/>
          <w:sz w:val="28"/>
          <w:szCs w:val="28"/>
        </w:rPr>
        <w:t>Como consecuencia de todo ello, realizamos una triangulación de los datos, con el fin de aportar una serie de resultados en el que el conocimiento científico va ligado a la parte emocional, personal y biográfica de las personas que nos permiten comprender el uso que dan a las TIC; además de, conocer de primera mano y con su propio testimonio qué sentimientos les genera,</w:t>
      </w:r>
      <w:r w:rsidRPr="005E1103">
        <w:rPr>
          <w:rFonts w:cstheme="minorHAnsi"/>
          <w:b/>
          <w:sz w:val="28"/>
          <w:szCs w:val="28"/>
        </w:rPr>
        <w:t xml:space="preserve"> </w:t>
      </w:r>
      <w:r w:rsidRPr="005E1103">
        <w:rPr>
          <w:rFonts w:cstheme="minorHAnsi"/>
          <w:sz w:val="28"/>
          <w:szCs w:val="28"/>
        </w:rPr>
        <w:t xml:space="preserve">cuáles son sus percepciones sobre las TIC, cómo han transitado y qué les ha supuesto a nivel tanto formativo como </w:t>
      </w:r>
      <w:r w:rsidRPr="005E1103">
        <w:rPr>
          <w:rFonts w:cstheme="minorHAnsi"/>
          <w:sz w:val="28"/>
          <w:szCs w:val="28"/>
        </w:rPr>
        <w:lastRenderedPageBreak/>
        <w:t xml:space="preserve">personal. Del mismo modo que dicha metodología, les otorga voz, ya que en muchas de las ocasiones las vías convencionales como por ejemplo los discursos académicos las silencian. Así pues, las personas con diversidad son las que transmiten tanto sus capacidades como sus necesidades para que sean escuchados y empoderados. Al mismo tiempo, éstos sirven como referente para alentar a otros grupos sociales que se encuentren en su misma situación. </w:t>
      </w:r>
    </w:p>
    <w:p w:rsidR="00033066" w:rsidRPr="005E1103" w:rsidRDefault="00033066" w:rsidP="00033066">
      <w:pPr>
        <w:spacing w:line="360" w:lineRule="auto"/>
        <w:jc w:val="both"/>
        <w:rPr>
          <w:rFonts w:cstheme="minorHAnsi"/>
          <w:sz w:val="28"/>
          <w:szCs w:val="28"/>
        </w:rPr>
      </w:pPr>
    </w:p>
    <w:p w:rsidR="00033066" w:rsidRPr="005E1103" w:rsidRDefault="00033066" w:rsidP="00033066">
      <w:pPr>
        <w:pStyle w:val="Ttulo1"/>
        <w:rPr>
          <w:rFonts w:asciiTheme="minorHAnsi" w:hAnsiTheme="minorHAnsi" w:cstheme="minorHAnsi"/>
          <w:color w:val="auto"/>
        </w:rPr>
      </w:pPr>
      <w:r w:rsidRPr="005E1103">
        <w:rPr>
          <w:rFonts w:asciiTheme="minorHAnsi" w:hAnsiTheme="minorHAnsi" w:cstheme="minorHAnsi"/>
          <w:color w:val="auto"/>
        </w:rPr>
        <w:t>Aportaciones</w:t>
      </w:r>
    </w:p>
    <w:p w:rsidR="00033066" w:rsidRPr="005E1103" w:rsidRDefault="00033066" w:rsidP="00033066">
      <w:pPr>
        <w:rPr>
          <w:rFonts w:cstheme="minorHAnsi"/>
          <w:sz w:val="28"/>
          <w:szCs w:val="28"/>
        </w:rPr>
      </w:pPr>
    </w:p>
    <w:p w:rsidR="00033066" w:rsidRPr="005E1103" w:rsidRDefault="00033066" w:rsidP="00033066">
      <w:pPr>
        <w:spacing w:line="360" w:lineRule="auto"/>
        <w:ind w:firstLine="709"/>
        <w:jc w:val="both"/>
        <w:rPr>
          <w:rFonts w:cstheme="minorHAnsi"/>
          <w:sz w:val="28"/>
          <w:szCs w:val="28"/>
        </w:rPr>
      </w:pPr>
      <w:r w:rsidRPr="005E1103">
        <w:rPr>
          <w:rFonts w:cstheme="minorHAnsi"/>
          <w:sz w:val="28"/>
          <w:szCs w:val="28"/>
        </w:rPr>
        <w:t xml:space="preserve">Las aportaciones de este estudio, contribuyen al debate sobre el papel de las tecnologías en la investigación educativa. Del mismo modo, contribuyen a aquellas investigaciones que se están desarrollando, cuyo tema central es cómo favorecer y mejorar la inclusión de las personas con diversidad en la Sociedad de la Información y el Conocimiento. </w:t>
      </w:r>
    </w:p>
    <w:p w:rsidR="00033066" w:rsidRPr="005E1103" w:rsidRDefault="00033066" w:rsidP="00033066">
      <w:pPr>
        <w:spacing w:line="360" w:lineRule="auto"/>
        <w:jc w:val="both"/>
        <w:rPr>
          <w:rFonts w:cstheme="minorHAnsi"/>
          <w:sz w:val="28"/>
          <w:szCs w:val="28"/>
        </w:rPr>
      </w:pPr>
    </w:p>
    <w:p w:rsidR="00033066" w:rsidRPr="005E1103" w:rsidRDefault="00033066" w:rsidP="00033066">
      <w:pPr>
        <w:spacing w:line="360" w:lineRule="auto"/>
        <w:jc w:val="both"/>
        <w:rPr>
          <w:rFonts w:eastAsia="Times" w:cstheme="minorHAnsi"/>
          <w:sz w:val="28"/>
          <w:szCs w:val="28"/>
          <w:lang w:val="es-ES_tradnl"/>
        </w:rPr>
      </w:pPr>
      <w:r w:rsidRPr="005E1103">
        <w:rPr>
          <w:rFonts w:cstheme="minorHAnsi"/>
          <w:sz w:val="28"/>
          <w:szCs w:val="28"/>
        </w:rPr>
        <w:t xml:space="preserve">Cabe destacar que </w:t>
      </w:r>
      <w:r w:rsidRPr="005E1103">
        <w:rPr>
          <w:rFonts w:eastAsia="Times" w:cstheme="minorHAnsi"/>
          <w:sz w:val="28"/>
          <w:szCs w:val="28"/>
          <w:lang w:val="es-ES_tradnl"/>
        </w:rPr>
        <w:t xml:space="preserve">dar respuesta a los objetivos señalados, nos permite generar un conocimiento cuyo valor reside en permitir el reconocimiento del poder de los sujetos para definir la dirección que el desarrollo tecnológico adoptará en los contextos sociales. También implica prestar atención a su capacidad para “re-crear” y dotar de nuevos significados y usos a una tecnología que, pensada de antemano para una función determinada, puede ser transformada para cumplir y satisfacer otras necesidades e intereses. Desde los interrogantes y objetivos que conforman esta investigación, generamos un conocimiento que atiende a </w:t>
      </w:r>
      <w:r w:rsidRPr="005E1103">
        <w:rPr>
          <w:rFonts w:eastAsia="Times" w:cstheme="minorHAnsi"/>
          <w:sz w:val="28"/>
          <w:szCs w:val="28"/>
          <w:lang w:val="es-ES_tradnl"/>
        </w:rPr>
        <w:lastRenderedPageBreak/>
        <w:t>cómo la diversidad -concebida no sólo como condición de exclusión, sino también de posibilidad y acción social proactiva- hace uso de estos artefactos y se apropia del desarrollo tecnológico.</w:t>
      </w:r>
    </w:p>
    <w:p w:rsidR="00033066" w:rsidRPr="005E1103" w:rsidRDefault="00033066" w:rsidP="00033066">
      <w:pPr>
        <w:spacing w:line="360" w:lineRule="auto"/>
        <w:rPr>
          <w:rFonts w:cstheme="minorHAnsi"/>
          <w:sz w:val="28"/>
          <w:szCs w:val="28"/>
        </w:rPr>
      </w:pPr>
    </w:p>
    <w:p w:rsidR="00033066" w:rsidRPr="005E1103" w:rsidRDefault="00033066" w:rsidP="00033066">
      <w:pPr>
        <w:pStyle w:val="Ttulo1"/>
        <w:rPr>
          <w:rFonts w:asciiTheme="minorHAnsi" w:hAnsiTheme="minorHAnsi" w:cstheme="minorHAnsi"/>
          <w:color w:val="auto"/>
        </w:rPr>
      </w:pPr>
      <w:r w:rsidRPr="005E1103">
        <w:rPr>
          <w:rFonts w:asciiTheme="minorHAnsi" w:hAnsiTheme="minorHAnsi" w:cstheme="minorHAnsi"/>
          <w:color w:val="auto"/>
        </w:rPr>
        <w:t>Conclusiones</w:t>
      </w:r>
    </w:p>
    <w:p w:rsidR="00033066" w:rsidRPr="005E1103" w:rsidRDefault="00033066" w:rsidP="00033066">
      <w:pPr>
        <w:rPr>
          <w:rFonts w:cstheme="minorHAnsi"/>
          <w:sz w:val="28"/>
          <w:szCs w:val="28"/>
        </w:rPr>
      </w:pPr>
    </w:p>
    <w:p w:rsidR="00033066" w:rsidRPr="005E1103" w:rsidRDefault="00033066" w:rsidP="00033066">
      <w:pPr>
        <w:spacing w:line="360" w:lineRule="auto"/>
        <w:ind w:firstLine="709"/>
        <w:jc w:val="both"/>
        <w:rPr>
          <w:rFonts w:cstheme="minorHAnsi"/>
          <w:sz w:val="28"/>
          <w:szCs w:val="28"/>
        </w:rPr>
      </w:pPr>
      <w:r w:rsidRPr="005E1103">
        <w:rPr>
          <w:rFonts w:cstheme="minorHAnsi"/>
          <w:sz w:val="28"/>
          <w:szCs w:val="28"/>
        </w:rPr>
        <w:t>En conclusión, la información obtenida ha partido de los testimonios analizados lo que nos permite arrojar datos acerca de las personas con diversidad y de las TIC. Por un lado, arrojamos datos sobre el nivel de inclusión, las estrategias que utilizan las personas con diversidad para asimilar y apropiarse de las TIC de una manera exitosa, el tipo de alfabetización y las reglas de uso y valores que generan dificultades de acceso. Y por otro, nos permite conocer el valor de estas en la vida cotidiana de las personas con diversidad. En definitiva, los datos nos revelan la importancia de la formación en la trayectoria de las personas con diversidad, las reglas y valores que la sociedad les impone para el uso de los distintos dispositivos y la falta de concienciación por parte de población para fomentar tecnología accesible.</w:t>
      </w:r>
    </w:p>
    <w:p w:rsidR="00033066" w:rsidRPr="005E1103" w:rsidRDefault="00033066" w:rsidP="00033066">
      <w:pPr>
        <w:spacing w:line="360" w:lineRule="auto"/>
        <w:ind w:firstLine="709"/>
        <w:jc w:val="both"/>
        <w:rPr>
          <w:rFonts w:cstheme="minorHAnsi"/>
          <w:sz w:val="28"/>
          <w:szCs w:val="28"/>
        </w:rPr>
      </w:pPr>
    </w:p>
    <w:p w:rsidR="00033066" w:rsidRPr="005E1103" w:rsidRDefault="00033066" w:rsidP="00033066">
      <w:pPr>
        <w:spacing w:line="360" w:lineRule="auto"/>
        <w:ind w:firstLine="709"/>
        <w:jc w:val="both"/>
        <w:rPr>
          <w:rFonts w:cstheme="minorHAnsi"/>
          <w:sz w:val="28"/>
          <w:szCs w:val="28"/>
        </w:rPr>
      </w:pPr>
    </w:p>
    <w:p w:rsidR="00033066" w:rsidRPr="005E1103" w:rsidRDefault="00033066" w:rsidP="00033066">
      <w:pPr>
        <w:pStyle w:val="Ttulo1"/>
        <w:rPr>
          <w:rFonts w:asciiTheme="minorHAnsi" w:eastAsia="Times" w:hAnsiTheme="minorHAnsi" w:cstheme="minorHAnsi"/>
          <w:color w:val="auto"/>
          <w:lang w:val="en-GB"/>
        </w:rPr>
      </w:pPr>
      <w:r w:rsidRPr="005E1103">
        <w:rPr>
          <w:rFonts w:asciiTheme="minorHAnsi" w:eastAsia="Times" w:hAnsiTheme="minorHAnsi" w:cstheme="minorHAnsi"/>
          <w:color w:val="auto"/>
          <w:lang w:val="en-GB"/>
        </w:rPr>
        <w:t>Bibliografía</w:t>
      </w:r>
    </w:p>
    <w:p w:rsidR="00033066" w:rsidRPr="005E1103" w:rsidRDefault="00033066" w:rsidP="00033066">
      <w:pPr>
        <w:spacing w:line="360" w:lineRule="auto"/>
        <w:jc w:val="both"/>
        <w:rPr>
          <w:rFonts w:eastAsia="Times" w:cstheme="minorHAnsi"/>
          <w:sz w:val="28"/>
          <w:szCs w:val="28"/>
          <w:u w:val="single"/>
          <w:lang w:val="en-GB"/>
        </w:rPr>
      </w:pPr>
    </w:p>
    <w:p w:rsidR="00033066" w:rsidRPr="005E1103" w:rsidRDefault="00033066" w:rsidP="00033066">
      <w:pPr>
        <w:spacing w:line="360" w:lineRule="auto"/>
        <w:jc w:val="both"/>
        <w:rPr>
          <w:rStyle w:val="Textoennegrita"/>
          <w:rFonts w:eastAsia="Times" w:cstheme="minorHAnsi"/>
          <w:sz w:val="28"/>
          <w:szCs w:val="28"/>
          <w:lang w:val="en-GB"/>
        </w:rPr>
      </w:pPr>
      <w:r w:rsidRPr="005E1103">
        <w:rPr>
          <w:rStyle w:val="Textoennegrita"/>
          <w:rFonts w:eastAsia="Times" w:cstheme="minorHAnsi"/>
          <w:sz w:val="28"/>
          <w:szCs w:val="28"/>
          <w:lang w:val="en-GB"/>
        </w:rPr>
        <w:t>Libros</w:t>
      </w:r>
    </w:p>
    <w:p w:rsidR="00033066" w:rsidRPr="005E1103" w:rsidRDefault="00033066" w:rsidP="00033066">
      <w:pPr>
        <w:spacing w:line="360" w:lineRule="auto"/>
        <w:jc w:val="both"/>
        <w:rPr>
          <w:rFonts w:eastAsia="Times" w:cstheme="minorHAnsi"/>
          <w:sz w:val="28"/>
          <w:szCs w:val="28"/>
          <w:lang w:val="en-US"/>
        </w:rPr>
      </w:pPr>
      <w:r w:rsidRPr="005E1103">
        <w:rPr>
          <w:rFonts w:eastAsia="Times" w:cstheme="minorHAnsi"/>
          <w:sz w:val="28"/>
          <w:szCs w:val="28"/>
          <w:lang w:val="en-GB"/>
        </w:rPr>
        <w:lastRenderedPageBreak/>
        <w:t xml:space="preserve">Atkinson, Paul (1998), </w:t>
      </w:r>
      <w:r w:rsidRPr="005E1103">
        <w:rPr>
          <w:rFonts w:eastAsia="Times" w:cstheme="minorHAnsi"/>
          <w:i/>
          <w:sz w:val="28"/>
          <w:szCs w:val="28"/>
          <w:lang w:val="en-US"/>
        </w:rPr>
        <w:t>The life story interview</w:t>
      </w:r>
      <w:r w:rsidRPr="005E1103">
        <w:rPr>
          <w:rFonts w:eastAsia="Times" w:cstheme="minorHAnsi"/>
          <w:sz w:val="28"/>
          <w:szCs w:val="28"/>
          <w:lang w:val="en-US"/>
        </w:rPr>
        <w:t xml:space="preserve">. London, Sage. </w:t>
      </w:r>
      <w:r w:rsidRPr="005E1103">
        <w:rPr>
          <w:rFonts w:eastAsia="Times" w:cstheme="minorHAnsi"/>
          <w:sz w:val="28"/>
          <w:szCs w:val="28"/>
          <w:lang w:val="en-US"/>
        </w:rPr>
        <w:cr/>
      </w:r>
    </w:p>
    <w:p w:rsidR="00033066" w:rsidRPr="005E1103" w:rsidRDefault="00033066" w:rsidP="00033066">
      <w:pPr>
        <w:spacing w:line="360" w:lineRule="auto"/>
        <w:jc w:val="both"/>
        <w:rPr>
          <w:rFonts w:eastAsia="Times" w:cstheme="minorHAnsi"/>
          <w:sz w:val="28"/>
          <w:szCs w:val="28"/>
          <w:lang w:val="en-US"/>
        </w:rPr>
      </w:pPr>
      <w:r w:rsidRPr="005E1103">
        <w:rPr>
          <w:rFonts w:eastAsia="Times" w:cstheme="minorHAnsi"/>
          <w:sz w:val="28"/>
          <w:szCs w:val="28"/>
          <w:lang w:val="en-US"/>
        </w:rPr>
        <w:t>Barnes, Colin (1996), “Theories of disability and the origins of the oppression of disabled people in western society”</w:t>
      </w:r>
      <w:r w:rsidRPr="005E1103">
        <w:rPr>
          <w:rFonts w:eastAsia="Times" w:cstheme="minorHAnsi"/>
          <w:i/>
          <w:sz w:val="28"/>
          <w:szCs w:val="28"/>
          <w:lang w:val="en-US"/>
        </w:rPr>
        <w:t xml:space="preserve">. </w:t>
      </w:r>
      <w:r w:rsidRPr="005E1103">
        <w:rPr>
          <w:rFonts w:eastAsia="Times" w:cstheme="minorHAnsi"/>
          <w:sz w:val="28"/>
          <w:szCs w:val="28"/>
          <w:lang w:val="en-US"/>
        </w:rPr>
        <w:t xml:space="preserve">En Len Barton (ed.) </w:t>
      </w:r>
      <w:r w:rsidRPr="005E1103">
        <w:rPr>
          <w:rFonts w:eastAsia="Times" w:cstheme="minorHAnsi"/>
          <w:i/>
          <w:sz w:val="28"/>
          <w:szCs w:val="28"/>
          <w:lang w:val="en-US"/>
        </w:rPr>
        <w:t>Disability and Society: Emerging issues and insights</w:t>
      </w:r>
      <w:r w:rsidRPr="005E1103">
        <w:rPr>
          <w:rFonts w:eastAsia="Times" w:cstheme="minorHAnsi"/>
          <w:sz w:val="28"/>
          <w:szCs w:val="28"/>
          <w:lang w:val="en-US"/>
        </w:rPr>
        <w:t>. London, Logman (p.43-60).</w:t>
      </w:r>
    </w:p>
    <w:p w:rsidR="00033066" w:rsidRPr="005E1103" w:rsidRDefault="00033066" w:rsidP="00033066">
      <w:pPr>
        <w:spacing w:line="360" w:lineRule="auto"/>
        <w:jc w:val="both"/>
        <w:rPr>
          <w:rFonts w:eastAsia="Times" w:cstheme="minorHAnsi"/>
          <w:sz w:val="28"/>
          <w:szCs w:val="28"/>
          <w:lang w:val="en-US"/>
        </w:rPr>
      </w:pPr>
    </w:p>
    <w:p w:rsidR="00033066" w:rsidRPr="005E1103" w:rsidRDefault="00033066" w:rsidP="00033066">
      <w:pPr>
        <w:spacing w:line="360" w:lineRule="auto"/>
        <w:jc w:val="both"/>
        <w:rPr>
          <w:rFonts w:eastAsia="Times" w:cstheme="minorHAnsi"/>
          <w:sz w:val="28"/>
          <w:szCs w:val="28"/>
        </w:rPr>
      </w:pPr>
      <w:r w:rsidRPr="005E1103">
        <w:rPr>
          <w:rFonts w:eastAsia="Times" w:cstheme="minorHAnsi"/>
          <w:sz w:val="28"/>
          <w:szCs w:val="28"/>
          <w:lang w:val="en-US"/>
        </w:rPr>
        <w:t xml:space="preserve">Barton, Len (1996), </w:t>
      </w:r>
      <w:r w:rsidRPr="005E1103">
        <w:rPr>
          <w:rFonts w:eastAsia="Times" w:cstheme="minorHAnsi"/>
          <w:i/>
          <w:sz w:val="28"/>
          <w:szCs w:val="28"/>
          <w:lang w:val="en-US"/>
        </w:rPr>
        <w:t>Disabil</w:t>
      </w:r>
      <w:r w:rsidRPr="005E1103">
        <w:rPr>
          <w:rFonts w:eastAsia="Times" w:cstheme="minorHAnsi"/>
          <w:i/>
          <w:sz w:val="28"/>
          <w:szCs w:val="28"/>
          <w:lang w:val="en-GB"/>
        </w:rPr>
        <w:t>ity and Society: Emerging issues and insights.</w:t>
      </w:r>
      <w:r w:rsidRPr="005E1103">
        <w:rPr>
          <w:rFonts w:eastAsia="Times" w:cstheme="minorHAnsi"/>
          <w:sz w:val="28"/>
          <w:szCs w:val="28"/>
          <w:lang w:val="en-GB"/>
        </w:rPr>
        <w:t xml:space="preserve"> </w:t>
      </w:r>
      <w:r w:rsidRPr="005E1103">
        <w:rPr>
          <w:rFonts w:eastAsia="Times" w:cstheme="minorHAnsi"/>
          <w:sz w:val="28"/>
          <w:szCs w:val="28"/>
        </w:rPr>
        <w:t>London, Longman.</w:t>
      </w:r>
    </w:p>
    <w:p w:rsidR="00033066" w:rsidRPr="005E1103" w:rsidRDefault="00033066" w:rsidP="00033066">
      <w:pPr>
        <w:spacing w:line="360" w:lineRule="auto"/>
        <w:jc w:val="both"/>
        <w:rPr>
          <w:rFonts w:eastAsia="Times" w:cstheme="minorHAnsi"/>
          <w:sz w:val="28"/>
          <w:szCs w:val="28"/>
          <w:lang w:val="es-ES_tradnl"/>
        </w:rPr>
      </w:pPr>
    </w:p>
    <w:p w:rsidR="00033066" w:rsidRPr="005E1103" w:rsidRDefault="00033066" w:rsidP="00033066">
      <w:pPr>
        <w:spacing w:line="360" w:lineRule="auto"/>
        <w:jc w:val="both"/>
        <w:rPr>
          <w:rFonts w:eastAsia="Times" w:cstheme="minorHAnsi"/>
          <w:sz w:val="28"/>
          <w:szCs w:val="28"/>
          <w:lang w:val="en-GB"/>
        </w:rPr>
      </w:pPr>
      <w:r w:rsidRPr="005E1103">
        <w:rPr>
          <w:rFonts w:eastAsia="Times" w:cstheme="minorHAnsi"/>
          <w:sz w:val="28"/>
          <w:szCs w:val="28"/>
          <w:lang w:val="es-ES_tradnl"/>
        </w:rPr>
        <w:t>Bautista García-Vera, Antonio (2010),</w:t>
      </w:r>
      <w:r w:rsidRPr="005E1103">
        <w:rPr>
          <w:rFonts w:eastAsia="Times" w:cstheme="minorHAnsi"/>
          <w:i/>
          <w:sz w:val="28"/>
          <w:szCs w:val="28"/>
          <w:lang w:val="es-ES_tradnl"/>
        </w:rPr>
        <w:t xml:space="preserve"> Desarrollo Tecnológico y Educación</w:t>
      </w:r>
      <w:r w:rsidRPr="005E1103">
        <w:rPr>
          <w:rFonts w:eastAsia="Times" w:cstheme="minorHAnsi"/>
          <w:sz w:val="28"/>
          <w:szCs w:val="28"/>
          <w:lang w:val="es-ES_tradnl"/>
        </w:rPr>
        <w:t xml:space="preserve">. </w:t>
      </w:r>
      <w:r w:rsidRPr="005E1103">
        <w:rPr>
          <w:rFonts w:eastAsia="Times" w:cstheme="minorHAnsi"/>
          <w:sz w:val="28"/>
          <w:szCs w:val="28"/>
          <w:lang w:val="en-GB"/>
        </w:rPr>
        <w:t>Madrid, Fundamentos.</w:t>
      </w:r>
    </w:p>
    <w:p w:rsidR="00033066" w:rsidRPr="005E1103" w:rsidRDefault="00033066" w:rsidP="00033066">
      <w:pPr>
        <w:spacing w:line="360" w:lineRule="auto"/>
        <w:jc w:val="both"/>
        <w:rPr>
          <w:rFonts w:eastAsia="Times" w:cstheme="minorHAnsi"/>
          <w:sz w:val="28"/>
          <w:szCs w:val="28"/>
          <w:lang w:val="en-GB"/>
        </w:rPr>
      </w:pPr>
    </w:p>
    <w:p w:rsidR="00033066" w:rsidRPr="005E1103" w:rsidRDefault="00033066" w:rsidP="00033066">
      <w:pPr>
        <w:spacing w:line="360" w:lineRule="auto"/>
        <w:jc w:val="both"/>
        <w:rPr>
          <w:rFonts w:eastAsia="Times" w:cstheme="minorHAnsi"/>
          <w:sz w:val="28"/>
          <w:szCs w:val="28"/>
          <w:lang w:val="en-US"/>
        </w:rPr>
      </w:pPr>
      <w:r w:rsidRPr="005E1103">
        <w:rPr>
          <w:rFonts w:eastAsia="Times" w:cstheme="minorHAnsi"/>
          <w:sz w:val="28"/>
          <w:szCs w:val="28"/>
          <w:lang w:val="en-GB"/>
        </w:rPr>
        <w:t xml:space="preserve">Bertaux, Daniel (1981), </w:t>
      </w:r>
      <w:r w:rsidRPr="005E1103">
        <w:rPr>
          <w:rFonts w:eastAsia="Times" w:cstheme="minorHAnsi"/>
          <w:i/>
          <w:sz w:val="28"/>
          <w:szCs w:val="28"/>
          <w:lang w:val="en-US"/>
        </w:rPr>
        <w:t>Biography and society. The life-history approach.</w:t>
      </w:r>
      <w:r w:rsidRPr="005E1103">
        <w:rPr>
          <w:rFonts w:eastAsia="Times" w:cstheme="minorHAnsi"/>
          <w:sz w:val="28"/>
          <w:szCs w:val="28"/>
          <w:lang w:val="en-US"/>
        </w:rPr>
        <w:t xml:space="preserve"> London, Sage. </w:t>
      </w:r>
      <w:r w:rsidRPr="005E1103">
        <w:rPr>
          <w:rFonts w:eastAsia="Times" w:cstheme="minorHAnsi"/>
          <w:sz w:val="28"/>
          <w:szCs w:val="28"/>
          <w:lang w:val="en-US"/>
        </w:rPr>
        <w:cr/>
      </w:r>
    </w:p>
    <w:p w:rsidR="00033066" w:rsidRPr="005E1103" w:rsidRDefault="00033066" w:rsidP="00033066">
      <w:pPr>
        <w:spacing w:line="360" w:lineRule="auto"/>
        <w:jc w:val="both"/>
        <w:rPr>
          <w:rFonts w:eastAsia="Times" w:cstheme="minorHAnsi"/>
          <w:sz w:val="28"/>
          <w:szCs w:val="28"/>
        </w:rPr>
      </w:pPr>
      <w:r w:rsidRPr="005E1103">
        <w:rPr>
          <w:rFonts w:eastAsia="Times" w:cstheme="minorHAnsi"/>
          <w:sz w:val="28"/>
          <w:szCs w:val="28"/>
          <w:lang w:val="en-GB"/>
        </w:rPr>
        <w:t xml:space="preserve">Booth, </w:t>
      </w:r>
      <w:r w:rsidRPr="005E1103">
        <w:rPr>
          <w:rFonts w:eastAsia="Times" w:cstheme="minorHAnsi"/>
          <w:sz w:val="28"/>
          <w:szCs w:val="28"/>
          <w:lang w:val="en-US"/>
        </w:rPr>
        <w:t xml:space="preserve">Tim (1996), “Sound of still voices: issues in the use of narratives methods with people who have learning difficulties”. </w:t>
      </w:r>
      <w:r w:rsidRPr="005E1103">
        <w:rPr>
          <w:rFonts w:eastAsia="Times" w:cstheme="minorHAnsi"/>
          <w:sz w:val="28"/>
          <w:szCs w:val="28"/>
          <w:lang w:val="en-GB"/>
        </w:rPr>
        <w:t xml:space="preserve">En Len Barton (ed.) </w:t>
      </w:r>
      <w:r w:rsidRPr="005E1103">
        <w:rPr>
          <w:rFonts w:eastAsia="Times" w:cstheme="minorHAnsi"/>
          <w:i/>
          <w:sz w:val="28"/>
          <w:szCs w:val="28"/>
          <w:lang w:val="en-GB"/>
        </w:rPr>
        <w:t>Disability and Society: Emerging issues and insights</w:t>
      </w:r>
      <w:r w:rsidRPr="005E1103">
        <w:rPr>
          <w:rFonts w:eastAsia="Times" w:cstheme="minorHAnsi"/>
          <w:sz w:val="28"/>
          <w:szCs w:val="28"/>
          <w:lang w:val="en-GB"/>
        </w:rPr>
        <w:t xml:space="preserve">. </w:t>
      </w:r>
      <w:r w:rsidRPr="005E1103">
        <w:rPr>
          <w:rFonts w:eastAsia="Times" w:cstheme="minorHAnsi"/>
          <w:sz w:val="28"/>
          <w:szCs w:val="28"/>
        </w:rPr>
        <w:t>London, Logman (p.237-55).</w:t>
      </w:r>
    </w:p>
    <w:p w:rsidR="00033066" w:rsidRPr="005E1103" w:rsidRDefault="00033066" w:rsidP="00033066">
      <w:pPr>
        <w:spacing w:line="360" w:lineRule="auto"/>
        <w:jc w:val="both"/>
        <w:rPr>
          <w:rFonts w:eastAsia="Times" w:cstheme="minorHAnsi"/>
          <w:sz w:val="28"/>
          <w:szCs w:val="28"/>
        </w:rPr>
      </w:pPr>
    </w:p>
    <w:p w:rsidR="00033066" w:rsidRPr="005E1103" w:rsidRDefault="00033066" w:rsidP="00033066">
      <w:pPr>
        <w:spacing w:line="360" w:lineRule="auto"/>
        <w:jc w:val="both"/>
        <w:rPr>
          <w:rFonts w:eastAsia="Times" w:cstheme="minorHAnsi"/>
          <w:sz w:val="28"/>
          <w:szCs w:val="28"/>
          <w:lang w:val="es-ES_tradnl"/>
        </w:rPr>
      </w:pPr>
      <w:r w:rsidRPr="005E1103">
        <w:rPr>
          <w:rFonts w:eastAsia="Times" w:cstheme="minorHAnsi"/>
          <w:sz w:val="28"/>
          <w:szCs w:val="28"/>
        </w:rPr>
        <w:t xml:space="preserve">Castells, Manuel (2005), </w:t>
      </w:r>
      <w:r w:rsidRPr="005E1103">
        <w:rPr>
          <w:rFonts w:eastAsia="Times" w:cstheme="minorHAnsi"/>
          <w:i/>
          <w:sz w:val="28"/>
          <w:szCs w:val="28"/>
        </w:rPr>
        <w:t>La era de la información. Economía, sociedad y cultura</w:t>
      </w:r>
      <w:r w:rsidRPr="005E1103">
        <w:rPr>
          <w:rFonts w:eastAsia="Times" w:cstheme="minorHAnsi"/>
          <w:sz w:val="28"/>
          <w:szCs w:val="28"/>
        </w:rPr>
        <w:t xml:space="preserve">. La sociedad en red, vol. I. Buenos Aires, Siglo veintiuno </w:t>
      </w:r>
      <w:r w:rsidRPr="005E1103">
        <w:rPr>
          <w:rFonts w:eastAsia="Times" w:cstheme="minorHAnsi"/>
          <w:sz w:val="28"/>
          <w:szCs w:val="28"/>
          <w:lang w:val="es-ES_tradnl"/>
        </w:rPr>
        <w:t>editores.</w:t>
      </w:r>
    </w:p>
    <w:p w:rsidR="00033066" w:rsidRPr="005E1103" w:rsidRDefault="00033066" w:rsidP="00033066">
      <w:pPr>
        <w:spacing w:line="360" w:lineRule="auto"/>
        <w:jc w:val="both"/>
        <w:rPr>
          <w:rFonts w:eastAsia="Times" w:cstheme="minorHAnsi"/>
          <w:sz w:val="28"/>
          <w:szCs w:val="28"/>
          <w:lang w:val="es-ES_tradnl"/>
        </w:rPr>
      </w:pPr>
    </w:p>
    <w:p w:rsidR="00033066" w:rsidRPr="005E1103" w:rsidRDefault="00033066" w:rsidP="00033066">
      <w:pPr>
        <w:spacing w:line="360" w:lineRule="auto"/>
        <w:jc w:val="both"/>
        <w:rPr>
          <w:rFonts w:eastAsia="Times" w:cstheme="minorHAnsi"/>
          <w:sz w:val="28"/>
          <w:szCs w:val="28"/>
          <w:lang w:val="es-ES_tradnl"/>
        </w:rPr>
      </w:pPr>
      <w:r w:rsidRPr="005E1103">
        <w:rPr>
          <w:rFonts w:eastAsia="Times" w:cstheme="minorHAnsi"/>
          <w:sz w:val="28"/>
          <w:szCs w:val="28"/>
          <w:lang w:val="es-ES_tradnl"/>
        </w:rPr>
        <w:lastRenderedPageBreak/>
        <w:t xml:space="preserve">Rivas Flores, José Ignacio; Herrera Pastor, David (2009), </w:t>
      </w:r>
      <w:r w:rsidRPr="005E1103">
        <w:rPr>
          <w:rFonts w:eastAsia="Times" w:cstheme="minorHAnsi"/>
          <w:i/>
          <w:sz w:val="28"/>
          <w:szCs w:val="28"/>
          <w:lang w:val="es-ES_tradnl"/>
        </w:rPr>
        <w:t xml:space="preserve">Voz y educación. La narrativa como enfoque de la interpretación de la realidad. </w:t>
      </w:r>
      <w:r w:rsidRPr="005E1103">
        <w:rPr>
          <w:rFonts w:eastAsia="Times" w:cstheme="minorHAnsi"/>
          <w:sz w:val="28"/>
          <w:szCs w:val="28"/>
          <w:lang w:val="es-ES_tradnl"/>
        </w:rPr>
        <w:t xml:space="preserve">Barcelona, Octaedro. </w:t>
      </w:r>
    </w:p>
    <w:p w:rsidR="00033066" w:rsidRPr="005E1103" w:rsidRDefault="00033066" w:rsidP="00033066">
      <w:pPr>
        <w:autoSpaceDE w:val="0"/>
        <w:autoSpaceDN w:val="0"/>
        <w:adjustRightInd w:val="0"/>
        <w:spacing w:line="360" w:lineRule="auto"/>
        <w:jc w:val="both"/>
        <w:rPr>
          <w:rFonts w:eastAsia="Times" w:cstheme="minorHAnsi"/>
          <w:sz w:val="28"/>
          <w:szCs w:val="28"/>
          <w:lang w:val="es-ES_tradnl"/>
        </w:rPr>
      </w:pPr>
    </w:p>
    <w:p w:rsidR="00033066" w:rsidRPr="005E1103" w:rsidRDefault="00033066" w:rsidP="00033066">
      <w:pPr>
        <w:spacing w:line="360" w:lineRule="auto"/>
        <w:jc w:val="both"/>
        <w:rPr>
          <w:rStyle w:val="Textoennegrita"/>
          <w:rFonts w:eastAsia="Times" w:cstheme="minorHAnsi"/>
          <w:sz w:val="28"/>
          <w:szCs w:val="28"/>
        </w:rPr>
      </w:pPr>
      <w:r w:rsidRPr="005E1103">
        <w:rPr>
          <w:rStyle w:val="Textoennegrita"/>
          <w:rFonts w:eastAsia="Times" w:cstheme="minorHAnsi"/>
          <w:sz w:val="28"/>
          <w:szCs w:val="28"/>
        </w:rPr>
        <w:t>Revistas</w:t>
      </w:r>
    </w:p>
    <w:p w:rsidR="00033066" w:rsidRPr="005E1103" w:rsidRDefault="00033066" w:rsidP="00033066">
      <w:pPr>
        <w:autoSpaceDE w:val="0"/>
        <w:autoSpaceDN w:val="0"/>
        <w:adjustRightInd w:val="0"/>
        <w:spacing w:line="360" w:lineRule="auto"/>
        <w:jc w:val="both"/>
        <w:rPr>
          <w:rFonts w:eastAsia="Times" w:cstheme="minorHAnsi"/>
          <w:sz w:val="28"/>
          <w:szCs w:val="28"/>
          <w:lang w:val="es-ES_tradnl"/>
        </w:rPr>
      </w:pPr>
      <w:r w:rsidRPr="005E1103">
        <w:rPr>
          <w:rFonts w:eastAsia="Times" w:cstheme="minorHAnsi"/>
          <w:sz w:val="28"/>
          <w:szCs w:val="28"/>
          <w:lang w:val="es-ES_tradnl"/>
        </w:rPr>
        <w:t>López Aguilar, Salvio; Díaz Vidal, Jorge; Benítez Estrada, Wilber E.; Hernández Gamboa, Dámaso, “Por un enfoque social en el concepto de “Nuevas tecnologías de la informática y la comunicación</w:t>
      </w:r>
      <w:r w:rsidRPr="005E1103">
        <w:rPr>
          <w:rFonts w:eastAsia="Times" w:cstheme="minorHAnsi"/>
          <w:i/>
          <w:sz w:val="28"/>
          <w:szCs w:val="28"/>
          <w:lang w:val="es-ES_tradnl"/>
        </w:rPr>
        <w:t>”</w:t>
      </w:r>
      <w:r w:rsidRPr="005E1103">
        <w:rPr>
          <w:rFonts w:eastAsia="Times" w:cstheme="minorHAnsi"/>
          <w:sz w:val="28"/>
          <w:szCs w:val="28"/>
          <w:lang w:val="es-ES_tradnl"/>
        </w:rPr>
        <w:t xml:space="preserve">. </w:t>
      </w:r>
      <w:r w:rsidRPr="005E1103">
        <w:rPr>
          <w:rFonts w:eastAsia="Times" w:cstheme="minorHAnsi"/>
          <w:i/>
          <w:sz w:val="28"/>
          <w:szCs w:val="28"/>
          <w:lang w:val="es-ES_tradnl"/>
        </w:rPr>
        <w:t>Revista Pedagogía Universitaria</w:t>
      </w:r>
      <w:r w:rsidRPr="005E1103">
        <w:rPr>
          <w:rFonts w:eastAsia="Times" w:cstheme="minorHAnsi"/>
          <w:sz w:val="28"/>
          <w:szCs w:val="28"/>
          <w:lang w:val="es-ES_tradnl"/>
        </w:rPr>
        <w:t>, nº4 (2006) págs. 92-104.</w:t>
      </w:r>
    </w:p>
    <w:p w:rsidR="00033066" w:rsidRPr="005E1103" w:rsidRDefault="00033066" w:rsidP="00033066">
      <w:pPr>
        <w:spacing w:line="360" w:lineRule="auto"/>
        <w:jc w:val="both"/>
        <w:rPr>
          <w:rFonts w:eastAsia="Times" w:cstheme="minorHAnsi"/>
          <w:sz w:val="28"/>
          <w:szCs w:val="28"/>
          <w:lang w:val="es-ES_tradnl"/>
        </w:rPr>
      </w:pPr>
    </w:p>
    <w:p w:rsidR="00033066" w:rsidRPr="005E1103" w:rsidRDefault="00033066" w:rsidP="00033066">
      <w:pPr>
        <w:spacing w:line="360" w:lineRule="auto"/>
        <w:jc w:val="both"/>
        <w:rPr>
          <w:rFonts w:eastAsia="Times" w:cstheme="minorHAnsi"/>
          <w:sz w:val="28"/>
          <w:szCs w:val="28"/>
          <w:lang w:val="es-ES_tradnl"/>
        </w:rPr>
      </w:pPr>
      <w:r w:rsidRPr="005E1103">
        <w:rPr>
          <w:rFonts w:eastAsia="Times" w:cstheme="minorHAnsi"/>
          <w:sz w:val="28"/>
          <w:szCs w:val="28"/>
          <w:lang w:val="es-ES_tradnl"/>
        </w:rPr>
        <w:t xml:space="preserve">Ochoa, Jaime Ángel, “Historias de vida un balcón para leer lo social” </w:t>
      </w:r>
      <w:r w:rsidRPr="005E1103">
        <w:rPr>
          <w:rFonts w:eastAsia="Times" w:cstheme="minorHAnsi"/>
          <w:i/>
          <w:sz w:val="28"/>
          <w:szCs w:val="28"/>
          <w:lang w:val="es-ES_tradnl"/>
        </w:rPr>
        <w:t>Razón y palabra,</w:t>
      </w:r>
      <w:r w:rsidRPr="005E1103">
        <w:rPr>
          <w:rFonts w:eastAsia="Times" w:cstheme="minorHAnsi"/>
          <w:sz w:val="28"/>
          <w:szCs w:val="28"/>
          <w:lang w:val="es-ES_tradnl"/>
        </w:rPr>
        <w:t xml:space="preserve"> nº 5 (1997) págs. 5-15. </w:t>
      </w:r>
    </w:p>
    <w:p w:rsidR="00033066" w:rsidRPr="005E1103" w:rsidRDefault="00033066" w:rsidP="00033066">
      <w:pPr>
        <w:autoSpaceDE w:val="0"/>
        <w:autoSpaceDN w:val="0"/>
        <w:adjustRightInd w:val="0"/>
        <w:spacing w:line="360" w:lineRule="auto"/>
        <w:jc w:val="both"/>
        <w:rPr>
          <w:rFonts w:eastAsia="Times" w:cstheme="minorHAnsi"/>
          <w:sz w:val="28"/>
          <w:szCs w:val="28"/>
          <w:lang w:val="es-ES_tradnl"/>
        </w:rPr>
      </w:pPr>
    </w:p>
    <w:p w:rsidR="00033066" w:rsidRPr="005E1103" w:rsidRDefault="00033066" w:rsidP="00033066">
      <w:pPr>
        <w:spacing w:after="0" w:line="360" w:lineRule="auto"/>
        <w:jc w:val="both"/>
        <w:rPr>
          <w:rFonts w:eastAsia="Times" w:cstheme="minorHAnsi"/>
          <w:sz w:val="28"/>
          <w:szCs w:val="28"/>
        </w:rPr>
      </w:pPr>
      <w:r w:rsidRPr="005E1103">
        <w:rPr>
          <w:rFonts w:eastAsia="Times" w:cstheme="minorHAnsi"/>
          <w:sz w:val="28"/>
          <w:szCs w:val="28"/>
          <w:lang w:val="es-ES_tradnl"/>
        </w:rPr>
        <w:t xml:space="preserve">Rodríguez Sabiote, Clemente, Pozo Llorente, Teresa, Gutiérrez Pérez, José, “La triangulación analítica como recurso para la validación de estudios de encuesta recurrentes e investigaciones de réplica en Educación Superior”, </w:t>
      </w:r>
      <w:r w:rsidRPr="005E1103">
        <w:rPr>
          <w:rFonts w:eastAsia="Times" w:cstheme="minorHAnsi"/>
          <w:i/>
          <w:sz w:val="28"/>
          <w:szCs w:val="28"/>
        </w:rPr>
        <w:t xml:space="preserve">RELIEVE, </w:t>
      </w:r>
      <w:r w:rsidRPr="005E1103">
        <w:rPr>
          <w:rFonts w:eastAsia="Times" w:cstheme="minorHAnsi"/>
          <w:sz w:val="28"/>
          <w:szCs w:val="28"/>
        </w:rPr>
        <w:t xml:space="preserve">nº 2 (2006), págs. 289-305 </w:t>
      </w:r>
      <w:hyperlink r:id="rId156" w:history="1">
        <w:r w:rsidRPr="005E1103">
          <w:rPr>
            <w:rFonts w:eastAsia="Times" w:cstheme="minorHAnsi"/>
            <w:color w:val="0000FF"/>
            <w:sz w:val="28"/>
            <w:szCs w:val="28"/>
            <w:u w:val="single"/>
          </w:rPr>
          <w:t>http://www.uv.es/RELIEVE/v12n2/RELIEVEv12n2_6.htm</w:t>
        </w:r>
      </w:hyperlink>
      <w:r w:rsidRPr="005E1103">
        <w:rPr>
          <w:rFonts w:eastAsia="Times" w:cstheme="minorHAnsi"/>
          <w:sz w:val="28"/>
          <w:szCs w:val="28"/>
        </w:rPr>
        <w:t xml:space="preserve">  Consultado el (15/12/2013).</w:t>
      </w:r>
    </w:p>
    <w:p w:rsidR="00033066" w:rsidRPr="005E1103" w:rsidRDefault="00033066">
      <w:pPr>
        <w:rPr>
          <w:rFonts w:eastAsia="Times" w:cstheme="minorHAnsi"/>
          <w:sz w:val="28"/>
          <w:szCs w:val="28"/>
        </w:rPr>
      </w:pPr>
    </w:p>
    <w:p w:rsidR="00033066" w:rsidRPr="005E1103" w:rsidRDefault="00033066" w:rsidP="00033066">
      <w:pPr>
        <w:spacing w:line="360" w:lineRule="auto"/>
        <w:jc w:val="both"/>
        <w:rPr>
          <w:rStyle w:val="Textoennegrita"/>
          <w:rFonts w:eastAsia="Times" w:cstheme="minorHAnsi"/>
          <w:sz w:val="28"/>
          <w:szCs w:val="28"/>
        </w:rPr>
      </w:pPr>
      <w:r w:rsidRPr="005E1103">
        <w:rPr>
          <w:rStyle w:val="Textoennegrita"/>
          <w:rFonts w:eastAsia="Times" w:cstheme="minorHAnsi"/>
          <w:sz w:val="28"/>
          <w:szCs w:val="28"/>
        </w:rPr>
        <w:t>Informes</w:t>
      </w:r>
    </w:p>
    <w:p w:rsidR="00033066" w:rsidRPr="005E1103" w:rsidRDefault="00033066" w:rsidP="00033066">
      <w:pPr>
        <w:spacing w:line="360" w:lineRule="auto"/>
        <w:jc w:val="both"/>
        <w:rPr>
          <w:rFonts w:eastAsia="Times" w:cstheme="minorHAnsi"/>
          <w:sz w:val="28"/>
          <w:szCs w:val="28"/>
          <w:lang w:val="es-ES_tradnl"/>
        </w:rPr>
      </w:pPr>
      <w:r w:rsidRPr="005E1103">
        <w:rPr>
          <w:rFonts w:eastAsia="Times" w:cstheme="minorHAnsi"/>
          <w:sz w:val="28"/>
          <w:szCs w:val="28"/>
          <w:lang w:val="es-ES_tradnl"/>
        </w:rPr>
        <w:t xml:space="preserve">Ministerio de trabajo y asuntos sociales y AUNA Fundación: Las personas con discapacidad frente a las tecnologías de la información y las comunicaciones en España, (2004). Disponible en  </w:t>
      </w:r>
      <w:hyperlink r:id="rId157" w:history="1">
        <w:r w:rsidRPr="005E1103">
          <w:rPr>
            <w:rFonts w:eastAsia="Times" w:cstheme="minorHAnsi"/>
            <w:color w:val="0000FF"/>
            <w:sz w:val="28"/>
            <w:szCs w:val="28"/>
            <w:u w:val="single"/>
            <w:lang w:val="es-ES_tradnl"/>
          </w:rPr>
          <w:t>http://www.cermi.es/es-</w:t>
        </w:r>
        <w:r w:rsidRPr="005E1103">
          <w:rPr>
            <w:rFonts w:eastAsia="Times" w:cstheme="minorHAnsi"/>
            <w:color w:val="0000FF"/>
            <w:sz w:val="28"/>
            <w:szCs w:val="28"/>
            <w:u w:val="single"/>
            <w:lang w:val="es-ES_tradnl"/>
          </w:rPr>
          <w:lastRenderedPageBreak/>
          <w:t>ES/Biblioteca/Lists/Publicaciones/Attachments/36/Estudio20DiscapacidadTICFundAuna.pdf</w:t>
        </w:r>
      </w:hyperlink>
      <w:r w:rsidRPr="005E1103">
        <w:rPr>
          <w:rFonts w:eastAsia="Times" w:cstheme="minorHAnsi"/>
          <w:sz w:val="28"/>
          <w:szCs w:val="28"/>
          <w:lang w:val="es-ES_tradnl"/>
        </w:rPr>
        <w:t>. Consultado el (15/11/2013)</w:t>
      </w:r>
    </w:p>
    <w:p w:rsidR="008949B1" w:rsidRPr="005E1103" w:rsidRDefault="008949B1" w:rsidP="00033066">
      <w:pPr>
        <w:spacing w:after="0" w:line="360" w:lineRule="auto"/>
        <w:jc w:val="both"/>
        <w:rPr>
          <w:rFonts w:cstheme="minorHAnsi"/>
          <w:sz w:val="28"/>
          <w:szCs w:val="28"/>
        </w:rPr>
      </w:pPr>
    </w:p>
    <w:p w:rsidR="008949B1" w:rsidRPr="005E1103" w:rsidRDefault="008949B1" w:rsidP="008949B1">
      <w:pPr>
        <w:spacing w:after="0" w:line="360" w:lineRule="auto"/>
        <w:jc w:val="right"/>
        <w:rPr>
          <w:rFonts w:cstheme="minorHAnsi"/>
          <w:b/>
          <w:sz w:val="28"/>
          <w:szCs w:val="28"/>
        </w:rPr>
      </w:pPr>
    </w:p>
    <w:p w:rsidR="00C273FC" w:rsidRDefault="00C273FC">
      <w:pPr>
        <w:rPr>
          <w:rFonts w:cstheme="minorHAnsi"/>
          <w:b/>
          <w:sz w:val="28"/>
          <w:szCs w:val="28"/>
        </w:rPr>
      </w:pPr>
      <w:r>
        <w:rPr>
          <w:rFonts w:cstheme="minorHAnsi"/>
          <w:b/>
          <w:sz w:val="28"/>
          <w:szCs w:val="28"/>
        </w:rPr>
        <w:br w:type="page"/>
      </w:r>
    </w:p>
    <w:p w:rsidR="00033066" w:rsidRPr="005E1103" w:rsidRDefault="00033066" w:rsidP="00033066">
      <w:pPr>
        <w:spacing w:line="360" w:lineRule="auto"/>
        <w:jc w:val="center"/>
        <w:rPr>
          <w:rFonts w:cstheme="minorHAnsi"/>
          <w:b/>
          <w:sz w:val="28"/>
          <w:szCs w:val="28"/>
        </w:rPr>
      </w:pPr>
      <w:r w:rsidRPr="005E1103">
        <w:rPr>
          <w:rFonts w:cstheme="minorHAnsi"/>
          <w:b/>
          <w:sz w:val="28"/>
          <w:szCs w:val="28"/>
        </w:rPr>
        <w:lastRenderedPageBreak/>
        <w:t>COMUNICACIÓN 4</w:t>
      </w:r>
    </w:p>
    <w:tbl>
      <w:tblPr>
        <w:tblStyle w:val="Tablaconcuadrcula"/>
        <w:tblpPr w:leftFromText="141" w:rightFromText="141" w:vertAnchor="text" w:horzAnchor="margin" w:tblpXSpec="center" w:tblpY="456"/>
        <w:tblW w:w="0" w:type="auto"/>
        <w:tblLook w:val="04A0" w:firstRow="1" w:lastRow="0" w:firstColumn="1" w:lastColumn="0" w:noHBand="0" w:noVBand="1"/>
      </w:tblPr>
      <w:tblGrid>
        <w:gridCol w:w="8085"/>
      </w:tblGrid>
      <w:tr w:rsidR="00033066" w:rsidRPr="005E1103" w:rsidTr="00DE3270">
        <w:trPr>
          <w:trHeight w:val="983"/>
        </w:trPr>
        <w:tc>
          <w:tcPr>
            <w:tcW w:w="8085" w:type="dxa"/>
          </w:tcPr>
          <w:p w:rsidR="00033066" w:rsidRPr="005E1103" w:rsidRDefault="00033066" w:rsidP="00033066">
            <w:pPr>
              <w:pStyle w:val="Ttulo10"/>
              <w:ind w:left="0" w:right="0"/>
              <w:rPr>
                <w:rFonts w:asciiTheme="minorHAnsi" w:hAnsiTheme="minorHAnsi" w:cstheme="minorHAnsi"/>
                <w:b/>
                <w:sz w:val="28"/>
                <w:szCs w:val="28"/>
              </w:rPr>
            </w:pPr>
            <w:r w:rsidRPr="005E1103">
              <w:rPr>
                <w:rFonts w:asciiTheme="minorHAnsi" w:hAnsiTheme="minorHAnsi" w:cstheme="minorHAnsi"/>
                <w:b/>
                <w:sz w:val="28"/>
                <w:szCs w:val="28"/>
              </w:rPr>
              <w:t>Aplicación móvil STARTIT: Streaming de audio para estudiantes con discapacidad Auditiva.</w:t>
            </w:r>
          </w:p>
        </w:tc>
      </w:tr>
    </w:tbl>
    <w:p w:rsidR="00033066" w:rsidRPr="005E1103" w:rsidRDefault="00033066" w:rsidP="00033066">
      <w:pPr>
        <w:pStyle w:val="Ttulo10"/>
        <w:rPr>
          <w:rFonts w:asciiTheme="minorHAnsi" w:hAnsiTheme="minorHAnsi" w:cstheme="minorHAnsi"/>
          <w:sz w:val="28"/>
          <w:szCs w:val="28"/>
        </w:rPr>
      </w:pPr>
      <w:r w:rsidRPr="005E1103">
        <w:rPr>
          <w:rFonts w:asciiTheme="minorHAnsi" w:hAnsiTheme="minorHAnsi" w:cstheme="minorHAnsi"/>
          <w:b/>
          <w:sz w:val="28"/>
          <w:szCs w:val="28"/>
        </w:rPr>
        <w:t xml:space="preserve"> </w:t>
      </w:r>
    </w:p>
    <w:p w:rsidR="00033066" w:rsidRPr="005E1103" w:rsidRDefault="00033066" w:rsidP="00033066">
      <w:pPr>
        <w:jc w:val="right"/>
        <w:rPr>
          <w:rFonts w:cstheme="minorHAnsi"/>
          <w:sz w:val="28"/>
          <w:szCs w:val="28"/>
        </w:rPr>
      </w:pPr>
    </w:p>
    <w:p w:rsidR="00033066" w:rsidRPr="005E1103" w:rsidRDefault="00033066" w:rsidP="00033066">
      <w:pPr>
        <w:jc w:val="right"/>
        <w:rPr>
          <w:rFonts w:cstheme="minorHAnsi"/>
          <w:sz w:val="28"/>
          <w:szCs w:val="28"/>
        </w:rPr>
      </w:pPr>
    </w:p>
    <w:p w:rsidR="00033066" w:rsidRPr="005E1103" w:rsidRDefault="00033066" w:rsidP="00033066">
      <w:pPr>
        <w:jc w:val="right"/>
        <w:rPr>
          <w:rFonts w:cstheme="minorHAnsi"/>
          <w:sz w:val="28"/>
          <w:szCs w:val="28"/>
        </w:rPr>
      </w:pPr>
    </w:p>
    <w:p w:rsidR="00033066" w:rsidRPr="005E1103" w:rsidRDefault="00033066" w:rsidP="00033066">
      <w:pPr>
        <w:jc w:val="right"/>
        <w:rPr>
          <w:rFonts w:cstheme="minorHAnsi"/>
          <w:sz w:val="28"/>
          <w:szCs w:val="28"/>
        </w:rPr>
      </w:pPr>
      <w:r w:rsidRPr="005E1103">
        <w:rPr>
          <w:rFonts w:cstheme="minorHAnsi"/>
          <w:sz w:val="28"/>
          <w:szCs w:val="28"/>
        </w:rPr>
        <w:t>Diego Carrero (</w:t>
      </w:r>
      <w:hyperlink r:id="rId158" w:history="1">
        <w:r w:rsidRPr="005E1103">
          <w:rPr>
            <w:rStyle w:val="Hipervnculo"/>
            <w:rFonts w:cstheme="minorHAnsi"/>
            <w:sz w:val="28"/>
            <w:szCs w:val="28"/>
          </w:rPr>
          <w:t>dcarrero@aptent.es</w:t>
        </w:r>
      </w:hyperlink>
      <w:r w:rsidRPr="005E1103">
        <w:rPr>
          <w:rFonts w:cstheme="minorHAnsi"/>
          <w:sz w:val="28"/>
          <w:szCs w:val="28"/>
        </w:rPr>
        <w:t>)</w:t>
      </w:r>
    </w:p>
    <w:p w:rsidR="00033066" w:rsidRPr="005E1103" w:rsidRDefault="00033066" w:rsidP="00033066">
      <w:pPr>
        <w:jc w:val="right"/>
        <w:rPr>
          <w:rFonts w:cstheme="minorHAnsi"/>
          <w:sz w:val="28"/>
          <w:szCs w:val="28"/>
        </w:rPr>
      </w:pPr>
      <w:r w:rsidRPr="005E1103">
        <w:rPr>
          <w:rFonts w:cstheme="minorHAnsi"/>
          <w:sz w:val="28"/>
          <w:szCs w:val="28"/>
        </w:rPr>
        <w:t>Director Técnico</w:t>
      </w:r>
    </w:p>
    <w:p w:rsidR="00033066" w:rsidRPr="005E1103" w:rsidRDefault="00033066" w:rsidP="00033066">
      <w:pPr>
        <w:jc w:val="right"/>
        <w:rPr>
          <w:rFonts w:cstheme="minorHAnsi"/>
          <w:sz w:val="28"/>
          <w:szCs w:val="28"/>
        </w:rPr>
      </w:pPr>
      <w:r w:rsidRPr="005E1103">
        <w:rPr>
          <w:rFonts w:cstheme="minorHAnsi"/>
          <w:sz w:val="28"/>
          <w:szCs w:val="28"/>
        </w:rPr>
        <w:t>Aptent Soluciones</w:t>
      </w:r>
    </w:p>
    <w:p w:rsidR="00033066" w:rsidRPr="005E1103" w:rsidRDefault="00033066" w:rsidP="00033066">
      <w:pPr>
        <w:rPr>
          <w:rFonts w:cstheme="minorHAnsi"/>
          <w:sz w:val="28"/>
          <w:szCs w:val="28"/>
        </w:rPr>
      </w:pPr>
    </w:p>
    <w:p w:rsidR="00033066" w:rsidRPr="005E1103" w:rsidRDefault="00033066" w:rsidP="00033066">
      <w:pPr>
        <w:pStyle w:val="Ttulo1"/>
        <w:rPr>
          <w:rFonts w:asciiTheme="minorHAnsi" w:hAnsiTheme="minorHAnsi" w:cstheme="minorHAnsi"/>
          <w:color w:val="auto"/>
        </w:rPr>
      </w:pPr>
      <w:r w:rsidRPr="005E1103">
        <w:rPr>
          <w:rFonts w:asciiTheme="minorHAnsi" w:hAnsiTheme="minorHAnsi" w:cstheme="minorHAnsi"/>
          <w:color w:val="auto"/>
        </w:rPr>
        <w:t>Introducción</w:t>
      </w:r>
    </w:p>
    <w:p w:rsidR="00033066" w:rsidRPr="005E1103" w:rsidRDefault="00033066" w:rsidP="00033066">
      <w:pPr>
        <w:rPr>
          <w:rFonts w:cstheme="minorHAnsi"/>
          <w:sz w:val="28"/>
          <w:szCs w:val="28"/>
        </w:rPr>
      </w:pPr>
      <w:r w:rsidRPr="005E1103">
        <w:rPr>
          <w:rFonts w:cstheme="minorHAnsi"/>
          <w:sz w:val="28"/>
          <w:szCs w:val="28"/>
        </w:rPr>
        <w:t>A lo largo del presente documento se ofrecen los resultados obtenidos en las pruebas de evaluación de STARTIT en entornos educativos. En primer lugar, se presentan la metodología utilizada y los parámetros observados. A continuación, se muestran los resultados obtenidos y para cerrar el documento, se incluyen las conclusiones alcanzadas durante el piloto de evaluación.</w:t>
      </w:r>
    </w:p>
    <w:p w:rsidR="00033066" w:rsidRPr="005E1103" w:rsidRDefault="00033066" w:rsidP="00033066">
      <w:pPr>
        <w:rPr>
          <w:rFonts w:cstheme="minorHAnsi"/>
          <w:sz w:val="28"/>
          <w:szCs w:val="28"/>
        </w:rPr>
      </w:pPr>
      <w:r w:rsidRPr="005E1103">
        <w:rPr>
          <w:rFonts w:cstheme="minorHAnsi"/>
          <w:sz w:val="28"/>
          <w:szCs w:val="28"/>
        </w:rPr>
        <w:t>Los sistemas actuales de FM utilizados en las aulas sufren problemas de interferencias con otras señales de radio. Por su parte, las instalaciones de bucles magnéticos perimetrales también presentan interferencias con otras instalaciones similares en aulas contiguas o plantas diferentes. A estos problemas se suman dos factores relevantes: su elevado coste de instalación y la imposibilidad de almacenar el audio generado durante las clases.</w:t>
      </w:r>
    </w:p>
    <w:p w:rsidR="00033066" w:rsidRPr="005E1103" w:rsidRDefault="00033066" w:rsidP="00033066">
      <w:pPr>
        <w:rPr>
          <w:rFonts w:cstheme="minorHAnsi"/>
          <w:sz w:val="28"/>
          <w:szCs w:val="28"/>
        </w:rPr>
      </w:pPr>
      <w:r w:rsidRPr="005E1103">
        <w:rPr>
          <w:rFonts w:cstheme="minorHAnsi"/>
          <w:sz w:val="28"/>
          <w:szCs w:val="28"/>
        </w:rPr>
        <w:lastRenderedPageBreak/>
        <w:t>STARTIT surge en 2015, en el marco del proyecto Teatro Accesible, como una solución para ofrecer los servicios de accesibilidad directamente en el móvil. Esta solución se ha extrapolado al ámbito educativo, haciendo de STARTIT un sistema de apoyo a la comunicación, la comprensión y el estudio que permite enviar la voz del profesor directamente al móvil mediante streaming de audio. De esta forma, los estudiantes pueden seguir la clase mediante su dispositivo móvil y unos auriculares o un lazo de inducción magnética individual.</w:t>
      </w:r>
    </w:p>
    <w:p w:rsidR="00033066" w:rsidRPr="005E1103" w:rsidRDefault="00033066" w:rsidP="00033066">
      <w:pPr>
        <w:rPr>
          <w:rFonts w:cstheme="minorHAnsi"/>
          <w:sz w:val="28"/>
          <w:szCs w:val="28"/>
        </w:rPr>
      </w:pPr>
      <w:r w:rsidRPr="005E1103">
        <w:rPr>
          <w:rFonts w:cstheme="minorHAnsi"/>
          <w:sz w:val="28"/>
          <w:szCs w:val="28"/>
        </w:rPr>
        <w:t>Durante el mes de junio de 2016 se ha realizado una primera validación del sistema en un entorno académico real gracias a la colaboración del Colegio Tres Olivos de Madrid y la Fundación Vodafone España. El objetivo de esta validación ha sido demostrar que STARTIT es un producto alternativo viable a los sistemas actuales de FM e inducción magnética perimetral.</w:t>
      </w:r>
    </w:p>
    <w:p w:rsidR="00033066" w:rsidRPr="005E1103" w:rsidRDefault="00033066" w:rsidP="00033066">
      <w:pPr>
        <w:pStyle w:val="Ttulo1"/>
        <w:rPr>
          <w:rFonts w:asciiTheme="minorHAnsi" w:hAnsiTheme="minorHAnsi" w:cstheme="minorHAnsi"/>
          <w:color w:val="auto"/>
        </w:rPr>
      </w:pPr>
      <w:r w:rsidRPr="005E1103">
        <w:rPr>
          <w:rFonts w:asciiTheme="minorHAnsi" w:hAnsiTheme="minorHAnsi" w:cstheme="minorHAnsi"/>
          <w:color w:val="auto"/>
        </w:rPr>
        <w:t>Metodología</w:t>
      </w:r>
    </w:p>
    <w:p w:rsidR="00033066" w:rsidRPr="005E1103" w:rsidRDefault="00033066" w:rsidP="00033066">
      <w:pPr>
        <w:rPr>
          <w:rFonts w:cstheme="minorHAnsi"/>
          <w:sz w:val="28"/>
          <w:szCs w:val="28"/>
        </w:rPr>
      </w:pPr>
      <w:r w:rsidRPr="005E1103">
        <w:rPr>
          <w:rFonts w:cstheme="minorHAnsi"/>
          <w:sz w:val="28"/>
          <w:szCs w:val="28"/>
        </w:rPr>
        <w:t>La evaluación de la aplicación se ha desarrollado durante una semana en diferentes clases seleccionadas:</w:t>
      </w:r>
    </w:p>
    <w:p w:rsidR="00033066" w:rsidRPr="005E1103" w:rsidRDefault="00033066" w:rsidP="00033066">
      <w:pPr>
        <w:pStyle w:val="Prrafodelista"/>
        <w:numPr>
          <w:ilvl w:val="0"/>
          <w:numId w:val="124"/>
        </w:numPr>
        <w:spacing w:after="120" w:line="360" w:lineRule="auto"/>
        <w:jc w:val="both"/>
        <w:rPr>
          <w:rFonts w:asciiTheme="minorHAnsi" w:hAnsiTheme="minorHAnsi" w:cstheme="minorHAnsi"/>
          <w:sz w:val="28"/>
          <w:szCs w:val="28"/>
        </w:rPr>
      </w:pPr>
      <w:r w:rsidRPr="005E1103">
        <w:rPr>
          <w:rFonts w:asciiTheme="minorHAnsi" w:hAnsiTheme="minorHAnsi" w:cstheme="minorHAnsi"/>
          <w:sz w:val="28"/>
          <w:szCs w:val="28"/>
        </w:rPr>
        <w:t>En primaria se ha utilizado durante las clases de inglés. Estas clases se caracterizan por la utilización de contenidos multimedia desde el ordenador y por la amplia participación de los alumnos en las mismas.</w:t>
      </w:r>
    </w:p>
    <w:p w:rsidR="00033066" w:rsidRPr="005E1103" w:rsidRDefault="00033066" w:rsidP="00033066">
      <w:pPr>
        <w:pStyle w:val="Prrafodelista"/>
        <w:numPr>
          <w:ilvl w:val="0"/>
          <w:numId w:val="124"/>
        </w:numPr>
        <w:spacing w:after="120" w:line="360" w:lineRule="auto"/>
        <w:jc w:val="both"/>
        <w:rPr>
          <w:rFonts w:asciiTheme="minorHAnsi" w:hAnsiTheme="minorHAnsi" w:cstheme="minorHAnsi"/>
          <w:sz w:val="28"/>
          <w:szCs w:val="28"/>
        </w:rPr>
      </w:pPr>
      <w:r w:rsidRPr="005E1103">
        <w:rPr>
          <w:rFonts w:asciiTheme="minorHAnsi" w:hAnsiTheme="minorHAnsi" w:cstheme="minorHAnsi"/>
          <w:sz w:val="28"/>
          <w:szCs w:val="28"/>
        </w:rPr>
        <w:t>En secundaria se ha utilizado durante clases de materias como geografía, historia y matemáticas. En este caso las clases eran principalmente correcciones de exámenes y resolución de dudas en las que el profesor hablaba la mayor parte del tiempo.</w:t>
      </w:r>
    </w:p>
    <w:p w:rsidR="00033066" w:rsidRPr="005E1103" w:rsidRDefault="00033066" w:rsidP="00033066">
      <w:pPr>
        <w:rPr>
          <w:rFonts w:cstheme="minorHAnsi"/>
          <w:sz w:val="28"/>
          <w:szCs w:val="28"/>
        </w:rPr>
      </w:pPr>
      <w:r w:rsidRPr="005E1103">
        <w:rPr>
          <w:rFonts w:cstheme="minorHAnsi"/>
          <w:sz w:val="28"/>
          <w:szCs w:val="28"/>
        </w:rPr>
        <w:t>El procedimiento de prueba, para cada una de las clases, ha sido el siguiente:</w:t>
      </w:r>
    </w:p>
    <w:p w:rsidR="00033066" w:rsidRPr="005E1103" w:rsidRDefault="00033066" w:rsidP="00033066">
      <w:pPr>
        <w:pStyle w:val="Prrafodelista"/>
        <w:numPr>
          <w:ilvl w:val="0"/>
          <w:numId w:val="125"/>
        </w:numPr>
        <w:spacing w:after="120" w:line="360" w:lineRule="auto"/>
        <w:jc w:val="both"/>
        <w:rPr>
          <w:rFonts w:asciiTheme="minorHAnsi" w:hAnsiTheme="minorHAnsi" w:cstheme="minorHAnsi"/>
          <w:sz w:val="28"/>
          <w:szCs w:val="28"/>
        </w:rPr>
      </w:pPr>
      <w:r w:rsidRPr="005E1103">
        <w:rPr>
          <w:rFonts w:asciiTheme="minorHAnsi" w:hAnsiTheme="minorHAnsi" w:cstheme="minorHAnsi"/>
          <w:sz w:val="28"/>
          <w:szCs w:val="28"/>
        </w:rPr>
        <w:t xml:space="preserve">Al comienzo se hace entrega al alumno del cuestionario de validación y del equipamiento necesario. </w:t>
      </w:r>
    </w:p>
    <w:p w:rsidR="00033066" w:rsidRPr="005E1103" w:rsidRDefault="00033066" w:rsidP="00033066">
      <w:pPr>
        <w:pStyle w:val="Prrafodelista"/>
        <w:numPr>
          <w:ilvl w:val="0"/>
          <w:numId w:val="125"/>
        </w:numPr>
        <w:spacing w:after="120" w:line="360" w:lineRule="auto"/>
        <w:jc w:val="both"/>
        <w:rPr>
          <w:rFonts w:asciiTheme="minorHAnsi" w:hAnsiTheme="minorHAnsi" w:cstheme="minorHAnsi"/>
          <w:sz w:val="28"/>
          <w:szCs w:val="28"/>
        </w:rPr>
      </w:pPr>
      <w:r w:rsidRPr="005E1103">
        <w:rPr>
          <w:rFonts w:asciiTheme="minorHAnsi" w:hAnsiTheme="minorHAnsi" w:cstheme="minorHAnsi"/>
          <w:sz w:val="28"/>
          <w:szCs w:val="28"/>
        </w:rPr>
        <w:lastRenderedPageBreak/>
        <w:t>Durante el transcurso normal de la clase se cambia durante 25 minutos a la recepción de audio mediante la aplicación móvil. De esta forma, se consigue comparar las prestaciones de la aplicación con respecto al sistema de FM.</w:t>
      </w:r>
    </w:p>
    <w:p w:rsidR="00033066" w:rsidRPr="005E1103" w:rsidRDefault="00033066" w:rsidP="00033066">
      <w:pPr>
        <w:pStyle w:val="Prrafodelista"/>
        <w:numPr>
          <w:ilvl w:val="0"/>
          <w:numId w:val="125"/>
        </w:numPr>
        <w:spacing w:after="120" w:line="360" w:lineRule="auto"/>
        <w:jc w:val="both"/>
        <w:rPr>
          <w:rFonts w:asciiTheme="minorHAnsi" w:hAnsiTheme="minorHAnsi" w:cstheme="minorHAnsi"/>
          <w:sz w:val="28"/>
          <w:szCs w:val="28"/>
        </w:rPr>
      </w:pPr>
      <w:r w:rsidRPr="005E1103">
        <w:rPr>
          <w:rFonts w:asciiTheme="minorHAnsi" w:hAnsiTheme="minorHAnsi" w:cstheme="minorHAnsi"/>
          <w:sz w:val="28"/>
          <w:szCs w:val="28"/>
        </w:rPr>
        <w:t>Durante la evaluación se realizan preguntas y se recogen opiniones con el fin de contrastar los datos recogidos posteriormente en los cuestionarios.</w:t>
      </w:r>
    </w:p>
    <w:p w:rsidR="00033066" w:rsidRPr="005E1103" w:rsidRDefault="00033066" w:rsidP="00033066">
      <w:pPr>
        <w:pStyle w:val="Prrafodelista"/>
        <w:numPr>
          <w:ilvl w:val="0"/>
          <w:numId w:val="125"/>
        </w:numPr>
        <w:spacing w:after="120" w:line="360" w:lineRule="auto"/>
        <w:jc w:val="both"/>
        <w:rPr>
          <w:rFonts w:asciiTheme="minorHAnsi" w:hAnsiTheme="minorHAnsi" w:cstheme="minorHAnsi"/>
          <w:sz w:val="28"/>
          <w:szCs w:val="28"/>
        </w:rPr>
      </w:pPr>
      <w:r w:rsidRPr="005E1103">
        <w:rPr>
          <w:rFonts w:asciiTheme="minorHAnsi" w:hAnsiTheme="minorHAnsi" w:cstheme="minorHAnsi"/>
          <w:sz w:val="28"/>
          <w:szCs w:val="28"/>
        </w:rPr>
        <w:t>Al finalizar la prueba se recoge tanto el equipamiento prestado como el cuestionario de evaluación y se vuelve al transcurso normal de la clase.</w:t>
      </w:r>
    </w:p>
    <w:p w:rsidR="00033066" w:rsidRPr="005E1103" w:rsidRDefault="00033066" w:rsidP="00033066">
      <w:pPr>
        <w:pStyle w:val="Ttulo2"/>
        <w:rPr>
          <w:rFonts w:asciiTheme="minorHAnsi" w:hAnsiTheme="minorHAnsi" w:cstheme="minorHAnsi"/>
          <w:color w:val="auto"/>
          <w:sz w:val="28"/>
          <w:szCs w:val="28"/>
        </w:rPr>
      </w:pPr>
      <w:r w:rsidRPr="005E1103">
        <w:rPr>
          <w:rFonts w:asciiTheme="minorHAnsi" w:hAnsiTheme="minorHAnsi" w:cstheme="minorHAnsi"/>
          <w:color w:val="auto"/>
          <w:sz w:val="28"/>
          <w:szCs w:val="28"/>
        </w:rPr>
        <w:t>Población</w:t>
      </w:r>
    </w:p>
    <w:p w:rsidR="00033066" w:rsidRPr="005E1103" w:rsidRDefault="00033066" w:rsidP="00033066">
      <w:pPr>
        <w:rPr>
          <w:rFonts w:cstheme="minorHAnsi"/>
          <w:sz w:val="28"/>
          <w:szCs w:val="28"/>
        </w:rPr>
      </w:pPr>
      <w:r w:rsidRPr="005E1103">
        <w:rPr>
          <w:rFonts w:cstheme="minorHAnsi"/>
          <w:sz w:val="28"/>
          <w:szCs w:val="28"/>
        </w:rPr>
        <w:t>En la prueba han participado doce alumnos (siete chicos y cinco chicas) de edades comprendidas entre los nueve y dieciséis años: siete de primaria y cinco de secundaria. Si se atiende al nivel de discapacidad auditiva, todos los alumnos tienen sordera severa o profunda y necesitan sus dispositivos para comunicarse mediante vía oral y/o auditiva. De forma complementaria, la gran mayoría de ellos usa la lectura labial como apoyo en la comunicación y alguno utiliza o conoce la lengua de signos.</w:t>
      </w:r>
    </w:p>
    <w:p w:rsidR="00033066" w:rsidRPr="005E1103" w:rsidRDefault="00033066" w:rsidP="00033066">
      <w:pPr>
        <w:rPr>
          <w:rFonts w:cstheme="minorHAnsi"/>
          <w:sz w:val="28"/>
          <w:szCs w:val="28"/>
        </w:rPr>
      </w:pPr>
    </w:p>
    <w:p w:rsidR="00033066" w:rsidRPr="005E1103" w:rsidRDefault="00033066" w:rsidP="00033066">
      <w:pPr>
        <w:rPr>
          <w:rFonts w:cstheme="minorHAnsi"/>
          <w:sz w:val="28"/>
          <w:szCs w:val="28"/>
        </w:rPr>
      </w:pPr>
      <w:r w:rsidRPr="005E1103">
        <w:rPr>
          <w:rFonts w:cstheme="minorHAnsi"/>
          <w:sz w:val="28"/>
          <w:szCs w:val="28"/>
        </w:rPr>
        <w:t>La población de alumnos que se ha sometido a la evaluación puede ser dividida en dos grupos con características cualitativas diferenciadas:</w:t>
      </w:r>
    </w:p>
    <w:p w:rsidR="00033066" w:rsidRPr="005E1103" w:rsidRDefault="00033066" w:rsidP="00033066">
      <w:pPr>
        <w:numPr>
          <w:ilvl w:val="0"/>
          <w:numId w:val="123"/>
        </w:numPr>
        <w:spacing w:before="120" w:after="120" w:line="360" w:lineRule="auto"/>
        <w:jc w:val="both"/>
        <w:rPr>
          <w:rFonts w:cstheme="minorHAnsi"/>
          <w:sz w:val="28"/>
          <w:szCs w:val="28"/>
        </w:rPr>
      </w:pPr>
      <w:r w:rsidRPr="005E1103">
        <w:rPr>
          <w:rFonts w:cstheme="minorHAnsi"/>
          <w:sz w:val="28"/>
          <w:szCs w:val="28"/>
        </w:rPr>
        <w:t>Grupo 1: Tres alumnos que poseen implante coclear y no necesitan ningún tipo de ayuda adicional durante las clases.</w:t>
      </w:r>
    </w:p>
    <w:p w:rsidR="00033066" w:rsidRPr="005E1103" w:rsidRDefault="00033066" w:rsidP="00033066">
      <w:pPr>
        <w:numPr>
          <w:ilvl w:val="0"/>
          <w:numId w:val="123"/>
        </w:numPr>
        <w:spacing w:before="120" w:after="120" w:line="360" w:lineRule="auto"/>
        <w:jc w:val="both"/>
        <w:rPr>
          <w:rFonts w:cstheme="minorHAnsi"/>
          <w:sz w:val="28"/>
          <w:szCs w:val="28"/>
        </w:rPr>
      </w:pPr>
      <w:r w:rsidRPr="005E1103">
        <w:rPr>
          <w:rFonts w:cstheme="minorHAnsi"/>
          <w:sz w:val="28"/>
          <w:szCs w:val="28"/>
        </w:rPr>
        <w:t>Grupo 2: Nueve alumnos que poseen implante coclear y/o audífono y utilizan de forma habitual el sistema de FM (receptor FM analógico y bucle individual de inducción magnética) para seguir las explicaciones del profesor. Este grupo de usuarios hace uso de las siguientes configuraciones:</w:t>
      </w:r>
    </w:p>
    <w:p w:rsidR="00033066" w:rsidRPr="005E1103" w:rsidRDefault="00033066" w:rsidP="00033066">
      <w:pPr>
        <w:numPr>
          <w:ilvl w:val="1"/>
          <w:numId w:val="123"/>
        </w:numPr>
        <w:spacing w:before="120" w:after="120" w:line="360" w:lineRule="auto"/>
        <w:jc w:val="both"/>
        <w:rPr>
          <w:rFonts w:cstheme="minorHAnsi"/>
          <w:sz w:val="28"/>
          <w:szCs w:val="28"/>
        </w:rPr>
      </w:pPr>
      <w:r w:rsidRPr="005E1103">
        <w:rPr>
          <w:rFonts w:cstheme="minorHAnsi"/>
          <w:sz w:val="28"/>
          <w:szCs w:val="28"/>
        </w:rPr>
        <w:lastRenderedPageBreak/>
        <w:t>Posición T: El sonido se recibe sólo a través del bucle de inducción magnética.</w:t>
      </w:r>
    </w:p>
    <w:p w:rsidR="00033066" w:rsidRPr="005E1103" w:rsidRDefault="00033066" w:rsidP="00033066">
      <w:pPr>
        <w:numPr>
          <w:ilvl w:val="1"/>
          <w:numId w:val="123"/>
        </w:numPr>
        <w:spacing w:before="120" w:after="120" w:line="360" w:lineRule="auto"/>
        <w:jc w:val="both"/>
        <w:rPr>
          <w:rFonts w:cstheme="minorHAnsi"/>
          <w:sz w:val="28"/>
          <w:szCs w:val="28"/>
        </w:rPr>
      </w:pPr>
      <w:r w:rsidRPr="005E1103">
        <w:rPr>
          <w:rFonts w:cstheme="minorHAnsi"/>
          <w:sz w:val="28"/>
          <w:szCs w:val="28"/>
        </w:rPr>
        <w:t>Posición M: El sonido se recibe de forma simultánea desde los micrófonos del implante o audífono y el bucle de inducción magnética.</w:t>
      </w:r>
    </w:p>
    <w:p w:rsidR="00033066" w:rsidRPr="005E1103" w:rsidRDefault="00033066" w:rsidP="00033066">
      <w:pPr>
        <w:pStyle w:val="Ttulo2"/>
        <w:rPr>
          <w:rFonts w:asciiTheme="minorHAnsi" w:hAnsiTheme="minorHAnsi" w:cstheme="minorHAnsi"/>
          <w:color w:val="auto"/>
          <w:sz w:val="28"/>
          <w:szCs w:val="28"/>
        </w:rPr>
      </w:pPr>
      <w:r w:rsidRPr="005E1103">
        <w:rPr>
          <w:rFonts w:asciiTheme="minorHAnsi" w:hAnsiTheme="minorHAnsi" w:cstheme="minorHAnsi"/>
          <w:color w:val="auto"/>
          <w:sz w:val="28"/>
          <w:szCs w:val="28"/>
        </w:rPr>
        <w:t>Parámetros evaluados</w:t>
      </w:r>
    </w:p>
    <w:p w:rsidR="00033066" w:rsidRPr="005E1103" w:rsidRDefault="00033066" w:rsidP="00033066">
      <w:pPr>
        <w:rPr>
          <w:rFonts w:cstheme="minorHAnsi"/>
          <w:sz w:val="28"/>
          <w:szCs w:val="28"/>
        </w:rPr>
      </w:pPr>
      <w:r w:rsidRPr="005E1103">
        <w:rPr>
          <w:rFonts w:cstheme="minorHAnsi"/>
          <w:sz w:val="28"/>
          <w:szCs w:val="28"/>
        </w:rPr>
        <w:t>La evaluación se ha realizado en base a cinco preguntas cuyas respuestas son subjetivas. La escala de valoración de cada pregunta consiste en cuatro valores: muy mala (1), mala (2), buena (3) y muy buena (4). Los parámetros subjetivos evaluados han sido los siguientes:</w:t>
      </w:r>
    </w:p>
    <w:p w:rsidR="00033066" w:rsidRPr="005E1103" w:rsidRDefault="00033066" w:rsidP="00033066">
      <w:pPr>
        <w:pStyle w:val="Prrafodelista"/>
        <w:numPr>
          <w:ilvl w:val="0"/>
          <w:numId w:val="126"/>
        </w:numPr>
        <w:spacing w:after="120" w:line="360" w:lineRule="auto"/>
        <w:jc w:val="both"/>
        <w:rPr>
          <w:rFonts w:asciiTheme="minorHAnsi" w:hAnsiTheme="minorHAnsi" w:cstheme="minorHAnsi"/>
          <w:sz w:val="28"/>
          <w:szCs w:val="28"/>
        </w:rPr>
      </w:pPr>
      <w:r w:rsidRPr="005E1103">
        <w:rPr>
          <w:rFonts w:asciiTheme="minorHAnsi" w:hAnsiTheme="minorHAnsi" w:cstheme="minorHAnsi"/>
          <w:b/>
          <w:sz w:val="28"/>
          <w:szCs w:val="28"/>
        </w:rPr>
        <w:t>Retardo</w:t>
      </w:r>
      <w:r w:rsidRPr="005E1103">
        <w:rPr>
          <w:rFonts w:asciiTheme="minorHAnsi" w:hAnsiTheme="minorHAnsi" w:cstheme="minorHAnsi"/>
          <w:sz w:val="28"/>
          <w:szCs w:val="28"/>
        </w:rPr>
        <w:t>: Tiempo transcurrido desde que el profesor mueve los labios y el alumno lo escucha.</w:t>
      </w:r>
    </w:p>
    <w:p w:rsidR="00033066" w:rsidRPr="005E1103" w:rsidRDefault="00033066" w:rsidP="00033066">
      <w:pPr>
        <w:pStyle w:val="Prrafodelista"/>
        <w:numPr>
          <w:ilvl w:val="0"/>
          <w:numId w:val="126"/>
        </w:numPr>
        <w:spacing w:after="120" w:line="360" w:lineRule="auto"/>
        <w:jc w:val="both"/>
        <w:rPr>
          <w:rFonts w:asciiTheme="minorHAnsi" w:hAnsiTheme="minorHAnsi" w:cstheme="minorHAnsi"/>
          <w:sz w:val="28"/>
          <w:szCs w:val="28"/>
        </w:rPr>
      </w:pPr>
      <w:r w:rsidRPr="005E1103">
        <w:rPr>
          <w:rFonts w:asciiTheme="minorHAnsi" w:hAnsiTheme="minorHAnsi" w:cstheme="minorHAnsi"/>
          <w:b/>
          <w:sz w:val="28"/>
          <w:szCs w:val="28"/>
        </w:rPr>
        <w:t>Calidad</w:t>
      </w:r>
      <w:r w:rsidRPr="005E1103">
        <w:rPr>
          <w:rFonts w:asciiTheme="minorHAnsi" w:hAnsiTheme="minorHAnsi" w:cstheme="minorHAnsi"/>
          <w:sz w:val="28"/>
          <w:szCs w:val="28"/>
        </w:rPr>
        <w:t>: Inteligibilidad y calidad de la voz del profesor.</w:t>
      </w:r>
    </w:p>
    <w:p w:rsidR="00033066" w:rsidRPr="005E1103" w:rsidRDefault="00033066" w:rsidP="00033066">
      <w:pPr>
        <w:pStyle w:val="Prrafodelista"/>
        <w:numPr>
          <w:ilvl w:val="0"/>
          <w:numId w:val="126"/>
        </w:numPr>
        <w:spacing w:after="120" w:line="360" w:lineRule="auto"/>
        <w:jc w:val="both"/>
        <w:rPr>
          <w:rFonts w:asciiTheme="minorHAnsi" w:hAnsiTheme="minorHAnsi" w:cstheme="minorHAnsi"/>
          <w:sz w:val="28"/>
          <w:szCs w:val="28"/>
        </w:rPr>
      </w:pPr>
      <w:r w:rsidRPr="005E1103">
        <w:rPr>
          <w:rFonts w:asciiTheme="minorHAnsi" w:hAnsiTheme="minorHAnsi" w:cstheme="minorHAnsi"/>
          <w:b/>
          <w:sz w:val="28"/>
          <w:szCs w:val="28"/>
        </w:rPr>
        <w:t>Seguimiento</w:t>
      </w:r>
      <w:r w:rsidRPr="005E1103">
        <w:rPr>
          <w:rFonts w:asciiTheme="minorHAnsi" w:hAnsiTheme="minorHAnsi" w:cstheme="minorHAnsi"/>
          <w:sz w:val="28"/>
          <w:szCs w:val="28"/>
        </w:rPr>
        <w:t>: Capacidad para seguir y entender las explicaciones del profesor.</w:t>
      </w:r>
    </w:p>
    <w:p w:rsidR="00033066" w:rsidRPr="005E1103" w:rsidRDefault="00033066" w:rsidP="00033066">
      <w:pPr>
        <w:pStyle w:val="Prrafodelista"/>
        <w:numPr>
          <w:ilvl w:val="0"/>
          <w:numId w:val="126"/>
        </w:numPr>
        <w:spacing w:after="120" w:line="360" w:lineRule="auto"/>
        <w:jc w:val="both"/>
        <w:rPr>
          <w:rFonts w:asciiTheme="minorHAnsi" w:hAnsiTheme="minorHAnsi" w:cstheme="minorHAnsi"/>
          <w:sz w:val="28"/>
          <w:szCs w:val="28"/>
        </w:rPr>
      </w:pPr>
      <w:r w:rsidRPr="005E1103">
        <w:rPr>
          <w:rFonts w:asciiTheme="minorHAnsi" w:hAnsiTheme="minorHAnsi" w:cstheme="minorHAnsi"/>
          <w:b/>
          <w:sz w:val="28"/>
          <w:szCs w:val="28"/>
        </w:rPr>
        <w:t>Interacción</w:t>
      </w:r>
      <w:r w:rsidRPr="005E1103">
        <w:rPr>
          <w:rFonts w:asciiTheme="minorHAnsi" w:hAnsiTheme="minorHAnsi" w:cstheme="minorHAnsi"/>
          <w:sz w:val="28"/>
          <w:szCs w:val="28"/>
        </w:rPr>
        <w:t>: Capacidad de comunicación del alumno con los compañeros de clase mientras utiliza la aplicación.</w:t>
      </w:r>
    </w:p>
    <w:p w:rsidR="00033066" w:rsidRPr="005E1103" w:rsidRDefault="00033066" w:rsidP="00033066">
      <w:pPr>
        <w:pStyle w:val="Prrafodelista"/>
        <w:numPr>
          <w:ilvl w:val="0"/>
          <w:numId w:val="126"/>
        </w:numPr>
        <w:spacing w:after="120" w:line="360" w:lineRule="auto"/>
        <w:jc w:val="both"/>
        <w:rPr>
          <w:rFonts w:asciiTheme="minorHAnsi" w:hAnsiTheme="minorHAnsi" w:cstheme="minorHAnsi"/>
          <w:sz w:val="28"/>
          <w:szCs w:val="28"/>
        </w:rPr>
      </w:pPr>
      <w:r w:rsidRPr="005E1103">
        <w:rPr>
          <w:rFonts w:asciiTheme="minorHAnsi" w:hAnsiTheme="minorHAnsi" w:cstheme="minorHAnsi"/>
          <w:b/>
          <w:sz w:val="28"/>
          <w:szCs w:val="28"/>
        </w:rPr>
        <w:t>Usabilidad</w:t>
      </w:r>
      <w:r w:rsidRPr="005E1103">
        <w:rPr>
          <w:rFonts w:asciiTheme="minorHAnsi" w:hAnsiTheme="minorHAnsi" w:cstheme="minorHAnsi"/>
          <w:sz w:val="28"/>
          <w:szCs w:val="28"/>
        </w:rPr>
        <w:t>: Facilidad de uso de la aplicación.</w:t>
      </w:r>
    </w:p>
    <w:p w:rsidR="00033066" w:rsidRPr="005E1103" w:rsidRDefault="00033066" w:rsidP="00033066">
      <w:pPr>
        <w:rPr>
          <w:rFonts w:cstheme="minorHAnsi"/>
          <w:sz w:val="28"/>
          <w:szCs w:val="28"/>
        </w:rPr>
      </w:pPr>
      <w:r w:rsidRPr="005E1103">
        <w:rPr>
          <w:rFonts w:cstheme="minorHAnsi"/>
          <w:sz w:val="28"/>
          <w:szCs w:val="28"/>
        </w:rPr>
        <w:t>Asimismo, en cada cuestionario se ha incluido una caja de texto en la que el alumno puede agregar cualquier otro comentario sobre la aplicación.</w:t>
      </w:r>
    </w:p>
    <w:p w:rsidR="00033066" w:rsidRPr="005E1103" w:rsidRDefault="00033066" w:rsidP="00033066">
      <w:pPr>
        <w:pStyle w:val="Ttulo2"/>
        <w:rPr>
          <w:rFonts w:asciiTheme="minorHAnsi" w:hAnsiTheme="minorHAnsi" w:cstheme="minorHAnsi"/>
          <w:color w:val="auto"/>
          <w:sz w:val="28"/>
          <w:szCs w:val="28"/>
        </w:rPr>
      </w:pPr>
      <w:r w:rsidRPr="005E1103">
        <w:rPr>
          <w:rFonts w:asciiTheme="minorHAnsi" w:hAnsiTheme="minorHAnsi" w:cstheme="minorHAnsi"/>
          <w:color w:val="auto"/>
          <w:sz w:val="28"/>
          <w:szCs w:val="28"/>
        </w:rPr>
        <w:t>Equipamiento</w:t>
      </w:r>
    </w:p>
    <w:p w:rsidR="00033066" w:rsidRPr="005E1103" w:rsidRDefault="00033066" w:rsidP="00033066">
      <w:pPr>
        <w:rPr>
          <w:rFonts w:cstheme="minorHAnsi"/>
          <w:sz w:val="28"/>
          <w:szCs w:val="28"/>
        </w:rPr>
      </w:pPr>
      <w:r w:rsidRPr="005E1103">
        <w:rPr>
          <w:rFonts w:cstheme="minorHAnsi"/>
          <w:sz w:val="28"/>
          <w:szCs w:val="28"/>
        </w:rPr>
        <w:t>Durante la evaluación se han utilizado dos equipamientos diferentes para procesar y distribuir la voz del docente.</w:t>
      </w:r>
    </w:p>
    <w:p w:rsidR="00033066" w:rsidRPr="005E1103" w:rsidRDefault="00033066" w:rsidP="00033066">
      <w:pPr>
        <w:rPr>
          <w:rFonts w:cstheme="minorHAnsi"/>
          <w:sz w:val="28"/>
          <w:szCs w:val="28"/>
        </w:rPr>
      </w:pPr>
    </w:p>
    <w:p w:rsidR="00033066" w:rsidRPr="005E1103" w:rsidRDefault="00033066" w:rsidP="00033066">
      <w:pPr>
        <w:pStyle w:val="Piedeimagen"/>
        <w:jc w:val="left"/>
        <w:rPr>
          <w:rFonts w:asciiTheme="minorHAnsi" w:hAnsiTheme="minorHAnsi" w:cstheme="minorHAnsi"/>
          <w:sz w:val="28"/>
          <w:szCs w:val="28"/>
        </w:rPr>
      </w:pPr>
      <w:r w:rsidRPr="005E1103">
        <w:rPr>
          <w:rFonts w:asciiTheme="minorHAnsi" w:hAnsiTheme="minorHAnsi" w:cstheme="minorHAnsi"/>
          <w:sz w:val="28"/>
          <w:szCs w:val="28"/>
        </w:rPr>
        <w:t>Tabla 1. Equipamiento utilizado.</w:t>
      </w:r>
    </w:p>
    <w:tbl>
      <w:tblPr>
        <w:tblW w:w="78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Equipamiento utilizado"/>
        <w:tblDescription w:val="Se han utilizado dos configuraciones diferentes durante las pruebas: una primera formada por un ordenador de sobremesa y un router de altas prestaciones y una segunda compuesta por un ordenador portátitl y un router portátil de gama media."/>
      </w:tblPr>
      <w:tblGrid>
        <w:gridCol w:w="1571"/>
        <w:gridCol w:w="2977"/>
        <w:gridCol w:w="3260"/>
      </w:tblGrid>
      <w:tr w:rsidR="00033066" w:rsidRPr="005E1103" w:rsidTr="00033066">
        <w:trPr>
          <w:trHeight w:val="454"/>
          <w:jc w:val="center"/>
        </w:trPr>
        <w:tc>
          <w:tcPr>
            <w:tcW w:w="1571" w:type="dxa"/>
            <w:shd w:val="clear" w:color="auto" w:fill="auto"/>
            <w:noWrap/>
            <w:tcMar>
              <w:top w:w="85" w:type="dxa"/>
              <w:left w:w="85" w:type="dxa"/>
              <w:bottom w:w="85" w:type="dxa"/>
              <w:right w:w="85" w:type="dxa"/>
            </w:tcMar>
            <w:vAlign w:val="center"/>
            <w:hideMark/>
          </w:tcPr>
          <w:p w:rsidR="00033066" w:rsidRPr="005E1103" w:rsidRDefault="00033066" w:rsidP="00033066">
            <w:pPr>
              <w:pStyle w:val="TextoTabla"/>
              <w:jc w:val="center"/>
              <w:rPr>
                <w:rFonts w:asciiTheme="minorHAnsi" w:hAnsiTheme="minorHAnsi" w:cstheme="minorHAnsi"/>
                <w:i/>
                <w:sz w:val="28"/>
                <w:szCs w:val="28"/>
              </w:rPr>
            </w:pPr>
          </w:p>
        </w:tc>
        <w:tc>
          <w:tcPr>
            <w:tcW w:w="2977" w:type="dxa"/>
            <w:shd w:val="clear" w:color="auto" w:fill="auto"/>
            <w:noWrap/>
            <w:tcMar>
              <w:top w:w="85" w:type="dxa"/>
              <w:left w:w="85" w:type="dxa"/>
              <w:bottom w:w="85" w:type="dxa"/>
              <w:right w:w="85" w:type="dxa"/>
            </w:tcMar>
            <w:vAlign w:val="center"/>
            <w:hideMark/>
          </w:tcPr>
          <w:p w:rsidR="00033066" w:rsidRPr="005E1103" w:rsidRDefault="00033066" w:rsidP="00033066">
            <w:pPr>
              <w:pStyle w:val="TextoTabla"/>
              <w:jc w:val="center"/>
              <w:rPr>
                <w:rFonts w:asciiTheme="minorHAnsi" w:hAnsiTheme="minorHAnsi" w:cstheme="minorHAnsi"/>
                <w:i/>
                <w:sz w:val="28"/>
                <w:szCs w:val="28"/>
              </w:rPr>
            </w:pPr>
            <w:r w:rsidRPr="005E1103">
              <w:rPr>
                <w:rFonts w:asciiTheme="minorHAnsi" w:hAnsiTheme="minorHAnsi" w:cstheme="minorHAnsi"/>
                <w:i/>
                <w:sz w:val="28"/>
                <w:szCs w:val="28"/>
              </w:rPr>
              <w:t>Ordenador</w:t>
            </w:r>
          </w:p>
        </w:tc>
        <w:tc>
          <w:tcPr>
            <w:tcW w:w="3260" w:type="dxa"/>
            <w:vAlign w:val="center"/>
          </w:tcPr>
          <w:p w:rsidR="00033066" w:rsidRPr="005E1103" w:rsidRDefault="00033066" w:rsidP="00033066">
            <w:pPr>
              <w:pStyle w:val="TextoTabla"/>
              <w:jc w:val="center"/>
              <w:rPr>
                <w:rFonts w:asciiTheme="minorHAnsi" w:hAnsiTheme="minorHAnsi" w:cstheme="minorHAnsi"/>
                <w:i/>
                <w:sz w:val="28"/>
                <w:szCs w:val="28"/>
              </w:rPr>
            </w:pPr>
            <w:r w:rsidRPr="005E1103">
              <w:rPr>
                <w:rFonts w:asciiTheme="minorHAnsi" w:hAnsiTheme="minorHAnsi" w:cstheme="minorHAnsi"/>
                <w:i/>
                <w:sz w:val="28"/>
                <w:szCs w:val="28"/>
              </w:rPr>
              <w:t>Router</w:t>
            </w:r>
          </w:p>
        </w:tc>
      </w:tr>
      <w:tr w:rsidR="00033066" w:rsidRPr="005E1103" w:rsidTr="00033066">
        <w:trPr>
          <w:trHeight w:val="454"/>
          <w:jc w:val="center"/>
        </w:trPr>
        <w:tc>
          <w:tcPr>
            <w:tcW w:w="1571" w:type="dxa"/>
            <w:shd w:val="clear" w:color="auto" w:fill="auto"/>
            <w:noWrap/>
            <w:tcMar>
              <w:top w:w="85" w:type="dxa"/>
              <w:left w:w="85" w:type="dxa"/>
              <w:bottom w:w="85" w:type="dxa"/>
              <w:right w:w="85" w:type="dxa"/>
            </w:tcMar>
            <w:vAlign w:val="center"/>
          </w:tcPr>
          <w:p w:rsidR="00033066" w:rsidRPr="005E1103" w:rsidRDefault="00033066" w:rsidP="00033066">
            <w:pPr>
              <w:pStyle w:val="TextoTabla"/>
              <w:jc w:val="center"/>
              <w:rPr>
                <w:rFonts w:asciiTheme="minorHAnsi" w:hAnsiTheme="minorHAnsi" w:cstheme="minorHAnsi"/>
                <w:i/>
                <w:sz w:val="28"/>
                <w:szCs w:val="28"/>
              </w:rPr>
            </w:pPr>
            <w:r w:rsidRPr="005E1103">
              <w:rPr>
                <w:rFonts w:asciiTheme="minorHAnsi" w:hAnsiTheme="minorHAnsi" w:cstheme="minorHAnsi"/>
                <w:i/>
                <w:sz w:val="28"/>
                <w:szCs w:val="28"/>
              </w:rPr>
              <w:lastRenderedPageBreak/>
              <w:t>Configuración 1</w:t>
            </w:r>
          </w:p>
        </w:tc>
        <w:tc>
          <w:tcPr>
            <w:tcW w:w="2977" w:type="dxa"/>
            <w:shd w:val="clear" w:color="auto" w:fill="auto"/>
            <w:noWrap/>
            <w:tcMar>
              <w:top w:w="85" w:type="dxa"/>
              <w:left w:w="85" w:type="dxa"/>
              <w:bottom w:w="85" w:type="dxa"/>
              <w:right w:w="85" w:type="dxa"/>
            </w:tcMar>
            <w:vAlign w:val="center"/>
            <w:hideMark/>
          </w:tcPr>
          <w:p w:rsidR="00033066" w:rsidRPr="005E1103" w:rsidRDefault="00033066" w:rsidP="00033066">
            <w:pPr>
              <w:pStyle w:val="TextoTabla"/>
              <w:rPr>
                <w:rFonts w:asciiTheme="minorHAnsi" w:hAnsiTheme="minorHAnsi" w:cstheme="minorHAnsi"/>
                <w:sz w:val="28"/>
                <w:szCs w:val="28"/>
              </w:rPr>
            </w:pPr>
            <w:r w:rsidRPr="005E1103">
              <w:rPr>
                <w:rFonts w:asciiTheme="minorHAnsi" w:hAnsiTheme="minorHAnsi" w:cstheme="minorHAnsi"/>
                <w:sz w:val="28"/>
                <w:szCs w:val="28"/>
              </w:rPr>
              <w:t>Ordenador de sobremesa:</w:t>
            </w:r>
          </w:p>
          <w:p w:rsidR="00033066" w:rsidRPr="005E1103" w:rsidRDefault="00033066" w:rsidP="00033066">
            <w:pPr>
              <w:pStyle w:val="TextoTabla"/>
              <w:rPr>
                <w:rFonts w:asciiTheme="minorHAnsi" w:hAnsiTheme="minorHAnsi" w:cstheme="minorHAnsi"/>
                <w:sz w:val="28"/>
                <w:szCs w:val="28"/>
              </w:rPr>
            </w:pPr>
            <w:r w:rsidRPr="005E1103">
              <w:rPr>
                <w:rFonts w:asciiTheme="minorHAnsi" w:hAnsiTheme="minorHAnsi" w:cstheme="minorHAnsi"/>
                <w:sz w:val="28"/>
                <w:szCs w:val="28"/>
              </w:rPr>
              <w:t>· Intel Core i5 @ 3 GHz.</w:t>
            </w:r>
          </w:p>
          <w:p w:rsidR="00033066" w:rsidRPr="005E1103" w:rsidRDefault="00033066" w:rsidP="00033066">
            <w:pPr>
              <w:pStyle w:val="TextoTabla"/>
              <w:rPr>
                <w:rFonts w:asciiTheme="minorHAnsi" w:hAnsiTheme="minorHAnsi" w:cstheme="minorHAnsi"/>
                <w:sz w:val="28"/>
                <w:szCs w:val="28"/>
              </w:rPr>
            </w:pPr>
            <w:r w:rsidRPr="005E1103">
              <w:rPr>
                <w:rFonts w:asciiTheme="minorHAnsi" w:hAnsiTheme="minorHAnsi" w:cstheme="minorHAnsi"/>
                <w:sz w:val="28"/>
                <w:szCs w:val="28"/>
              </w:rPr>
              <w:t>· 8 GB de RAM.</w:t>
            </w:r>
          </w:p>
          <w:p w:rsidR="00033066" w:rsidRPr="005E1103" w:rsidRDefault="00033066" w:rsidP="00033066">
            <w:pPr>
              <w:pStyle w:val="TextoTabla"/>
              <w:rPr>
                <w:rFonts w:asciiTheme="minorHAnsi" w:hAnsiTheme="minorHAnsi" w:cstheme="minorHAnsi"/>
                <w:sz w:val="28"/>
                <w:szCs w:val="28"/>
              </w:rPr>
            </w:pPr>
            <w:r w:rsidRPr="005E1103">
              <w:rPr>
                <w:rFonts w:asciiTheme="minorHAnsi" w:hAnsiTheme="minorHAnsi" w:cstheme="minorHAnsi"/>
                <w:sz w:val="28"/>
                <w:szCs w:val="28"/>
              </w:rPr>
              <w:t>· Windows 10.</w:t>
            </w:r>
          </w:p>
        </w:tc>
        <w:tc>
          <w:tcPr>
            <w:tcW w:w="3260" w:type="dxa"/>
            <w:noWrap/>
            <w:vAlign w:val="center"/>
          </w:tcPr>
          <w:p w:rsidR="00033066" w:rsidRPr="005E1103" w:rsidRDefault="00033066" w:rsidP="00033066">
            <w:pPr>
              <w:pStyle w:val="TextoTabla"/>
              <w:rPr>
                <w:rFonts w:asciiTheme="minorHAnsi" w:hAnsiTheme="minorHAnsi" w:cstheme="minorHAnsi"/>
                <w:sz w:val="28"/>
                <w:szCs w:val="28"/>
                <w:lang w:val="en-US"/>
              </w:rPr>
            </w:pPr>
            <w:r w:rsidRPr="005E1103">
              <w:rPr>
                <w:rFonts w:asciiTheme="minorHAnsi" w:hAnsiTheme="minorHAnsi" w:cstheme="minorHAnsi"/>
                <w:sz w:val="28"/>
                <w:szCs w:val="28"/>
                <w:lang w:val="en-US"/>
              </w:rPr>
              <w:t>Router ASUS RT-AC87U</w:t>
            </w:r>
            <w:r w:rsidRPr="005E1103">
              <w:rPr>
                <w:rStyle w:val="Refdenotaalpie"/>
                <w:rFonts w:asciiTheme="minorHAnsi" w:hAnsiTheme="minorHAnsi" w:cstheme="minorHAnsi"/>
                <w:sz w:val="28"/>
                <w:szCs w:val="28"/>
              </w:rPr>
              <w:footnoteReference w:id="70"/>
            </w:r>
            <w:r w:rsidRPr="005E1103">
              <w:rPr>
                <w:rFonts w:asciiTheme="minorHAnsi" w:hAnsiTheme="minorHAnsi" w:cstheme="minorHAnsi"/>
                <w:sz w:val="28"/>
                <w:szCs w:val="28"/>
                <w:lang w:val="en-US"/>
              </w:rPr>
              <w:t>:</w:t>
            </w:r>
          </w:p>
          <w:p w:rsidR="00033066" w:rsidRPr="005E1103" w:rsidRDefault="00033066" w:rsidP="00033066">
            <w:pPr>
              <w:pStyle w:val="TextoTabla"/>
              <w:rPr>
                <w:rFonts w:asciiTheme="minorHAnsi" w:hAnsiTheme="minorHAnsi" w:cstheme="minorHAnsi"/>
                <w:sz w:val="28"/>
                <w:szCs w:val="28"/>
                <w:lang w:val="en-US"/>
              </w:rPr>
            </w:pPr>
            <w:r w:rsidRPr="005E1103">
              <w:rPr>
                <w:rFonts w:asciiTheme="minorHAnsi" w:hAnsiTheme="minorHAnsi" w:cstheme="minorHAnsi"/>
                <w:sz w:val="28"/>
                <w:szCs w:val="28"/>
                <w:lang w:val="en-US"/>
              </w:rPr>
              <w:t>· Dual band 2.4 y 5 GHz.</w:t>
            </w:r>
          </w:p>
          <w:p w:rsidR="00033066" w:rsidRPr="005E1103" w:rsidRDefault="00033066" w:rsidP="00033066">
            <w:pPr>
              <w:pStyle w:val="TextoTabla"/>
              <w:rPr>
                <w:rFonts w:asciiTheme="minorHAnsi" w:hAnsiTheme="minorHAnsi" w:cstheme="minorHAnsi"/>
                <w:sz w:val="28"/>
                <w:szCs w:val="28"/>
              </w:rPr>
            </w:pPr>
            <w:r w:rsidRPr="005E1103">
              <w:rPr>
                <w:rFonts w:asciiTheme="minorHAnsi" w:hAnsiTheme="minorHAnsi" w:cstheme="minorHAnsi"/>
                <w:sz w:val="28"/>
                <w:szCs w:val="28"/>
              </w:rPr>
              <w:t>· Ancho de banda de 2.3 Gbps.</w:t>
            </w:r>
          </w:p>
          <w:p w:rsidR="00033066" w:rsidRPr="005E1103" w:rsidRDefault="00033066" w:rsidP="00033066">
            <w:pPr>
              <w:pStyle w:val="TextoTabla"/>
              <w:rPr>
                <w:rFonts w:asciiTheme="minorHAnsi" w:hAnsiTheme="minorHAnsi" w:cstheme="minorHAnsi"/>
                <w:sz w:val="28"/>
                <w:szCs w:val="28"/>
              </w:rPr>
            </w:pPr>
            <w:r w:rsidRPr="005E1103">
              <w:rPr>
                <w:rFonts w:asciiTheme="minorHAnsi" w:hAnsiTheme="minorHAnsi" w:cstheme="minorHAnsi"/>
                <w:sz w:val="28"/>
                <w:szCs w:val="28"/>
              </w:rPr>
              <w:t>· MIMO 4x4 y 465 m</w:t>
            </w:r>
            <w:r w:rsidRPr="005E1103">
              <w:rPr>
                <w:rFonts w:asciiTheme="minorHAnsi" w:hAnsiTheme="minorHAnsi" w:cstheme="minorHAnsi"/>
                <w:sz w:val="28"/>
                <w:szCs w:val="28"/>
                <w:vertAlign w:val="superscript"/>
              </w:rPr>
              <w:t>2</w:t>
            </w:r>
            <w:r w:rsidRPr="005E1103">
              <w:rPr>
                <w:rFonts w:asciiTheme="minorHAnsi" w:hAnsiTheme="minorHAnsi" w:cstheme="minorHAnsi"/>
                <w:sz w:val="28"/>
                <w:szCs w:val="28"/>
              </w:rPr>
              <w:t xml:space="preserve"> de cobertura.</w:t>
            </w:r>
          </w:p>
        </w:tc>
      </w:tr>
      <w:tr w:rsidR="00033066" w:rsidRPr="005E1103" w:rsidTr="00033066">
        <w:trPr>
          <w:trHeight w:val="454"/>
          <w:jc w:val="center"/>
        </w:trPr>
        <w:tc>
          <w:tcPr>
            <w:tcW w:w="1571" w:type="dxa"/>
            <w:shd w:val="clear" w:color="auto" w:fill="auto"/>
            <w:noWrap/>
            <w:tcMar>
              <w:top w:w="85" w:type="dxa"/>
              <w:left w:w="85" w:type="dxa"/>
              <w:bottom w:w="85" w:type="dxa"/>
              <w:right w:w="85" w:type="dxa"/>
            </w:tcMar>
            <w:vAlign w:val="center"/>
          </w:tcPr>
          <w:p w:rsidR="00033066" w:rsidRPr="005E1103" w:rsidRDefault="00033066" w:rsidP="00033066">
            <w:pPr>
              <w:pStyle w:val="TextoTabla"/>
              <w:jc w:val="center"/>
              <w:rPr>
                <w:rFonts w:asciiTheme="minorHAnsi" w:hAnsiTheme="minorHAnsi" w:cstheme="minorHAnsi"/>
                <w:i/>
                <w:sz w:val="28"/>
                <w:szCs w:val="28"/>
              </w:rPr>
            </w:pPr>
            <w:r w:rsidRPr="005E1103">
              <w:rPr>
                <w:rFonts w:asciiTheme="minorHAnsi" w:hAnsiTheme="minorHAnsi" w:cstheme="minorHAnsi"/>
                <w:i/>
                <w:sz w:val="28"/>
                <w:szCs w:val="28"/>
              </w:rPr>
              <w:t>Configuración 2</w:t>
            </w:r>
          </w:p>
        </w:tc>
        <w:tc>
          <w:tcPr>
            <w:tcW w:w="2977" w:type="dxa"/>
            <w:shd w:val="clear" w:color="auto" w:fill="auto"/>
            <w:noWrap/>
            <w:tcMar>
              <w:top w:w="85" w:type="dxa"/>
              <w:left w:w="85" w:type="dxa"/>
              <w:bottom w:w="85" w:type="dxa"/>
              <w:right w:w="85" w:type="dxa"/>
            </w:tcMar>
            <w:vAlign w:val="center"/>
            <w:hideMark/>
          </w:tcPr>
          <w:p w:rsidR="00033066" w:rsidRPr="005E1103" w:rsidRDefault="00033066" w:rsidP="00033066">
            <w:pPr>
              <w:pStyle w:val="TextoTabla"/>
              <w:rPr>
                <w:rFonts w:asciiTheme="minorHAnsi" w:hAnsiTheme="minorHAnsi" w:cstheme="minorHAnsi"/>
                <w:sz w:val="28"/>
                <w:szCs w:val="28"/>
              </w:rPr>
            </w:pPr>
            <w:r w:rsidRPr="005E1103">
              <w:rPr>
                <w:rFonts w:asciiTheme="minorHAnsi" w:hAnsiTheme="minorHAnsi" w:cstheme="minorHAnsi"/>
                <w:sz w:val="28"/>
                <w:szCs w:val="28"/>
              </w:rPr>
              <w:t>Ordenador portátil:</w:t>
            </w:r>
          </w:p>
          <w:p w:rsidR="00033066" w:rsidRPr="005E1103" w:rsidRDefault="00033066" w:rsidP="00033066">
            <w:pPr>
              <w:pStyle w:val="TextoTabla"/>
              <w:rPr>
                <w:rFonts w:asciiTheme="minorHAnsi" w:hAnsiTheme="minorHAnsi" w:cstheme="minorHAnsi"/>
                <w:sz w:val="28"/>
                <w:szCs w:val="28"/>
              </w:rPr>
            </w:pPr>
            <w:r w:rsidRPr="005E1103">
              <w:rPr>
                <w:rFonts w:asciiTheme="minorHAnsi" w:hAnsiTheme="minorHAnsi" w:cstheme="minorHAnsi"/>
                <w:sz w:val="28"/>
                <w:szCs w:val="28"/>
              </w:rPr>
              <w:t>· Intel Core i5 @ 2.79 GHz.</w:t>
            </w:r>
          </w:p>
          <w:p w:rsidR="00033066" w:rsidRPr="005E1103" w:rsidRDefault="00033066" w:rsidP="00033066">
            <w:pPr>
              <w:pStyle w:val="TextoTabla"/>
              <w:rPr>
                <w:rFonts w:asciiTheme="minorHAnsi" w:hAnsiTheme="minorHAnsi" w:cstheme="minorHAnsi"/>
                <w:sz w:val="28"/>
                <w:szCs w:val="28"/>
              </w:rPr>
            </w:pPr>
            <w:r w:rsidRPr="005E1103">
              <w:rPr>
                <w:rFonts w:asciiTheme="minorHAnsi" w:hAnsiTheme="minorHAnsi" w:cstheme="minorHAnsi"/>
                <w:sz w:val="28"/>
                <w:szCs w:val="28"/>
              </w:rPr>
              <w:t>· 4 GB de RAM.</w:t>
            </w:r>
          </w:p>
          <w:p w:rsidR="00033066" w:rsidRPr="005E1103" w:rsidRDefault="00033066" w:rsidP="00033066">
            <w:pPr>
              <w:pStyle w:val="TextoTabla"/>
              <w:rPr>
                <w:rFonts w:asciiTheme="minorHAnsi" w:hAnsiTheme="minorHAnsi" w:cstheme="minorHAnsi"/>
                <w:sz w:val="28"/>
                <w:szCs w:val="28"/>
              </w:rPr>
            </w:pPr>
            <w:r w:rsidRPr="005E1103">
              <w:rPr>
                <w:rFonts w:asciiTheme="minorHAnsi" w:hAnsiTheme="minorHAnsi" w:cstheme="minorHAnsi"/>
                <w:sz w:val="28"/>
                <w:szCs w:val="28"/>
              </w:rPr>
              <w:t>· Windows 10.</w:t>
            </w:r>
          </w:p>
        </w:tc>
        <w:tc>
          <w:tcPr>
            <w:tcW w:w="3260" w:type="dxa"/>
            <w:noWrap/>
            <w:vAlign w:val="center"/>
          </w:tcPr>
          <w:p w:rsidR="00033066" w:rsidRPr="005E1103" w:rsidRDefault="00033066" w:rsidP="00033066">
            <w:pPr>
              <w:pStyle w:val="TextoTabla"/>
              <w:rPr>
                <w:rFonts w:asciiTheme="minorHAnsi" w:hAnsiTheme="minorHAnsi" w:cstheme="minorHAnsi"/>
                <w:sz w:val="28"/>
                <w:szCs w:val="28"/>
                <w:lang w:val="en-US"/>
              </w:rPr>
            </w:pPr>
            <w:r w:rsidRPr="005E1103">
              <w:rPr>
                <w:rFonts w:asciiTheme="minorHAnsi" w:hAnsiTheme="minorHAnsi" w:cstheme="minorHAnsi"/>
                <w:sz w:val="28"/>
                <w:szCs w:val="28"/>
                <w:lang w:val="en-US"/>
              </w:rPr>
              <w:t>Router TP-Link TL-WR710N</w:t>
            </w:r>
            <w:r w:rsidRPr="005E1103">
              <w:rPr>
                <w:rStyle w:val="Refdenotaalpie"/>
                <w:rFonts w:asciiTheme="minorHAnsi" w:hAnsiTheme="minorHAnsi" w:cstheme="minorHAnsi"/>
                <w:sz w:val="28"/>
                <w:szCs w:val="28"/>
              </w:rPr>
              <w:footnoteReference w:id="71"/>
            </w:r>
            <w:r w:rsidRPr="005E1103">
              <w:rPr>
                <w:rFonts w:asciiTheme="minorHAnsi" w:hAnsiTheme="minorHAnsi" w:cstheme="minorHAnsi"/>
                <w:sz w:val="28"/>
                <w:szCs w:val="28"/>
                <w:lang w:val="en-US"/>
              </w:rPr>
              <w:t>:</w:t>
            </w:r>
          </w:p>
          <w:p w:rsidR="00033066" w:rsidRPr="005E1103" w:rsidRDefault="00033066" w:rsidP="00033066">
            <w:pPr>
              <w:pStyle w:val="TextoTabla"/>
              <w:rPr>
                <w:rFonts w:asciiTheme="minorHAnsi" w:hAnsiTheme="minorHAnsi" w:cstheme="minorHAnsi"/>
                <w:sz w:val="28"/>
                <w:szCs w:val="28"/>
              </w:rPr>
            </w:pPr>
            <w:r w:rsidRPr="005E1103">
              <w:rPr>
                <w:rFonts w:asciiTheme="minorHAnsi" w:hAnsiTheme="minorHAnsi" w:cstheme="minorHAnsi"/>
                <w:sz w:val="28"/>
                <w:szCs w:val="28"/>
              </w:rPr>
              <w:t>· Router portátil.</w:t>
            </w:r>
          </w:p>
          <w:p w:rsidR="00033066" w:rsidRPr="005E1103" w:rsidRDefault="00033066" w:rsidP="00033066">
            <w:pPr>
              <w:pStyle w:val="TextoTabla"/>
              <w:rPr>
                <w:rFonts w:asciiTheme="minorHAnsi" w:hAnsiTheme="minorHAnsi" w:cstheme="minorHAnsi"/>
                <w:sz w:val="28"/>
                <w:szCs w:val="28"/>
              </w:rPr>
            </w:pPr>
            <w:r w:rsidRPr="005E1103">
              <w:rPr>
                <w:rFonts w:asciiTheme="minorHAnsi" w:hAnsiTheme="minorHAnsi" w:cstheme="minorHAnsi"/>
                <w:sz w:val="28"/>
                <w:szCs w:val="28"/>
              </w:rPr>
              <w:t>· Ancho de banda de 150 Mbps.</w:t>
            </w:r>
          </w:p>
          <w:p w:rsidR="00033066" w:rsidRPr="005E1103" w:rsidRDefault="00033066" w:rsidP="00033066">
            <w:pPr>
              <w:pStyle w:val="TextoTabla"/>
              <w:rPr>
                <w:rFonts w:asciiTheme="minorHAnsi" w:hAnsiTheme="minorHAnsi" w:cstheme="minorHAnsi"/>
                <w:sz w:val="28"/>
                <w:szCs w:val="28"/>
              </w:rPr>
            </w:pPr>
            <w:r w:rsidRPr="005E1103">
              <w:rPr>
                <w:rFonts w:asciiTheme="minorHAnsi" w:hAnsiTheme="minorHAnsi" w:cstheme="minorHAnsi"/>
                <w:sz w:val="28"/>
                <w:szCs w:val="28"/>
              </w:rPr>
              <w:t>· Antena integrada.</w:t>
            </w:r>
          </w:p>
        </w:tc>
      </w:tr>
    </w:tbl>
    <w:p w:rsidR="00033066" w:rsidRPr="005E1103" w:rsidRDefault="00033066" w:rsidP="00033066">
      <w:pPr>
        <w:rPr>
          <w:rFonts w:cstheme="minorHAnsi"/>
          <w:sz w:val="28"/>
          <w:szCs w:val="28"/>
        </w:rPr>
      </w:pPr>
    </w:p>
    <w:p w:rsidR="00033066" w:rsidRPr="005E1103" w:rsidRDefault="00033066" w:rsidP="00033066">
      <w:pPr>
        <w:rPr>
          <w:rFonts w:cstheme="minorHAnsi"/>
          <w:sz w:val="28"/>
          <w:szCs w:val="28"/>
        </w:rPr>
      </w:pPr>
      <w:r w:rsidRPr="005E1103">
        <w:rPr>
          <w:rFonts w:cstheme="minorHAnsi"/>
          <w:sz w:val="28"/>
          <w:szCs w:val="28"/>
        </w:rPr>
        <w:t>De forma complementaria, para recoger la voz se ha empleado el micrófono/auricular Plantronics SAVI W410</w:t>
      </w:r>
      <w:r w:rsidRPr="005E1103">
        <w:rPr>
          <w:rStyle w:val="Refdenotaalpie"/>
          <w:rFonts w:cstheme="minorHAnsi"/>
          <w:sz w:val="28"/>
          <w:szCs w:val="28"/>
        </w:rPr>
        <w:footnoteReference w:id="72"/>
      </w:r>
      <w:r w:rsidRPr="005E1103">
        <w:rPr>
          <w:rFonts w:cstheme="minorHAnsi"/>
          <w:sz w:val="28"/>
          <w:szCs w:val="28"/>
        </w:rPr>
        <w:t>. Éste es un micrófono de diadema inalámbrico que permite la movilidad del profesor por la clase mientras se captura su voz. La figura 1 presenta algunos de los elementos utilizados durante las pruebas.</w:t>
      </w:r>
    </w:p>
    <w:p w:rsidR="00033066" w:rsidRPr="005E1103" w:rsidRDefault="00033066" w:rsidP="00033066">
      <w:pPr>
        <w:rPr>
          <w:rFonts w:cstheme="minorHAnsi"/>
          <w:sz w:val="28"/>
          <w:szCs w:val="28"/>
        </w:rPr>
      </w:pPr>
    </w:p>
    <w:p w:rsidR="00033066" w:rsidRPr="005E1103" w:rsidRDefault="00033066" w:rsidP="00033066">
      <w:pPr>
        <w:jc w:val="center"/>
        <w:rPr>
          <w:rFonts w:cstheme="minorHAnsi"/>
          <w:sz w:val="28"/>
          <w:szCs w:val="28"/>
        </w:rPr>
      </w:pPr>
      <w:r w:rsidRPr="005E1103">
        <w:rPr>
          <w:rFonts w:cstheme="minorHAnsi"/>
          <w:noProof/>
          <w:sz w:val="28"/>
          <w:szCs w:val="28"/>
          <w:lang w:eastAsia="es-ES"/>
        </w:rPr>
        <w:drawing>
          <wp:inline distT="0" distB="0" distL="0" distR="0" wp14:anchorId="3F6ED94D" wp14:editId="1A932DF3">
            <wp:extent cx="2235600" cy="1944000"/>
            <wp:effectExtent l="0" t="0" r="0" b="0"/>
            <wp:docPr id="71" name="Imagen 71" descr="Imagen descriptiva del Router Asus RT-AC87U." title="Router A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20160616_15234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235600" cy="1944000"/>
                    </a:xfrm>
                    <a:prstGeom prst="rect">
                      <a:avLst/>
                    </a:prstGeom>
                    <a:noFill/>
                    <a:ln>
                      <a:noFill/>
                    </a:ln>
                  </pic:spPr>
                </pic:pic>
              </a:graphicData>
            </a:graphic>
          </wp:inline>
        </w:drawing>
      </w:r>
      <w:r w:rsidRPr="005E1103">
        <w:rPr>
          <w:rFonts w:cstheme="minorHAnsi"/>
          <w:sz w:val="28"/>
          <w:szCs w:val="28"/>
        </w:rPr>
        <w:t xml:space="preserve">  </w:t>
      </w:r>
      <w:r w:rsidRPr="005E1103">
        <w:rPr>
          <w:rFonts w:cstheme="minorHAnsi"/>
          <w:noProof/>
          <w:sz w:val="28"/>
          <w:szCs w:val="28"/>
          <w:lang w:eastAsia="es-ES"/>
        </w:rPr>
        <w:drawing>
          <wp:inline distT="0" distB="0" distL="0" distR="0" wp14:anchorId="1B5687FD" wp14:editId="61ABBE0A">
            <wp:extent cx="1344358" cy="1944000"/>
            <wp:effectExtent l="0" t="0" r="8255" b="0"/>
            <wp:docPr id="72" name="Imagen 72" descr="Imagen descriptiva del micrófono inalámbrico Plantronics SAVI W410." title="Micrófono inalámbr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0160616_152446"/>
                    <pic:cNvPicPr>
                      <a:picLocks noChangeAspect="1" noChangeArrowheads="1"/>
                    </pic:cNvPicPr>
                  </pic:nvPicPr>
                  <pic:blipFill>
                    <a:blip r:embed="rId160" cstate="print">
                      <a:extLst>
                        <a:ext uri="{28A0092B-C50C-407E-A947-70E740481C1C}">
                          <a14:useLocalDpi xmlns:a14="http://schemas.microsoft.com/office/drawing/2010/main" val="0"/>
                        </a:ext>
                      </a:extLst>
                    </a:blip>
                    <a:srcRect t="7843" b="11288"/>
                    <a:stretch>
                      <a:fillRect/>
                    </a:stretch>
                  </pic:blipFill>
                  <pic:spPr bwMode="auto">
                    <a:xfrm>
                      <a:off x="0" y="0"/>
                      <a:ext cx="1344358" cy="1944000"/>
                    </a:xfrm>
                    <a:prstGeom prst="rect">
                      <a:avLst/>
                    </a:prstGeom>
                    <a:noFill/>
                    <a:ln>
                      <a:noFill/>
                    </a:ln>
                  </pic:spPr>
                </pic:pic>
              </a:graphicData>
            </a:graphic>
          </wp:inline>
        </w:drawing>
      </w:r>
    </w:p>
    <w:p w:rsidR="00033066" w:rsidRPr="005E1103" w:rsidRDefault="00033066" w:rsidP="00033066">
      <w:pPr>
        <w:pStyle w:val="Piedeimagen"/>
        <w:rPr>
          <w:rFonts w:asciiTheme="minorHAnsi" w:hAnsiTheme="minorHAnsi" w:cstheme="minorHAnsi"/>
          <w:sz w:val="28"/>
          <w:szCs w:val="28"/>
        </w:rPr>
      </w:pPr>
      <w:r w:rsidRPr="005E1103">
        <w:rPr>
          <w:rFonts w:asciiTheme="minorHAnsi" w:hAnsiTheme="minorHAnsi" w:cstheme="minorHAnsi"/>
          <w:sz w:val="28"/>
          <w:szCs w:val="28"/>
        </w:rPr>
        <w:lastRenderedPageBreak/>
        <w:t>Figura 1. Equipamiento utilizado: router Asus (izquierda) y micrófono inalámbrico Plantronics (derecha).</w:t>
      </w:r>
    </w:p>
    <w:p w:rsidR="00033066" w:rsidRPr="005E1103" w:rsidRDefault="00033066" w:rsidP="00033066">
      <w:pPr>
        <w:rPr>
          <w:rFonts w:cstheme="minorHAnsi"/>
          <w:sz w:val="28"/>
          <w:szCs w:val="28"/>
        </w:rPr>
      </w:pPr>
      <w:r w:rsidRPr="005E1103">
        <w:rPr>
          <w:rFonts w:cstheme="minorHAnsi"/>
          <w:sz w:val="28"/>
          <w:szCs w:val="28"/>
        </w:rPr>
        <w:t>Los estudiantes han utilizado diferentes terminales móviles. Por un lado, se ha prestado un móvil Samsung Galaxy S6 a cada alumno participante de primaria (puesto que no disponen de móvil propio). Y por otro, los alumnos de E.S.O. han utilizado dispositivos propios como iPhone, Huawei, Alcatel, Samsung o BQ.</w:t>
      </w:r>
    </w:p>
    <w:p w:rsidR="00033066" w:rsidRPr="005E1103" w:rsidRDefault="00033066" w:rsidP="00033066">
      <w:pPr>
        <w:pStyle w:val="Ttulo1"/>
        <w:rPr>
          <w:rFonts w:asciiTheme="minorHAnsi" w:hAnsiTheme="minorHAnsi" w:cstheme="minorHAnsi"/>
          <w:color w:val="auto"/>
        </w:rPr>
      </w:pPr>
      <w:r w:rsidRPr="005E1103">
        <w:rPr>
          <w:rFonts w:asciiTheme="minorHAnsi" w:hAnsiTheme="minorHAnsi" w:cstheme="minorHAnsi"/>
          <w:color w:val="auto"/>
        </w:rPr>
        <w:t>Resultados</w:t>
      </w:r>
    </w:p>
    <w:p w:rsidR="00033066" w:rsidRPr="005E1103" w:rsidRDefault="00033066" w:rsidP="00033066">
      <w:pPr>
        <w:rPr>
          <w:rFonts w:cstheme="minorHAnsi"/>
          <w:sz w:val="28"/>
          <w:szCs w:val="28"/>
        </w:rPr>
      </w:pPr>
      <w:r w:rsidRPr="005E1103">
        <w:rPr>
          <w:rFonts w:cstheme="minorHAnsi"/>
          <w:sz w:val="28"/>
          <w:szCs w:val="28"/>
        </w:rPr>
        <w:t>A continuación se presentan los resultados obtenidos tras el análisis de los 32 cuestionarios recibidos (20 de primaria y 12 de secundaria). En general, la impresión subjetiva para la mayoría de los parámetros es buena; sin embargo, se percibe la existencia de bastante retardo. La tabla 2 ofrece un resumen de los principales estadísticos obtenidos para los diferentes parámetros.</w:t>
      </w:r>
    </w:p>
    <w:p w:rsidR="00033066" w:rsidRPr="005E1103" w:rsidRDefault="00033066" w:rsidP="00033066">
      <w:pPr>
        <w:pStyle w:val="Piedeimagen"/>
        <w:jc w:val="left"/>
        <w:rPr>
          <w:rFonts w:asciiTheme="minorHAnsi" w:hAnsiTheme="minorHAnsi" w:cstheme="minorHAnsi"/>
          <w:sz w:val="28"/>
          <w:szCs w:val="28"/>
        </w:rPr>
      </w:pPr>
      <w:r w:rsidRPr="005E1103">
        <w:rPr>
          <w:rFonts w:asciiTheme="minorHAnsi" w:hAnsiTheme="minorHAnsi" w:cstheme="minorHAnsi"/>
          <w:sz w:val="28"/>
          <w:szCs w:val="28"/>
        </w:rPr>
        <w:t>Tabla 2. Análisis estadístico de los parámetros.</w:t>
      </w:r>
    </w:p>
    <w:tbl>
      <w:tblPr>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Análisis estadístico de los parámetros"/>
        <w:tblDescription w:val="Tabla que recoge la media, la mediana y la desviación típica para cada uno de los parámetros evaludos. La impresión subjetiva resultante para cada uno es la siguiente: retardo, bastante; calidad, buena; seguimiento, bien; interacción, buena y usabilidad, buena."/>
      </w:tblPr>
      <w:tblGrid>
        <w:gridCol w:w="1326"/>
        <w:gridCol w:w="1327"/>
        <w:gridCol w:w="1320"/>
        <w:gridCol w:w="1320"/>
        <w:gridCol w:w="1320"/>
        <w:gridCol w:w="1320"/>
      </w:tblGrid>
      <w:tr w:rsidR="00033066" w:rsidRPr="005E1103" w:rsidTr="00033066">
        <w:trPr>
          <w:trHeight w:val="454"/>
          <w:jc w:val="center"/>
        </w:trPr>
        <w:tc>
          <w:tcPr>
            <w:tcW w:w="1326" w:type="dxa"/>
            <w:shd w:val="clear" w:color="auto" w:fill="auto"/>
            <w:noWrap/>
            <w:tcMar>
              <w:top w:w="85" w:type="dxa"/>
              <w:left w:w="85" w:type="dxa"/>
              <w:bottom w:w="85" w:type="dxa"/>
              <w:right w:w="85" w:type="dxa"/>
            </w:tcMar>
            <w:vAlign w:val="center"/>
            <w:hideMark/>
          </w:tcPr>
          <w:p w:rsidR="00033066" w:rsidRPr="005E1103" w:rsidRDefault="00033066" w:rsidP="00033066">
            <w:pPr>
              <w:pStyle w:val="TextoTabla"/>
              <w:jc w:val="center"/>
              <w:rPr>
                <w:rFonts w:asciiTheme="minorHAnsi" w:hAnsiTheme="minorHAnsi" w:cstheme="minorHAnsi"/>
                <w:i/>
                <w:sz w:val="28"/>
                <w:szCs w:val="28"/>
              </w:rPr>
            </w:pPr>
          </w:p>
        </w:tc>
        <w:tc>
          <w:tcPr>
            <w:tcW w:w="1327" w:type="dxa"/>
            <w:shd w:val="clear" w:color="auto" w:fill="auto"/>
            <w:noWrap/>
            <w:tcMar>
              <w:top w:w="85" w:type="dxa"/>
              <w:left w:w="85" w:type="dxa"/>
              <w:bottom w:w="85" w:type="dxa"/>
              <w:right w:w="85" w:type="dxa"/>
            </w:tcMar>
            <w:vAlign w:val="center"/>
            <w:hideMark/>
          </w:tcPr>
          <w:p w:rsidR="00033066" w:rsidRPr="005E1103" w:rsidRDefault="00033066" w:rsidP="00033066">
            <w:pPr>
              <w:pStyle w:val="TextoTabla"/>
              <w:jc w:val="center"/>
              <w:rPr>
                <w:rFonts w:asciiTheme="minorHAnsi" w:hAnsiTheme="minorHAnsi" w:cstheme="minorHAnsi"/>
                <w:i/>
                <w:sz w:val="28"/>
                <w:szCs w:val="28"/>
              </w:rPr>
            </w:pPr>
            <w:r w:rsidRPr="005E1103">
              <w:rPr>
                <w:rFonts w:asciiTheme="minorHAnsi" w:hAnsiTheme="minorHAnsi" w:cstheme="minorHAnsi"/>
                <w:i/>
                <w:sz w:val="28"/>
                <w:szCs w:val="28"/>
              </w:rPr>
              <w:t>Retardo</w:t>
            </w:r>
          </w:p>
        </w:tc>
        <w:tc>
          <w:tcPr>
            <w:tcW w:w="1320" w:type="dxa"/>
            <w:vAlign w:val="center"/>
          </w:tcPr>
          <w:p w:rsidR="00033066" w:rsidRPr="005E1103" w:rsidRDefault="00033066" w:rsidP="00033066">
            <w:pPr>
              <w:pStyle w:val="TextoTabla"/>
              <w:jc w:val="center"/>
              <w:rPr>
                <w:rFonts w:asciiTheme="minorHAnsi" w:hAnsiTheme="minorHAnsi" w:cstheme="minorHAnsi"/>
                <w:i/>
                <w:sz w:val="28"/>
                <w:szCs w:val="28"/>
              </w:rPr>
            </w:pPr>
            <w:r w:rsidRPr="005E1103">
              <w:rPr>
                <w:rFonts w:asciiTheme="minorHAnsi" w:hAnsiTheme="minorHAnsi" w:cstheme="minorHAnsi"/>
                <w:i/>
                <w:sz w:val="28"/>
                <w:szCs w:val="28"/>
              </w:rPr>
              <w:t>Calidad</w:t>
            </w:r>
          </w:p>
        </w:tc>
        <w:tc>
          <w:tcPr>
            <w:tcW w:w="1320" w:type="dxa"/>
            <w:vAlign w:val="center"/>
          </w:tcPr>
          <w:p w:rsidR="00033066" w:rsidRPr="005E1103" w:rsidRDefault="00033066" w:rsidP="00033066">
            <w:pPr>
              <w:pStyle w:val="TextoTabla"/>
              <w:jc w:val="center"/>
              <w:rPr>
                <w:rFonts w:asciiTheme="minorHAnsi" w:hAnsiTheme="minorHAnsi" w:cstheme="minorHAnsi"/>
                <w:i/>
                <w:sz w:val="28"/>
                <w:szCs w:val="28"/>
              </w:rPr>
            </w:pPr>
            <w:r w:rsidRPr="005E1103">
              <w:rPr>
                <w:rFonts w:asciiTheme="minorHAnsi" w:hAnsiTheme="minorHAnsi" w:cstheme="minorHAnsi"/>
                <w:i/>
                <w:sz w:val="28"/>
                <w:szCs w:val="28"/>
              </w:rPr>
              <w:t>Seguimiento</w:t>
            </w:r>
          </w:p>
        </w:tc>
        <w:tc>
          <w:tcPr>
            <w:tcW w:w="1320" w:type="dxa"/>
            <w:vAlign w:val="center"/>
          </w:tcPr>
          <w:p w:rsidR="00033066" w:rsidRPr="005E1103" w:rsidRDefault="00033066" w:rsidP="00033066">
            <w:pPr>
              <w:pStyle w:val="TextoTabla"/>
              <w:jc w:val="center"/>
              <w:rPr>
                <w:rFonts w:asciiTheme="minorHAnsi" w:hAnsiTheme="minorHAnsi" w:cstheme="minorHAnsi"/>
                <w:i/>
                <w:sz w:val="28"/>
                <w:szCs w:val="28"/>
              </w:rPr>
            </w:pPr>
            <w:r w:rsidRPr="005E1103">
              <w:rPr>
                <w:rFonts w:asciiTheme="minorHAnsi" w:hAnsiTheme="minorHAnsi" w:cstheme="minorHAnsi"/>
                <w:i/>
                <w:sz w:val="28"/>
                <w:szCs w:val="28"/>
              </w:rPr>
              <w:t>Interacción</w:t>
            </w:r>
          </w:p>
        </w:tc>
        <w:tc>
          <w:tcPr>
            <w:tcW w:w="1320" w:type="dxa"/>
            <w:vAlign w:val="center"/>
          </w:tcPr>
          <w:p w:rsidR="00033066" w:rsidRPr="005E1103" w:rsidRDefault="00033066" w:rsidP="00033066">
            <w:pPr>
              <w:pStyle w:val="TextoTabla"/>
              <w:jc w:val="center"/>
              <w:rPr>
                <w:rFonts w:asciiTheme="minorHAnsi" w:hAnsiTheme="minorHAnsi" w:cstheme="minorHAnsi"/>
                <w:i/>
                <w:sz w:val="28"/>
                <w:szCs w:val="28"/>
              </w:rPr>
            </w:pPr>
            <w:r w:rsidRPr="005E1103">
              <w:rPr>
                <w:rFonts w:asciiTheme="minorHAnsi" w:hAnsiTheme="minorHAnsi" w:cstheme="minorHAnsi"/>
                <w:i/>
                <w:sz w:val="28"/>
                <w:szCs w:val="28"/>
              </w:rPr>
              <w:t>Usabilidad</w:t>
            </w:r>
          </w:p>
        </w:tc>
      </w:tr>
      <w:tr w:rsidR="00033066" w:rsidRPr="005E1103" w:rsidTr="00033066">
        <w:trPr>
          <w:trHeight w:val="454"/>
          <w:jc w:val="center"/>
        </w:trPr>
        <w:tc>
          <w:tcPr>
            <w:tcW w:w="1326" w:type="dxa"/>
            <w:shd w:val="clear" w:color="auto" w:fill="auto"/>
            <w:noWrap/>
            <w:tcMar>
              <w:top w:w="85" w:type="dxa"/>
              <w:left w:w="85" w:type="dxa"/>
              <w:bottom w:w="85" w:type="dxa"/>
              <w:right w:w="85" w:type="dxa"/>
            </w:tcMar>
            <w:vAlign w:val="center"/>
            <w:hideMark/>
          </w:tcPr>
          <w:p w:rsidR="00033066" w:rsidRPr="005E1103" w:rsidRDefault="00033066" w:rsidP="00033066">
            <w:pPr>
              <w:pStyle w:val="TextoTabla"/>
              <w:rPr>
                <w:rFonts w:asciiTheme="minorHAnsi" w:hAnsiTheme="minorHAnsi" w:cstheme="minorHAnsi"/>
                <w:i/>
                <w:sz w:val="28"/>
                <w:szCs w:val="28"/>
              </w:rPr>
            </w:pPr>
            <w:r w:rsidRPr="005E1103">
              <w:rPr>
                <w:rFonts w:asciiTheme="minorHAnsi" w:hAnsiTheme="minorHAnsi" w:cstheme="minorHAnsi"/>
                <w:i/>
                <w:sz w:val="28"/>
                <w:szCs w:val="28"/>
              </w:rPr>
              <w:t>Media</w:t>
            </w:r>
          </w:p>
        </w:tc>
        <w:tc>
          <w:tcPr>
            <w:tcW w:w="1327" w:type="dxa"/>
            <w:shd w:val="clear" w:color="auto" w:fill="auto"/>
            <w:noWrap/>
            <w:tcMar>
              <w:top w:w="85" w:type="dxa"/>
              <w:left w:w="85" w:type="dxa"/>
              <w:bottom w:w="85" w:type="dxa"/>
              <w:right w:w="85" w:type="dxa"/>
            </w:tcMar>
            <w:vAlign w:val="center"/>
            <w:hideMark/>
          </w:tcPr>
          <w:p w:rsidR="00033066" w:rsidRPr="005E1103" w:rsidRDefault="00033066" w:rsidP="00033066">
            <w:pPr>
              <w:pStyle w:val="TextoTabla"/>
              <w:jc w:val="right"/>
              <w:rPr>
                <w:rFonts w:asciiTheme="minorHAnsi" w:hAnsiTheme="minorHAnsi" w:cstheme="minorHAnsi"/>
                <w:sz w:val="28"/>
                <w:szCs w:val="28"/>
              </w:rPr>
            </w:pPr>
            <w:r w:rsidRPr="005E1103">
              <w:rPr>
                <w:rFonts w:asciiTheme="minorHAnsi" w:hAnsiTheme="minorHAnsi" w:cstheme="minorHAnsi"/>
                <w:sz w:val="28"/>
                <w:szCs w:val="28"/>
              </w:rPr>
              <w:t>2,281</w:t>
            </w:r>
          </w:p>
        </w:tc>
        <w:tc>
          <w:tcPr>
            <w:tcW w:w="1320" w:type="dxa"/>
            <w:noWrap/>
            <w:vAlign w:val="center"/>
          </w:tcPr>
          <w:p w:rsidR="00033066" w:rsidRPr="005E1103" w:rsidRDefault="00033066" w:rsidP="00033066">
            <w:pPr>
              <w:pStyle w:val="TextoTabla"/>
              <w:jc w:val="right"/>
              <w:rPr>
                <w:rFonts w:asciiTheme="minorHAnsi" w:hAnsiTheme="minorHAnsi" w:cstheme="minorHAnsi"/>
                <w:sz w:val="28"/>
                <w:szCs w:val="28"/>
              </w:rPr>
            </w:pPr>
            <w:r w:rsidRPr="005E1103">
              <w:rPr>
                <w:rFonts w:asciiTheme="minorHAnsi" w:hAnsiTheme="minorHAnsi" w:cstheme="minorHAnsi"/>
                <w:sz w:val="28"/>
                <w:szCs w:val="28"/>
              </w:rPr>
              <w:t>3,031</w:t>
            </w:r>
          </w:p>
        </w:tc>
        <w:tc>
          <w:tcPr>
            <w:tcW w:w="1320" w:type="dxa"/>
            <w:noWrap/>
            <w:vAlign w:val="center"/>
          </w:tcPr>
          <w:p w:rsidR="00033066" w:rsidRPr="005E1103" w:rsidRDefault="00033066" w:rsidP="00033066">
            <w:pPr>
              <w:pStyle w:val="TextoTabla"/>
              <w:jc w:val="right"/>
              <w:rPr>
                <w:rFonts w:asciiTheme="minorHAnsi" w:hAnsiTheme="minorHAnsi" w:cstheme="minorHAnsi"/>
                <w:sz w:val="28"/>
                <w:szCs w:val="28"/>
              </w:rPr>
            </w:pPr>
            <w:r w:rsidRPr="005E1103">
              <w:rPr>
                <w:rFonts w:asciiTheme="minorHAnsi" w:hAnsiTheme="minorHAnsi" w:cstheme="minorHAnsi"/>
                <w:sz w:val="28"/>
                <w:szCs w:val="28"/>
              </w:rPr>
              <w:t>2,75</w:t>
            </w:r>
          </w:p>
        </w:tc>
        <w:tc>
          <w:tcPr>
            <w:tcW w:w="1320" w:type="dxa"/>
            <w:noWrap/>
            <w:vAlign w:val="center"/>
          </w:tcPr>
          <w:p w:rsidR="00033066" w:rsidRPr="005E1103" w:rsidRDefault="00033066" w:rsidP="00033066">
            <w:pPr>
              <w:pStyle w:val="TextoTabla"/>
              <w:jc w:val="right"/>
              <w:rPr>
                <w:rFonts w:asciiTheme="minorHAnsi" w:hAnsiTheme="minorHAnsi" w:cstheme="minorHAnsi"/>
                <w:sz w:val="28"/>
                <w:szCs w:val="28"/>
              </w:rPr>
            </w:pPr>
            <w:r w:rsidRPr="005E1103">
              <w:rPr>
                <w:rFonts w:asciiTheme="minorHAnsi" w:hAnsiTheme="minorHAnsi" w:cstheme="minorHAnsi"/>
                <w:sz w:val="28"/>
                <w:szCs w:val="28"/>
              </w:rPr>
              <w:t>2,75</w:t>
            </w:r>
          </w:p>
        </w:tc>
        <w:tc>
          <w:tcPr>
            <w:tcW w:w="1320" w:type="dxa"/>
            <w:noWrap/>
            <w:vAlign w:val="center"/>
          </w:tcPr>
          <w:p w:rsidR="00033066" w:rsidRPr="005E1103" w:rsidRDefault="00033066" w:rsidP="00033066">
            <w:pPr>
              <w:pStyle w:val="TextoTabla"/>
              <w:jc w:val="right"/>
              <w:rPr>
                <w:rFonts w:asciiTheme="minorHAnsi" w:hAnsiTheme="minorHAnsi" w:cstheme="minorHAnsi"/>
                <w:sz w:val="28"/>
                <w:szCs w:val="28"/>
              </w:rPr>
            </w:pPr>
            <w:r w:rsidRPr="005E1103">
              <w:rPr>
                <w:rFonts w:asciiTheme="minorHAnsi" w:hAnsiTheme="minorHAnsi" w:cstheme="minorHAnsi"/>
                <w:sz w:val="28"/>
                <w:szCs w:val="28"/>
              </w:rPr>
              <w:t>3,125</w:t>
            </w:r>
          </w:p>
        </w:tc>
      </w:tr>
      <w:tr w:rsidR="00033066" w:rsidRPr="005E1103" w:rsidTr="00033066">
        <w:trPr>
          <w:trHeight w:val="454"/>
          <w:jc w:val="center"/>
        </w:trPr>
        <w:tc>
          <w:tcPr>
            <w:tcW w:w="1326" w:type="dxa"/>
            <w:shd w:val="clear" w:color="auto" w:fill="auto"/>
            <w:noWrap/>
            <w:tcMar>
              <w:top w:w="85" w:type="dxa"/>
              <w:left w:w="85" w:type="dxa"/>
              <w:bottom w:w="85" w:type="dxa"/>
              <w:right w:w="85" w:type="dxa"/>
            </w:tcMar>
            <w:vAlign w:val="center"/>
            <w:hideMark/>
          </w:tcPr>
          <w:p w:rsidR="00033066" w:rsidRPr="005E1103" w:rsidRDefault="00033066" w:rsidP="00033066">
            <w:pPr>
              <w:pStyle w:val="TextoTabla"/>
              <w:rPr>
                <w:rFonts w:asciiTheme="minorHAnsi" w:hAnsiTheme="minorHAnsi" w:cstheme="minorHAnsi"/>
                <w:i/>
                <w:sz w:val="28"/>
                <w:szCs w:val="28"/>
              </w:rPr>
            </w:pPr>
            <w:r w:rsidRPr="005E1103">
              <w:rPr>
                <w:rFonts w:asciiTheme="minorHAnsi" w:hAnsiTheme="minorHAnsi" w:cstheme="minorHAnsi"/>
                <w:i/>
                <w:sz w:val="28"/>
                <w:szCs w:val="28"/>
              </w:rPr>
              <w:t>Mediana</w:t>
            </w:r>
          </w:p>
        </w:tc>
        <w:tc>
          <w:tcPr>
            <w:tcW w:w="1327" w:type="dxa"/>
            <w:shd w:val="clear" w:color="auto" w:fill="auto"/>
            <w:noWrap/>
            <w:tcMar>
              <w:top w:w="85" w:type="dxa"/>
              <w:left w:w="85" w:type="dxa"/>
              <w:bottom w:w="85" w:type="dxa"/>
              <w:right w:w="85" w:type="dxa"/>
            </w:tcMar>
            <w:vAlign w:val="center"/>
            <w:hideMark/>
          </w:tcPr>
          <w:p w:rsidR="00033066" w:rsidRPr="005E1103" w:rsidRDefault="00033066" w:rsidP="00033066">
            <w:pPr>
              <w:pStyle w:val="TextoTabla"/>
              <w:jc w:val="right"/>
              <w:rPr>
                <w:rFonts w:asciiTheme="minorHAnsi" w:hAnsiTheme="minorHAnsi" w:cstheme="minorHAnsi"/>
                <w:sz w:val="28"/>
                <w:szCs w:val="28"/>
              </w:rPr>
            </w:pPr>
            <w:r w:rsidRPr="005E1103">
              <w:rPr>
                <w:rFonts w:asciiTheme="minorHAnsi" w:hAnsiTheme="minorHAnsi" w:cstheme="minorHAnsi"/>
                <w:sz w:val="28"/>
                <w:szCs w:val="28"/>
              </w:rPr>
              <w:t>2</w:t>
            </w:r>
          </w:p>
        </w:tc>
        <w:tc>
          <w:tcPr>
            <w:tcW w:w="1320" w:type="dxa"/>
            <w:noWrap/>
            <w:vAlign w:val="center"/>
          </w:tcPr>
          <w:p w:rsidR="00033066" w:rsidRPr="005E1103" w:rsidRDefault="00033066" w:rsidP="00033066">
            <w:pPr>
              <w:pStyle w:val="TextoTabla"/>
              <w:jc w:val="right"/>
              <w:rPr>
                <w:rFonts w:asciiTheme="minorHAnsi" w:hAnsiTheme="minorHAnsi" w:cstheme="minorHAnsi"/>
                <w:sz w:val="28"/>
                <w:szCs w:val="28"/>
              </w:rPr>
            </w:pPr>
            <w:r w:rsidRPr="005E1103">
              <w:rPr>
                <w:rFonts w:asciiTheme="minorHAnsi" w:hAnsiTheme="minorHAnsi" w:cstheme="minorHAnsi"/>
                <w:sz w:val="28"/>
                <w:szCs w:val="28"/>
              </w:rPr>
              <w:t>3</w:t>
            </w:r>
          </w:p>
        </w:tc>
        <w:tc>
          <w:tcPr>
            <w:tcW w:w="1320" w:type="dxa"/>
            <w:noWrap/>
            <w:vAlign w:val="center"/>
          </w:tcPr>
          <w:p w:rsidR="00033066" w:rsidRPr="005E1103" w:rsidRDefault="00033066" w:rsidP="00033066">
            <w:pPr>
              <w:pStyle w:val="TextoTabla"/>
              <w:jc w:val="right"/>
              <w:rPr>
                <w:rFonts w:asciiTheme="minorHAnsi" w:hAnsiTheme="minorHAnsi" w:cstheme="minorHAnsi"/>
                <w:sz w:val="28"/>
                <w:szCs w:val="28"/>
              </w:rPr>
            </w:pPr>
            <w:r w:rsidRPr="005E1103">
              <w:rPr>
                <w:rFonts w:asciiTheme="minorHAnsi" w:hAnsiTheme="minorHAnsi" w:cstheme="minorHAnsi"/>
                <w:sz w:val="28"/>
                <w:szCs w:val="28"/>
              </w:rPr>
              <w:t>3</w:t>
            </w:r>
          </w:p>
        </w:tc>
        <w:tc>
          <w:tcPr>
            <w:tcW w:w="1320" w:type="dxa"/>
            <w:noWrap/>
            <w:vAlign w:val="center"/>
          </w:tcPr>
          <w:p w:rsidR="00033066" w:rsidRPr="005E1103" w:rsidRDefault="00033066" w:rsidP="00033066">
            <w:pPr>
              <w:pStyle w:val="TextoTabla"/>
              <w:jc w:val="right"/>
              <w:rPr>
                <w:rFonts w:asciiTheme="minorHAnsi" w:hAnsiTheme="minorHAnsi" w:cstheme="minorHAnsi"/>
                <w:sz w:val="28"/>
                <w:szCs w:val="28"/>
              </w:rPr>
            </w:pPr>
            <w:r w:rsidRPr="005E1103">
              <w:rPr>
                <w:rFonts w:asciiTheme="minorHAnsi" w:hAnsiTheme="minorHAnsi" w:cstheme="minorHAnsi"/>
                <w:sz w:val="28"/>
                <w:szCs w:val="28"/>
              </w:rPr>
              <w:t>3</w:t>
            </w:r>
          </w:p>
        </w:tc>
        <w:tc>
          <w:tcPr>
            <w:tcW w:w="1320" w:type="dxa"/>
            <w:noWrap/>
            <w:vAlign w:val="center"/>
          </w:tcPr>
          <w:p w:rsidR="00033066" w:rsidRPr="005E1103" w:rsidRDefault="00033066" w:rsidP="00033066">
            <w:pPr>
              <w:pStyle w:val="TextoTabla"/>
              <w:jc w:val="right"/>
              <w:rPr>
                <w:rFonts w:asciiTheme="minorHAnsi" w:hAnsiTheme="minorHAnsi" w:cstheme="minorHAnsi"/>
                <w:sz w:val="28"/>
                <w:szCs w:val="28"/>
              </w:rPr>
            </w:pPr>
            <w:r w:rsidRPr="005E1103">
              <w:rPr>
                <w:rFonts w:asciiTheme="minorHAnsi" w:hAnsiTheme="minorHAnsi" w:cstheme="minorHAnsi"/>
                <w:sz w:val="28"/>
                <w:szCs w:val="28"/>
              </w:rPr>
              <w:t>3</w:t>
            </w:r>
          </w:p>
        </w:tc>
      </w:tr>
      <w:tr w:rsidR="00033066" w:rsidRPr="005E1103" w:rsidTr="00033066">
        <w:trPr>
          <w:trHeight w:val="454"/>
          <w:jc w:val="center"/>
        </w:trPr>
        <w:tc>
          <w:tcPr>
            <w:tcW w:w="1326" w:type="dxa"/>
            <w:shd w:val="clear" w:color="auto" w:fill="auto"/>
            <w:noWrap/>
            <w:tcMar>
              <w:top w:w="85" w:type="dxa"/>
              <w:left w:w="85" w:type="dxa"/>
              <w:bottom w:w="85" w:type="dxa"/>
              <w:right w:w="85" w:type="dxa"/>
            </w:tcMar>
            <w:vAlign w:val="center"/>
            <w:hideMark/>
          </w:tcPr>
          <w:p w:rsidR="00033066" w:rsidRPr="005E1103" w:rsidRDefault="00033066" w:rsidP="00033066">
            <w:pPr>
              <w:pStyle w:val="TextoTabla"/>
              <w:rPr>
                <w:rFonts w:asciiTheme="minorHAnsi" w:hAnsiTheme="minorHAnsi" w:cstheme="minorHAnsi"/>
                <w:i/>
                <w:sz w:val="28"/>
                <w:szCs w:val="28"/>
              </w:rPr>
            </w:pPr>
            <w:r w:rsidRPr="005E1103">
              <w:rPr>
                <w:rFonts w:asciiTheme="minorHAnsi" w:hAnsiTheme="minorHAnsi" w:cstheme="minorHAnsi"/>
                <w:i/>
                <w:sz w:val="28"/>
                <w:szCs w:val="28"/>
              </w:rPr>
              <w:t>Desviación</w:t>
            </w:r>
          </w:p>
        </w:tc>
        <w:tc>
          <w:tcPr>
            <w:tcW w:w="1327" w:type="dxa"/>
            <w:shd w:val="clear" w:color="auto" w:fill="auto"/>
            <w:noWrap/>
            <w:tcMar>
              <w:top w:w="85" w:type="dxa"/>
              <w:left w:w="85" w:type="dxa"/>
              <w:bottom w:w="85" w:type="dxa"/>
              <w:right w:w="85" w:type="dxa"/>
            </w:tcMar>
            <w:vAlign w:val="center"/>
            <w:hideMark/>
          </w:tcPr>
          <w:p w:rsidR="00033066" w:rsidRPr="005E1103" w:rsidRDefault="00033066" w:rsidP="00033066">
            <w:pPr>
              <w:pStyle w:val="TextoTabla"/>
              <w:jc w:val="right"/>
              <w:rPr>
                <w:rFonts w:asciiTheme="minorHAnsi" w:hAnsiTheme="minorHAnsi" w:cstheme="minorHAnsi"/>
                <w:sz w:val="28"/>
                <w:szCs w:val="28"/>
              </w:rPr>
            </w:pPr>
            <w:r w:rsidRPr="005E1103">
              <w:rPr>
                <w:rFonts w:asciiTheme="minorHAnsi" w:hAnsiTheme="minorHAnsi" w:cstheme="minorHAnsi"/>
                <w:sz w:val="28"/>
                <w:szCs w:val="28"/>
              </w:rPr>
              <w:t>0,728</w:t>
            </w:r>
          </w:p>
        </w:tc>
        <w:tc>
          <w:tcPr>
            <w:tcW w:w="1320" w:type="dxa"/>
            <w:noWrap/>
            <w:vAlign w:val="center"/>
          </w:tcPr>
          <w:p w:rsidR="00033066" w:rsidRPr="005E1103" w:rsidRDefault="00033066" w:rsidP="00033066">
            <w:pPr>
              <w:pStyle w:val="TextoTabla"/>
              <w:jc w:val="right"/>
              <w:rPr>
                <w:rFonts w:asciiTheme="minorHAnsi" w:hAnsiTheme="minorHAnsi" w:cstheme="minorHAnsi"/>
                <w:sz w:val="28"/>
                <w:szCs w:val="28"/>
              </w:rPr>
            </w:pPr>
            <w:r w:rsidRPr="005E1103">
              <w:rPr>
                <w:rFonts w:asciiTheme="minorHAnsi" w:hAnsiTheme="minorHAnsi" w:cstheme="minorHAnsi"/>
                <w:sz w:val="28"/>
                <w:szCs w:val="28"/>
              </w:rPr>
              <w:t>0,647</w:t>
            </w:r>
          </w:p>
        </w:tc>
        <w:tc>
          <w:tcPr>
            <w:tcW w:w="1320" w:type="dxa"/>
            <w:noWrap/>
            <w:vAlign w:val="center"/>
          </w:tcPr>
          <w:p w:rsidR="00033066" w:rsidRPr="005E1103" w:rsidRDefault="00033066" w:rsidP="00033066">
            <w:pPr>
              <w:pStyle w:val="TextoTabla"/>
              <w:jc w:val="right"/>
              <w:rPr>
                <w:rFonts w:asciiTheme="minorHAnsi" w:hAnsiTheme="minorHAnsi" w:cstheme="minorHAnsi"/>
                <w:sz w:val="28"/>
                <w:szCs w:val="28"/>
              </w:rPr>
            </w:pPr>
            <w:r w:rsidRPr="005E1103">
              <w:rPr>
                <w:rFonts w:asciiTheme="minorHAnsi" w:hAnsiTheme="minorHAnsi" w:cstheme="minorHAnsi"/>
                <w:sz w:val="28"/>
                <w:szCs w:val="28"/>
              </w:rPr>
              <w:t>0,672</w:t>
            </w:r>
          </w:p>
        </w:tc>
        <w:tc>
          <w:tcPr>
            <w:tcW w:w="1320" w:type="dxa"/>
            <w:noWrap/>
            <w:vAlign w:val="center"/>
          </w:tcPr>
          <w:p w:rsidR="00033066" w:rsidRPr="005E1103" w:rsidRDefault="00033066" w:rsidP="00033066">
            <w:pPr>
              <w:pStyle w:val="TextoTabla"/>
              <w:jc w:val="right"/>
              <w:rPr>
                <w:rFonts w:asciiTheme="minorHAnsi" w:hAnsiTheme="minorHAnsi" w:cstheme="minorHAnsi"/>
                <w:sz w:val="28"/>
                <w:szCs w:val="28"/>
              </w:rPr>
            </w:pPr>
            <w:r w:rsidRPr="005E1103">
              <w:rPr>
                <w:rFonts w:asciiTheme="minorHAnsi" w:hAnsiTheme="minorHAnsi" w:cstheme="minorHAnsi"/>
                <w:sz w:val="28"/>
                <w:szCs w:val="28"/>
              </w:rPr>
              <w:t>0,568</w:t>
            </w:r>
          </w:p>
        </w:tc>
        <w:tc>
          <w:tcPr>
            <w:tcW w:w="1320" w:type="dxa"/>
            <w:noWrap/>
            <w:vAlign w:val="center"/>
          </w:tcPr>
          <w:p w:rsidR="00033066" w:rsidRPr="005E1103" w:rsidRDefault="00033066" w:rsidP="00033066">
            <w:pPr>
              <w:pStyle w:val="TextoTabla"/>
              <w:jc w:val="right"/>
              <w:rPr>
                <w:rFonts w:asciiTheme="minorHAnsi" w:hAnsiTheme="minorHAnsi" w:cstheme="minorHAnsi"/>
                <w:sz w:val="28"/>
                <w:szCs w:val="28"/>
              </w:rPr>
            </w:pPr>
            <w:r w:rsidRPr="005E1103">
              <w:rPr>
                <w:rFonts w:asciiTheme="minorHAnsi" w:hAnsiTheme="minorHAnsi" w:cstheme="minorHAnsi"/>
                <w:sz w:val="28"/>
                <w:szCs w:val="28"/>
              </w:rPr>
              <w:t>0,492</w:t>
            </w:r>
          </w:p>
        </w:tc>
      </w:tr>
      <w:tr w:rsidR="00033066" w:rsidRPr="005E1103" w:rsidTr="00033066">
        <w:trPr>
          <w:trHeight w:val="454"/>
          <w:jc w:val="center"/>
        </w:trPr>
        <w:tc>
          <w:tcPr>
            <w:tcW w:w="1326" w:type="dxa"/>
            <w:shd w:val="clear" w:color="auto" w:fill="auto"/>
            <w:noWrap/>
            <w:tcMar>
              <w:top w:w="85" w:type="dxa"/>
              <w:left w:w="85" w:type="dxa"/>
              <w:bottom w:w="85" w:type="dxa"/>
              <w:right w:w="85" w:type="dxa"/>
            </w:tcMar>
            <w:vAlign w:val="center"/>
          </w:tcPr>
          <w:p w:rsidR="00033066" w:rsidRPr="005E1103" w:rsidRDefault="00033066" w:rsidP="00033066">
            <w:pPr>
              <w:pStyle w:val="TextoTabla"/>
              <w:rPr>
                <w:rFonts w:asciiTheme="minorHAnsi" w:hAnsiTheme="minorHAnsi" w:cstheme="minorHAnsi"/>
                <w:i/>
                <w:sz w:val="28"/>
                <w:szCs w:val="28"/>
              </w:rPr>
            </w:pPr>
            <w:r w:rsidRPr="005E1103">
              <w:rPr>
                <w:rFonts w:asciiTheme="minorHAnsi" w:hAnsiTheme="minorHAnsi" w:cstheme="minorHAnsi"/>
                <w:i/>
                <w:sz w:val="28"/>
                <w:szCs w:val="28"/>
              </w:rPr>
              <w:t>Impresión</w:t>
            </w:r>
          </w:p>
        </w:tc>
        <w:tc>
          <w:tcPr>
            <w:tcW w:w="1327" w:type="dxa"/>
            <w:shd w:val="clear" w:color="auto" w:fill="auto"/>
            <w:noWrap/>
            <w:tcMar>
              <w:top w:w="85" w:type="dxa"/>
              <w:left w:w="85" w:type="dxa"/>
              <w:bottom w:w="85" w:type="dxa"/>
              <w:right w:w="85" w:type="dxa"/>
            </w:tcMar>
            <w:vAlign w:val="center"/>
          </w:tcPr>
          <w:p w:rsidR="00033066" w:rsidRPr="005E1103" w:rsidRDefault="00033066" w:rsidP="00033066">
            <w:pPr>
              <w:pStyle w:val="TextoTabla"/>
              <w:jc w:val="center"/>
              <w:rPr>
                <w:rFonts w:asciiTheme="minorHAnsi" w:hAnsiTheme="minorHAnsi" w:cstheme="minorHAnsi"/>
                <w:sz w:val="28"/>
                <w:szCs w:val="28"/>
              </w:rPr>
            </w:pPr>
            <w:r w:rsidRPr="005E1103">
              <w:rPr>
                <w:rFonts w:asciiTheme="minorHAnsi" w:hAnsiTheme="minorHAnsi" w:cstheme="minorHAnsi"/>
                <w:sz w:val="28"/>
                <w:szCs w:val="28"/>
              </w:rPr>
              <w:t>Bastante</w:t>
            </w:r>
          </w:p>
        </w:tc>
        <w:tc>
          <w:tcPr>
            <w:tcW w:w="1320" w:type="dxa"/>
            <w:noWrap/>
            <w:vAlign w:val="center"/>
          </w:tcPr>
          <w:p w:rsidR="00033066" w:rsidRPr="005E1103" w:rsidRDefault="00033066" w:rsidP="00033066">
            <w:pPr>
              <w:pStyle w:val="TextoTabla"/>
              <w:jc w:val="center"/>
              <w:rPr>
                <w:rFonts w:asciiTheme="minorHAnsi" w:hAnsiTheme="minorHAnsi" w:cstheme="minorHAnsi"/>
                <w:sz w:val="28"/>
                <w:szCs w:val="28"/>
              </w:rPr>
            </w:pPr>
            <w:r w:rsidRPr="005E1103">
              <w:rPr>
                <w:rFonts w:asciiTheme="minorHAnsi" w:hAnsiTheme="minorHAnsi" w:cstheme="minorHAnsi"/>
                <w:sz w:val="28"/>
                <w:szCs w:val="28"/>
              </w:rPr>
              <w:t>Buena</w:t>
            </w:r>
          </w:p>
        </w:tc>
        <w:tc>
          <w:tcPr>
            <w:tcW w:w="1320" w:type="dxa"/>
            <w:noWrap/>
            <w:vAlign w:val="center"/>
          </w:tcPr>
          <w:p w:rsidR="00033066" w:rsidRPr="005E1103" w:rsidRDefault="00033066" w:rsidP="00033066">
            <w:pPr>
              <w:pStyle w:val="TextoTabla"/>
              <w:jc w:val="center"/>
              <w:rPr>
                <w:rFonts w:asciiTheme="minorHAnsi" w:hAnsiTheme="minorHAnsi" w:cstheme="minorHAnsi"/>
                <w:sz w:val="28"/>
                <w:szCs w:val="28"/>
              </w:rPr>
            </w:pPr>
            <w:r w:rsidRPr="005E1103">
              <w:rPr>
                <w:rFonts w:asciiTheme="minorHAnsi" w:hAnsiTheme="minorHAnsi" w:cstheme="minorHAnsi"/>
                <w:sz w:val="28"/>
                <w:szCs w:val="28"/>
              </w:rPr>
              <w:t>Bien</w:t>
            </w:r>
          </w:p>
        </w:tc>
        <w:tc>
          <w:tcPr>
            <w:tcW w:w="1320" w:type="dxa"/>
            <w:noWrap/>
            <w:vAlign w:val="center"/>
          </w:tcPr>
          <w:p w:rsidR="00033066" w:rsidRPr="005E1103" w:rsidRDefault="00033066" w:rsidP="00033066">
            <w:pPr>
              <w:pStyle w:val="TextoTabla"/>
              <w:jc w:val="center"/>
              <w:rPr>
                <w:rFonts w:asciiTheme="minorHAnsi" w:hAnsiTheme="minorHAnsi" w:cstheme="minorHAnsi"/>
                <w:sz w:val="28"/>
                <w:szCs w:val="28"/>
              </w:rPr>
            </w:pPr>
            <w:r w:rsidRPr="005E1103">
              <w:rPr>
                <w:rFonts w:asciiTheme="minorHAnsi" w:hAnsiTheme="minorHAnsi" w:cstheme="minorHAnsi"/>
                <w:sz w:val="28"/>
                <w:szCs w:val="28"/>
              </w:rPr>
              <w:t>Buena</w:t>
            </w:r>
          </w:p>
        </w:tc>
        <w:tc>
          <w:tcPr>
            <w:tcW w:w="1320" w:type="dxa"/>
            <w:noWrap/>
            <w:vAlign w:val="center"/>
          </w:tcPr>
          <w:p w:rsidR="00033066" w:rsidRPr="005E1103" w:rsidRDefault="00033066" w:rsidP="00033066">
            <w:pPr>
              <w:pStyle w:val="TextoTabla"/>
              <w:jc w:val="center"/>
              <w:rPr>
                <w:rFonts w:asciiTheme="minorHAnsi" w:hAnsiTheme="minorHAnsi" w:cstheme="minorHAnsi"/>
                <w:sz w:val="28"/>
                <w:szCs w:val="28"/>
              </w:rPr>
            </w:pPr>
            <w:r w:rsidRPr="005E1103">
              <w:rPr>
                <w:rFonts w:asciiTheme="minorHAnsi" w:hAnsiTheme="minorHAnsi" w:cstheme="minorHAnsi"/>
                <w:sz w:val="28"/>
                <w:szCs w:val="28"/>
              </w:rPr>
              <w:t>Buena</w:t>
            </w:r>
          </w:p>
        </w:tc>
      </w:tr>
    </w:tbl>
    <w:p w:rsidR="00033066" w:rsidRPr="005E1103" w:rsidRDefault="00033066" w:rsidP="00033066">
      <w:pPr>
        <w:jc w:val="center"/>
        <w:rPr>
          <w:rFonts w:cstheme="minorHAnsi"/>
          <w:sz w:val="28"/>
          <w:szCs w:val="28"/>
        </w:rPr>
      </w:pPr>
    </w:p>
    <w:p w:rsidR="00033066" w:rsidRPr="005E1103" w:rsidRDefault="00033066" w:rsidP="00033066">
      <w:pPr>
        <w:rPr>
          <w:rFonts w:cstheme="minorHAnsi"/>
          <w:sz w:val="28"/>
          <w:szCs w:val="28"/>
        </w:rPr>
      </w:pPr>
      <w:r w:rsidRPr="005E1103">
        <w:rPr>
          <w:rFonts w:cstheme="minorHAnsi"/>
          <w:sz w:val="28"/>
          <w:szCs w:val="28"/>
        </w:rPr>
        <w:t>La figura 2 de la página siguiente recoge la distribución de las valoraciones para cada uno de los parámetros evaluados. Como se aprecia en la figura, en un 44% de las pruebas se observa poco retardo y en el 66% restante se percibe bastante o mucho retardo. No obstante, tras realizar las pruebas con los dos equipamientos presentados anteriormente, la configuración 1 ofrece mucho menos retardo y su apreciación es poca.</w:t>
      </w:r>
    </w:p>
    <w:p w:rsidR="00033066" w:rsidRPr="005E1103" w:rsidRDefault="00033066" w:rsidP="00033066">
      <w:pPr>
        <w:rPr>
          <w:rFonts w:cstheme="minorHAnsi"/>
          <w:sz w:val="28"/>
          <w:szCs w:val="28"/>
        </w:rPr>
      </w:pPr>
      <w:r w:rsidRPr="005E1103">
        <w:rPr>
          <w:rFonts w:cstheme="minorHAnsi"/>
          <w:sz w:val="28"/>
          <w:szCs w:val="28"/>
        </w:rPr>
        <w:lastRenderedPageBreak/>
        <w:t>El seguimiento de las explicaciones se considera bueno o muy bueno un 63% de las veces frente a un 37% en el que se considera malo. Este parámetro se ve afectado en gran medida por el retardo existente y por la configuración del audífono o implante. En general, el seguimiento del profesor es mejor cuando el alumno utiliza lazo de inducción y la posición T de su implante.</w:t>
      </w:r>
    </w:p>
    <w:p w:rsidR="00033066" w:rsidRPr="005E1103" w:rsidRDefault="00033066" w:rsidP="00033066">
      <w:pPr>
        <w:rPr>
          <w:rFonts w:cstheme="minorHAnsi"/>
          <w:sz w:val="28"/>
          <w:szCs w:val="28"/>
        </w:rPr>
      </w:pPr>
      <w:r w:rsidRPr="005E1103">
        <w:rPr>
          <w:rFonts w:cstheme="minorHAnsi"/>
          <w:sz w:val="28"/>
          <w:szCs w:val="28"/>
        </w:rPr>
        <w:t>La interacción del alumno con sus compañeros es buena o muy buena en un 75% de las veces frente al 25% en el que se considera que la interacción es mala o muy mala. Este parámetro se ve afectado también por la configuración empleada en el audífono: si el alumno utiliza la posición T se mejora la escucha del profesor a costa de reducir o eliminar la escucha a través de los micrófonos del audífono.</w:t>
      </w:r>
    </w:p>
    <w:p w:rsidR="00033066" w:rsidRPr="005E1103" w:rsidRDefault="00033066" w:rsidP="00033066">
      <w:pPr>
        <w:jc w:val="center"/>
        <w:rPr>
          <w:rFonts w:cstheme="minorHAnsi"/>
          <w:sz w:val="28"/>
          <w:szCs w:val="28"/>
        </w:rPr>
      </w:pPr>
      <w:r w:rsidRPr="005E1103">
        <w:rPr>
          <w:rFonts w:cstheme="minorHAnsi"/>
          <w:noProof/>
          <w:sz w:val="28"/>
          <w:szCs w:val="28"/>
          <w:lang w:eastAsia="es-ES"/>
        </w:rPr>
        <w:drawing>
          <wp:inline distT="0" distB="0" distL="0" distR="0" wp14:anchorId="14A66A44" wp14:editId="4F476401">
            <wp:extent cx="1497600" cy="1825200"/>
            <wp:effectExtent l="0" t="0" r="7620" b="3810"/>
            <wp:docPr id="73" name="Imagen 73" descr="Ninguno: 0%, poco: 44%, bastante: 41% y mucho: 15%." title="Retar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1">
                      <a:extLst>
                        <a:ext uri="{28A0092B-C50C-407E-A947-70E740481C1C}">
                          <a14:useLocalDpi xmlns:a14="http://schemas.microsoft.com/office/drawing/2010/main" val="0"/>
                        </a:ext>
                      </a:extLst>
                    </a:blip>
                    <a:srcRect l="16969" t="4249" r="17782" b="7332"/>
                    <a:stretch/>
                  </pic:blipFill>
                  <pic:spPr bwMode="auto">
                    <a:xfrm>
                      <a:off x="0" y="0"/>
                      <a:ext cx="1497600" cy="1825200"/>
                    </a:xfrm>
                    <a:prstGeom prst="rect">
                      <a:avLst/>
                    </a:prstGeom>
                    <a:noFill/>
                    <a:ln>
                      <a:noFill/>
                    </a:ln>
                    <a:extLst>
                      <a:ext uri="{53640926-AAD7-44D8-BBD7-CCE9431645EC}">
                        <a14:shadowObscured xmlns:a14="http://schemas.microsoft.com/office/drawing/2010/main"/>
                      </a:ext>
                    </a:extLst>
                  </pic:spPr>
                </pic:pic>
              </a:graphicData>
            </a:graphic>
          </wp:inline>
        </w:drawing>
      </w:r>
      <w:r w:rsidRPr="005E1103">
        <w:rPr>
          <w:rFonts w:cstheme="minorHAnsi"/>
          <w:sz w:val="28"/>
          <w:szCs w:val="28"/>
        </w:rPr>
        <w:t xml:space="preserve">    </w:t>
      </w:r>
      <w:r w:rsidRPr="005E1103">
        <w:rPr>
          <w:rFonts w:cstheme="minorHAnsi"/>
          <w:noProof/>
          <w:sz w:val="28"/>
          <w:szCs w:val="28"/>
          <w:lang w:eastAsia="es-ES"/>
        </w:rPr>
        <w:drawing>
          <wp:inline distT="0" distB="0" distL="0" distR="0" wp14:anchorId="00D46823" wp14:editId="6FABBE29">
            <wp:extent cx="1443600" cy="1864800"/>
            <wp:effectExtent l="0" t="0" r="4445" b="2540"/>
            <wp:docPr id="74" name="Imagen 74" descr="Muy buena: 22%, buena: 59%, mala: 19% y muy mala: 0%." title="Cal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2">
                      <a:extLst>
                        <a:ext uri="{28A0092B-C50C-407E-A947-70E740481C1C}">
                          <a14:useLocalDpi xmlns:a14="http://schemas.microsoft.com/office/drawing/2010/main" val="0"/>
                        </a:ext>
                      </a:extLst>
                    </a:blip>
                    <a:srcRect l="18807" t="1859" r="18559" b="7871"/>
                    <a:stretch/>
                  </pic:blipFill>
                  <pic:spPr bwMode="auto">
                    <a:xfrm>
                      <a:off x="0" y="0"/>
                      <a:ext cx="1443600" cy="1864800"/>
                    </a:xfrm>
                    <a:prstGeom prst="rect">
                      <a:avLst/>
                    </a:prstGeom>
                    <a:noFill/>
                    <a:ln>
                      <a:noFill/>
                    </a:ln>
                    <a:extLst>
                      <a:ext uri="{53640926-AAD7-44D8-BBD7-CCE9431645EC}">
                        <a14:shadowObscured xmlns:a14="http://schemas.microsoft.com/office/drawing/2010/main"/>
                      </a:ext>
                    </a:extLst>
                  </pic:spPr>
                </pic:pic>
              </a:graphicData>
            </a:graphic>
          </wp:inline>
        </w:drawing>
      </w:r>
      <w:r w:rsidRPr="005E1103">
        <w:rPr>
          <w:rFonts w:cstheme="minorHAnsi"/>
          <w:sz w:val="28"/>
          <w:szCs w:val="28"/>
        </w:rPr>
        <w:t xml:space="preserve">    </w:t>
      </w:r>
      <w:r w:rsidRPr="005E1103">
        <w:rPr>
          <w:rFonts w:cstheme="minorHAnsi"/>
          <w:noProof/>
          <w:sz w:val="28"/>
          <w:szCs w:val="28"/>
          <w:lang w:eastAsia="es-ES"/>
        </w:rPr>
        <w:drawing>
          <wp:inline distT="0" distB="0" distL="0" distR="0" wp14:anchorId="2AAB149F" wp14:editId="0042E22B">
            <wp:extent cx="1458000" cy="1803600"/>
            <wp:effectExtent l="0" t="0" r="8890" b="6350"/>
            <wp:docPr id="75" name="Imagen 75" descr="Muy bien: 13%, bien: 50%, mal: 37% y muy mal: 0%." title="Seguimi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3">
                      <a:extLst>
                        <a:ext uri="{28A0092B-C50C-407E-A947-70E740481C1C}">
                          <a14:useLocalDpi xmlns:a14="http://schemas.microsoft.com/office/drawing/2010/main" val="0"/>
                        </a:ext>
                      </a:extLst>
                    </a:blip>
                    <a:srcRect l="18164" t="4247" r="18253" b="8375"/>
                    <a:stretch/>
                  </pic:blipFill>
                  <pic:spPr bwMode="auto">
                    <a:xfrm>
                      <a:off x="0" y="0"/>
                      <a:ext cx="1458000" cy="1803600"/>
                    </a:xfrm>
                    <a:prstGeom prst="rect">
                      <a:avLst/>
                    </a:prstGeom>
                    <a:noFill/>
                    <a:ln>
                      <a:noFill/>
                    </a:ln>
                    <a:extLst>
                      <a:ext uri="{53640926-AAD7-44D8-BBD7-CCE9431645EC}">
                        <a14:shadowObscured xmlns:a14="http://schemas.microsoft.com/office/drawing/2010/main"/>
                      </a:ext>
                    </a:extLst>
                  </pic:spPr>
                </pic:pic>
              </a:graphicData>
            </a:graphic>
          </wp:inline>
        </w:drawing>
      </w:r>
      <w:r w:rsidRPr="005E1103">
        <w:rPr>
          <w:rFonts w:cstheme="minorHAnsi"/>
          <w:noProof/>
          <w:sz w:val="28"/>
          <w:szCs w:val="28"/>
          <w:lang w:eastAsia="es-ES"/>
        </w:rPr>
        <w:drawing>
          <wp:inline distT="0" distB="0" distL="0" distR="0" wp14:anchorId="20EB4D43" wp14:editId="7DFFBB4F">
            <wp:extent cx="2088000" cy="1836000"/>
            <wp:effectExtent l="0" t="0" r="7620" b="0"/>
            <wp:docPr id="76" name="Imagen 76" descr="Muy buena: 3%, buena: 72%, mala: 22% y muy mala: 3%." title="Interac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4">
                      <a:extLst>
                        <a:ext uri="{28A0092B-C50C-407E-A947-70E740481C1C}">
                          <a14:useLocalDpi xmlns:a14="http://schemas.microsoft.com/office/drawing/2010/main" val="0"/>
                        </a:ext>
                      </a:extLst>
                    </a:blip>
                    <a:srcRect l="4782" t="3450" r="4124" b="7623"/>
                    <a:stretch/>
                  </pic:blipFill>
                  <pic:spPr bwMode="auto">
                    <a:xfrm>
                      <a:off x="0" y="0"/>
                      <a:ext cx="2088000" cy="1836000"/>
                    </a:xfrm>
                    <a:prstGeom prst="rect">
                      <a:avLst/>
                    </a:prstGeom>
                    <a:noFill/>
                    <a:ln>
                      <a:noFill/>
                    </a:ln>
                    <a:extLst>
                      <a:ext uri="{53640926-AAD7-44D8-BBD7-CCE9431645EC}">
                        <a14:shadowObscured xmlns:a14="http://schemas.microsoft.com/office/drawing/2010/main"/>
                      </a:ext>
                    </a:extLst>
                  </pic:spPr>
                </pic:pic>
              </a:graphicData>
            </a:graphic>
          </wp:inline>
        </w:drawing>
      </w:r>
      <w:r w:rsidRPr="005E1103">
        <w:rPr>
          <w:rFonts w:cstheme="minorHAnsi"/>
          <w:sz w:val="28"/>
          <w:szCs w:val="28"/>
        </w:rPr>
        <w:t xml:space="preserve">   </w:t>
      </w:r>
      <w:r w:rsidRPr="005E1103">
        <w:rPr>
          <w:rFonts w:cstheme="minorHAnsi"/>
          <w:noProof/>
          <w:sz w:val="28"/>
          <w:szCs w:val="28"/>
          <w:lang w:eastAsia="es-ES"/>
        </w:rPr>
        <w:drawing>
          <wp:inline distT="0" distB="0" distL="0" distR="0" wp14:anchorId="56C1C839" wp14:editId="632B1CBB">
            <wp:extent cx="1447200" cy="1814400"/>
            <wp:effectExtent l="0" t="0" r="635" b="0"/>
            <wp:docPr id="77" name="Imagen 77" descr="Muy buena: 19%, buena: 75%, mala: 6% y muy mala: 0%." title="Usabil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65">
                      <a:extLst>
                        <a:ext uri="{28A0092B-C50C-407E-A947-70E740481C1C}">
                          <a14:useLocalDpi xmlns:a14="http://schemas.microsoft.com/office/drawing/2010/main" val="0"/>
                        </a:ext>
                      </a:extLst>
                    </a:blip>
                    <a:srcRect l="18651" t="3185" r="18261" b="8900"/>
                    <a:stretch/>
                  </pic:blipFill>
                  <pic:spPr bwMode="auto">
                    <a:xfrm>
                      <a:off x="0" y="0"/>
                      <a:ext cx="1447200" cy="1814400"/>
                    </a:xfrm>
                    <a:prstGeom prst="rect">
                      <a:avLst/>
                    </a:prstGeom>
                    <a:noFill/>
                    <a:ln>
                      <a:noFill/>
                    </a:ln>
                    <a:extLst>
                      <a:ext uri="{53640926-AAD7-44D8-BBD7-CCE9431645EC}">
                        <a14:shadowObscured xmlns:a14="http://schemas.microsoft.com/office/drawing/2010/main"/>
                      </a:ext>
                    </a:extLst>
                  </pic:spPr>
                </pic:pic>
              </a:graphicData>
            </a:graphic>
          </wp:inline>
        </w:drawing>
      </w:r>
    </w:p>
    <w:p w:rsidR="00033066" w:rsidRPr="005E1103" w:rsidRDefault="00033066" w:rsidP="00033066">
      <w:pPr>
        <w:pStyle w:val="Piedeimagen"/>
        <w:rPr>
          <w:rFonts w:asciiTheme="minorHAnsi" w:hAnsiTheme="minorHAnsi" w:cstheme="minorHAnsi"/>
          <w:sz w:val="28"/>
          <w:szCs w:val="28"/>
        </w:rPr>
      </w:pPr>
      <w:r w:rsidRPr="005E1103">
        <w:rPr>
          <w:rFonts w:asciiTheme="minorHAnsi" w:hAnsiTheme="minorHAnsi" w:cstheme="minorHAnsi"/>
          <w:sz w:val="28"/>
          <w:szCs w:val="28"/>
        </w:rPr>
        <w:t>Figura 2. Distribuciones de las valoraciones.</w:t>
      </w:r>
    </w:p>
    <w:p w:rsidR="00033066" w:rsidRPr="005E1103" w:rsidRDefault="00033066" w:rsidP="00033066">
      <w:pPr>
        <w:rPr>
          <w:rFonts w:cstheme="minorHAnsi"/>
          <w:sz w:val="28"/>
          <w:szCs w:val="28"/>
        </w:rPr>
      </w:pPr>
      <w:r w:rsidRPr="005E1103">
        <w:rPr>
          <w:rFonts w:cstheme="minorHAnsi"/>
          <w:sz w:val="28"/>
          <w:szCs w:val="28"/>
        </w:rPr>
        <w:t>En cuanto a la calidad de la voz, se considera buena o muy buena en un 81% de las veces y sólo en un 19% se considera mala. El principal factor que hace que la voz se perciba como “mala” es el ruido ambiente: las pruebas realizadas sin ruido ambiente arrojan unos resultados bastante mejores. Asimismo, dos alumnos experimentan un ligero empeoramiento de la calidad al usar la aplicación móvil frente al sistema de FM.</w:t>
      </w:r>
    </w:p>
    <w:p w:rsidR="00033066" w:rsidRPr="005E1103" w:rsidRDefault="00033066" w:rsidP="00033066">
      <w:pPr>
        <w:rPr>
          <w:rFonts w:cstheme="minorHAnsi"/>
          <w:sz w:val="28"/>
          <w:szCs w:val="28"/>
        </w:rPr>
      </w:pPr>
      <w:r w:rsidRPr="005E1103">
        <w:rPr>
          <w:rFonts w:cstheme="minorHAnsi"/>
          <w:sz w:val="28"/>
          <w:szCs w:val="28"/>
        </w:rPr>
        <w:lastRenderedPageBreak/>
        <w:t>Finalmente, la usabilidad de la aplicación se considera como buena o muy buena en un 96% de las pruebas. Durante la realización de las pruebas ningún alumno experimento ningún problema con la misma.</w:t>
      </w:r>
    </w:p>
    <w:p w:rsidR="00033066" w:rsidRPr="005E1103" w:rsidRDefault="00033066" w:rsidP="00033066">
      <w:pPr>
        <w:pStyle w:val="Ttulo1"/>
        <w:rPr>
          <w:rFonts w:asciiTheme="minorHAnsi" w:hAnsiTheme="minorHAnsi" w:cstheme="minorHAnsi"/>
          <w:color w:val="auto"/>
        </w:rPr>
      </w:pPr>
      <w:r w:rsidRPr="005E1103">
        <w:rPr>
          <w:rFonts w:asciiTheme="minorHAnsi" w:hAnsiTheme="minorHAnsi" w:cstheme="minorHAnsi"/>
          <w:color w:val="auto"/>
        </w:rPr>
        <w:t>Conclusiones</w:t>
      </w:r>
    </w:p>
    <w:p w:rsidR="00033066" w:rsidRPr="005E1103" w:rsidRDefault="00033066" w:rsidP="00033066">
      <w:pPr>
        <w:rPr>
          <w:rFonts w:cstheme="minorHAnsi"/>
          <w:sz w:val="28"/>
          <w:szCs w:val="28"/>
        </w:rPr>
      </w:pPr>
      <w:r w:rsidRPr="005E1103">
        <w:rPr>
          <w:rFonts w:cstheme="minorHAnsi"/>
          <w:sz w:val="28"/>
          <w:szCs w:val="28"/>
        </w:rPr>
        <w:t>Tras analizar los resultados, el principal caballo de batalla es la reducción del retardo existente en la transmisión del audio. En relación con el retardo, si se atiende a la clasificación de los alumnos presentada anteriormente, existen dos comportamientos muy diferenciados:</w:t>
      </w:r>
    </w:p>
    <w:p w:rsidR="00033066" w:rsidRPr="005E1103" w:rsidRDefault="00033066" w:rsidP="00033066">
      <w:pPr>
        <w:pStyle w:val="Prrafodelista"/>
        <w:numPr>
          <w:ilvl w:val="0"/>
          <w:numId w:val="130"/>
        </w:numPr>
        <w:spacing w:after="120" w:line="360" w:lineRule="auto"/>
        <w:jc w:val="both"/>
        <w:rPr>
          <w:rFonts w:asciiTheme="minorHAnsi" w:hAnsiTheme="minorHAnsi" w:cstheme="minorHAnsi"/>
          <w:sz w:val="28"/>
          <w:szCs w:val="28"/>
        </w:rPr>
      </w:pPr>
      <w:r w:rsidRPr="005E1103">
        <w:rPr>
          <w:rFonts w:asciiTheme="minorHAnsi" w:hAnsiTheme="minorHAnsi" w:cstheme="minorHAnsi"/>
          <w:sz w:val="28"/>
          <w:szCs w:val="28"/>
        </w:rPr>
        <w:t>Alumnos del grupo 1: Puesto que no necesitaban ningún tipo de ayuda externa, al utilizar la aplicación con auriculares, el retardo existente sólo empeoraba el seguimiento de la clase. Al escuchar al profesor directamente y por los auriculares se producía un efecto eco que se tornaba tanto más molesto cuanto mayor era el retardo.</w:t>
      </w:r>
    </w:p>
    <w:p w:rsidR="00033066" w:rsidRPr="005E1103" w:rsidRDefault="00033066" w:rsidP="00033066">
      <w:pPr>
        <w:pStyle w:val="Prrafodelista"/>
        <w:numPr>
          <w:ilvl w:val="0"/>
          <w:numId w:val="130"/>
        </w:numPr>
        <w:spacing w:after="120" w:line="360" w:lineRule="auto"/>
        <w:jc w:val="both"/>
        <w:rPr>
          <w:rFonts w:asciiTheme="minorHAnsi" w:hAnsiTheme="minorHAnsi" w:cstheme="minorHAnsi"/>
          <w:sz w:val="28"/>
          <w:szCs w:val="28"/>
        </w:rPr>
      </w:pPr>
      <w:r w:rsidRPr="005E1103">
        <w:rPr>
          <w:rFonts w:asciiTheme="minorHAnsi" w:hAnsiTheme="minorHAnsi" w:cstheme="minorHAnsi"/>
          <w:sz w:val="28"/>
          <w:szCs w:val="28"/>
        </w:rPr>
        <w:t>Alumnos del grupo 2: Cuando utilizaban el bucle magnético junto con la posición T del implante/audífono se eliminaba la escucha directa del profesor y el impacto del retardo era mucho menor; no obstante, perdían la interacción con los compañeros de clase. Por otro lado, al utilizar la posición M aparecía de nuevo el efecto eco. Sin embargo, la apreciación del retardo y la calidad eran mucho mejores con respecto al grupo 1.</w:t>
      </w:r>
    </w:p>
    <w:p w:rsidR="00033066" w:rsidRPr="005E1103" w:rsidRDefault="00033066" w:rsidP="00033066">
      <w:pPr>
        <w:rPr>
          <w:rFonts w:cstheme="minorHAnsi"/>
          <w:sz w:val="28"/>
          <w:szCs w:val="28"/>
        </w:rPr>
      </w:pPr>
      <w:r w:rsidRPr="005E1103">
        <w:rPr>
          <w:rFonts w:cstheme="minorHAnsi"/>
          <w:sz w:val="28"/>
          <w:szCs w:val="28"/>
        </w:rPr>
        <w:t>Las clases de primaria se caracterizaban por el alto grado de interacción entre el profesor y los alumnos. Con la utilización de la aplicación móvil, los alumnos experimentaban algunos problemas en los siguientes aspectos:</w:t>
      </w:r>
    </w:p>
    <w:p w:rsidR="00033066" w:rsidRPr="005E1103" w:rsidRDefault="00033066" w:rsidP="00033066">
      <w:pPr>
        <w:pStyle w:val="Prrafodelista"/>
        <w:numPr>
          <w:ilvl w:val="0"/>
          <w:numId w:val="129"/>
        </w:numPr>
        <w:spacing w:after="120" w:line="360" w:lineRule="auto"/>
        <w:jc w:val="both"/>
        <w:rPr>
          <w:rFonts w:asciiTheme="minorHAnsi" w:hAnsiTheme="minorHAnsi" w:cstheme="minorHAnsi"/>
          <w:sz w:val="28"/>
          <w:szCs w:val="28"/>
        </w:rPr>
      </w:pPr>
      <w:r w:rsidRPr="005E1103">
        <w:rPr>
          <w:rFonts w:asciiTheme="minorHAnsi" w:hAnsiTheme="minorHAnsi" w:cstheme="minorHAnsi"/>
          <w:sz w:val="28"/>
          <w:szCs w:val="28"/>
        </w:rPr>
        <w:t>No escuchaban las intervenciones de sus compañeros o si lo hacían, era a través del micrófono del profesor con muy poco nivel.</w:t>
      </w:r>
    </w:p>
    <w:p w:rsidR="00033066" w:rsidRPr="005E1103" w:rsidRDefault="00033066" w:rsidP="00033066">
      <w:pPr>
        <w:pStyle w:val="Prrafodelista"/>
        <w:numPr>
          <w:ilvl w:val="0"/>
          <w:numId w:val="129"/>
        </w:numPr>
        <w:spacing w:after="120" w:line="360" w:lineRule="auto"/>
        <w:jc w:val="both"/>
        <w:rPr>
          <w:rFonts w:asciiTheme="minorHAnsi" w:hAnsiTheme="minorHAnsi" w:cstheme="minorHAnsi"/>
          <w:sz w:val="28"/>
          <w:szCs w:val="28"/>
        </w:rPr>
      </w:pPr>
      <w:r w:rsidRPr="005E1103">
        <w:rPr>
          <w:rFonts w:asciiTheme="minorHAnsi" w:hAnsiTheme="minorHAnsi" w:cstheme="minorHAnsi"/>
          <w:sz w:val="28"/>
          <w:szCs w:val="28"/>
        </w:rPr>
        <w:t>No escuchaban los contenidos multimedia reproducidos desde el ordenador de la clase.</w:t>
      </w:r>
    </w:p>
    <w:p w:rsidR="00033066" w:rsidRPr="005E1103" w:rsidRDefault="00033066" w:rsidP="00033066">
      <w:pPr>
        <w:pStyle w:val="Prrafodelista"/>
        <w:numPr>
          <w:ilvl w:val="0"/>
          <w:numId w:val="129"/>
        </w:numPr>
        <w:spacing w:after="120" w:line="360" w:lineRule="auto"/>
        <w:jc w:val="both"/>
        <w:rPr>
          <w:rFonts w:asciiTheme="minorHAnsi" w:hAnsiTheme="minorHAnsi" w:cstheme="minorHAnsi"/>
          <w:sz w:val="28"/>
          <w:szCs w:val="28"/>
        </w:rPr>
      </w:pPr>
      <w:r w:rsidRPr="005E1103">
        <w:rPr>
          <w:rFonts w:asciiTheme="minorHAnsi" w:hAnsiTheme="minorHAnsi" w:cstheme="minorHAnsi"/>
          <w:sz w:val="28"/>
          <w:szCs w:val="28"/>
        </w:rPr>
        <w:t>Tenían problemas para cantar y seguir el ritmo de las canciones.</w:t>
      </w:r>
    </w:p>
    <w:p w:rsidR="00033066" w:rsidRPr="005E1103" w:rsidRDefault="00033066" w:rsidP="00033066">
      <w:pPr>
        <w:rPr>
          <w:rFonts w:cstheme="minorHAnsi"/>
          <w:sz w:val="28"/>
          <w:szCs w:val="28"/>
        </w:rPr>
      </w:pPr>
      <w:r w:rsidRPr="005E1103">
        <w:rPr>
          <w:rFonts w:cstheme="minorHAnsi"/>
          <w:sz w:val="28"/>
          <w:szCs w:val="28"/>
        </w:rPr>
        <w:lastRenderedPageBreak/>
        <w:t>Todas las pruebas se realizaron mediante una red WiFi dedicada. Mediante un único router ASUS se cubrió una zona equivalente al ala de E.S.O. (primera y segunda planta), la sala de profesores, las escaleras y parte del patio hasta la puerta principal. En todas estas zonas era posible seguir la clase con un nivel de calidad aceptable y sin ningún tipo de interferencia proveniente de sistemas FM o bucles perimetrales. No obstante, uno de los días se realizó una prueba con la propia red WiFi del colegio y, por motivos que se desconocen</w:t>
      </w:r>
      <w:r w:rsidRPr="005E1103">
        <w:rPr>
          <w:rStyle w:val="Refdenotaalpie"/>
          <w:rFonts w:cstheme="minorHAnsi"/>
          <w:sz w:val="28"/>
          <w:szCs w:val="28"/>
        </w:rPr>
        <w:footnoteReference w:id="73"/>
      </w:r>
      <w:r w:rsidRPr="005E1103">
        <w:rPr>
          <w:rFonts w:cstheme="minorHAnsi"/>
          <w:sz w:val="28"/>
          <w:szCs w:val="28"/>
        </w:rPr>
        <w:t>, fue imposible que las aplicaciones móviles ubicaran el ordenador con STARTIT dentro de la red.</w:t>
      </w:r>
    </w:p>
    <w:p w:rsidR="00033066" w:rsidRPr="005E1103" w:rsidRDefault="00033066" w:rsidP="00033066">
      <w:pPr>
        <w:rPr>
          <w:rFonts w:cstheme="minorHAnsi"/>
          <w:sz w:val="28"/>
          <w:szCs w:val="28"/>
        </w:rPr>
      </w:pPr>
      <w:r w:rsidRPr="005E1103">
        <w:rPr>
          <w:rFonts w:cstheme="minorHAnsi"/>
          <w:sz w:val="28"/>
          <w:szCs w:val="28"/>
        </w:rPr>
        <w:t>Durante una de las clases, un alumno sufría interferencias en su sistema de FM. Al cambiar a la aplicación móvil, experimentó una mejora de calidad considerable gracias a la desaparición de todas las interferencias.</w:t>
      </w:r>
    </w:p>
    <w:p w:rsidR="00033066" w:rsidRPr="005E1103" w:rsidRDefault="00033066" w:rsidP="00033066">
      <w:pPr>
        <w:rPr>
          <w:rFonts w:cstheme="minorHAnsi"/>
          <w:sz w:val="28"/>
          <w:szCs w:val="28"/>
        </w:rPr>
      </w:pPr>
      <w:r w:rsidRPr="005E1103">
        <w:rPr>
          <w:rFonts w:cstheme="minorHAnsi"/>
          <w:sz w:val="28"/>
          <w:szCs w:val="28"/>
        </w:rPr>
        <w:t>Algunos profesores observaron que escuchaban peor a los alumnos porque el auricular de la diadema tapaba su oreja. En consecuencia, en algunas pruebas se colocaron el auricular por detrás de la oreja. Este hecho pudo alterar la calidad del sonido capturado ya que en estas circunstancias el micrófono se encontraba más lejos de la boca.</w:t>
      </w:r>
    </w:p>
    <w:p w:rsidR="00033066" w:rsidRPr="005E1103" w:rsidRDefault="00033066" w:rsidP="00033066">
      <w:pPr>
        <w:rPr>
          <w:rFonts w:cstheme="minorHAnsi"/>
          <w:sz w:val="28"/>
          <w:szCs w:val="28"/>
        </w:rPr>
      </w:pPr>
      <w:r w:rsidRPr="005E1103">
        <w:rPr>
          <w:rFonts w:cstheme="minorHAnsi"/>
          <w:sz w:val="28"/>
          <w:szCs w:val="28"/>
        </w:rPr>
        <w:t>Otro hecho destacable relacionado con el micrófono inalámbrico es la corta duración de su batería, que apenas duraba dos horas de clase.</w:t>
      </w:r>
    </w:p>
    <w:p w:rsidR="00033066" w:rsidRPr="005E1103" w:rsidRDefault="00033066" w:rsidP="00033066">
      <w:pPr>
        <w:pStyle w:val="Ttulo2"/>
        <w:rPr>
          <w:rFonts w:asciiTheme="minorHAnsi" w:hAnsiTheme="minorHAnsi" w:cstheme="minorHAnsi"/>
          <w:color w:val="auto"/>
          <w:sz w:val="28"/>
          <w:szCs w:val="28"/>
        </w:rPr>
      </w:pPr>
      <w:r w:rsidRPr="005E1103">
        <w:rPr>
          <w:rFonts w:asciiTheme="minorHAnsi" w:hAnsiTheme="minorHAnsi" w:cstheme="minorHAnsi"/>
          <w:color w:val="auto"/>
          <w:sz w:val="28"/>
          <w:szCs w:val="28"/>
        </w:rPr>
        <w:t>Trabajos futuros</w:t>
      </w:r>
    </w:p>
    <w:p w:rsidR="00033066" w:rsidRPr="005E1103" w:rsidRDefault="00033066" w:rsidP="00033066">
      <w:pPr>
        <w:rPr>
          <w:rFonts w:cstheme="minorHAnsi"/>
          <w:sz w:val="28"/>
          <w:szCs w:val="28"/>
        </w:rPr>
      </w:pPr>
      <w:r w:rsidRPr="005E1103">
        <w:rPr>
          <w:rFonts w:cstheme="minorHAnsi"/>
          <w:sz w:val="28"/>
          <w:szCs w:val="28"/>
        </w:rPr>
        <w:t>Después de esta primera experiencia, se han detectado diferentes líneas de trabajos futuros en dos frentes de actuación complementarios:</w:t>
      </w:r>
    </w:p>
    <w:p w:rsidR="00033066" w:rsidRPr="005E1103" w:rsidRDefault="00033066" w:rsidP="00033066">
      <w:pPr>
        <w:pStyle w:val="Prrafodelista"/>
        <w:numPr>
          <w:ilvl w:val="0"/>
          <w:numId w:val="128"/>
        </w:numPr>
        <w:spacing w:after="120" w:line="360" w:lineRule="auto"/>
        <w:jc w:val="both"/>
        <w:rPr>
          <w:rFonts w:asciiTheme="minorHAnsi" w:hAnsiTheme="minorHAnsi" w:cstheme="minorHAnsi"/>
          <w:sz w:val="28"/>
          <w:szCs w:val="28"/>
        </w:rPr>
      </w:pPr>
      <w:r w:rsidRPr="005E1103">
        <w:rPr>
          <w:rFonts w:asciiTheme="minorHAnsi" w:hAnsiTheme="minorHAnsi" w:cstheme="minorHAnsi"/>
          <w:sz w:val="28"/>
          <w:szCs w:val="28"/>
        </w:rPr>
        <w:t>Mejora de la solución tecnológica:</w:t>
      </w:r>
    </w:p>
    <w:p w:rsidR="00033066" w:rsidRPr="005E1103" w:rsidRDefault="00033066" w:rsidP="00033066">
      <w:pPr>
        <w:pStyle w:val="Prrafodelista"/>
        <w:numPr>
          <w:ilvl w:val="1"/>
          <w:numId w:val="128"/>
        </w:numPr>
        <w:spacing w:after="120" w:line="360" w:lineRule="auto"/>
        <w:jc w:val="both"/>
        <w:rPr>
          <w:rFonts w:asciiTheme="minorHAnsi" w:hAnsiTheme="minorHAnsi" w:cstheme="minorHAnsi"/>
          <w:sz w:val="28"/>
          <w:szCs w:val="28"/>
        </w:rPr>
      </w:pPr>
      <w:r w:rsidRPr="005E1103">
        <w:rPr>
          <w:rFonts w:asciiTheme="minorHAnsi" w:hAnsiTheme="minorHAnsi" w:cstheme="minorHAnsi"/>
          <w:sz w:val="28"/>
          <w:szCs w:val="28"/>
        </w:rPr>
        <w:t>Mejorar el procesado de la señal de voz para reducir su retardo.</w:t>
      </w:r>
    </w:p>
    <w:p w:rsidR="00033066" w:rsidRPr="005E1103" w:rsidRDefault="00033066" w:rsidP="00033066">
      <w:pPr>
        <w:pStyle w:val="Prrafodelista"/>
        <w:numPr>
          <w:ilvl w:val="1"/>
          <w:numId w:val="128"/>
        </w:numPr>
        <w:spacing w:after="120" w:line="360" w:lineRule="auto"/>
        <w:jc w:val="both"/>
        <w:rPr>
          <w:rFonts w:asciiTheme="minorHAnsi" w:hAnsiTheme="minorHAnsi" w:cstheme="minorHAnsi"/>
          <w:sz w:val="28"/>
          <w:szCs w:val="28"/>
        </w:rPr>
      </w:pPr>
      <w:r w:rsidRPr="005E1103">
        <w:rPr>
          <w:rFonts w:asciiTheme="minorHAnsi" w:hAnsiTheme="minorHAnsi" w:cstheme="minorHAnsi"/>
          <w:sz w:val="28"/>
          <w:szCs w:val="28"/>
        </w:rPr>
        <w:t xml:space="preserve">Implementar nuevas funcionalidades en la aplicación móvil para que se adapte mejor a las características que, hasta ahora, no se habían contemplado con respecto al desarrollo de las clases: grabación del audio de la clase, habilitar el </w:t>
      </w:r>
      <w:r w:rsidRPr="005E1103">
        <w:rPr>
          <w:rFonts w:asciiTheme="minorHAnsi" w:hAnsiTheme="minorHAnsi" w:cstheme="minorHAnsi"/>
          <w:sz w:val="28"/>
          <w:szCs w:val="28"/>
        </w:rPr>
        <w:lastRenderedPageBreak/>
        <w:t>micrófono en el dispositivo del alumno para escuchar lo que ocurre a su alrededor…</w:t>
      </w:r>
    </w:p>
    <w:p w:rsidR="00033066" w:rsidRPr="005E1103" w:rsidRDefault="00033066" w:rsidP="00033066">
      <w:pPr>
        <w:pStyle w:val="Prrafodelista"/>
        <w:numPr>
          <w:ilvl w:val="1"/>
          <w:numId w:val="128"/>
        </w:numPr>
        <w:spacing w:after="120" w:line="360" w:lineRule="auto"/>
        <w:jc w:val="both"/>
        <w:rPr>
          <w:rFonts w:asciiTheme="minorHAnsi" w:hAnsiTheme="minorHAnsi" w:cstheme="minorHAnsi"/>
          <w:sz w:val="28"/>
          <w:szCs w:val="28"/>
        </w:rPr>
      </w:pPr>
      <w:r w:rsidRPr="005E1103">
        <w:rPr>
          <w:rFonts w:asciiTheme="minorHAnsi" w:hAnsiTheme="minorHAnsi" w:cstheme="minorHAnsi"/>
          <w:sz w:val="28"/>
          <w:szCs w:val="28"/>
        </w:rPr>
        <w:t>Sustituir el ordenador actual que se utiliza para capturar la voz del profesor por una nueva aplicación móvil.</w:t>
      </w:r>
    </w:p>
    <w:p w:rsidR="00033066" w:rsidRPr="005E1103" w:rsidRDefault="00033066" w:rsidP="00033066">
      <w:pPr>
        <w:pStyle w:val="Prrafodelista"/>
        <w:numPr>
          <w:ilvl w:val="1"/>
          <w:numId w:val="128"/>
        </w:numPr>
        <w:spacing w:after="120" w:line="360" w:lineRule="auto"/>
        <w:jc w:val="both"/>
        <w:rPr>
          <w:rFonts w:asciiTheme="minorHAnsi" w:hAnsiTheme="minorHAnsi" w:cstheme="minorHAnsi"/>
          <w:sz w:val="28"/>
          <w:szCs w:val="28"/>
        </w:rPr>
      </w:pPr>
      <w:r w:rsidRPr="005E1103">
        <w:rPr>
          <w:rFonts w:asciiTheme="minorHAnsi" w:hAnsiTheme="minorHAnsi" w:cstheme="minorHAnsi"/>
          <w:sz w:val="28"/>
          <w:szCs w:val="28"/>
        </w:rPr>
        <w:t>Crear un repositorio en la nube para almacenar los contenidos generados durante las clases.</w:t>
      </w:r>
    </w:p>
    <w:p w:rsidR="00033066" w:rsidRPr="005E1103" w:rsidRDefault="00033066" w:rsidP="00033066">
      <w:pPr>
        <w:pStyle w:val="Prrafodelista"/>
        <w:numPr>
          <w:ilvl w:val="0"/>
          <w:numId w:val="127"/>
        </w:numPr>
        <w:spacing w:after="120" w:line="360" w:lineRule="auto"/>
        <w:jc w:val="both"/>
        <w:rPr>
          <w:rFonts w:asciiTheme="minorHAnsi" w:hAnsiTheme="minorHAnsi" w:cstheme="minorHAnsi"/>
          <w:sz w:val="28"/>
          <w:szCs w:val="28"/>
        </w:rPr>
      </w:pPr>
      <w:r w:rsidRPr="005E1103">
        <w:rPr>
          <w:rFonts w:asciiTheme="minorHAnsi" w:hAnsiTheme="minorHAnsi" w:cstheme="minorHAnsi"/>
          <w:sz w:val="28"/>
          <w:szCs w:val="28"/>
        </w:rPr>
        <w:t>Pruebas de campo:</w:t>
      </w:r>
    </w:p>
    <w:p w:rsidR="00033066" w:rsidRPr="005E1103" w:rsidRDefault="00033066" w:rsidP="00033066">
      <w:pPr>
        <w:pStyle w:val="Prrafodelista"/>
        <w:numPr>
          <w:ilvl w:val="1"/>
          <w:numId w:val="127"/>
        </w:numPr>
        <w:spacing w:after="120" w:line="360" w:lineRule="auto"/>
        <w:jc w:val="both"/>
        <w:rPr>
          <w:rFonts w:asciiTheme="minorHAnsi" w:hAnsiTheme="minorHAnsi" w:cstheme="minorHAnsi"/>
          <w:sz w:val="28"/>
          <w:szCs w:val="28"/>
        </w:rPr>
      </w:pPr>
      <w:r w:rsidRPr="005E1103">
        <w:rPr>
          <w:rFonts w:asciiTheme="minorHAnsi" w:hAnsiTheme="minorHAnsi" w:cstheme="minorHAnsi"/>
          <w:sz w:val="28"/>
          <w:szCs w:val="28"/>
        </w:rPr>
        <w:t>Sustituir la actual red WiFi dedicada por la propia red del colegio para valorar si las prestaciones del sistema sufren algún tipo de variación.</w:t>
      </w:r>
    </w:p>
    <w:p w:rsidR="00033066" w:rsidRPr="005E1103" w:rsidRDefault="00033066" w:rsidP="00033066">
      <w:pPr>
        <w:pStyle w:val="Prrafodelista"/>
        <w:numPr>
          <w:ilvl w:val="1"/>
          <w:numId w:val="127"/>
        </w:numPr>
        <w:spacing w:after="120" w:line="360" w:lineRule="auto"/>
        <w:jc w:val="both"/>
        <w:rPr>
          <w:rFonts w:asciiTheme="minorHAnsi" w:hAnsiTheme="minorHAnsi" w:cstheme="minorHAnsi"/>
          <w:sz w:val="28"/>
          <w:szCs w:val="28"/>
        </w:rPr>
      </w:pPr>
      <w:r w:rsidRPr="005E1103">
        <w:rPr>
          <w:rFonts w:asciiTheme="minorHAnsi" w:hAnsiTheme="minorHAnsi" w:cstheme="minorHAnsi"/>
          <w:sz w:val="28"/>
          <w:szCs w:val="28"/>
        </w:rPr>
        <w:t>Realizar una nueva prueba durante un curso académico completo con los alumnos del grupo 2 con el fin de obtener valoraciones más representativas sobre la aplicación móvil.</w:t>
      </w:r>
    </w:p>
    <w:p w:rsidR="00033066" w:rsidRPr="005E1103" w:rsidRDefault="00033066" w:rsidP="00033066">
      <w:pPr>
        <w:pStyle w:val="Prrafodelista"/>
        <w:numPr>
          <w:ilvl w:val="1"/>
          <w:numId w:val="127"/>
        </w:numPr>
        <w:spacing w:after="120" w:line="360" w:lineRule="auto"/>
        <w:jc w:val="both"/>
        <w:rPr>
          <w:rFonts w:asciiTheme="minorHAnsi" w:hAnsiTheme="minorHAnsi" w:cstheme="minorHAnsi"/>
          <w:sz w:val="28"/>
          <w:szCs w:val="28"/>
        </w:rPr>
      </w:pPr>
      <w:r w:rsidRPr="005E1103">
        <w:rPr>
          <w:rFonts w:asciiTheme="minorHAnsi" w:hAnsiTheme="minorHAnsi" w:cstheme="minorHAnsi"/>
          <w:sz w:val="28"/>
          <w:szCs w:val="28"/>
        </w:rPr>
        <w:t>Evaluar los beneficios y ventajas derivados de la utilización de los contenidos multimedia generados durante las clases.</w:t>
      </w:r>
    </w:p>
    <w:p w:rsidR="00033066" w:rsidRPr="005E1103" w:rsidRDefault="00033066" w:rsidP="00033066">
      <w:pPr>
        <w:pStyle w:val="Ttulo1"/>
        <w:rPr>
          <w:rFonts w:asciiTheme="minorHAnsi" w:hAnsiTheme="minorHAnsi" w:cstheme="minorHAnsi"/>
          <w:color w:val="auto"/>
        </w:rPr>
      </w:pPr>
      <w:r w:rsidRPr="005E1103">
        <w:rPr>
          <w:rFonts w:asciiTheme="minorHAnsi" w:hAnsiTheme="minorHAnsi" w:cstheme="minorHAnsi"/>
          <w:color w:val="auto"/>
        </w:rPr>
        <w:t>Agradecimientos</w:t>
      </w:r>
    </w:p>
    <w:p w:rsidR="00033066" w:rsidRPr="005E1103" w:rsidRDefault="00033066" w:rsidP="00033066">
      <w:pPr>
        <w:rPr>
          <w:rFonts w:cstheme="minorHAnsi"/>
          <w:sz w:val="28"/>
          <w:szCs w:val="28"/>
        </w:rPr>
      </w:pPr>
      <w:r w:rsidRPr="005E1103">
        <w:rPr>
          <w:rFonts w:cstheme="minorHAnsi"/>
          <w:sz w:val="28"/>
          <w:szCs w:val="28"/>
        </w:rPr>
        <w:t>Este trabajo ha sido posible gracias a la colaboración de Fundación Vodafone España y del Colegio Tres Olivos de Madrid.</w:t>
      </w:r>
    </w:p>
    <w:p w:rsidR="00033066" w:rsidRPr="005E1103" w:rsidRDefault="00033066">
      <w:pPr>
        <w:rPr>
          <w:rFonts w:cstheme="minorHAnsi"/>
          <w:sz w:val="28"/>
          <w:szCs w:val="28"/>
        </w:rPr>
      </w:pPr>
      <w:r w:rsidRPr="005E1103">
        <w:rPr>
          <w:rFonts w:cstheme="minorHAnsi"/>
          <w:sz w:val="28"/>
          <w:szCs w:val="28"/>
        </w:rPr>
        <w:br w:type="page"/>
      </w:r>
    </w:p>
    <w:p w:rsidR="00033066" w:rsidRPr="005E1103" w:rsidRDefault="00033066" w:rsidP="00033066">
      <w:pPr>
        <w:spacing w:line="360" w:lineRule="auto"/>
        <w:jc w:val="center"/>
        <w:rPr>
          <w:rFonts w:cstheme="minorHAnsi"/>
          <w:b/>
          <w:sz w:val="28"/>
          <w:szCs w:val="28"/>
        </w:rPr>
      </w:pPr>
      <w:r w:rsidRPr="005E1103">
        <w:rPr>
          <w:rFonts w:cstheme="minorHAnsi"/>
          <w:b/>
          <w:sz w:val="28"/>
          <w:szCs w:val="28"/>
        </w:rPr>
        <w:lastRenderedPageBreak/>
        <w:t>COMUNICACIÓN 5</w:t>
      </w:r>
    </w:p>
    <w:tbl>
      <w:tblPr>
        <w:tblW w:w="9463" w:type="dxa"/>
        <w:tblInd w:w="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463"/>
      </w:tblGrid>
      <w:tr w:rsidR="00033066" w:rsidRPr="005E1103" w:rsidTr="00033066">
        <w:trPr>
          <w:trHeight w:val="858"/>
        </w:trPr>
        <w:tc>
          <w:tcPr>
            <w:tcW w:w="9463" w:type="dxa"/>
          </w:tcPr>
          <w:p w:rsidR="00033066" w:rsidRPr="005E1103" w:rsidRDefault="00033066" w:rsidP="00033066">
            <w:pPr>
              <w:spacing w:line="360" w:lineRule="auto"/>
              <w:jc w:val="center"/>
              <w:rPr>
                <w:rFonts w:cstheme="minorHAnsi"/>
                <w:b/>
                <w:sz w:val="28"/>
                <w:szCs w:val="28"/>
              </w:rPr>
            </w:pPr>
            <w:r w:rsidRPr="005E1103">
              <w:rPr>
                <w:rFonts w:cstheme="minorHAnsi"/>
                <w:b/>
                <w:sz w:val="28"/>
                <w:szCs w:val="28"/>
              </w:rPr>
              <w:t xml:space="preserve">Análisis de la percepción docente en el uso de  </w:t>
            </w:r>
          </w:p>
          <w:p w:rsidR="00033066" w:rsidRPr="005E1103" w:rsidRDefault="00033066" w:rsidP="00033066">
            <w:pPr>
              <w:spacing w:line="360" w:lineRule="auto"/>
              <w:jc w:val="center"/>
              <w:rPr>
                <w:rFonts w:cstheme="minorHAnsi"/>
                <w:b/>
                <w:sz w:val="28"/>
                <w:szCs w:val="28"/>
              </w:rPr>
            </w:pPr>
            <w:r w:rsidRPr="005E1103">
              <w:rPr>
                <w:rFonts w:cstheme="minorHAnsi"/>
                <w:b/>
                <w:sz w:val="28"/>
                <w:szCs w:val="28"/>
              </w:rPr>
              <w:t>Productos de Apoyo basados en TIC para atención a la diversidad.</w:t>
            </w:r>
          </w:p>
        </w:tc>
      </w:tr>
    </w:tbl>
    <w:p w:rsidR="00033066" w:rsidRPr="005E1103" w:rsidRDefault="00033066" w:rsidP="00033066">
      <w:pPr>
        <w:spacing w:line="360" w:lineRule="auto"/>
        <w:rPr>
          <w:rFonts w:cstheme="minorHAnsi"/>
          <w:sz w:val="28"/>
          <w:szCs w:val="28"/>
        </w:rPr>
      </w:pPr>
    </w:p>
    <w:p w:rsidR="00033066" w:rsidRPr="005E1103" w:rsidRDefault="00033066" w:rsidP="00033066">
      <w:pPr>
        <w:spacing w:line="360" w:lineRule="auto"/>
        <w:jc w:val="right"/>
        <w:rPr>
          <w:rFonts w:cstheme="minorHAnsi"/>
          <w:bCs/>
          <w:sz w:val="28"/>
          <w:szCs w:val="28"/>
        </w:rPr>
      </w:pPr>
      <w:r w:rsidRPr="005E1103">
        <w:rPr>
          <w:rFonts w:cstheme="minorHAnsi"/>
          <w:bCs/>
          <w:sz w:val="28"/>
          <w:szCs w:val="28"/>
        </w:rPr>
        <w:t>Francesc Bañuls Lapuerta, Carmen Moret Tatay, Soledad Gómez García, Gabriel Martínez Rico, Francisco Tomás Aguirre</w:t>
      </w:r>
    </w:p>
    <w:p w:rsidR="00033066" w:rsidRPr="005E1103" w:rsidRDefault="00033066" w:rsidP="00033066">
      <w:pPr>
        <w:spacing w:line="360" w:lineRule="auto"/>
        <w:rPr>
          <w:rFonts w:cstheme="minorHAnsi"/>
          <w:sz w:val="28"/>
          <w:szCs w:val="28"/>
        </w:rPr>
      </w:pPr>
    </w:p>
    <w:p w:rsidR="00033066" w:rsidRPr="005E1103" w:rsidRDefault="00033066" w:rsidP="00033066">
      <w:pPr>
        <w:spacing w:line="360" w:lineRule="auto"/>
        <w:jc w:val="right"/>
        <w:rPr>
          <w:rFonts w:cstheme="minorHAnsi"/>
          <w:i/>
          <w:sz w:val="28"/>
          <w:szCs w:val="28"/>
        </w:rPr>
      </w:pPr>
      <w:r w:rsidRPr="005E1103">
        <w:rPr>
          <w:rFonts w:cstheme="minorHAnsi"/>
          <w:i/>
          <w:sz w:val="28"/>
          <w:szCs w:val="28"/>
        </w:rPr>
        <w:t>Profesores de la Facultad de Psicología Magisterio y Ciencias de la Educación</w:t>
      </w:r>
    </w:p>
    <w:p w:rsidR="00033066" w:rsidRPr="005E1103" w:rsidRDefault="00033066" w:rsidP="00033066">
      <w:pPr>
        <w:spacing w:line="360" w:lineRule="auto"/>
        <w:jc w:val="right"/>
        <w:rPr>
          <w:rFonts w:cstheme="minorHAnsi"/>
          <w:i/>
          <w:sz w:val="28"/>
          <w:szCs w:val="28"/>
        </w:rPr>
      </w:pPr>
      <w:r w:rsidRPr="005E1103">
        <w:rPr>
          <w:rFonts w:cstheme="minorHAnsi"/>
          <w:i/>
          <w:sz w:val="28"/>
          <w:szCs w:val="28"/>
        </w:rPr>
        <w:t>Campus Capacitas - Universidad Católica de Valencia San Vicente Mártir</w:t>
      </w:r>
    </w:p>
    <w:p w:rsidR="00033066" w:rsidRPr="005E1103" w:rsidRDefault="00033066" w:rsidP="00033066">
      <w:pPr>
        <w:rPr>
          <w:rFonts w:cstheme="minorHAnsi"/>
          <w:sz w:val="28"/>
          <w:szCs w:val="28"/>
        </w:rPr>
      </w:pPr>
    </w:p>
    <w:p w:rsidR="00033066" w:rsidRPr="005E1103" w:rsidRDefault="00033066" w:rsidP="00033066">
      <w:pPr>
        <w:jc w:val="both"/>
        <w:rPr>
          <w:rFonts w:cstheme="minorHAnsi"/>
          <w:sz w:val="28"/>
          <w:szCs w:val="28"/>
        </w:rPr>
      </w:pPr>
    </w:p>
    <w:p w:rsidR="00033066" w:rsidRPr="005E1103" w:rsidRDefault="00033066" w:rsidP="00033066">
      <w:pPr>
        <w:pStyle w:val="NormalWeb"/>
        <w:jc w:val="both"/>
        <w:rPr>
          <w:rStyle w:val="Textoennegrita"/>
          <w:rFonts w:asciiTheme="minorHAnsi" w:eastAsiaTheme="majorEastAsia" w:hAnsiTheme="minorHAnsi" w:cstheme="minorHAnsi"/>
          <w:sz w:val="28"/>
          <w:szCs w:val="28"/>
        </w:rPr>
      </w:pPr>
      <w:r w:rsidRPr="005E1103">
        <w:rPr>
          <w:rStyle w:val="Textoennegrita"/>
          <w:rFonts w:asciiTheme="minorHAnsi" w:eastAsiaTheme="majorEastAsia" w:hAnsiTheme="minorHAnsi" w:cstheme="minorHAnsi"/>
          <w:sz w:val="28"/>
          <w:szCs w:val="28"/>
        </w:rPr>
        <w:t>Resumen</w:t>
      </w:r>
    </w:p>
    <w:p w:rsidR="00033066" w:rsidRPr="005E1103" w:rsidRDefault="00033066" w:rsidP="00033066">
      <w:pPr>
        <w:pStyle w:val="NormalWeb"/>
        <w:jc w:val="both"/>
        <w:rPr>
          <w:rStyle w:val="Textoennegrita"/>
          <w:rFonts w:asciiTheme="minorHAnsi" w:eastAsiaTheme="majorEastAsia" w:hAnsiTheme="minorHAnsi" w:cstheme="minorHAnsi"/>
          <w:sz w:val="28"/>
          <w:szCs w:val="28"/>
        </w:rPr>
      </w:pPr>
    </w:p>
    <w:p w:rsidR="00033066" w:rsidRPr="005E1103" w:rsidRDefault="00033066" w:rsidP="00033066">
      <w:pPr>
        <w:pStyle w:val="NormalWeb"/>
        <w:jc w:val="both"/>
        <w:rPr>
          <w:rFonts w:asciiTheme="minorHAnsi" w:hAnsiTheme="minorHAnsi" w:cstheme="minorHAnsi"/>
          <w:sz w:val="28"/>
          <w:szCs w:val="28"/>
        </w:rPr>
      </w:pPr>
      <w:r w:rsidRPr="005E1103">
        <w:rPr>
          <w:rStyle w:val="Textoennegrita"/>
          <w:rFonts w:asciiTheme="minorHAnsi" w:eastAsiaTheme="majorEastAsia" w:hAnsiTheme="minorHAnsi" w:cstheme="minorHAnsi"/>
          <w:sz w:val="28"/>
          <w:szCs w:val="28"/>
        </w:rPr>
        <w:t>Introducción:</w:t>
      </w:r>
      <w:r w:rsidRPr="005E1103">
        <w:rPr>
          <w:rFonts w:asciiTheme="minorHAnsi" w:hAnsiTheme="minorHAnsi" w:cstheme="minorHAnsi"/>
          <w:sz w:val="28"/>
          <w:szCs w:val="28"/>
        </w:rPr>
        <w:t xml:space="preserve"> La innovación tecnológica mediante el uso de productos de apoyo basados en  Tecnologías de la Información y la Comunicación (en adelante TIC) en el ámbito educativo es una realidad indiscutible. No obstante, es necesario incidir en la formación del docente respecto al grado de conocimiento y uso de las mismas en el ámbito de la atención a la discapacidad y a la inclusión. Se presenta un trabajo que pretende indagar sobre este conocimiento.</w:t>
      </w:r>
    </w:p>
    <w:p w:rsidR="00033066" w:rsidRPr="005E1103" w:rsidRDefault="00033066" w:rsidP="00033066">
      <w:pPr>
        <w:pStyle w:val="NormalWeb"/>
        <w:jc w:val="both"/>
        <w:rPr>
          <w:rFonts w:asciiTheme="minorHAnsi" w:hAnsiTheme="minorHAnsi" w:cstheme="minorHAnsi"/>
          <w:sz w:val="28"/>
          <w:szCs w:val="28"/>
        </w:rPr>
      </w:pPr>
      <w:r w:rsidRPr="005E1103">
        <w:rPr>
          <w:rStyle w:val="Textoennegrita"/>
          <w:rFonts w:asciiTheme="minorHAnsi" w:eastAsiaTheme="majorEastAsia" w:hAnsiTheme="minorHAnsi" w:cstheme="minorHAnsi"/>
          <w:sz w:val="28"/>
          <w:szCs w:val="28"/>
        </w:rPr>
        <w:t>Objetivo:</w:t>
      </w:r>
      <w:r w:rsidRPr="005E1103">
        <w:rPr>
          <w:rFonts w:asciiTheme="minorHAnsi" w:hAnsiTheme="minorHAnsi" w:cstheme="minorHAnsi"/>
          <w:sz w:val="28"/>
          <w:szCs w:val="28"/>
        </w:rPr>
        <w:t xml:space="preserve"> Analizar la percepción docente en el ámbito de las Necesidades Educativas Especiales y las Necesidades Específicas de Apoyo Educativo en relación a barreras en el uso de  Productos de Apoyo para el uso de TIC.</w:t>
      </w:r>
    </w:p>
    <w:p w:rsidR="00033066" w:rsidRPr="005E1103" w:rsidRDefault="00033066" w:rsidP="00033066">
      <w:pPr>
        <w:pStyle w:val="NormalWeb"/>
        <w:jc w:val="both"/>
        <w:rPr>
          <w:rFonts w:asciiTheme="minorHAnsi" w:hAnsiTheme="minorHAnsi" w:cstheme="minorHAnsi"/>
          <w:sz w:val="28"/>
          <w:szCs w:val="28"/>
        </w:rPr>
      </w:pPr>
      <w:r w:rsidRPr="005E1103">
        <w:rPr>
          <w:rStyle w:val="Textoennegrita"/>
          <w:rFonts w:asciiTheme="minorHAnsi" w:eastAsiaTheme="majorEastAsia" w:hAnsiTheme="minorHAnsi" w:cstheme="minorHAnsi"/>
          <w:sz w:val="28"/>
          <w:szCs w:val="28"/>
        </w:rPr>
        <w:t>Metodología:</w:t>
      </w:r>
      <w:r w:rsidRPr="005E1103">
        <w:rPr>
          <w:rFonts w:asciiTheme="minorHAnsi" w:hAnsiTheme="minorHAnsi" w:cstheme="minorHAnsi"/>
          <w:sz w:val="28"/>
          <w:szCs w:val="28"/>
        </w:rPr>
        <w:t xml:space="preserve"> En el marco de una intervención directa desde Terapia Ocupacional sobre alumnos con estas necesidades, se realizó una encuesta sobre la percepción docente. Esta fue  examinada a través de </w:t>
      </w:r>
      <w:r w:rsidRPr="005E1103">
        <w:rPr>
          <w:rFonts w:asciiTheme="minorHAnsi" w:hAnsiTheme="minorHAnsi" w:cstheme="minorHAnsi"/>
          <w:sz w:val="28"/>
          <w:szCs w:val="28"/>
        </w:rPr>
        <w:lastRenderedPageBreak/>
        <w:t>modelos probabilísticos bayesianos sobre las dependencias condicionales entre nodos o variables relacionadas, a efectos de realizar inferencias sobre las barreras de uso. Se empleó como herramienta el cuestionario de acceso al computador para personas con Parálisis Cerebral Infantil y alteraciones afines, utilizado por el CSIC, en colaboración con ASPACE. Realizamos una confrontación con los resultados de aquel estudio y los obtenidos por nosotros con un tamaño muestral considerablemente mayor.</w:t>
      </w:r>
    </w:p>
    <w:p w:rsidR="00033066" w:rsidRPr="005E1103" w:rsidRDefault="00033066" w:rsidP="00033066">
      <w:pPr>
        <w:pStyle w:val="NormalWeb"/>
        <w:jc w:val="both"/>
        <w:rPr>
          <w:rFonts w:asciiTheme="minorHAnsi" w:hAnsiTheme="minorHAnsi" w:cstheme="minorHAnsi"/>
          <w:sz w:val="28"/>
          <w:szCs w:val="28"/>
        </w:rPr>
      </w:pPr>
      <w:r w:rsidRPr="005E1103">
        <w:rPr>
          <w:rStyle w:val="Textoennegrita"/>
          <w:rFonts w:asciiTheme="minorHAnsi" w:eastAsiaTheme="majorEastAsia" w:hAnsiTheme="minorHAnsi" w:cstheme="minorHAnsi"/>
          <w:sz w:val="28"/>
          <w:szCs w:val="28"/>
        </w:rPr>
        <w:t>Resultados y Conclusiones:</w:t>
      </w:r>
      <w:r w:rsidRPr="005E1103">
        <w:rPr>
          <w:rFonts w:asciiTheme="minorHAnsi" w:hAnsiTheme="minorHAnsi" w:cstheme="minorHAnsi"/>
          <w:sz w:val="28"/>
          <w:szCs w:val="28"/>
        </w:rPr>
        <w:t xml:space="preserve"> Los resultados muestran alta consideración sobre la necesidad del producto. Particularmente, el análisis bayesiano mostró la importancia de la predisposición del profesional para aprender. Este condicionante se plantea esencial para evitar la brecha digital en la Sociedad de la Información</w:t>
      </w:r>
    </w:p>
    <w:p w:rsidR="00033066" w:rsidRPr="005E1103" w:rsidRDefault="00033066" w:rsidP="00033066">
      <w:pPr>
        <w:rPr>
          <w:rFonts w:cstheme="minorHAnsi"/>
          <w:b/>
          <w:sz w:val="28"/>
          <w:szCs w:val="28"/>
        </w:rPr>
      </w:pPr>
    </w:p>
    <w:p w:rsidR="00033066" w:rsidRPr="005E1103" w:rsidRDefault="00033066" w:rsidP="00033066">
      <w:pPr>
        <w:rPr>
          <w:rFonts w:cstheme="minorHAnsi"/>
          <w:b/>
          <w:sz w:val="28"/>
          <w:szCs w:val="28"/>
        </w:rPr>
      </w:pPr>
      <w:r w:rsidRPr="005E1103">
        <w:rPr>
          <w:rFonts w:cstheme="minorHAnsi"/>
          <w:b/>
          <w:sz w:val="28"/>
          <w:szCs w:val="28"/>
        </w:rPr>
        <w:t>Introducción</w:t>
      </w:r>
    </w:p>
    <w:p w:rsidR="00033066" w:rsidRPr="005E1103" w:rsidRDefault="00033066" w:rsidP="00033066">
      <w:pPr>
        <w:pStyle w:val="NormalWeb"/>
        <w:spacing w:line="360" w:lineRule="auto"/>
        <w:ind w:firstLine="708"/>
        <w:jc w:val="both"/>
        <w:rPr>
          <w:rFonts w:asciiTheme="minorHAnsi" w:hAnsiTheme="minorHAnsi" w:cstheme="minorHAnsi"/>
          <w:sz w:val="28"/>
          <w:szCs w:val="28"/>
          <w:lang w:eastAsia="en-US"/>
        </w:rPr>
      </w:pPr>
      <w:r w:rsidRPr="005E1103">
        <w:rPr>
          <w:rFonts w:asciiTheme="minorHAnsi" w:hAnsiTheme="minorHAnsi" w:cstheme="minorHAnsi"/>
          <w:sz w:val="28"/>
          <w:szCs w:val="28"/>
          <w:lang w:eastAsia="en-US"/>
        </w:rPr>
        <w:t>En la última década hemos experimentado una revolución en torno al uso de productos de apoyo basados en TIC en el ámbito educativo. A pesar de que en el caso de los alumnos con algún tipo de necesidad, uno de los principales problemas para el acceso a los materiales educativos es el déficit en relación con la discapacidad, debido a esto el rol que desempeña el docente es un factor indiscutible en la aplicación de estos en el aula.</w:t>
      </w:r>
    </w:p>
    <w:p w:rsidR="00033066" w:rsidRPr="005E1103" w:rsidRDefault="00033066" w:rsidP="00033066">
      <w:pPr>
        <w:pStyle w:val="NormalWeb"/>
        <w:spacing w:line="360" w:lineRule="auto"/>
        <w:ind w:firstLine="708"/>
        <w:jc w:val="both"/>
        <w:rPr>
          <w:rFonts w:asciiTheme="minorHAnsi" w:hAnsiTheme="minorHAnsi" w:cstheme="minorHAnsi"/>
          <w:sz w:val="28"/>
          <w:szCs w:val="28"/>
          <w:lang w:eastAsia="en-US"/>
        </w:rPr>
      </w:pPr>
      <w:r w:rsidRPr="005E1103">
        <w:rPr>
          <w:rFonts w:asciiTheme="minorHAnsi" w:hAnsiTheme="minorHAnsi" w:cstheme="minorHAnsi"/>
          <w:sz w:val="28"/>
          <w:szCs w:val="28"/>
          <w:lang w:eastAsia="en-US"/>
        </w:rPr>
        <w:t xml:space="preserve">El avance de este tipo de tecnologías ha ampliado el abanico de posibilidades para la educación, así como abierto nuevos horizontes en el campo de las necesidades específicas. No obstante, el aprendizaje de las TIC es un proceso dinámico y en constante cambio donde los planes de formación en el campo son más que recomendables. </w:t>
      </w:r>
    </w:p>
    <w:p w:rsidR="00033066" w:rsidRPr="005E1103" w:rsidRDefault="00033066" w:rsidP="00033066">
      <w:pPr>
        <w:pStyle w:val="NormalWeb"/>
        <w:spacing w:line="360" w:lineRule="auto"/>
        <w:ind w:firstLine="709"/>
        <w:jc w:val="both"/>
        <w:rPr>
          <w:rFonts w:asciiTheme="minorHAnsi" w:hAnsiTheme="minorHAnsi" w:cstheme="minorHAnsi"/>
          <w:sz w:val="28"/>
          <w:szCs w:val="28"/>
          <w:lang w:eastAsia="en-US"/>
        </w:rPr>
      </w:pPr>
      <w:r w:rsidRPr="005E1103">
        <w:rPr>
          <w:rFonts w:asciiTheme="minorHAnsi" w:hAnsiTheme="minorHAnsi" w:cstheme="minorHAnsi"/>
          <w:sz w:val="28"/>
          <w:szCs w:val="28"/>
          <w:lang w:eastAsia="en-US"/>
        </w:rPr>
        <w:t>En este sentido, y tal como indican estudios recientes (Niemi, 2015; Striano &amp;Grieco, 2016),</w:t>
      </w:r>
      <w:r w:rsidRPr="005E1103">
        <w:rPr>
          <w:rFonts w:asciiTheme="minorHAnsi" w:hAnsiTheme="minorHAnsi" w:cstheme="minorHAnsi"/>
          <w:sz w:val="28"/>
          <w:szCs w:val="28"/>
        </w:rPr>
        <w:t xml:space="preserve"> </w:t>
      </w:r>
      <w:r w:rsidRPr="005E1103">
        <w:rPr>
          <w:rFonts w:asciiTheme="minorHAnsi" w:hAnsiTheme="minorHAnsi" w:cstheme="minorHAnsi"/>
          <w:sz w:val="28"/>
          <w:szCs w:val="28"/>
          <w:lang w:eastAsia="en-US"/>
        </w:rPr>
        <w:t xml:space="preserve">encontramos situaciones en las que el docente </w:t>
      </w:r>
      <w:r w:rsidRPr="005E1103">
        <w:rPr>
          <w:rFonts w:asciiTheme="minorHAnsi" w:hAnsiTheme="minorHAnsi" w:cstheme="minorHAnsi"/>
          <w:sz w:val="28"/>
          <w:szCs w:val="28"/>
          <w:lang w:eastAsia="en-US"/>
        </w:rPr>
        <w:lastRenderedPageBreak/>
        <w:t>que trabaja con alumnos con necesidades especiales ve su trabajo sesgado por diferentes barreras, tanto exógenas como endógenas.</w:t>
      </w:r>
    </w:p>
    <w:p w:rsidR="00033066" w:rsidRPr="005E1103" w:rsidRDefault="00033066" w:rsidP="00033066">
      <w:pPr>
        <w:pStyle w:val="NormalWeb"/>
        <w:spacing w:line="360" w:lineRule="auto"/>
        <w:ind w:firstLine="709"/>
        <w:jc w:val="both"/>
        <w:rPr>
          <w:rFonts w:asciiTheme="minorHAnsi" w:hAnsiTheme="minorHAnsi" w:cstheme="minorHAnsi"/>
          <w:sz w:val="28"/>
          <w:szCs w:val="28"/>
          <w:lang w:eastAsia="en-US"/>
        </w:rPr>
      </w:pPr>
      <w:r w:rsidRPr="005E1103">
        <w:rPr>
          <w:rFonts w:asciiTheme="minorHAnsi" w:hAnsiTheme="minorHAnsi" w:cstheme="minorHAnsi"/>
          <w:sz w:val="28"/>
          <w:szCs w:val="28"/>
          <w:lang w:eastAsia="en-US"/>
        </w:rPr>
        <w:t>Por ello, consideramos necesario indagar sobre la percepción de los mismos, en términos de conocimiento y uso de las TIC en el ámbito de la atención a la discapacidad y a la inclusión.</w:t>
      </w:r>
    </w:p>
    <w:p w:rsidR="00033066" w:rsidRPr="005E1103" w:rsidRDefault="00033066" w:rsidP="00033066">
      <w:pPr>
        <w:pStyle w:val="NormalWeb"/>
        <w:spacing w:line="360" w:lineRule="auto"/>
        <w:ind w:firstLine="709"/>
        <w:jc w:val="both"/>
        <w:rPr>
          <w:rFonts w:asciiTheme="minorHAnsi" w:hAnsiTheme="minorHAnsi" w:cstheme="minorHAnsi"/>
          <w:b/>
          <w:sz w:val="28"/>
          <w:szCs w:val="28"/>
        </w:rPr>
      </w:pPr>
      <w:r w:rsidRPr="005E1103">
        <w:rPr>
          <w:rFonts w:asciiTheme="minorHAnsi" w:hAnsiTheme="minorHAnsi" w:cstheme="minorHAnsi"/>
          <w:sz w:val="28"/>
          <w:szCs w:val="28"/>
          <w:lang w:eastAsia="en-US"/>
        </w:rPr>
        <w:t>En estas líneas cabe resaltar la aplicabilidad de las redes bayesianas en esta investigación no suponen innovación en sí mismo, ya se llevan usando años, aunque no se han aplicado normalmente en estudios de esta tipología. Éstas nos permitieron un análisis más detallado en términos de probabilidades. Autores como (</w:t>
      </w:r>
      <w:r w:rsidRPr="005E1103">
        <w:rPr>
          <w:rFonts w:asciiTheme="minorHAnsi" w:hAnsiTheme="minorHAnsi" w:cstheme="minorHAnsi"/>
          <w:sz w:val="28"/>
          <w:szCs w:val="28"/>
        </w:rPr>
        <w:t xml:space="preserve">Puga, García, De la Fuente &amp; De la Fuente, </w:t>
      </w:r>
      <w:r w:rsidRPr="005E1103">
        <w:rPr>
          <w:rFonts w:asciiTheme="minorHAnsi" w:hAnsiTheme="minorHAnsi" w:cstheme="minorHAnsi"/>
          <w:sz w:val="28"/>
          <w:szCs w:val="28"/>
          <w:lang w:eastAsia="en-US"/>
        </w:rPr>
        <w:t xml:space="preserve">2007) entienden las relaciones en  red, como un grafo dirigido acíclico formado por dos elementos, un arco y un nodo. Los nodos representan las variables experimentales y los arcos son las relaciones probabilísticas entre los nodos. Las redes bayesianas permiten descubrir la estructura causal subyacente en un conjunto de datos. Así permitirá construir un modelo gráfico probabilístico a partir de una base de datos que contenga un conjunto de observaciones sobre un conjunto de variables. Asimismo, según indica un estudio publicado por (Nuzzo, 2014), los análisis estadísticos no deberían centrarse exclusivamente en el análisis clásico de varianza. De hecho, en este trabajo se recomienda el uso de las redes bayesianas </w:t>
      </w:r>
      <w:r w:rsidRPr="005E1103">
        <w:rPr>
          <w:rFonts w:asciiTheme="minorHAnsi" w:hAnsiTheme="minorHAnsi" w:cstheme="minorHAnsi"/>
          <w:sz w:val="28"/>
          <w:szCs w:val="28"/>
        </w:rPr>
        <w:t>como instrumento de análisis innovador. En definitiva, esta herramienta fue empleada con objeto de desarrollar un modelo, cuyo nodo objeto fuera la predicción del uso de dispositivos de apoyo.</w:t>
      </w:r>
      <w:r w:rsidRPr="005E1103">
        <w:rPr>
          <w:rFonts w:asciiTheme="minorHAnsi" w:hAnsiTheme="minorHAnsi" w:cstheme="minorHAnsi"/>
          <w:b/>
          <w:sz w:val="28"/>
          <w:szCs w:val="28"/>
        </w:rPr>
        <w:t xml:space="preserve"> </w:t>
      </w:r>
    </w:p>
    <w:p w:rsidR="00033066" w:rsidRPr="005E1103" w:rsidRDefault="00033066" w:rsidP="00033066">
      <w:pPr>
        <w:pStyle w:val="NormalWeb"/>
        <w:spacing w:line="360" w:lineRule="auto"/>
        <w:jc w:val="both"/>
        <w:rPr>
          <w:rFonts w:asciiTheme="minorHAnsi" w:hAnsiTheme="minorHAnsi" w:cstheme="minorHAnsi"/>
          <w:b/>
          <w:sz w:val="28"/>
          <w:szCs w:val="28"/>
        </w:rPr>
      </w:pPr>
    </w:p>
    <w:p w:rsidR="00DE3270" w:rsidRDefault="00DE3270">
      <w:pPr>
        <w:rPr>
          <w:rFonts w:eastAsia="Times New Roman" w:cstheme="minorHAnsi"/>
          <w:b/>
          <w:sz w:val="28"/>
          <w:szCs w:val="28"/>
          <w:lang w:eastAsia="es-ES"/>
        </w:rPr>
      </w:pPr>
      <w:r>
        <w:rPr>
          <w:rFonts w:cstheme="minorHAnsi"/>
          <w:b/>
          <w:sz w:val="28"/>
          <w:szCs w:val="28"/>
        </w:rPr>
        <w:br w:type="page"/>
      </w:r>
    </w:p>
    <w:p w:rsidR="00033066" w:rsidRPr="005E1103" w:rsidRDefault="00033066" w:rsidP="00033066">
      <w:pPr>
        <w:pStyle w:val="NormalWeb"/>
        <w:spacing w:line="360" w:lineRule="auto"/>
        <w:jc w:val="both"/>
        <w:rPr>
          <w:rFonts w:asciiTheme="minorHAnsi" w:hAnsiTheme="minorHAnsi" w:cstheme="minorHAnsi"/>
          <w:b/>
          <w:sz w:val="28"/>
          <w:szCs w:val="28"/>
        </w:rPr>
      </w:pPr>
      <w:r w:rsidRPr="005E1103">
        <w:rPr>
          <w:rFonts w:asciiTheme="minorHAnsi" w:hAnsiTheme="minorHAnsi" w:cstheme="minorHAnsi"/>
          <w:b/>
          <w:sz w:val="28"/>
          <w:szCs w:val="28"/>
        </w:rPr>
        <w:lastRenderedPageBreak/>
        <w:t>Metodología</w:t>
      </w:r>
    </w:p>
    <w:p w:rsidR="00033066" w:rsidRPr="005E1103" w:rsidRDefault="00033066" w:rsidP="00033066">
      <w:pPr>
        <w:pStyle w:val="NormalWeb"/>
        <w:spacing w:line="360" w:lineRule="auto"/>
        <w:jc w:val="both"/>
        <w:rPr>
          <w:rFonts w:asciiTheme="minorHAnsi" w:hAnsiTheme="minorHAnsi" w:cstheme="minorHAnsi"/>
          <w:i/>
          <w:sz w:val="28"/>
          <w:szCs w:val="28"/>
        </w:rPr>
      </w:pPr>
      <w:r w:rsidRPr="005E1103">
        <w:rPr>
          <w:rFonts w:asciiTheme="minorHAnsi" w:hAnsiTheme="minorHAnsi" w:cstheme="minorHAnsi"/>
          <w:i/>
          <w:sz w:val="28"/>
          <w:szCs w:val="28"/>
        </w:rPr>
        <w:t>Participantes</w:t>
      </w:r>
    </w:p>
    <w:p w:rsidR="00033066" w:rsidRPr="005E1103" w:rsidRDefault="00033066" w:rsidP="00033066">
      <w:pPr>
        <w:pStyle w:val="NormalWeb"/>
        <w:spacing w:line="360" w:lineRule="auto"/>
        <w:ind w:firstLine="708"/>
        <w:jc w:val="both"/>
        <w:rPr>
          <w:rFonts w:asciiTheme="minorHAnsi" w:hAnsiTheme="minorHAnsi" w:cstheme="minorHAnsi"/>
          <w:sz w:val="28"/>
          <w:szCs w:val="28"/>
          <w:lang w:eastAsia="en-US"/>
        </w:rPr>
      </w:pPr>
      <w:r w:rsidRPr="005E1103">
        <w:rPr>
          <w:rFonts w:asciiTheme="minorHAnsi" w:hAnsiTheme="minorHAnsi" w:cstheme="minorHAnsi"/>
          <w:sz w:val="28"/>
          <w:szCs w:val="28"/>
          <w:lang w:eastAsia="en-US"/>
        </w:rPr>
        <w:t>En el estudio participaron un total de 129 profesionales docentes de este ámbito. Su colaboración fue voluntaria y desinteresada. Las edades de los mismos están comprendidas entre los 20 y los 65 años de edad, siendo de 44,09 la media de edad de los participantes (con una desviación típica de 10,32), siendo de 85,2% para el sector femenino, frente al 14,8% para los hombres.</w:t>
      </w:r>
    </w:p>
    <w:p w:rsidR="00033066" w:rsidRPr="005E1103" w:rsidRDefault="00033066" w:rsidP="00033066">
      <w:pPr>
        <w:pStyle w:val="NormalWeb"/>
        <w:spacing w:line="360" w:lineRule="auto"/>
        <w:jc w:val="both"/>
        <w:rPr>
          <w:rFonts w:asciiTheme="minorHAnsi" w:hAnsiTheme="minorHAnsi" w:cstheme="minorHAnsi"/>
          <w:i/>
          <w:sz w:val="28"/>
          <w:szCs w:val="28"/>
        </w:rPr>
      </w:pPr>
    </w:p>
    <w:p w:rsidR="00033066" w:rsidRPr="005E1103" w:rsidRDefault="00033066" w:rsidP="00033066">
      <w:pPr>
        <w:pStyle w:val="NormalWeb"/>
        <w:spacing w:line="360" w:lineRule="auto"/>
        <w:jc w:val="both"/>
        <w:rPr>
          <w:rFonts w:asciiTheme="minorHAnsi" w:hAnsiTheme="minorHAnsi" w:cstheme="minorHAnsi"/>
          <w:i/>
          <w:sz w:val="28"/>
          <w:szCs w:val="28"/>
        </w:rPr>
      </w:pPr>
      <w:r w:rsidRPr="005E1103">
        <w:rPr>
          <w:rFonts w:asciiTheme="minorHAnsi" w:hAnsiTheme="minorHAnsi" w:cstheme="minorHAnsi"/>
          <w:i/>
          <w:sz w:val="28"/>
          <w:szCs w:val="28"/>
        </w:rPr>
        <w:t>Instrumentos</w:t>
      </w:r>
    </w:p>
    <w:p w:rsidR="00033066" w:rsidRPr="005E1103" w:rsidRDefault="00033066" w:rsidP="00033066">
      <w:pPr>
        <w:pStyle w:val="NormalWeb"/>
        <w:spacing w:line="360" w:lineRule="auto"/>
        <w:ind w:firstLine="708"/>
        <w:jc w:val="both"/>
        <w:rPr>
          <w:rFonts w:asciiTheme="minorHAnsi" w:hAnsiTheme="minorHAnsi" w:cstheme="minorHAnsi"/>
          <w:sz w:val="28"/>
          <w:szCs w:val="28"/>
          <w:lang w:eastAsia="en-US"/>
        </w:rPr>
      </w:pPr>
      <w:r w:rsidRPr="005E1103">
        <w:rPr>
          <w:rFonts w:asciiTheme="minorHAnsi" w:hAnsiTheme="minorHAnsi" w:cstheme="minorHAnsi"/>
          <w:sz w:val="28"/>
          <w:szCs w:val="28"/>
          <w:lang w:eastAsia="en-US"/>
        </w:rPr>
        <w:t>Se empleó como herramienta el cuestionario de acceso al computador para personas con Parálisis Cerebral Infantil y alteraciones afines, utilizado por el CSIC, en colaboración con ASPACE. Esté cuestionario, tiene como objetivo determinar el conocimiento sobre la existencia y características de catálogo general de Productos de Apoyo para acceso a las TIC, haciendo especial hincapié en algunos productos en concreto. Del mismo modo incide en la percepción, por parte de los profesionales, sobre los limitantes existentes para la aplicación de estos en el aula.</w:t>
      </w:r>
    </w:p>
    <w:p w:rsidR="00033066" w:rsidRPr="005E1103" w:rsidRDefault="00033066" w:rsidP="00033066">
      <w:pPr>
        <w:pStyle w:val="NormalWeb"/>
        <w:spacing w:line="360" w:lineRule="auto"/>
        <w:jc w:val="both"/>
        <w:rPr>
          <w:rFonts w:asciiTheme="minorHAnsi" w:hAnsiTheme="minorHAnsi" w:cstheme="minorHAnsi"/>
          <w:i/>
          <w:sz w:val="28"/>
          <w:szCs w:val="28"/>
        </w:rPr>
      </w:pPr>
    </w:p>
    <w:p w:rsidR="00033066" w:rsidRPr="005E1103" w:rsidRDefault="00033066" w:rsidP="00033066">
      <w:pPr>
        <w:pStyle w:val="NormalWeb"/>
        <w:spacing w:line="360" w:lineRule="auto"/>
        <w:jc w:val="both"/>
        <w:rPr>
          <w:rFonts w:asciiTheme="minorHAnsi" w:hAnsiTheme="minorHAnsi" w:cstheme="minorHAnsi"/>
          <w:i/>
          <w:sz w:val="28"/>
          <w:szCs w:val="28"/>
        </w:rPr>
      </w:pPr>
      <w:r w:rsidRPr="005E1103">
        <w:rPr>
          <w:rFonts w:asciiTheme="minorHAnsi" w:hAnsiTheme="minorHAnsi" w:cstheme="minorHAnsi"/>
          <w:i/>
          <w:sz w:val="28"/>
          <w:szCs w:val="28"/>
        </w:rPr>
        <w:t>Procedimiento</w:t>
      </w:r>
    </w:p>
    <w:p w:rsidR="00033066" w:rsidRPr="005E1103" w:rsidRDefault="00033066" w:rsidP="00033066">
      <w:pPr>
        <w:pStyle w:val="NormalWeb"/>
        <w:spacing w:line="360" w:lineRule="auto"/>
        <w:ind w:firstLine="708"/>
        <w:jc w:val="both"/>
        <w:rPr>
          <w:rFonts w:asciiTheme="minorHAnsi" w:hAnsiTheme="minorHAnsi" w:cstheme="minorHAnsi"/>
          <w:sz w:val="28"/>
          <w:szCs w:val="28"/>
          <w:lang w:eastAsia="en-US"/>
        </w:rPr>
      </w:pPr>
      <w:r w:rsidRPr="005E1103">
        <w:rPr>
          <w:rFonts w:asciiTheme="minorHAnsi" w:hAnsiTheme="minorHAnsi" w:cstheme="minorHAnsi"/>
          <w:sz w:val="28"/>
          <w:szCs w:val="28"/>
          <w:lang w:eastAsia="en-US"/>
        </w:rPr>
        <w:t xml:space="preserve">Respecto a la recogida de cuestionarios, esta se llevo a cabo de forma autocumplimentada, estableciendo una fecha previa informativa </w:t>
      </w:r>
      <w:r w:rsidRPr="005E1103">
        <w:rPr>
          <w:rFonts w:asciiTheme="minorHAnsi" w:hAnsiTheme="minorHAnsi" w:cstheme="minorHAnsi"/>
          <w:sz w:val="28"/>
          <w:szCs w:val="28"/>
          <w:lang w:eastAsia="en-US"/>
        </w:rPr>
        <w:lastRenderedPageBreak/>
        <w:t xml:space="preserve">sobre los mismos, así como las instrucciones de cumplimentación.  a sus profesionales en las misma sala y proceder de este modo a cumplimentar los cuestionarios. </w:t>
      </w:r>
    </w:p>
    <w:p w:rsidR="00033066" w:rsidRPr="005E1103" w:rsidRDefault="00033066" w:rsidP="00033066">
      <w:pPr>
        <w:pStyle w:val="NormalWeb"/>
        <w:spacing w:line="360" w:lineRule="auto"/>
        <w:jc w:val="both"/>
        <w:rPr>
          <w:rFonts w:asciiTheme="minorHAnsi" w:hAnsiTheme="minorHAnsi" w:cstheme="minorHAnsi"/>
          <w:b/>
          <w:sz w:val="28"/>
          <w:szCs w:val="28"/>
        </w:rPr>
      </w:pPr>
    </w:p>
    <w:p w:rsidR="00033066" w:rsidRPr="005E1103" w:rsidRDefault="00033066" w:rsidP="00033066">
      <w:pPr>
        <w:pStyle w:val="NormalWeb"/>
        <w:spacing w:line="360" w:lineRule="auto"/>
        <w:jc w:val="both"/>
        <w:rPr>
          <w:rFonts w:asciiTheme="minorHAnsi" w:hAnsiTheme="minorHAnsi" w:cstheme="minorHAnsi"/>
          <w:b/>
          <w:sz w:val="28"/>
          <w:szCs w:val="28"/>
        </w:rPr>
      </w:pPr>
      <w:r w:rsidRPr="005E1103">
        <w:rPr>
          <w:rFonts w:asciiTheme="minorHAnsi" w:hAnsiTheme="minorHAnsi" w:cstheme="minorHAnsi"/>
          <w:b/>
          <w:sz w:val="28"/>
          <w:szCs w:val="28"/>
        </w:rPr>
        <w:t>Resultados</w:t>
      </w:r>
    </w:p>
    <w:p w:rsidR="00033066" w:rsidRPr="005E1103" w:rsidRDefault="00033066" w:rsidP="00033066">
      <w:pPr>
        <w:spacing w:line="360" w:lineRule="auto"/>
        <w:ind w:left="357" w:firstLine="709"/>
        <w:jc w:val="both"/>
        <w:rPr>
          <w:rFonts w:eastAsia="Times New Roman" w:cstheme="minorHAnsi"/>
          <w:sz w:val="28"/>
          <w:szCs w:val="28"/>
        </w:rPr>
      </w:pPr>
      <w:r w:rsidRPr="005E1103">
        <w:rPr>
          <w:rFonts w:eastAsia="Times New Roman" w:cstheme="minorHAnsi"/>
          <w:sz w:val="28"/>
          <w:szCs w:val="28"/>
        </w:rPr>
        <w:t>Para la creación de los modelos, las variables continuas fueron dicotomizadas a partir de un análisis previo de k clusters de pertenencia.  En este caso, los estimadores del ajuste del modelo mostraron nuevamente valores óptimos: la pérdida logarítmica fue 0,27,  la pérdida cuadrática fue de 0,17, y la compensación esférica teórica fue de 0,90. La tasa de error del modelo fue de 10%. Así mismo, el modelo presentó una gran sensibilidad. Concretamente, el área bajo la curva ROC fue de 0.97. Particularmente, la tabla 1 muestra la sensibilidad para cada nodo del modelo.</w:t>
      </w:r>
    </w:p>
    <w:p w:rsidR="00033066" w:rsidRPr="005E1103" w:rsidRDefault="00033066" w:rsidP="00033066">
      <w:pPr>
        <w:spacing w:line="360" w:lineRule="auto"/>
        <w:ind w:left="357" w:firstLine="709"/>
        <w:jc w:val="both"/>
        <w:rPr>
          <w:rFonts w:eastAsia="Times New Roman" w:cstheme="minorHAnsi"/>
          <w:sz w:val="28"/>
          <w:szCs w:val="28"/>
        </w:rPr>
      </w:pPr>
    </w:p>
    <w:p w:rsidR="00033066" w:rsidRPr="005E1103" w:rsidRDefault="00033066" w:rsidP="00033066">
      <w:pPr>
        <w:pStyle w:val="Ttulo4"/>
        <w:jc w:val="center"/>
        <w:rPr>
          <w:rFonts w:asciiTheme="minorHAnsi" w:hAnsiTheme="minorHAnsi" w:cstheme="minorHAnsi"/>
          <w:b/>
          <w:sz w:val="28"/>
          <w:szCs w:val="28"/>
          <w:lang w:val="es-ES_tradnl"/>
        </w:rPr>
      </w:pPr>
      <w:bookmarkStart w:id="76" w:name="_Toc433675683"/>
      <w:bookmarkStart w:id="77" w:name="_Toc433709453"/>
      <w:r w:rsidRPr="005E1103">
        <w:rPr>
          <w:rFonts w:asciiTheme="minorHAnsi" w:hAnsiTheme="minorHAnsi" w:cstheme="minorHAnsi"/>
          <w:sz w:val="28"/>
          <w:szCs w:val="28"/>
          <w:lang w:val="es-ES_tradnl"/>
        </w:rPr>
        <w:t>Tabla 1. Información mutua y porcentaje de cada nodo</w:t>
      </w:r>
      <w:bookmarkStart w:id="78" w:name="_Toc433675684"/>
      <w:bookmarkEnd w:id="76"/>
      <w:r w:rsidRPr="005E1103">
        <w:rPr>
          <w:rFonts w:asciiTheme="minorHAnsi" w:hAnsiTheme="minorHAnsi" w:cstheme="minorHAnsi"/>
          <w:sz w:val="28"/>
          <w:szCs w:val="28"/>
          <w:lang w:val="es-ES_tradnl"/>
        </w:rPr>
        <w:t xml:space="preserve"> estipulado en el modelo bayesiano.</w:t>
      </w:r>
      <w:bookmarkEnd w:id="77"/>
      <w:bookmarkEnd w:id="78"/>
    </w:p>
    <w:p w:rsidR="00033066" w:rsidRPr="005E1103" w:rsidRDefault="00033066" w:rsidP="00033066">
      <w:pPr>
        <w:rPr>
          <w:rFonts w:cstheme="minorHAnsi"/>
          <w:sz w:val="28"/>
          <w:szCs w:val="28"/>
          <w:lang w:val="es-ES_tradnl"/>
        </w:rPr>
      </w:pPr>
    </w:p>
    <w:tbl>
      <w:tblPr>
        <w:tblW w:w="6266" w:type="dxa"/>
        <w:jc w:val="center"/>
        <w:tblBorders>
          <w:top w:val="single" w:sz="4" w:space="0" w:color="00000A"/>
          <w:bottom w:val="single" w:sz="4" w:space="0" w:color="00000A"/>
          <w:insideH w:val="single" w:sz="4" w:space="0" w:color="00000A"/>
        </w:tblBorders>
        <w:tblCellMar>
          <w:left w:w="70" w:type="dxa"/>
          <w:right w:w="70" w:type="dxa"/>
        </w:tblCellMar>
        <w:tblLook w:val="04A0" w:firstRow="1" w:lastRow="0" w:firstColumn="1" w:lastColumn="0" w:noHBand="0" w:noVBand="1"/>
      </w:tblPr>
      <w:tblGrid>
        <w:gridCol w:w="2508"/>
        <w:gridCol w:w="2115"/>
        <w:gridCol w:w="1643"/>
      </w:tblGrid>
      <w:tr w:rsidR="00033066" w:rsidRPr="005E1103" w:rsidTr="00033066">
        <w:trPr>
          <w:trHeight w:val="365"/>
          <w:jc w:val="center"/>
        </w:trPr>
        <w:tc>
          <w:tcPr>
            <w:tcW w:w="2508" w:type="dxa"/>
            <w:tcBorders>
              <w:top w:val="single" w:sz="4" w:space="0" w:color="00000A"/>
              <w:bottom w:val="single" w:sz="4" w:space="0" w:color="00000A"/>
            </w:tcBorders>
            <w:shd w:val="clear" w:color="auto" w:fill="auto"/>
            <w:vAlign w:val="center"/>
          </w:tcPr>
          <w:p w:rsidR="00033066" w:rsidRPr="005E1103" w:rsidRDefault="00033066" w:rsidP="00033066">
            <w:pPr>
              <w:pStyle w:val="Sinespaciado"/>
              <w:rPr>
                <w:rFonts w:asciiTheme="minorHAnsi" w:hAnsiTheme="minorHAnsi" w:cstheme="minorHAnsi"/>
                <w:sz w:val="28"/>
                <w:szCs w:val="28"/>
              </w:rPr>
            </w:pPr>
            <w:r w:rsidRPr="005E1103">
              <w:rPr>
                <w:rFonts w:asciiTheme="minorHAnsi" w:hAnsiTheme="minorHAnsi" w:cstheme="minorHAnsi"/>
                <w:sz w:val="28"/>
                <w:szCs w:val="28"/>
              </w:rPr>
              <w:t>Nodo</w:t>
            </w:r>
          </w:p>
        </w:tc>
        <w:tc>
          <w:tcPr>
            <w:tcW w:w="2115" w:type="dxa"/>
            <w:tcBorders>
              <w:top w:val="single" w:sz="4" w:space="0" w:color="00000A"/>
              <w:bottom w:val="single" w:sz="4" w:space="0" w:color="00000A"/>
            </w:tcBorders>
            <w:shd w:val="clear" w:color="auto" w:fill="auto"/>
            <w:vAlign w:val="center"/>
          </w:tcPr>
          <w:p w:rsidR="00033066" w:rsidRPr="005E1103" w:rsidRDefault="00033066" w:rsidP="00033066">
            <w:pPr>
              <w:pStyle w:val="Sinespaciado"/>
              <w:rPr>
                <w:rFonts w:asciiTheme="minorHAnsi" w:hAnsiTheme="minorHAnsi" w:cstheme="minorHAnsi"/>
                <w:sz w:val="28"/>
                <w:szCs w:val="28"/>
              </w:rPr>
            </w:pPr>
            <w:r w:rsidRPr="005E1103">
              <w:rPr>
                <w:rFonts w:asciiTheme="minorHAnsi" w:hAnsiTheme="minorHAnsi" w:cstheme="minorHAnsi"/>
                <w:sz w:val="28"/>
                <w:szCs w:val="28"/>
              </w:rPr>
              <w:t>Información mutua</w:t>
            </w:r>
          </w:p>
        </w:tc>
        <w:tc>
          <w:tcPr>
            <w:tcW w:w="1643" w:type="dxa"/>
            <w:tcBorders>
              <w:top w:val="single" w:sz="4" w:space="0" w:color="00000A"/>
              <w:bottom w:val="single" w:sz="4" w:space="0" w:color="00000A"/>
            </w:tcBorders>
            <w:shd w:val="clear" w:color="auto" w:fill="auto"/>
            <w:vAlign w:val="center"/>
          </w:tcPr>
          <w:p w:rsidR="00033066" w:rsidRPr="005E1103" w:rsidRDefault="00033066" w:rsidP="00033066">
            <w:pPr>
              <w:pStyle w:val="Sinespaciado"/>
              <w:rPr>
                <w:rFonts w:asciiTheme="minorHAnsi" w:hAnsiTheme="minorHAnsi" w:cstheme="minorHAnsi"/>
                <w:sz w:val="28"/>
                <w:szCs w:val="28"/>
              </w:rPr>
            </w:pPr>
            <w:r w:rsidRPr="005E1103">
              <w:rPr>
                <w:rFonts w:asciiTheme="minorHAnsi" w:hAnsiTheme="minorHAnsi" w:cstheme="minorHAnsi"/>
                <w:sz w:val="28"/>
                <w:szCs w:val="28"/>
              </w:rPr>
              <w:t>Porcentaje</w:t>
            </w:r>
          </w:p>
        </w:tc>
      </w:tr>
      <w:tr w:rsidR="00033066" w:rsidRPr="005E1103" w:rsidTr="00033066">
        <w:trPr>
          <w:trHeight w:val="365"/>
          <w:jc w:val="center"/>
        </w:trPr>
        <w:tc>
          <w:tcPr>
            <w:tcW w:w="2508" w:type="dxa"/>
            <w:tcBorders>
              <w:top w:val="single" w:sz="4" w:space="0" w:color="00000A"/>
              <w:bottom w:val="single" w:sz="4" w:space="0" w:color="00000A"/>
            </w:tcBorders>
            <w:shd w:val="clear" w:color="auto" w:fill="auto"/>
            <w:vAlign w:val="center"/>
          </w:tcPr>
          <w:p w:rsidR="00033066" w:rsidRPr="005E1103" w:rsidRDefault="00033066" w:rsidP="00033066">
            <w:pPr>
              <w:pStyle w:val="Sinespaciado"/>
              <w:rPr>
                <w:rFonts w:asciiTheme="minorHAnsi" w:hAnsiTheme="minorHAnsi" w:cstheme="minorHAnsi"/>
                <w:sz w:val="28"/>
                <w:szCs w:val="28"/>
              </w:rPr>
            </w:pPr>
            <w:r w:rsidRPr="005E1103">
              <w:rPr>
                <w:rFonts w:asciiTheme="minorHAnsi" w:hAnsiTheme="minorHAnsi" w:cstheme="minorHAnsi"/>
                <w:sz w:val="28"/>
                <w:szCs w:val="28"/>
              </w:rPr>
              <w:t>Cubren las necesidades</w:t>
            </w:r>
          </w:p>
        </w:tc>
        <w:tc>
          <w:tcPr>
            <w:tcW w:w="2115" w:type="dxa"/>
            <w:tcBorders>
              <w:top w:val="single" w:sz="4" w:space="0" w:color="00000A"/>
              <w:bottom w:val="single" w:sz="4" w:space="0" w:color="00000A"/>
            </w:tcBorders>
            <w:shd w:val="clear" w:color="auto" w:fill="auto"/>
            <w:vAlign w:val="center"/>
          </w:tcPr>
          <w:p w:rsidR="00033066" w:rsidRPr="005E1103" w:rsidRDefault="00033066" w:rsidP="00033066">
            <w:pPr>
              <w:pStyle w:val="Sinespaciado"/>
              <w:rPr>
                <w:rFonts w:asciiTheme="minorHAnsi" w:hAnsiTheme="minorHAnsi" w:cstheme="minorHAnsi"/>
                <w:sz w:val="28"/>
                <w:szCs w:val="28"/>
              </w:rPr>
            </w:pPr>
            <w:r w:rsidRPr="005E1103">
              <w:rPr>
                <w:rFonts w:asciiTheme="minorHAnsi" w:hAnsiTheme="minorHAnsi" w:cstheme="minorHAnsi"/>
                <w:sz w:val="28"/>
                <w:szCs w:val="28"/>
              </w:rPr>
              <w:t>0,11</w:t>
            </w:r>
          </w:p>
        </w:tc>
        <w:tc>
          <w:tcPr>
            <w:tcW w:w="1643" w:type="dxa"/>
            <w:tcBorders>
              <w:top w:val="single" w:sz="4" w:space="0" w:color="00000A"/>
              <w:bottom w:val="single" w:sz="4" w:space="0" w:color="00000A"/>
            </w:tcBorders>
            <w:shd w:val="clear" w:color="auto" w:fill="auto"/>
            <w:vAlign w:val="center"/>
          </w:tcPr>
          <w:p w:rsidR="00033066" w:rsidRPr="005E1103" w:rsidRDefault="00033066" w:rsidP="00033066">
            <w:pPr>
              <w:pStyle w:val="Sinespaciado"/>
              <w:rPr>
                <w:rFonts w:asciiTheme="minorHAnsi" w:hAnsiTheme="minorHAnsi" w:cstheme="minorHAnsi"/>
                <w:sz w:val="28"/>
                <w:szCs w:val="28"/>
              </w:rPr>
            </w:pPr>
            <w:r w:rsidRPr="005E1103">
              <w:rPr>
                <w:rFonts w:asciiTheme="minorHAnsi" w:hAnsiTheme="minorHAnsi" w:cstheme="minorHAnsi"/>
                <w:sz w:val="28"/>
                <w:szCs w:val="28"/>
              </w:rPr>
              <w:t>25</w:t>
            </w:r>
          </w:p>
        </w:tc>
      </w:tr>
      <w:tr w:rsidR="00033066" w:rsidRPr="005E1103" w:rsidTr="00033066">
        <w:trPr>
          <w:trHeight w:val="365"/>
          <w:jc w:val="center"/>
        </w:trPr>
        <w:tc>
          <w:tcPr>
            <w:tcW w:w="2508" w:type="dxa"/>
            <w:tcBorders>
              <w:top w:val="single" w:sz="4" w:space="0" w:color="00000A"/>
              <w:bottom w:val="single" w:sz="4" w:space="0" w:color="00000A"/>
            </w:tcBorders>
            <w:shd w:val="clear" w:color="auto" w:fill="auto"/>
            <w:vAlign w:val="center"/>
          </w:tcPr>
          <w:p w:rsidR="00033066" w:rsidRPr="005E1103" w:rsidRDefault="00033066" w:rsidP="00033066">
            <w:pPr>
              <w:pStyle w:val="Sinespaciado"/>
              <w:rPr>
                <w:rFonts w:asciiTheme="minorHAnsi" w:hAnsiTheme="minorHAnsi" w:cstheme="minorHAnsi"/>
                <w:sz w:val="28"/>
                <w:szCs w:val="28"/>
              </w:rPr>
            </w:pPr>
            <w:r w:rsidRPr="005E1103">
              <w:rPr>
                <w:rFonts w:asciiTheme="minorHAnsi" w:hAnsiTheme="minorHAnsi" w:cstheme="minorHAnsi"/>
                <w:sz w:val="28"/>
                <w:szCs w:val="28"/>
              </w:rPr>
              <w:t>Barreras</w:t>
            </w:r>
          </w:p>
        </w:tc>
        <w:tc>
          <w:tcPr>
            <w:tcW w:w="2115" w:type="dxa"/>
            <w:tcBorders>
              <w:top w:val="single" w:sz="4" w:space="0" w:color="00000A"/>
              <w:bottom w:val="single" w:sz="4" w:space="0" w:color="00000A"/>
            </w:tcBorders>
            <w:shd w:val="clear" w:color="auto" w:fill="auto"/>
            <w:vAlign w:val="center"/>
          </w:tcPr>
          <w:p w:rsidR="00033066" w:rsidRPr="005E1103" w:rsidRDefault="00033066" w:rsidP="00033066">
            <w:pPr>
              <w:pStyle w:val="Sinespaciado"/>
              <w:rPr>
                <w:rFonts w:asciiTheme="minorHAnsi" w:hAnsiTheme="minorHAnsi" w:cstheme="minorHAnsi"/>
                <w:sz w:val="28"/>
                <w:szCs w:val="28"/>
              </w:rPr>
            </w:pPr>
            <w:r w:rsidRPr="005E1103">
              <w:rPr>
                <w:rFonts w:asciiTheme="minorHAnsi" w:hAnsiTheme="minorHAnsi" w:cstheme="minorHAnsi"/>
                <w:sz w:val="28"/>
                <w:szCs w:val="28"/>
              </w:rPr>
              <w:t>0,08</w:t>
            </w:r>
          </w:p>
        </w:tc>
        <w:tc>
          <w:tcPr>
            <w:tcW w:w="1643" w:type="dxa"/>
            <w:tcBorders>
              <w:top w:val="single" w:sz="4" w:space="0" w:color="00000A"/>
              <w:bottom w:val="single" w:sz="4" w:space="0" w:color="00000A"/>
            </w:tcBorders>
            <w:shd w:val="clear" w:color="auto" w:fill="auto"/>
            <w:vAlign w:val="center"/>
          </w:tcPr>
          <w:p w:rsidR="00033066" w:rsidRPr="005E1103" w:rsidRDefault="00033066" w:rsidP="00033066">
            <w:pPr>
              <w:pStyle w:val="Sinespaciado"/>
              <w:rPr>
                <w:rFonts w:asciiTheme="minorHAnsi" w:hAnsiTheme="minorHAnsi" w:cstheme="minorHAnsi"/>
                <w:sz w:val="28"/>
                <w:szCs w:val="28"/>
              </w:rPr>
            </w:pPr>
            <w:r w:rsidRPr="005E1103">
              <w:rPr>
                <w:rFonts w:asciiTheme="minorHAnsi" w:hAnsiTheme="minorHAnsi" w:cstheme="minorHAnsi"/>
                <w:sz w:val="28"/>
                <w:szCs w:val="28"/>
              </w:rPr>
              <w:t>18,9</w:t>
            </w:r>
          </w:p>
        </w:tc>
      </w:tr>
      <w:tr w:rsidR="00033066" w:rsidRPr="005E1103" w:rsidTr="00033066">
        <w:trPr>
          <w:trHeight w:val="365"/>
          <w:jc w:val="center"/>
        </w:trPr>
        <w:tc>
          <w:tcPr>
            <w:tcW w:w="2508" w:type="dxa"/>
            <w:tcBorders>
              <w:top w:val="single" w:sz="4" w:space="0" w:color="00000A"/>
              <w:bottom w:val="single" w:sz="4" w:space="0" w:color="00000A"/>
            </w:tcBorders>
            <w:shd w:val="clear" w:color="auto" w:fill="auto"/>
            <w:vAlign w:val="center"/>
          </w:tcPr>
          <w:p w:rsidR="00033066" w:rsidRPr="005E1103" w:rsidRDefault="00033066" w:rsidP="00033066">
            <w:pPr>
              <w:pStyle w:val="Sinespaciado"/>
              <w:rPr>
                <w:rFonts w:asciiTheme="minorHAnsi" w:hAnsiTheme="minorHAnsi" w:cstheme="minorHAnsi"/>
                <w:sz w:val="28"/>
                <w:szCs w:val="28"/>
              </w:rPr>
            </w:pPr>
            <w:r w:rsidRPr="005E1103">
              <w:rPr>
                <w:rFonts w:asciiTheme="minorHAnsi" w:hAnsiTheme="minorHAnsi" w:cstheme="minorHAnsi"/>
                <w:sz w:val="28"/>
                <w:szCs w:val="28"/>
              </w:rPr>
              <w:t>Causas</w:t>
            </w:r>
          </w:p>
        </w:tc>
        <w:tc>
          <w:tcPr>
            <w:tcW w:w="2115" w:type="dxa"/>
            <w:tcBorders>
              <w:top w:val="single" w:sz="4" w:space="0" w:color="00000A"/>
              <w:bottom w:val="single" w:sz="4" w:space="0" w:color="00000A"/>
            </w:tcBorders>
            <w:shd w:val="clear" w:color="auto" w:fill="auto"/>
          </w:tcPr>
          <w:p w:rsidR="00033066" w:rsidRPr="005E1103" w:rsidRDefault="00033066" w:rsidP="00033066">
            <w:pPr>
              <w:pStyle w:val="Sinespaciado"/>
              <w:rPr>
                <w:rFonts w:asciiTheme="minorHAnsi" w:hAnsiTheme="minorHAnsi" w:cstheme="minorHAnsi"/>
                <w:sz w:val="28"/>
                <w:szCs w:val="28"/>
              </w:rPr>
            </w:pPr>
            <w:r w:rsidRPr="005E1103">
              <w:rPr>
                <w:rFonts w:asciiTheme="minorHAnsi" w:hAnsiTheme="minorHAnsi" w:cstheme="minorHAnsi"/>
                <w:sz w:val="28"/>
                <w:szCs w:val="28"/>
              </w:rPr>
              <w:t>&lt;0,001</w:t>
            </w:r>
          </w:p>
        </w:tc>
        <w:tc>
          <w:tcPr>
            <w:tcW w:w="1643" w:type="dxa"/>
            <w:tcBorders>
              <w:top w:val="single" w:sz="4" w:space="0" w:color="00000A"/>
              <w:bottom w:val="single" w:sz="4" w:space="0" w:color="00000A"/>
            </w:tcBorders>
            <w:shd w:val="clear" w:color="auto" w:fill="auto"/>
            <w:vAlign w:val="center"/>
          </w:tcPr>
          <w:p w:rsidR="00033066" w:rsidRPr="005E1103" w:rsidRDefault="00033066" w:rsidP="00033066">
            <w:pPr>
              <w:pStyle w:val="Sinespaciado"/>
              <w:rPr>
                <w:rFonts w:asciiTheme="minorHAnsi" w:hAnsiTheme="minorHAnsi" w:cstheme="minorHAnsi"/>
                <w:sz w:val="28"/>
                <w:szCs w:val="28"/>
              </w:rPr>
            </w:pPr>
            <w:r w:rsidRPr="005E1103">
              <w:rPr>
                <w:rFonts w:asciiTheme="minorHAnsi" w:hAnsiTheme="minorHAnsi" w:cstheme="minorHAnsi"/>
                <w:sz w:val="28"/>
                <w:szCs w:val="28"/>
              </w:rPr>
              <w:t>1,53</w:t>
            </w:r>
          </w:p>
        </w:tc>
      </w:tr>
    </w:tbl>
    <w:p w:rsidR="00033066" w:rsidRPr="005E1103" w:rsidRDefault="00033066" w:rsidP="00033066">
      <w:pPr>
        <w:spacing w:line="360" w:lineRule="auto"/>
        <w:ind w:left="357" w:firstLine="709"/>
        <w:jc w:val="both"/>
        <w:rPr>
          <w:rFonts w:cstheme="minorHAnsi"/>
          <w:sz w:val="28"/>
          <w:szCs w:val="28"/>
          <w:lang w:val="es-ES_tradnl"/>
        </w:rPr>
      </w:pPr>
      <w:r w:rsidRPr="005E1103">
        <w:rPr>
          <w:rFonts w:cstheme="minorHAnsi"/>
          <w:sz w:val="28"/>
          <w:szCs w:val="28"/>
          <w:lang w:val="es-ES_tradnl"/>
        </w:rPr>
        <w:lastRenderedPageBreak/>
        <w:t>Igualmente, en la figura I se muestra el modelo descriptivo inicial desarrollado, y en la figura II, el modelo inferencial. En este caso, la percepción sobre las necesidades fue el nodo con mayor impacto</w:t>
      </w:r>
    </w:p>
    <w:p w:rsidR="00033066" w:rsidRPr="005E1103" w:rsidRDefault="00033066" w:rsidP="00033066">
      <w:pPr>
        <w:spacing w:line="360" w:lineRule="auto"/>
        <w:rPr>
          <w:rFonts w:cstheme="minorHAnsi"/>
          <w:sz w:val="28"/>
          <w:szCs w:val="28"/>
          <w:lang w:val="es-ES_tradnl"/>
        </w:rPr>
      </w:pPr>
    </w:p>
    <w:p w:rsidR="00033066" w:rsidRPr="005E1103" w:rsidRDefault="00033066" w:rsidP="00033066">
      <w:pPr>
        <w:spacing w:line="360" w:lineRule="auto"/>
        <w:rPr>
          <w:rFonts w:cstheme="minorHAnsi"/>
          <w:sz w:val="28"/>
          <w:szCs w:val="28"/>
          <w:lang w:val="es-ES_tradnl"/>
        </w:rPr>
      </w:pPr>
      <w:r w:rsidRPr="005E1103">
        <w:rPr>
          <w:rFonts w:cstheme="minorHAnsi"/>
          <w:noProof/>
          <w:sz w:val="28"/>
          <w:szCs w:val="28"/>
          <w:lang w:eastAsia="es-ES"/>
        </w:rPr>
        <w:drawing>
          <wp:anchor distT="0" distB="0" distL="0" distR="0" simplePos="0" relativeHeight="251678720" behindDoc="0" locked="0" layoutInCell="1" allowOverlap="1" wp14:anchorId="07FA0C9A" wp14:editId="1EC21B2E">
            <wp:simplePos x="0" y="0"/>
            <wp:positionH relativeFrom="column">
              <wp:posOffset>228600</wp:posOffset>
            </wp:positionH>
            <wp:positionV relativeFrom="paragraph">
              <wp:posOffset>243205</wp:posOffset>
            </wp:positionV>
            <wp:extent cx="4914900" cy="2628900"/>
            <wp:effectExtent l="0" t="0" r="12700" b="12700"/>
            <wp:wrapSquare wrapText="largest"/>
            <wp:docPr id="78" name="Imag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1"/>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4914900" cy="26289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33066" w:rsidRPr="005E1103" w:rsidRDefault="00033066" w:rsidP="00033066">
      <w:pPr>
        <w:spacing w:line="360" w:lineRule="auto"/>
        <w:rPr>
          <w:rFonts w:cstheme="minorHAnsi"/>
          <w:sz w:val="28"/>
          <w:szCs w:val="28"/>
          <w:lang w:val="es-ES_tradnl"/>
        </w:rPr>
      </w:pPr>
    </w:p>
    <w:p w:rsidR="00033066" w:rsidRPr="005E1103" w:rsidRDefault="00033066" w:rsidP="00033066">
      <w:pPr>
        <w:spacing w:line="360" w:lineRule="auto"/>
        <w:rPr>
          <w:rFonts w:cstheme="minorHAnsi"/>
          <w:sz w:val="28"/>
          <w:szCs w:val="28"/>
          <w:lang w:val="es-ES_tradnl"/>
        </w:rPr>
      </w:pPr>
    </w:p>
    <w:p w:rsidR="00033066" w:rsidRPr="005E1103" w:rsidRDefault="00033066" w:rsidP="00033066">
      <w:pPr>
        <w:spacing w:line="360" w:lineRule="auto"/>
        <w:rPr>
          <w:rFonts w:cstheme="minorHAnsi"/>
          <w:sz w:val="28"/>
          <w:szCs w:val="28"/>
          <w:lang w:val="es-ES_tradnl"/>
        </w:rPr>
      </w:pPr>
    </w:p>
    <w:p w:rsidR="00033066" w:rsidRPr="005E1103" w:rsidRDefault="00033066" w:rsidP="00033066">
      <w:pPr>
        <w:spacing w:line="360" w:lineRule="auto"/>
        <w:rPr>
          <w:rFonts w:cstheme="minorHAnsi"/>
          <w:sz w:val="28"/>
          <w:szCs w:val="28"/>
          <w:lang w:val="es-ES_tradnl"/>
        </w:rPr>
      </w:pPr>
    </w:p>
    <w:p w:rsidR="00033066" w:rsidRPr="005E1103" w:rsidRDefault="00033066" w:rsidP="00033066">
      <w:pPr>
        <w:spacing w:line="360" w:lineRule="auto"/>
        <w:rPr>
          <w:rFonts w:cstheme="minorHAnsi"/>
          <w:sz w:val="28"/>
          <w:szCs w:val="28"/>
          <w:lang w:val="es-ES_tradnl"/>
        </w:rPr>
      </w:pPr>
    </w:p>
    <w:p w:rsidR="00033066" w:rsidRPr="005E1103" w:rsidRDefault="00033066" w:rsidP="00033066">
      <w:pPr>
        <w:spacing w:line="360" w:lineRule="auto"/>
        <w:jc w:val="center"/>
        <w:rPr>
          <w:rFonts w:cstheme="minorHAnsi"/>
          <w:sz w:val="28"/>
          <w:szCs w:val="28"/>
          <w:lang w:val="es-ES_tradnl"/>
        </w:rPr>
      </w:pPr>
    </w:p>
    <w:p w:rsidR="00033066" w:rsidRPr="005E1103" w:rsidRDefault="00033066" w:rsidP="00033066">
      <w:pPr>
        <w:spacing w:line="360" w:lineRule="auto"/>
        <w:rPr>
          <w:rFonts w:cstheme="minorHAnsi"/>
          <w:sz w:val="28"/>
          <w:szCs w:val="28"/>
          <w:lang w:val="es-ES_tradnl"/>
        </w:rPr>
      </w:pPr>
    </w:p>
    <w:p w:rsidR="00033066" w:rsidRPr="005E1103" w:rsidRDefault="00033066" w:rsidP="00033066">
      <w:pPr>
        <w:pStyle w:val="Ttulo4"/>
        <w:jc w:val="center"/>
        <w:rPr>
          <w:rFonts w:asciiTheme="minorHAnsi" w:hAnsiTheme="minorHAnsi" w:cstheme="minorHAnsi"/>
          <w:b/>
          <w:sz w:val="28"/>
          <w:szCs w:val="28"/>
          <w:lang w:val="es-ES_tradnl"/>
        </w:rPr>
      </w:pPr>
      <w:bookmarkStart w:id="79" w:name="_Toc433675685"/>
      <w:bookmarkStart w:id="80" w:name="_Toc433709454"/>
      <w:r w:rsidRPr="005E1103">
        <w:rPr>
          <w:rFonts w:asciiTheme="minorHAnsi" w:hAnsiTheme="minorHAnsi" w:cstheme="minorHAnsi"/>
          <w:sz w:val="28"/>
          <w:szCs w:val="28"/>
          <w:lang w:val="es-ES_tradnl"/>
        </w:rPr>
        <w:t>Figura I. Modelo empírico Modelo sobre las barreras</w:t>
      </w:r>
      <w:bookmarkEnd w:id="79"/>
      <w:bookmarkEnd w:id="80"/>
    </w:p>
    <w:p w:rsidR="00033066" w:rsidRPr="005E1103" w:rsidRDefault="00033066" w:rsidP="00033066">
      <w:pPr>
        <w:rPr>
          <w:rFonts w:cstheme="minorHAnsi"/>
          <w:b/>
          <w:noProof/>
          <w:sz w:val="28"/>
          <w:szCs w:val="28"/>
          <w:lang w:eastAsia="es-ES"/>
        </w:rPr>
      </w:pPr>
    </w:p>
    <w:p w:rsidR="00033066" w:rsidRPr="005E1103" w:rsidRDefault="00033066" w:rsidP="00033066">
      <w:pPr>
        <w:rPr>
          <w:rFonts w:cstheme="minorHAnsi"/>
          <w:b/>
          <w:noProof/>
          <w:sz w:val="28"/>
          <w:szCs w:val="28"/>
          <w:lang w:eastAsia="es-ES"/>
        </w:rPr>
      </w:pPr>
    </w:p>
    <w:p w:rsidR="00033066" w:rsidRPr="005E1103" w:rsidRDefault="00033066" w:rsidP="00033066">
      <w:pPr>
        <w:rPr>
          <w:rFonts w:cstheme="minorHAnsi"/>
          <w:b/>
          <w:noProof/>
          <w:sz w:val="28"/>
          <w:szCs w:val="28"/>
          <w:lang w:eastAsia="es-ES"/>
        </w:rPr>
      </w:pPr>
    </w:p>
    <w:p w:rsidR="00033066" w:rsidRPr="005E1103" w:rsidRDefault="00033066" w:rsidP="00033066">
      <w:pPr>
        <w:rPr>
          <w:rFonts w:cstheme="minorHAnsi"/>
          <w:b/>
          <w:noProof/>
          <w:sz w:val="28"/>
          <w:szCs w:val="28"/>
          <w:lang w:eastAsia="es-ES"/>
        </w:rPr>
      </w:pPr>
      <w:r w:rsidRPr="005E1103">
        <w:rPr>
          <w:rFonts w:cstheme="minorHAnsi"/>
          <w:b/>
          <w:noProof/>
          <w:sz w:val="28"/>
          <w:szCs w:val="28"/>
          <w:lang w:eastAsia="es-ES"/>
        </w:rPr>
        <w:drawing>
          <wp:anchor distT="0" distB="0" distL="0" distR="0" simplePos="0" relativeHeight="251679744" behindDoc="1" locked="0" layoutInCell="1" allowOverlap="1" wp14:anchorId="17998623" wp14:editId="77BB98B2">
            <wp:simplePos x="0" y="0"/>
            <wp:positionH relativeFrom="column">
              <wp:posOffset>329565</wp:posOffset>
            </wp:positionH>
            <wp:positionV relativeFrom="paragraph">
              <wp:posOffset>-399415</wp:posOffset>
            </wp:positionV>
            <wp:extent cx="5143500" cy="2732405"/>
            <wp:effectExtent l="0" t="0" r="0" b="0"/>
            <wp:wrapThrough wrapText="bothSides">
              <wp:wrapPolygon edited="0">
                <wp:start x="0" y="0"/>
                <wp:lineTo x="0" y="21384"/>
                <wp:lineTo x="21520" y="21384"/>
                <wp:lineTo x="21520" y="0"/>
                <wp:lineTo x="0" y="0"/>
              </wp:wrapPolygon>
            </wp:wrapThrough>
            <wp:docPr id="79" name="Image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2"/>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143500" cy="27324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33066" w:rsidRPr="005E1103" w:rsidRDefault="00033066" w:rsidP="00033066">
      <w:pPr>
        <w:rPr>
          <w:rFonts w:cstheme="minorHAnsi"/>
          <w:sz w:val="28"/>
          <w:szCs w:val="28"/>
          <w:lang w:val="es-ES_tradnl"/>
        </w:rPr>
      </w:pPr>
    </w:p>
    <w:p w:rsidR="00033066" w:rsidRPr="005E1103" w:rsidRDefault="00033066" w:rsidP="00033066">
      <w:pPr>
        <w:rPr>
          <w:rFonts w:cstheme="minorHAnsi"/>
          <w:sz w:val="28"/>
          <w:szCs w:val="28"/>
          <w:lang w:val="es-ES_tradnl"/>
        </w:rPr>
      </w:pPr>
    </w:p>
    <w:p w:rsidR="00033066" w:rsidRPr="005E1103" w:rsidRDefault="00033066" w:rsidP="00033066">
      <w:pPr>
        <w:rPr>
          <w:rFonts w:cstheme="minorHAnsi"/>
          <w:sz w:val="28"/>
          <w:szCs w:val="28"/>
          <w:lang w:val="es-ES_tradnl"/>
        </w:rPr>
      </w:pPr>
    </w:p>
    <w:p w:rsidR="00033066" w:rsidRPr="005E1103" w:rsidRDefault="00033066" w:rsidP="00033066">
      <w:pPr>
        <w:rPr>
          <w:rFonts w:cstheme="minorHAnsi"/>
          <w:sz w:val="28"/>
          <w:szCs w:val="28"/>
          <w:lang w:val="es-ES_tradnl"/>
        </w:rPr>
      </w:pPr>
    </w:p>
    <w:p w:rsidR="00033066" w:rsidRPr="005E1103" w:rsidRDefault="00033066" w:rsidP="00033066">
      <w:pPr>
        <w:pStyle w:val="Ttulo4"/>
        <w:jc w:val="center"/>
        <w:rPr>
          <w:rFonts w:asciiTheme="minorHAnsi" w:hAnsiTheme="minorHAnsi" w:cstheme="minorHAnsi"/>
          <w:b/>
          <w:sz w:val="28"/>
          <w:szCs w:val="28"/>
          <w:lang w:val="es-ES_tradnl"/>
        </w:rPr>
      </w:pPr>
      <w:bookmarkStart w:id="81" w:name="_Toc433675686"/>
      <w:bookmarkStart w:id="82" w:name="_Toc433709455"/>
    </w:p>
    <w:p w:rsidR="00033066" w:rsidRPr="005E1103" w:rsidRDefault="00033066" w:rsidP="00033066">
      <w:pPr>
        <w:pStyle w:val="Ttulo4"/>
        <w:jc w:val="center"/>
        <w:rPr>
          <w:rFonts w:asciiTheme="minorHAnsi" w:hAnsiTheme="minorHAnsi" w:cstheme="minorHAnsi"/>
          <w:b/>
          <w:sz w:val="28"/>
          <w:szCs w:val="28"/>
          <w:lang w:val="es-ES_tradnl"/>
        </w:rPr>
      </w:pPr>
      <w:r w:rsidRPr="005E1103">
        <w:rPr>
          <w:rFonts w:asciiTheme="minorHAnsi" w:hAnsiTheme="minorHAnsi" w:cstheme="minorHAnsi"/>
          <w:sz w:val="28"/>
          <w:szCs w:val="28"/>
          <w:lang w:val="es-ES_tradnl"/>
        </w:rPr>
        <w:t>Figura II. Modelo inferencial sobre las barreras</w:t>
      </w:r>
      <w:bookmarkEnd w:id="81"/>
      <w:bookmarkEnd w:id="82"/>
    </w:p>
    <w:p w:rsidR="00033066" w:rsidRPr="005E1103" w:rsidRDefault="00033066" w:rsidP="00033066">
      <w:pPr>
        <w:spacing w:line="360" w:lineRule="auto"/>
        <w:ind w:left="357"/>
        <w:jc w:val="center"/>
        <w:rPr>
          <w:rFonts w:cstheme="minorHAnsi"/>
          <w:sz w:val="28"/>
          <w:szCs w:val="28"/>
          <w:lang w:val="es-ES_tradnl"/>
        </w:rPr>
      </w:pPr>
    </w:p>
    <w:p w:rsidR="00033066" w:rsidRPr="005E1103" w:rsidRDefault="00033066" w:rsidP="00033066">
      <w:pPr>
        <w:spacing w:line="360" w:lineRule="auto"/>
        <w:ind w:left="357" w:firstLine="709"/>
        <w:jc w:val="both"/>
        <w:rPr>
          <w:rFonts w:eastAsia="Times New Roman" w:cstheme="minorHAnsi"/>
          <w:b/>
          <w:sz w:val="28"/>
          <w:szCs w:val="28"/>
        </w:rPr>
      </w:pPr>
      <w:r w:rsidRPr="005E1103">
        <w:rPr>
          <w:rFonts w:eastAsia="Times New Roman" w:cstheme="minorHAnsi"/>
          <w:b/>
          <w:sz w:val="28"/>
          <w:szCs w:val="28"/>
        </w:rPr>
        <w:t xml:space="preserve">Conclusiones </w:t>
      </w:r>
    </w:p>
    <w:p w:rsidR="00033066" w:rsidRPr="005E1103" w:rsidRDefault="00033066" w:rsidP="00033066">
      <w:pPr>
        <w:spacing w:line="360" w:lineRule="auto"/>
        <w:ind w:left="357" w:firstLine="709"/>
        <w:jc w:val="both"/>
        <w:rPr>
          <w:rFonts w:eastAsia="Times New Roman" w:cstheme="minorHAnsi"/>
          <w:sz w:val="28"/>
          <w:szCs w:val="28"/>
        </w:rPr>
      </w:pPr>
    </w:p>
    <w:p w:rsidR="00033066" w:rsidRPr="005E1103" w:rsidRDefault="00033066" w:rsidP="00033066">
      <w:pPr>
        <w:spacing w:line="360" w:lineRule="auto"/>
        <w:ind w:left="357" w:firstLine="709"/>
        <w:jc w:val="both"/>
        <w:rPr>
          <w:rFonts w:eastAsia="Times New Roman" w:cstheme="minorHAnsi"/>
          <w:sz w:val="28"/>
          <w:szCs w:val="28"/>
        </w:rPr>
      </w:pPr>
      <w:r w:rsidRPr="005E1103">
        <w:rPr>
          <w:rFonts w:eastAsia="Times New Roman" w:cstheme="minorHAnsi"/>
          <w:sz w:val="28"/>
          <w:szCs w:val="28"/>
        </w:rPr>
        <w:t>Respecto a los resultados obtenidos, hay que destacar que existen grandes similitudes entre los resultados expuestos por el CSIC y los encontrados en el presente estudio. No obstante la presente muestra se caracteriza por un perfil mas heterogéneo, al contar con profesionales de centros específicos y profesionales de centros ordinarios que cuentas con unidades específicas de apoyo educativo. Debido a la características de los centros ordinarios, en nuestro estudio, encontrábamos un porcentaje mucho mayor de profesionales generalistas que en el estudio del CSIS, donde se analizó la percepción solo de profesionales de centros de atención específica.</w:t>
      </w:r>
    </w:p>
    <w:p w:rsidR="00033066" w:rsidRPr="005E1103" w:rsidRDefault="00033066" w:rsidP="00033066">
      <w:pPr>
        <w:spacing w:line="360" w:lineRule="auto"/>
        <w:ind w:left="357" w:firstLine="709"/>
        <w:jc w:val="both"/>
        <w:rPr>
          <w:rFonts w:eastAsia="Times New Roman" w:cstheme="minorHAnsi"/>
          <w:sz w:val="28"/>
          <w:szCs w:val="28"/>
        </w:rPr>
      </w:pPr>
      <w:r w:rsidRPr="005E1103">
        <w:rPr>
          <w:rFonts w:eastAsia="Times New Roman" w:cstheme="minorHAnsi"/>
          <w:sz w:val="28"/>
          <w:szCs w:val="28"/>
        </w:rPr>
        <w:t xml:space="preserve">Como sugieren los resultados, podemos apreciar  la alta sensibilidad de la variable “percepción de necesidades”. Cuando seleccionamos esta variable o nodo observamos que en altas puntuaciones el uso de TIC y PA aumenta a un 38,4% respecto al modelo inicial descriptivo de 11,2%. A partir de los resultados, podemos concluir que para realizar intervenciones de impacto en la mejora del rendimiento académico, y que  además refuercen aprendizajes en otras áreas de la conducta adaptativa, es primordial la alfabetización digital del conjunto de los profesionales de atención directa. </w:t>
      </w:r>
    </w:p>
    <w:p w:rsidR="00033066" w:rsidRPr="005E1103" w:rsidRDefault="00033066" w:rsidP="00033066">
      <w:pPr>
        <w:spacing w:line="360" w:lineRule="auto"/>
        <w:ind w:left="357" w:firstLine="709"/>
        <w:jc w:val="both"/>
        <w:rPr>
          <w:rFonts w:eastAsia="Times New Roman" w:cstheme="minorHAnsi"/>
          <w:sz w:val="28"/>
          <w:szCs w:val="28"/>
          <w:lang w:val="es-ES_tradnl"/>
        </w:rPr>
      </w:pPr>
    </w:p>
    <w:p w:rsidR="00DE3270" w:rsidRPr="00BF6455" w:rsidRDefault="00DE3270">
      <w:pPr>
        <w:rPr>
          <w:rFonts w:eastAsia="Times New Roman" w:cstheme="minorHAnsi"/>
          <w:b/>
          <w:sz w:val="28"/>
          <w:szCs w:val="28"/>
          <w:lang w:eastAsia="es-ES"/>
        </w:rPr>
      </w:pPr>
      <w:r w:rsidRPr="00BF6455">
        <w:rPr>
          <w:rFonts w:eastAsia="Times New Roman" w:cstheme="minorHAnsi"/>
          <w:b/>
          <w:sz w:val="28"/>
          <w:szCs w:val="28"/>
          <w:lang w:eastAsia="es-ES"/>
        </w:rPr>
        <w:lastRenderedPageBreak/>
        <w:br w:type="page"/>
      </w:r>
    </w:p>
    <w:p w:rsidR="00033066" w:rsidRPr="005E1103" w:rsidRDefault="00033066" w:rsidP="00033066">
      <w:pPr>
        <w:spacing w:after="0" w:line="240" w:lineRule="auto"/>
        <w:rPr>
          <w:rFonts w:eastAsia="Times New Roman" w:cstheme="minorHAnsi"/>
          <w:b/>
          <w:sz w:val="28"/>
          <w:szCs w:val="28"/>
          <w:lang w:val="en-US" w:eastAsia="es-ES"/>
        </w:rPr>
      </w:pPr>
      <w:r w:rsidRPr="005E1103">
        <w:rPr>
          <w:rFonts w:eastAsia="Times New Roman" w:cstheme="minorHAnsi"/>
          <w:b/>
          <w:sz w:val="28"/>
          <w:szCs w:val="28"/>
          <w:lang w:val="en-US" w:eastAsia="es-ES"/>
        </w:rPr>
        <w:lastRenderedPageBreak/>
        <w:t>Referencias:</w:t>
      </w:r>
    </w:p>
    <w:p w:rsidR="00033066" w:rsidRPr="005E1103" w:rsidRDefault="00033066" w:rsidP="00033066">
      <w:pPr>
        <w:spacing w:after="0" w:line="240" w:lineRule="auto"/>
        <w:rPr>
          <w:rFonts w:eastAsia="Times New Roman" w:cstheme="minorHAnsi"/>
          <w:sz w:val="28"/>
          <w:szCs w:val="28"/>
          <w:lang w:val="en-US" w:eastAsia="es-ES"/>
        </w:rPr>
      </w:pPr>
    </w:p>
    <w:p w:rsidR="00033066" w:rsidRPr="005E1103" w:rsidRDefault="00033066" w:rsidP="00033066">
      <w:pPr>
        <w:spacing w:after="0" w:line="240" w:lineRule="auto"/>
        <w:rPr>
          <w:rFonts w:eastAsia="Times New Roman" w:cstheme="minorHAnsi"/>
          <w:sz w:val="28"/>
          <w:szCs w:val="28"/>
          <w:lang w:eastAsia="es-ES"/>
        </w:rPr>
      </w:pPr>
      <w:r w:rsidRPr="005E1103">
        <w:rPr>
          <w:rFonts w:eastAsia="Times New Roman" w:cstheme="minorHAnsi"/>
          <w:sz w:val="28"/>
          <w:szCs w:val="28"/>
          <w:lang w:val="en-US" w:eastAsia="es-ES"/>
        </w:rPr>
        <w:t xml:space="preserve">Niemi, Hannele. , ¨Teacher professional development in Finland: Towards a more holistic approach¨, </w:t>
      </w:r>
      <w:r w:rsidRPr="005E1103">
        <w:rPr>
          <w:rFonts w:eastAsia="Times New Roman" w:cstheme="minorHAnsi"/>
          <w:i/>
          <w:iCs/>
          <w:sz w:val="28"/>
          <w:szCs w:val="28"/>
          <w:lang w:val="en-US" w:eastAsia="es-ES"/>
        </w:rPr>
        <w:t>Psicología Sociedad y Educación</w:t>
      </w:r>
      <w:r w:rsidRPr="005E1103">
        <w:rPr>
          <w:rFonts w:eastAsia="Times New Roman" w:cstheme="minorHAnsi"/>
          <w:sz w:val="28"/>
          <w:szCs w:val="28"/>
          <w:lang w:val="en-US" w:eastAsia="es-ES"/>
        </w:rPr>
        <w:t>, Vol.</w:t>
      </w:r>
      <w:r w:rsidRPr="005E1103">
        <w:rPr>
          <w:rFonts w:eastAsia="Times New Roman" w:cstheme="minorHAnsi"/>
          <w:i/>
          <w:iCs/>
          <w:sz w:val="28"/>
          <w:szCs w:val="28"/>
          <w:lang w:val="en-US" w:eastAsia="es-ES"/>
        </w:rPr>
        <w:t xml:space="preserve">7 Nº. </w:t>
      </w:r>
      <w:r w:rsidRPr="005E1103">
        <w:rPr>
          <w:rFonts w:eastAsia="Times New Roman" w:cstheme="minorHAnsi"/>
          <w:sz w:val="28"/>
          <w:szCs w:val="28"/>
          <w:lang w:val="en-US" w:eastAsia="es-ES"/>
        </w:rPr>
        <w:t xml:space="preserve">3, (2015), págs. </w:t>
      </w:r>
      <w:r w:rsidRPr="005E1103">
        <w:rPr>
          <w:rFonts w:eastAsia="Times New Roman" w:cstheme="minorHAnsi"/>
          <w:sz w:val="28"/>
          <w:szCs w:val="28"/>
          <w:lang w:eastAsia="es-ES"/>
        </w:rPr>
        <w:t>279-294.</w:t>
      </w:r>
    </w:p>
    <w:p w:rsidR="00033066" w:rsidRPr="005E1103" w:rsidRDefault="00033066" w:rsidP="00033066">
      <w:pPr>
        <w:spacing w:after="0" w:line="240" w:lineRule="auto"/>
        <w:rPr>
          <w:rFonts w:eastAsia="Times New Roman" w:cstheme="minorHAnsi"/>
          <w:sz w:val="28"/>
          <w:szCs w:val="28"/>
          <w:lang w:eastAsia="es-ES"/>
        </w:rPr>
      </w:pPr>
    </w:p>
    <w:p w:rsidR="00033066" w:rsidRPr="005E1103" w:rsidRDefault="00033066" w:rsidP="00033066">
      <w:pPr>
        <w:spacing w:after="0" w:line="240" w:lineRule="auto"/>
        <w:rPr>
          <w:rFonts w:eastAsia="Times New Roman" w:cstheme="minorHAnsi"/>
          <w:sz w:val="28"/>
          <w:szCs w:val="28"/>
          <w:lang w:eastAsia="es-ES"/>
        </w:rPr>
      </w:pPr>
      <w:r w:rsidRPr="005E1103">
        <w:rPr>
          <w:rFonts w:eastAsia="Times New Roman" w:cstheme="minorHAnsi"/>
          <w:sz w:val="28"/>
          <w:szCs w:val="28"/>
          <w:lang w:eastAsia="es-ES"/>
        </w:rPr>
        <w:t xml:space="preserve">Nuzzo, Regina. , ¨Statistical errors¨ </w:t>
      </w:r>
      <w:r w:rsidRPr="005E1103">
        <w:rPr>
          <w:rFonts w:eastAsia="Times New Roman" w:cstheme="minorHAnsi"/>
          <w:i/>
          <w:iCs/>
          <w:sz w:val="28"/>
          <w:szCs w:val="28"/>
          <w:lang w:eastAsia="es-ES"/>
        </w:rPr>
        <w:t>Nature</w:t>
      </w:r>
      <w:r w:rsidRPr="005E1103">
        <w:rPr>
          <w:rFonts w:eastAsia="Times New Roman" w:cstheme="minorHAnsi"/>
          <w:sz w:val="28"/>
          <w:szCs w:val="28"/>
          <w:lang w:eastAsia="es-ES"/>
        </w:rPr>
        <w:t xml:space="preserve">, Vol. </w:t>
      </w:r>
      <w:r w:rsidRPr="005E1103">
        <w:rPr>
          <w:rFonts w:eastAsia="Times New Roman" w:cstheme="minorHAnsi"/>
          <w:i/>
          <w:iCs/>
          <w:sz w:val="28"/>
          <w:szCs w:val="28"/>
          <w:lang w:eastAsia="es-ES"/>
        </w:rPr>
        <w:t>506</w:t>
      </w:r>
      <w:r w:rsidRPr="005E1103">
        <w:rPr>
          <w:rFonts w:eastAsia="Times New Roman" w:cstheme="minorHAnsi"/>
          <w:sz w:val="28"/>
          <w:szCs w:val="28"/>
          <w:lang w:eastAsia="es-ES"/>
        </w:rPr>
        <w:t xml:space="preserve"> Nº.7487, (2014), págs.150-152.</w:t>
      </w:r>
    </w:p>
    <w:p w:rsidR="00033066" w:rsidRPr="005E1103" w:rsidRDefault="00033066" w:rsidP="00033066">
      <w:pPr>
        <w:spacing w:after="0" w:line="240" w:lineRule="auto"/>
        <w:rPr>
          <w:rFonts w:eastAsia="Times New Roman" w:cstheme="minorHAnsi"/>
          <w:sz w:val="28"/>
          <w:szCs w:val="28"/>
          <w:lang w:eastAsia="es-ES"/>
        </w:rPr>
      </w:pPr>
    </w:p>
    <w:p w:rsidR="00033066" w:rsidRPr="005E1103" w:rsidRDefault="00033066" w:rsidP="00033066">
      <w:pPr>
        <w:spacing w:after="0" w:line="240" w:lineRule="auto"/>
        <w:rPr>
          <w:rFonts w:eastAsia="Times New Roman" w:cstheme="minorHAnsi"/>
          <w:sz w:val="28"/>
          <w:szCs w:val="28"/>
          <w:lang w:eastAsia="es-ES"/>
        </w:rPr>
      </w:pPr>
      <w:r w:rsidRPr="005E1103">
        <w:rPr>
          <w:rFonts w:eastAsia="Times New Roman" w:cstheme="minorHAnsi"/>
          <w:sz w:val="28"/>
          <w:szCs w:val="28"/>
          <w:lang w:eastAsia="es-ES"/>
        </w:rPr>
        <w:t xml:space="preserve">Puga, Jorge. , García, Juan. , De la Fuente, Lucia. &amp; De la Fuente, Emilia Inmaculada. , ¨Las redes bayesianas como herramientas de modelado en psicología¨. </w:t>
      </w:r>
      <w:r w:rsidRPr="005E1103">
        <w:rPr>
          <w:rFonts w:eastAsia="Times New Roman" w:cstheme="minorHAnsi"/>
          <w:i/>
          <w:iCs/>
          <w:sz w:val="28"/>
          <w:szCs w:val="28"/>
          <w:lang w:eastAsia="es-ES"/>
        </w:rPr>
        <w:t>Anales de psicología</w:t>
      </w:r>
      <w:r w:rsidRPr="005E1103">
        <w:rPr>
          <w:rFonts w:eastAsia="Times New Roman" w:cstheme="minorHAnsi"/>
          <w:sz w:val="28"/>
          <w:szCs w:val="28"/>
          <w:lang w:eastAsia="es-ES"/>
        </w:rPr>
        <w:t xml:space="preserve">, Vol. </w:t>
      </w:r>
      <w:r w:rsidRPr="005E1103">
        <w:rPr>
          <w:rFonts w:eastAsia="Times New Roman" w:cstheme="minorHAnsi"/>
          <w:i/>
          <w:iCs/>
          <w:sz w:val="28"/>
          <w:szCs w:val="28"/>
          <w:lang w:eastAsia="es-ES"/>
        </w:rPr>
        <w:t>23</w:t>
      </w:r>
      <w:r w:rsidRPr="005E1103">
        <w:rPr>
          <w:rFonts w:eastAsia="Times New Roman" w:cstheme="minorHAnsi"/>
          <w:sz w:val="28"/>
          <w:szCs w:val="28"/>
          <w:lang w:eastAsia="es-ES"/>
        </w:rPr>
        <w:t xml:space="preserve"> Nª2, (2015), págs. 307-316.</w:t>
      </w:r>
    </w:p>
    <w:p w:rsidR="00033066" w:rsidRPr="005E1103" w:rsidRDefault="00033066" w:rsidP="00033066">
      <w:pPr>
        <w:spacing w:after="0" w:line="240" w:lineRule="auto"/>
        <w:rPr>
          <w:rFonts w:eastAsia="Times New Roman" w:cstheme="minorHAnsi"/>
          <w:sz w:val="28"/>
          <w:szCs w:val="28"/>
          <w:lang w:eastAsia="es-ES"/>
        </w:rPr>
      </w:pPr>
    </w:p>
    <w:p w:rsidR="00033066" w:rsidRPr="005E1103" w:rsidRDefault="00033066" w:rsidP="00033066">
      <w:pPr>
        <w:spacing w:after="0" w:line="240" w:lineRule="auto"/>
        <w:rPr>
          <w:rFonts w:eastAsia="Times New Roman" w:cstheme="minorHAnsi"/>
          <w:sz w:val="28"/>
          <w:szCs w:val="28"/>
          <w:lang w:eastAsia="es-ES"/>
        </w:rPr>
      </w:pPr>
      <w:r w:rsidRPr="005E1103">
        <w:rPr>
          <w:rFonts w:eastAsia="Times New Roman" w:cstheme="minorHAnsi"/>
          <w:sz w:val="28"/>
          <w:szCs w:val="28"/>
          <w:lang w:eastAsia="es-ES"/>
        </w:rPr>
        <w:t xml:space="preserve">Striano, Maura. &amp; Grieco, Elisabetta. , ¨La construcción de la identidad profesional del profesorado de educación especial de enseñanza secundaria en Italia¨. </w:t>
      </w:r>
      <w:r w:rsidRPr="005E1103">
        <w:rPr>
          <w:rFonts w:eastAsia="Times New Roman" w:cstheme="minorHAnsi"/>
          <w:i/>
          <w:iCs/>
          <w:sz w:val="28"/>
          <w:szCs w:val="28"/>
          <w:lang w:eastAsia="es-ES"/>
        </w:rPr>
        <w:t>Revista Fuentes</w:t>
      </w:r>
      <w:r w:rsidRPr="005E1103">
        <w:rPr>
          <w:rFonts w:eastAsia="Times New Roman" w:cstheme="minorHAnsi"/>
          <w:sz w:val="28"/>
          <w:szCs w:val="28"/>
          <w:lang w:eastAsia="es-ES"/>
        </w:rPr>
        <w:t>, Nº15, (2016) , págs. 113-142.</w:t>
      </w:r>
    </w:p>
    <w:p w:rsidR="00033066" w:rsidRPr="005E1103" w:rsidRDefault="00033066">
      <w:pPr>
        <w:rPr>
          <w:rFonts w:eastAsia="Times New Roman" w:cstheme="minorHAnsi"/>
          <w:sz w:val="28"/>
          <w:szCs w:val="28"/>
          <w:lang w:eastAsia="es-ES"/>
        </w:rPr>
      </w:pPr>
      <w:r w:rsidRPr="005E1103">
        <w:rPr>
          <w:rFonts w:eastAsia="Times New Roman" w:cstheme="minorHAnsi"/>
          <w:sz w:val="28"/>
          <w:szCs w:val="28"/>
          <w:lang w:eastAsia="es-ES"/>
        </w:rPr>
        <w:br w:type="page"/>
      </w:r>
    </w:p>
    <w:p w:rsidR="00033066" w:rsidRPr="005E1103" w:rsidRDefault="00033066" w:rsidP="00033066">
      <w:pPr>
        <w:spacing w:line="360" w:lineRule="auto"/>
        <w:jc w:val="center"/>
        <w:rPr>
          <w:rFonts w:cstheme="minorHAnsi"/>
          <w:b/>
          <w:sz w:val="28"/>
          <w:szCs w:val="28"/>
        </w:rPr>
      </w:pPr>
      <w:r w:rsidRPr="005E1103">
        <w:rPr>
          <w:rFonts w:cstheme="minorHAnsi"/>
          <w:b/>
          <w:sz w:val="28"/>
          <w:szCs w:val="28"/>
        </w:rPr>
        <w:lastRenderedPageBreak/>
        <w:t>COMUNICACIÓN 6</w:t>
      </w:r>
    </w:p>
    <w:p w:rsidR="00033066" w:rsidRPr="005E1103" w:rsidRDefault="00033066" w:rsidP="00033066">
      <w:pPr>
        <w:spacing w:line="360" w:lineRule="auto"/>
        <w:jc w:val="center"/>
        <w:rPr>
          <w:rFonts w:cstheme="minorHAnsi"/>
          <w:b/>
          <w:sz w:val="28"/>
          <w:szCs w:val="28"/>
        </w:rPr>
      </w:pPr>
    </w:p>
    <w:tbl>
      <w:tblPr>
        <w:tblStyle w:val="Tablaconcuadrcula"/>
        <w:tblW w:w="0" w:type="auto"/>
        <w:tblLook w:val="04A0" w:firstRow="1" w:lastRow="0" w:firstColumn="1" w:lastColumn="0" w:noHBand="0" w:noVBand="1"/>
      </w:tblPr>
      <w:tblGrid>
        <w:gridCol w:w="8720"/>
      </w:tblGrid>
      <w:tr w:rsidR="00033066" w:rsidRPr="005E1103" w:rsidTr="00033066">
        <w:tc>
          <w:tcPr>
            <w:tcW w:w="9710" w:type="dxa"/>
          </w:tcPr>
          <w:p w:rsidR="00033066" w:rsidRPr="005E1103" w:rsidRDefault="00033066" w:rsidP="00033066">
            <w:pPr>
              <w:pStyle w:val="Ttulo1"/>
              <w:spacing w:line="360" w:lineRule="auto"/>
              <w:jc w:val="center"/>
              <w:outlineLvl w:val="0"/>
              <w:rPr>
                <w:rFonts w:asciiTheme="minorHAnsi" w:hAnsiTheme="minorHAnsi" w:cstheme="minorHAnsi"/>
                <w:color w:val="auto"/>
              </w:rPr>
            </w:pPr>
            <w:r w:rsidRPr="005E1103">
              <w:rPr>
                <w:rFonts w:asciiTheme="minorHAnsi" w:hAnsiTheme="minorHAnsi" w:cstheme="minorHAnsi"/>
                <w:color w:val="auto"/>
              </w:rPr>
              <w:t xml:space="preserve">Innovación en Tecnologías Accesibles. </w:t>
            </w:r>
            <w:r w:rsidRPr="005E1103">
              <w:rPr>
                <w:rFonts w:asciiTheme="minorHAnsi" w:hAnsiTheme="minorHAnsi" w:cstheme="minorHAnsi"/>
                <w:color w:val="auto"/>
                <w:lang w:val="es-ES"/>
              </w:rPr>
              <w:t>Ability Connect</w:t>
            </w:r>
            <w:r w:rsidRPr="005E1103">
              <w:rPr>
                <w:rFonts w:asciiTheme="minorHAnsi" w:hAnsiTheme="minorHAnsi" w:cstheme="minorHAnsi"/>
                <w:color w:val="auto"/>
              </w:rPr>
              <w:t>.</w:t>
            </w:r>
          </w:p>
        </w:tc>
      </w:tr>
    </w:tbl>
    <w:p w:rsidR="00033066" w:rsidRPr="005E1103" w:rsidRDefault="00033066" w:rsidP="00033066">
      <w:pPr>
        <w:rPr>
          <w:rFonts w:cstheme="minorHAnsi"/>
          <w:sz w:val="28"/>
          <w:szCs w:val="28"/>
        </w:rPr>
      </w:pPr>
    </w:p>
    <w:p w:rsidR="00033066" w:rsidRPr="005E1103" w:rsidRDefault="00033066" w:rsidP="00033066">
      <w:pPr>
        <w:spacing w:line="360" w:lineRule="auto"/>
        <w:jc w:val="right"/>
        <w:rPr>
          <w:rFonts w:cstheme="minorHAnsi"/>
          <w:sz w:val="28"/>
          <w:szCs w:val="28"/>
        </w:rPr>
      </w:pPr>
      <w:r w:rsidRPr="005E1103">
        <w:rPr>
          <w:rFonts w:cstheme="minorHAnsi"/>
          <w:sz w:val="28"/>
          <w:szCs w:val="28"/>
        </w:rPr>
        <w:t>José María Fernández y Josefa Parreño</w:t>
      </w:r>
    </w:p>
    <w:p w:rsidR="00033066" w:rsidRPr="005E1103" w:rsidRDefault="00033066" w:rsidP="00033066">
      <w:pPr>
        <w:spacing w:line="360" w:lineRule="auto"/>
        <w:jc w:val="right"/>
        <w:rPr>
          <w:rFonts w:cstheme="minorHAnsi"/>
          <w:sz w:val="28"/>
          <w:szCs w:val="28"/>
        </w:rPr>
      </w:pPr>
      <w:r w:rsidRPr="005E1103">
        <w:rPr>
          <w:rFonts w:cstheme="minorHAnsi"/>
          <w:sz w:val="28"/>
          <w:szCs w:val="28"/>
        </w:rPr>
        <w:t>Técnico y Directora Centro de Apoyo al Estudiante</w:t>
      </w:r>
    </w:p>
    <w:p w:rsidR="00033066" w:rsidRPr="005E1103" w:rsidRDefault="00033066" w:rsidP="00033066">
      <w:pPr>
        <w:spacing w:line="360" w:lineRule="auto"/>
        <w:jc w:val="right"/>
        <w:rPr>
          <w:rFonts w:cstheme="minorHAnsi"/>
          <w:sz w:val="28"/>
          <w:szCs w:val="28"/>
        </w:rPr>
      </w:pPr>
      <w:r w:rsidRPr="005E1103">
        <w:rPr>
          <w:rFonts w:cstheme="minorHAnsi"/>
          <w:sz w:val="28"/>
          <w:szCs w:val="28"/>
        </w:rPr>
        <w:t>Universidad de Alicante</w:t>
      </w:r>
    </w:p>
    <w:p w:rsidR="00033066" w:rsidRPr="005E1103" w:rsidRDefault="00033066" w:rsidP="00033066">
      <w:pPr>
        <w:spacing w:line="360" w:lineRule="auto"/>
        <w:rPr>
          <w:rFonts w:cstheme="minorHAnsi"/>
          <w:sz w:val="28"/>
          <w:szCs w:val="28"/>
        </w:rPr>
      </w:pPr>
    </w:p>
    <w:p w:rsidR="00033066" w:rsidRPr="005E1103" w:rsidRDefault="00033066" w:rsidP="00033066">
      <w:pPr>
        <w:pStyle w:val="Ttulo2"/>
        <w:spacing w:line="360" w:lineRule="auto"/>
        <w:jc w:val="center"/>
        <w:rPr>
          <w:rFonts w:asciiTheme="minorHAnsi" w:hAnsiTheme="minorHAnsi" w:cstheme="minorHAnsi"/>
          <w:color w:val="auto"/>
          <w:sz w:val="28"/>
          <w:szCs w:val="28"/>
        </w:rPr>
      </w:pPr>
      <w:r w:rsidRPr="005E1103">
        <w:rPr>
          <w:rFonts w:asciiTheme="minorHAnsi" w:hAnsiTheme="minorHAnsi" w:cstheme="minorHAnsi"/>
          <w:color w:val="auto"/>
          <w:sz w:val="28"/>
          <w:szCs w:val="28"/>
        </w:rPr>
        <w:t>La importancia de los servicios de apoyo a estudiantes con discapacidad para la innovación en tecnologías accesibles</w:t>
      </w:r>
    </w:p>
    <w:p w:rsidR="00033066" w:rsidRPr="005E1103" w:rsidRDefault="00033066" w:rsidP="00033066">
      <w:pPr>
        <w:spacing w:line="360" w:lineRule="auto"/>
        <w:rPr>
          <w:rFonts w:cstheme="minorHAnsi"/>
          <w:sz w:val="28"/>
          <w:szCs w:val="28"/>
        </w:rPr>
      </w:pPr>
    </w:p>
    <w:p w:rsidR="00033066" w:rsidRPr="005E1103" w:rsidRDefault="00033066" w:rsidP="00033066">
      <w:pPr>
        <w:spacing w:line="360" w:lineRule="auto"/>
        <w:jc w:val="both"/>
        <w:rPr>
          <w:rFonts w:cstheme="minorHAnsi"/>
          <w:sz w:val="28"/>
          <w:szCs w:val="28"/>
        </w:rPr>
      </w:pPr>
      <w:r w:rsidRPr="005E1103">
        <w:rPr>
          <w:rFonts w:cstheme="minorHAnsi"/>
          <w:sz w:val="28"/>
          <w:szCs w:val="28"/>
        </w:rPr>
        <w:t>La Universidad de Alicante posee varios grupos de investigación que trabajan en temas relacionados con las TIC accesibles, pero en muchas ocasiones los proyectos no atienden a necesidades cotidianas de personas con discapacidad y se quedan en prototipos o en el mejor de los casos tienen muy poca aceptación cuando se convierten en productos finales debido a que en realidad, no cubren necesidades concretas de personas con diversidad funcional.</w:t>
      </w:r>
    </w:p>
    <w:p w:rsidR="00033066" w:rsidRPr="005E1103" w:rsidRDefault="00033066" w:rsidP="00033066">
      <w:pPr>
        <w:spacing w:line="360" w:lineRule="auto"/>
        <w:rPr>
          <w:rFonts w:cstheme="minorHAnsi"/>
          <w:sz w:val="28"/>
          <w:szCs w:val="28"/>
        </w:rPr>
      </w:pPr>
    </w:p>
    <w:p w:rsidR="00033066" w:rsidRPr="005E1103" w:rsidRDefault="00033066" w:rsidP="00033066">
      <w:pPr>
        <w:spacing w:line="360" w:lineRule="auto"/>
        <w:jc w:val="both"/>
        <w:rPr>
          <w:rFonts w:cstheme="minorHAnsi"/>
          <w:sz w:val="28"/>
          <w:szCs w:val="28"/>
        </w:rPr>
      </w:pPr>
      <w:r w:rsidRPr="005E1103">
        <w:rPr>
          <w:rFonts w:cstheme="minorHAnsi"/>
          <w:sz w:val="28"/>
          <w:szCs w:val="28"/>
        </w:rPr>
        <w:t xml:space="preserve">Desde el Centro de Apoyo al Estudiante trabajamos para conseguir la igualdad de oportunidades de las y los estudiantes con discapacidad de la Universidad de Alicante: Adaptaciones curriculares, transporte adaptado, asesoramiento en productos de apoyo, adecuación de documentos </w:t>
      </w:r>
      <w:r w:rsidRPr="005E1103">
        <w:rPr>
          <w:rFonts w:cstheme="minorHAnsi"/>
          <w:sz w:val="28"/>
          <w:szCs w:val="28"/>
        </w:rPr>
        <w:lastRenderedPageBreak/>
        <w:t>electrónicos accesibles, etc. Por lo que estamos a la orden del día en las necesidades que tienen nuestros estudiantes y por ello observamos posibles líneas de investigación en servicios y aplicaciones reales que puedan mejorar aspectos del acceso a la información o a cualquier actividad de su vida universitaria.</w:t>
      </w:r>
    </w:p>
    <w:p w:rsidR="00033066" w:rsidRPr="005E1103" w:rsidRDefault="00033066" w:rsidP="00033066">
      <w:pPr>
        <w:spacing w:line="360" w:lineRule="auto"/>
        <w:rPr>
          <w:rFonts w:cstheme="minorHAnsi"/>
          <w:sz w:val="28"/>
          <w:szCs w:val="28"/>
        </w:rPr>
      </w:pPr>
    </w:p>
    <w:p w:rsidR="00033066" w:rsidRPr="005E1103" w:rsidRDefault="00033066" w:rsidP="00033066">
      <w:pPr>
        <w:spacing w:line="360" w:lineRule="auto"/>
        <w:jc w:val="both"/>
        <w:rPr>
          <w:rFonts w:cstheme="minorHAnsi"/>
          <w:sz w:val="28"/>
          <w:szCs w:val="28"/>
        </w:rPr>
      </w:pPr>
      <w:r w:rsidRPr="005E1103">
        <w:rPr>
          <w:rFonts w:cstheme="minorHAnsi"/>
          <w:sz w:val="28"/>
          <w:szCs w:val="28"/>
        </w:rPr>
        <w:t>Así surge Ability Connect, una aplicación para dispositivos móviles y tabletas que permite la comunicación alternativa a personas con problemas auditivos.</w:t>
      </w:r>
    </w:p>
    <w:p w:rsidR="00033066" w:rsidRPr="005E1103" w:rsidRDefault="00033066" w:rsidP="00033066">
      <w:pPr>
        <w:spacing w:line="360" w:lineRule="auto"/>
        <w:rPr>
          <w:rFonts w:cstheme="minorHAnsi"/>
          <w:sz w:val="28"/>
          <w:szCs w:val="28"/>
        </w:rPr>
      </w:pPr>
    </w:p>
    <w:p w:rsidR="00033066" w:rsidRPr="005E1103" w:rsidRDefault="00033066" w:rsidP="00033066">
      <w:pPr>
        <w:pStyle w:val="Ttulo2"/>
        <w:spacing w:line="360" w:lineRule="auto"/>
        <w:jc w:val="center"/>
        <w:rPr>
          <w:rFonts w:asciiTheme="minorHAnsi" w:hAnsiTheme="minorHAnsi" w:cstheme="minorHAnsi"/>
          <w:color w:val="auto"/>
          <w:sz w:val="28"/>
          <w:szCs w:val="28"/>
          <w:lang w:val="en-US"/>
        </w:rPr>
      </w:pPr>
      <w:r w:rsidRPr="005E1103">
        <w:rPr>
          <w:rFonts w:asciiTheme="minorHAnsi" w:hAnsiTheme="minorHAnsi" w:cstheme="minorHAnsi"/>
          <w:color w:val="auto"/>
          <w:sz w:val="28"/>
          <w:szCs w:val="28"/>
          <w:lang w:val="en-US"/>
        </w:rPr>
        <w:t>Ability Connect</w:t>
      </w:r>
    </w:p>
    <w:p w:rsidR="00033066" w:rsidRPr="005E1103" w:rsidRDefault="00033066" w:rsidP="00033066">
      <w:pPr>
        <w:rPr>
          <w:rFonts w:cstheme="minorHAnsi"/>
          <w:sz w:val="28"/>
          <w:szCs w:val="28"/>
        </w:rPr>
      </w:pPr>
    </w:p>
    <w:p w:rsidR="00033066" w:rsidRPr="005E1103" w:rsidRDefault="00033066" w:rsidP="00033066">
      <w:pPr>
        <w:spacing w:line="360" w:lineRule="auto"/>
        <w:jc w:val="center"/>
        <w:rPr>
          <w:rFonts w:cstheme="minorHAnsi"/>
          <w:sz w:val="28"/>
          <w:szCs w:val="28"/>
        </w:rPr>
      </w:pPr>
      <w:r w:rsidRPr="005E1103">
        <w:rPr>
          <w:rFonts w:cstheme="minorHAnsi"/>
          <w:noProof/>
          <w:sz w:val="28"/>
          <w:szCs w:val="28"/>
          <w:lang w:eastAsia="es-ES"/>
        </w:rPr>
        <w:drawing>
          <wp:inline distT="0" distB="0" distL="0" distR="0" wp14:anchorId="72DDD667" wp14:editId="4377236E">
            <wp:extent cx="2827038" cy="1166151"/>
            <wp:effectExtent l="0" t="0" r="0" b="2540"/>
            <wp:docPr id="80" name="Imagen 80" descr="Logo de la aplicaicón Ability Connect. Comunicación y visualización el teimpo real. Logos de Fundación Vodafone España y Universidad de Alic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3151721" cy="1300082"/>
                    </a:xfrm>
                    <a:prstGeom prst="rect">
                      <a:avLst/>
                    </a:prstGeom>
                  </pic:spPr>
                </pic:pic>
              </a:graphicData>
            </a:graphic>
          </wp:inline>
        </w:drawing>
      </w:r>
    </w:p>
    <w:p w:rsidR="00033066" w:rsidRPr="005E1103" w:rsidRDefault="00033066" w:rsidP="00033066">
      <w:pPr>
        <w:spacing w:line="360" w:lineRule="auto"/>
        <w:rPr>
          <w:rFonts w:cstheme="minorHAnsi"/>
          <w:sz w:val="28"/>
          <w:szCs w:val="28"/>
          <w:lang w:val="en-US"/>
        </w:rPr>
      </w:pPr>
    </w:p>
    <w:p w:rsidR="00033066" w:rsidRPr="005E1103" w:rsidRDefault="00033066" w:rsidP="00033066">
      <w:pPr>
        <w:spacing w:line="360" w:lineRule="auto"/>
        <w:jc w:val="both"/>
        <w:rPr>
          <w:rFonts w:cstheme="minorHAnsi"/>
          <w:sz w:val="28"/>
          <w:szCs w:val="28"/>
        </w:rPr>
      </w:pPr>
      <w:r w:rsidRPr="005E1103">
        <w:rPr>
          <w:rFonts w:cstheme="minorHAnsi"/>
          <w:sz w:val="28"/>
          <w:szCs w:val="28"/>
        </w:rPr>
        <w:t>Ability Connect es una aplicación universal para dispositivos móviles con sistema operativo iOS de Apple, que permite la comunicación en tiempo real de varios dispositivos sin necesidad de una conexión a internet -aunque también se puede utilizar mediante Wi-Fi o Datos móviles- y que cuenta con características avanzadas de visualización de contenido para adaptarse a las necesidades de varios colectivos de personas con discapacidad.</w:t>
      </w:r>
    </w:p>
    <w:p w:rsidR="00033066" w:rsidRPr="005E1103" w:rsidRDefault="00033066" w:rsidP="00033066">
      <w:pPr>
        <w:spacing w:line="360" w:lineRule="auto"/>
        <w:jc w:val="both"/>
        <w:rPr>
          <w:rFonts w:cstheme="minorHAnsi"/>
          <w:sz w:val="28"/>
          <w:szCs w:val="28"/>
        </w:rPr>
      </w:pPr>
      <w:r w:rsidRPr="005E1103">
        <w:rPr>
          <w:rFonts w:cstheme="minorHAnsi"/>
          <w:sz w:val="28"/>
          <w:szCs w:val="28"/>
        </w:rPr>
        <w:lastRenderedPageBreak/>
        <w:t>La aplicación está disponible para su descarga de forma gratuita en la App Store y ha sido desarrollada conjuntamente por la Fundación Vodafone España y la Universidad de Alicante dentro de nuestra colaboración en materia de innovación en tecnologías accesibles para mejorar la integración de estudiantes con discapacidad.</w:t>
      </w:r>
    </w:p>
    <w:p w:rsidR="00033066" w:rsidRPr="005E1103" w:rsidRDefault="00033066" w:rsidP="00033066">
      <w:pPr>
        <w:pStyle w:val="Ttulo3"/>
        <w:rPr>
          <w:rFonts w:asciiTheme="minorHAnsi" w:hAnsiTheme="minorHAnsi" w:cstheme="minorHAnsi"/>
          <w:color w:val="auto"/>
          <w:sz w:val="28"/>
          <w:szCs w:val="28"/>
        </w:rPr>
      </w:pPr>
    </w:p>
    <w:p w:rsidR="00033066" w:rsidRPr="005E1103" w:rsidRDefault="00033066" w:rsidP="00033066">
      <w:pPr>
        <w:pStyle w:val="Ttulo3"/>
        <w:rPr>
          <w:rFonts w:asciiTheme="minorHAnsi" w:hAnsiTheme="minorHAnsi" w:cstheme="minorHAnsi"/>
          <w:color w:val="auto"/>
          <w:sz w:val="28"/>
          <w:szCs w:val="28"/>
        </w:rPr>
      </w:pPr>
      <w:r w:rsidRPr="005E1103">
        <w:rPr>
          <w:rFonts w:asciiTheme="minorHAnsi" w:hAnsiTheme="minorHAnsi" w:cstheme="minorHAnsi"/>
          <w:color w:val="auto"/>
          <w:sz w:val="28"/>
          <w:szCs w:val="28"/>
        </w:rPr>
        <w:t>Comunicación en tiempo real, modos de funcionamiento</w:t>
      </w:r>
    </w:p>
    <w:p w:rsidR="00033066" w:rsidRPr="005E1103" w:rsidRDefault="00033066" w:rsidP="00033066">
      <w:pPr>
        <w:spacing w:line="360" w:lineRule="auto"/>
        <w:jc w:val="both"/>
        <w:rPr>
          <w:rFonts w:cstheme="minorHAnsi"/>
          <w:sz w:val="28"/>
          <w:szCs w:val="28"/>
        </w:rPr>
      </w:pPr>
      <w:r w:rsidRPr="005E1103">
        <w:rPr>
          <w:rFonts w:cstheme="minorHAnsi"/>
          <w:sz w:val="28"/>
          <w:szCs w:val="28"/>
        </w:rPr>
        <w:t>En el modo servidor, el usuario podrá crear sesiones e introducirá el texto que desee transmitir en tiempo real.</w:t>
      </w:r>
    </w:p>
    <w:p w:rsidR="00033066" w:rsidRPr="005E1103" w:rsidRDefault="00033066" w:rsidP="00033066">
      <w:pPr>
        <w:spacing w:line="360" w:lineRule="auto"/>
        <w:jc w:val="both"/>
        <w:rPr>
          <w:rFonts w:cstheme="minorHAnsi"/>
          <w:sz w:val="28"/>
          <w:szCs w:val="28"/>
        </w:rPr>
      </w:pPr>
      <w:r w:rsidRPr="005E1103">
        <w:rPr>
          <w:rFonts w:cstheme="minorHAnsi"/>
          <w:sz w:val="28"/>
          <w:szCs w:val="28"/>
        </w:rPr>
        <w:t>En el modo cliente, uno o varios usuarios podrán ver el listado de sesiones activas y podrán conectarse para recibir el contenido retransmitido por un servidor en tiempo real.</w:t>
      </w:r>
    </w:p>
    <w:p w:rsidR="00033066" w:rsidRPr="005E1103" w:rsidRDefault="00033066" w:rsidP="00033066">
      <w:pPr>
        <w:spacing w:line="360" w:lineRule="auto"/>
        <w:rPr>
          <w:rFonts w:cstheme="minorHAnsi"/>
          <w:sz w:val="28"/>
          <w:szCs w:val="28"/>
        </w:rPr>
      </w:pPr>
      <w:r w:rsidRPr="005E1103">
        <w:rPr>
          <w:rFonts w:cstheme="minorHAnsi"/>
          <w:sz w:val="28"/>
          <w:szCs w:val="28"/>
        </w:rPr>
        <w:t xml:space="preserve"> </w:t>
      </w:r>
    </w:p>
    <w:p w:rsidR="00033066" w:rsidRPr="005E1103" w:rsidRDefault="00033066" w:rsidP="00033066">
      <w:pPr>
        <w:spacing w:line="360" w:lineRule="auto"/>
        <w:jc w:val="center"/>
        <w:rPr>
          <w:rFonts w:cstheme="minorHAnsi"/>
          <w:sz w:val="28"/>
          <w:szCs w:val="28"/>
        </w:rPr>
      </w:pPr>
      <w:r w:rsidRPr="005E1103">
        <w:rPr>
          <w:rFonts w:cstheme="minorHAnsi"/>
          <w:noProof/>
          <w:sz w:val="28"/>
          <w:szCs w:val="28"/>
          <w:lang w:eastAsia="es-ES"/>
        </w:rPr>
        <w:drawing>
          <wp:inline distT="0" distB="0" distL="0" distR="0" wp14:anchorId="4C971019" wp14:editId="5A516074">
            <wp:extent cx="1792705" cy="3187031"/>
            <wp:effectExtent l="0" t="0" r="0" b="0"/>
            <wp:docPr id="81" name="Imagen 81" descr="Captura de pantalla del listado de sesiones acti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1793500" cy="3188444"/>
                    </a:xfrm>
                    <a:prstGeom prst="rect">
                      <a:avLst/>
                    </a:prstGeom>
                  </pic:spPr>
                </pic:pic>
              </a:graphicData>
            </a:graphic>
          </wp:inline>
        </w:drawing>
      </w:r>
      <w:r w:rsidRPr="005E1103">
        <w:rPr>
          <w:rFonts w:cstheme="minorHAnsi"/>
          <w:noProof/>
          <w:sz w:val="28"/>
          <w:szCs w:val="28"/>
          <w:lang w:eastAsia="es-ES"/>
        </w:rPr>
        <w:drawing>
          <wp:inline distT="0" distB="0" distL="0" distR="0" wp14:anchorId="7EEE2604" wp14:editId="11356C87">
            <wp:extent cx="1804737" cy="3208422"/>
            <wp:effectExtent l="0" t="0" r="5080" b="0"/>
            <wp:docPr id="82" name="Imagen 82" descr="Captura de pantalal de la creación de una nueva ses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1804737" cy="3208422"/>
                    </a:xfrm>
                    <a:prstGeom prst="rect">
                      <a:avLst/>
                    </a:prstGeom>
                  </pic:spPr>
                </pic:pic>
              </a:graphicData>
            </a:graphic>
          </wp:inline>
        </w:drawing>
      </w:r>
    </w:p>
    <w:p w:rsidR="00033066" w:rsidRPr="005E1103" w:rsidRDefault="00033066" w:rsidP="00033066">
      <w:pPr>
        <w:pStyle w:val="Ttulo3"/>
        <w:rPr>
          <w:rFonts w:asciiTheme="minorHAnsi" w:hAnsiTheme="minorHAnsi" w:cstheme="minorHAnsi"/>
          <w:color w:val="auto"/>
          <w:sz w:val="28"/>
          <w:szCs w:val="28"/>
        </w:rPr>
      </w:pPr>
    </w:p>
    <w:p w:rsidR="00033066" w:rsidRPr="005E1103" w:rsidRDefault="00033066" w:rsidP="00033066">
      <w:pPr>
        <w:pStyle w:val="Ttulo3"/>
        <w:rPr>
          <w:rFonts w:asciiTheme="minorHAnsi" w:hAnsiTheme="minorHAnsi" w:cstheme="minorHAnsi"/>
          <w:color w:val="auto"/>
          <w:sz w:val="28"/>
          <w:szCs w:val="28"/>
        </w:rPr>
      </w:pPr>
      <w:r w:rsidRPr="005E1103">
        <w:rPr>
          <w:rFonts w:asciiTheme="minorHAnsi" w:hAnsiTheme="minorHAnsi" w:cstheme="minorHAnsi"/>
          <w:color w:val="auto"/>
          <w:sz w:val="28"/>
          <w:szCs w:val="28"/>
        </w:rPr>
        <w:t>Visualización adaptada, modos de visualización del contenido</w:t>
      </w:r>
    </w:p>
    <w:p w:rsidR="00033066" w:rsidRPr="005E1103" w:rsidRDefault="00033066" w:rsidP="00033066">
      <w:pPr>
        <w:spacing w:line="360" w:lineRule="auto"/>
        <w:rPr>
          <w:rFonts w:cstheme="minorHAnsi"/>
          <w:sz w:val="28"/>
          <w:szCs w:val="28"/>
        </w:rPr>
      </w:pPr>
    </w:p>
    <w:p w:rsidR="00033066" w:rsidRPr="005E1103" w:rsidRDefault="00033066" w:rsidP="00033066">
      <w:pPr>
        <w:spacing w:line="360" w:lineRule="auto"/>
        <w:jc w:val="both"/>
        <w:rPr>
          <w:rFonts w:cstheme="minorHAnsi"/>
          <w:sz w:val="28"/>
          <w:szCs w:val="28"/>
        </w:rPr>
      </w:pPr>
      <w:r w:rsidRPr="005E1103">
        <w:rPr>
          <w:rFonts w:cstheme="minorHAnsi"/>
          <w:sz w:val="28"/>
          <w:szCs w:val="28"/>
        </w:rPr>
        <w:lastRenderedPageBreak/>
        <w:t>Visualización estándar: Es posible configurar el color del fondo y del texto para mejorar el contraste y seleccionar el tamaño y el tipo de fuente para mejorar la legibilidad del contenido.</w:t>
      </w:r>
    </w:p>
    <w:p w:rsidR="00033066" w:rsidRPr="005E1103" w:rsidRDefault="00033066" w:rsidP="00033066">
      <w:pPr>
        <w:spacing w:line="360" w:lineRule="auto"/>
        <w:rPr>
          <w:rFonts w:cstheme="minorHAnsi"/>
          <w:sz w:val="28"/>
          <w:szCs w:val="28"/>
        </w:rPr>
      </w:pPr>
    </w:p>
    <w:p w:rsidR="00033066" w:rsidRPr="005E1103" w:rsidRDefault="00033066" w:rsidP="00033066">
      <w:pPr>
        <w:spacing w:line="360" w:lineRule="auto"/>
        <w:jc w:val="center"/>
        <w:rPr>
          <w:rFonts w:cstheme="minorHAnsi"/>
          <w:sz w:val="28"/>
          <w:szCs w:val="28"/>
        </w:rPr>
      </w:pPr>
      <w:r w:rsidRPr="005E1103">
        <w:rPr>
          <w:rFonts w:cstheme="minorHAnsi"/>
          <w:noProof/>
          <w:sz w:val="28"/>
          <w:szCs w:val="28"/>
          <w:lang w:eastAsia="es-ES"/>
        </w:rPr>
        <w:drawing>
          <wp:inline distT="0" distB="0" distL="0" distR="0" wp14:anchorId="4991414C" wp14:editId="6482DAAC">
            <wp:extent cx="3362387" cy="1154502"/>
            <wp:effectExtent l="0" t="0" r="0" b="0"/>
            <wp:docPr id="83" name="Imagen 83" descr="Pantalla de visualización estándar donde se puede ver un texto de color amarillo y fondo azú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3409973" cy="1170841"/>
                    </a:xfrm>
                    <a:prstGeom prst="rect">
                      <a:avLst/>
                    </a:prstGeom>
                  </pic:spPr>
                </pic:pic>
              </a:graphicData>
            </a:graphic>
          </wp:inline>
        </w:drawing>
      </w:r>
    </w:p>
    <w:p w:rsidR="00033066" w:rsidRPr="005E1103" w:rsidRDefault="00033066" w:rsidP="00033066">
      <w:pPr>
        <w:spacing w:line="360" w:lineRule="auto"/>
        <w:jc w:val="center"/>
        <w:rPr>
          <w:rFonts w:cstheme="minorHAnsi"/>
          <w:sz w:val="28"/>
          <w:szCs w:val="28"/>
        </w:rPr>
      </w:pPr>
    </w:p>
    <w:p w:rsidR="00033066" w:rsidRPr="005E1103" w:rsidRDefault="00033066" w:rsidP="00033066">
      <w:pPr>
        <w:spacing w:line="360" w:lineRule="auto"/>
        <w:jc w:val="both"/>
        <w:rPr>
          <w:rFonts w:cstheme="minorHAnsi"/>
          <w:sz w:val="28"/>
          <w:szCs w:val="28"/>
        </w:rPr>
      </w:pPr>
      <w:r w:rsidRPr="005E1103">
        <w:rPr>
          <w:rFonts w:cstheme="minorHAnsi"/>
          <w:sz w:val="28"/>
          <w:szCs w:val="28"/>
        </w:rPr>
        <w:t xml:space="preserve">Visualización avanzada: Se trata de un modo de visualización ‘palabra a palabra’ en el cual irán apareciendo en la pantalla el texto recibido palabra a palabra, pudiéndose configurar la velocidad de aparición de las mismas, así como el color del fondo y del texto para mejorar el contraste y el tamaño y tipo de fuente para mejorar la  legibilidad. </w:t>
      </w:r>
    </w:p>
    <w:p w:rsidR="00033066" w:rsidRPr="005E1103" w:rsidRDefault="00033066" w:rsidP="00033066">
      <w:pPr>
        <w:spacing w:line="360" w:lineRule="auto"/>
        <w:jc w:val="both"/>
        <w:rPr>
          <w:rFonts w:cstheme="minorHAnsi"/>
          <w:sz w:val="28"/>
          <w:szCs w:val="28"/>
        </w:rPr>
      </w:pPr>
      <w:r w:rsidRPr="005E1103">
        <w:rPr>
          <w:rFonts w:cstheme="minorHAnsi"/>
          <w:sz w:val="28"/>
          <w:szCs w:val="28"/>
        </w:rPr>
        <w:t>En cualquier momento se podrá retroceder, pausar y avanzar por el contenido manualmente.</w:t>
      </w:r>
    </w:p>
    <w:p w:rsidR="00033066" w:rsidRPr="005E1103" w:rsidRDefault="00033066" w:rsidP="00033066">
      <w:pPr>
        <w:spacing w:line="360" w:lineRule="auto"/>
        <w:rPr>
          <w:rFonts w:cstheme="minorHAnsi"/>
          <w:sz w:val="28"/>
          <w:szCs w:val="28"/>
        </w:rPr>
      </w:pPr>
    </w:p>
    <w:p w:rsidR="00033066" w:rsidRPr="005E1103" w:rsidRDefault="00033066" w:rsidP="00033066">
      <w:pPr>
        <w:spacing w:line="360" w:lineRule="auto"/>
        <w:jc w:val="both"/>
        <w:rPr>
          <w:rFonts w:cstheme="minorHAnsi"/>
          <w:sz w:val="28"/>
          <w:szCs w:val="28"/>
        </w:rPr>
      </w:pPr>
      <w:r w:rsidRPr="005E1103">
        <w:rPr>
          <w:rFonts w:cstheme="minorHAnsi"/>
          <w:sz w:val="28"/>
          <w:szCs w:val="28"/>
        </w:rPr>
        <w:t>El modo de visualización avanzada está pensado especialmente para personas con baja visión que no tendrán que estar ampliando la interfaz y para personas con problemas de lectoescritura, como pueden ser personas con Dislexia, puesto que evitarán ciertas confusiones derivadas de la disposición de las palabras en el texto.</w:t>
      </w:r>
    </w:p>
    <w:p w:rsidR="00033066" w:rsidRPr="005E1103" w:rsidRDefault="00033066" w:rsidP="00033066">
      <w:pPr>
        <w:spacing w:line="360" w:lineRule="auto"/>
        <w:rPr>
          <w:rFonts w:cstheme="minorHAnsi"/>
          <w:sz w:val="28"/>
          <w:szCs w:val="28"/>
        </w:rPr>
      </w:pPr>
    </w:p>
    <w:p w:rsidR="00033066" w:rsidRPr="005E1103" w:rsidRDefault="00033066" w:rsidP="00033066">
      <w:pPr>
        <w:spacing w:line="360" w:lineRule="auto"/>
        <w:jc w:val="center"/>
        <w:rPr>
          <w:rFonts w:cstheme="minorHAnsi"/>
          <w:sz w:val="28"/>
          <w:szCs w:val="28"/>
        </w:rPr>
      </w:pPr>
      <w:r w:rsidRPr="005E1103">
        <w:rPr>
          <w:rFonts w:cstheme="minorHAnsi"/>
          <w:noProof/>
          <w:sz w:val="28"/>
          <w:szCs w:val="28"/>
          <w:lang w:eastAsia="es-ES"/>
        </w:rPr>
        <w:lastRenderedPageBreak/>
        <w:drawing>
          <wp:inline distT="0" distB="0" distL="0" distR="0" wp14:anchorId="0B0BDF11" wp14:editId="617935D6">
            <wp:extent cx="2553440" cy="1435708"/>
            <wp:effectExtent l="0" t="0" r="0" b="0"/>
            <wp:docPr id="84" name="Imagen 84" descr="Captura de pantalla de la visualizaicón avanzada mostrándose una palabra en todo el ancho de la pantalla y el reproductor para reproducir el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2557958" cy="1438248"/>
                    </a:xfrm>
                    <a:prstGeom prst="rect">
                      <a:avLst/>
                    </a:prstGeom>
                  </pic:spPr>
                </pic:pic>
              </a:graphicData>
            </a:graphic>
          </wp:inline>
        </w:drawing>
      </w:r>
    </w:p>
    <w:p w:rsidR="00033066" w:rsidRPr="005E1103" w:rsidRDefault="00033066" w:rsidP="00033066">
      <w:pPr>
        <w:spacing w:line="360" w:lineRule="auto"/>
        <w:rPr>
          <w:rFonts w:cstheme="minorHAnsi"/>
          <w:sz w:val="28"/>
          <w:szCs w:val="28"/>
        </w:rPr>
      </w:pPr>
    </w:p>
    <w:p w:rsidR="00033066" w:rsidRPr="005E1103" w:rsidRDefault="00033066" w:rsidP="00033066">
      <w:pPr>
        <w:pStyle w:val="Ttulo3"/>
        <w:rPr>
          <w:rFonts w:asciiTheme="minorHAnsi" w:hAnsiTheme="minorHAnsi" w:cstheme="minorHAnsi"/>
          <w:color w:val="auto"/>
          <w:sz w:val="28"/>
          <w:szCs w:val="28"/>
        </w:rPr>
      </w:pPr>
      <w:r w:rsidRPr="005E1103">
        <w:rPr>
          <w:rFonts w:asciiTheme="minorHAnsi" w:hAnsiTheme="minorHAnsi" w:cstheme="minorHAnsi"/>
          <w:color w:val="auto"/>
          <w:sz w:val="28"/>
          <w:szCs w:val="28"/>
        </w:rPr>
        <w:t>Almacenamiento de sesiones</w:t>
      </w:r>
    </w:p>
    <w:p w:rsidR="00033066" w:rsidRPr="005E1103" w:rsidRDefault="00033066" w:rsidP="00033066">
      <w:pPr>
        <w:spacing w:line="360" w:lineRule="auto"/>
        <w:rPr>
          <w:rFonts w:cstheme="minorHAnsi"/>
          <w:sz w:val="28"/>
          <w:szCs w:val="28"/>
        </w:rPr>
      </w:pPr>
    </w:p>
    <w:p w:rsidR="00033066" w:rsidRPr="005E1103" w:rsidRDefault="00033066" w:rsidP="00033066">
      <w:pPr>
        <w:spacing w:line="360" w:lineRule="auto"/>
        <w:jc w:val="both"/>
        <w:rPr>
          <w:rFonts w:cstheme="minorHAnsi"/>
          <w:sz w:val="28"/>
          <w:szCs w:val="28"/>
        </w:rPr>
      </w:pPr>
      <w:r w:rsidRPr="005E1103">
        <w:rPr>
          <w:rFonts w:cstheme="minorHAnsi"/>
          <w:sz w:val="28"/>
          <w:szCs w:val="28"/>
        </w:rPr>
        <w:t xml:space="preserve">El contenido de las sesiones, tanto en el modo cliente como en el modo servidor, serán guardadas automáticamente en el dispositivo para su posterior consulta a través de los dos modos de visualización. </w:t>
      </w:r>
    </w:p>
    <w:p w:rsidR="00033066" w:rsidRPr="005E1103" w:rsidRDefault="00033066" w:rsidP="00033066">
      <w:pPr>
        <w:spacing w:line="360" w:lineRule="auto"/>
        <w:rPr>
          <w:rFonts w:cstheme="minorHAnsi"/>
          <w:sz w:val="28"/>
          <w:szCs w:val="28"/>
        </w:rPr>
      </w:pPr>
    </w:p>
    <w:p w:rsidR="00033066" w:rsidRPr="005E1103" w:rsidRDefault="00033066" w:rsidP="00033066">
      <w:pPr>
        <w:pStyle w:val="Ttulo3"/>
        <w:rPr>
          <w:rFonts w:asciiTheme="minorHAnsi" w:hAnsiTheme="minorHAnsi" w:cstheme="minorHAnsi"/>
          <w:color w:val="auto"/>
          <w:sz w:val="28"/>
          <w:szCs w:val="28"/>
        </w:rPr>
      </w:pPr>
      <w:r w:rsidRPr="005E1103">
        <w:rPr>
          <w:rFonts w:asciiTheme="minorHAnsi" w:hAnsiTheme="minorHAnsi" w:cstheme="minorHAnsi"/>
          <w:color w:val="auto"/>
          <w:sz w:val="28"/>
          <w:szCs w:val="28"/>
        </w:rPr>
        <w:t>Lectura de cualquier texto con Visualización avanzada</w:t>
      </w:r>
    </w:p>
    <w:p w:rsidR="00033066" w:rsidRPr="005E1103" w:rsidRDefault="00033066" w:rsidP="00033066">
      <w:pPr>
        <w:spacing w:line="360" w:lineRule="auto"/>
        <w:rPr>
          <w:rFonts w:cstheme="minorHAnsi"/>
          <w:sz w:val="28"/>
          <w:szCs w:val="28"/>
        </w:rPr>
      </w:pPr>
    </w:p>
    <w:p w:rsidR="00033066" w:rsidRPr="005E1103" w:rsidRDefault="00033066" w:rsidP="00033066">
      <w:pPr>
        <w:spacing w:line="360" w:lineRule="auto"/>
        <w:jc w:val="both"/>
        <w:rPr>
          <w:rFonts w:cstheme="minorHAnsi"/>
          <w:sz w:val="28"/>
          <w:szCs w:val="28"/>
        </w:rPr>
      </w:pPr>
      <w:r w:rsidRPr="005E1103">
        <w:rPr>
          <w:rFonts w:cstheme="minorHAnsi"/>
          <w:sz w:val="28"/>
          <w:szCs w:val="28"/>
        </w:rPr>
        <w:t>En la pestaña de visualización avanzada tenemos la opción de pegar texto desde el portapapeles, que nos permitirá leer cualquier texto que hayamos copiado previamente en nuestro dispositivo con las ventajas de configuración y reproducción 'palabra a palabra' del modo de visualización avanzada.</w:t>
      </w:r>
    </w:p>
    <w:p w:rsidR="00033066" w:rsidRPr="005E1103" w:rsidRDefault="00033066" w:rsidP="00033066">
      <w:pPr>
        <w:spacing w:line="360" w:lineRule="auto"/>
        <w:rPr>
          <w:rFonts w:cstheme="minorHAnsi"/>
          <w:sz w:val="28"/>
          <w:szCs w:val="28"/>
        </w:rPr>
      </w:pPr>
    </w:p>
    <w:p w:rsidR="00033066" w:rsidRPr="005E1103" w:rsidRDefault="00033066" w:rsidP="00033066">
      <w:pPr>
        <w:pStyle w:val="Ttulo3"/>
        <w:rPr>
          <w:rFonts w:asciiTheme="minorHAnsi" w:hAnsiTheme="minorHAnsi" w:cstheme="minorHAnsi"/>
          <w:color w:val="auto"/>
          <w:sz w:val="28"/>
          <w:szCs w:val="28"/>
        </w:rPr>
      </w:pPr>
      <w:r w:rsidRPr="005E1103">
        <w:rPr>
          <w:rFonts w:asciiTheme="minorHAnsi" w:hAnsiTheme="minorHAnsi" w:cstheme="minorHAnsi"/>
          <w:color w:val="auto"/>
          <w:sz w:val="28"/>
          <w:szCs w:val="28"/>
        </w:rPr>
        <w:t>Casos de uso</w:t>
      </w:r>
    </w:p>
    <w:p w:rsidR="00033066" w:rsidRPr="005E1103" w:rsidRDefault="00033066" w:rsidP="00033066">
      <w:pPr>
        <w:rPr>
          <w:rFonts w:cstheme="minorHAnsi"/>
          <w:sz w:val="28"/>
          <w:szCs w:val="28"/>
        </w:rPr>
      </w:pPr>
    </w:p>
    <w:p w:rsidR="00033066" w:rsidRPr="005E1103" w:rsidRDefault="00033066" w:rsidP="00033066">
      <w:pPr>
        <w:spacing w:line="360" w:lineRule="auto"/>
        <w:rPr>
          <w:rFonts w:cstheme="minorHAnsi"/>
          <w:sz w:val="28"/>
          <w:szCs w:val="28"/>
        </w:rPr>
      </w:pPr>
      <w:r w:rsidRPr="005E1103">
        <w:rPr>
          <w:rFonts w:cstheme="minorHAnsi"/>
          <w:sz w:val="28"/>
          <w:szCs w:val="28"/>
        </w:rPr>
        <w:t>Esta aplicación, se puede utilizar -entre otras cosas- para:</w:t>
      </w:r>
    </w:p>
    <w:p w:rsidR="00033066" w:rsidRPr="005E1103" w:rsidRDefault="00033066" w:rsidP="00033066">
      <w:pPr>
        <w:pStyle w:val="Prrafodelista"/>
        <w:numPr>
          <w:ilvl w:val="0"/>
          <w:numId w:val="131"/>
        </w:numPr>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 xml:space="preserve">Un voluntario/compañero de clase/tomador de apuntes que puede estar tomando apuntes de lo que sucede en la pizarra o lo que dice </w:t>
      </w:r>
      <w:r w:rsidRPr="005E1103">
        <w:rPr>
          <w:rFonts w:asciiTheme="minorHAnsi" w:hAnsiTheme="minorHAnsi" w:cstheme="minorHAnsi"/>
          <w:sz w:val="28"/>
          <w:szCs w:val="28"/>
        </w:rPr>
        <w:lastRenderedPageBreak/>
        <w:t>el profesor y en tiempo real el estudiante podrá leer el contenido que está introduciendo la otra persona.</w:t>
      </w:r>
    </w:p>
    <w:p w:rsidR="00033066" w:rsidRPr="005E1103" w:rsidRDefault="00033066" w:rsidP="00033066">
      <w:pPr>
        <w:pStyle w:val="Prrafodelista"/>
        <w:numPr>
          <w:ilvl w:val="0"/>
          <w:numId w:val="131"/>
        </w:numPr>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Traducción de idiomas: la traductora escribe en la aplicación emisora y la persona lo puede ver o leer en tiempo real en su idioma.</w:t>
      </w:r>
    </w:p>
    <w:p w:rsidR="00033066" w:rsidRPr="005E1103" w:rsidRDefault="00033066" w:rsidP="00033066">
      <w:pPr>
        <w:pStyle w:val="Prrafodelista"/>
        <w:numPr>
          <w:ilvl w:val="0"/>
          <w:numId w:val="131"/>
        </w:numPr>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Para realizar subtitulado en eventos: una persona puede escribir en el dispositivo emisor lo que se dice y en el dispositivo receptor, que puede estar conectado a una pantalla u otro dispositivo de visualización, podrá seguirse en tiempo real también de lo que se está hablando.</w:t>
      </w:r>
    </w:p>
    <w:p w:rsidR="00033066" w:rsidRPr="005E1103" w:rsidRDefault="00033066" w:rsidP="00033066">
      <w:pPr>
        <w:spacing w:line="360" w:lineRule="auto"/>
        <w:rPr>
          <w:rFonts w:cstheme="minorHAnsi"/>
          <w:sz w:val="28"/>
          <w:szCs w:val="28"/>
        </w:rPr>
      </w:pPr>
    </w:p>
    <w:p w:rsidR="00033066" w:rsidRPr="005E1103" w:rsidRDefault="00033066" w:rsidP="00033066">
      <w:pPr>
        <w:spacing w:line="360" w:lineRule="auto"/>
        <w:jc w:val="center"/>
        <w:rPr>
          <w:rFonts w:cstheme="minorHAnsi"/>
          <w:sz w:val="28"/>
          <w:szCs w:val="28"/>
        </w:rPr>
      </w:pPr>
      <w:r w:rsidRPr="005E1103">
        <w:rPr>
          <w:rFonts w:cstheme="minorHAnsi"/>
          <w:noProof/>
          <w:sz w:val="28"/>
          <w:szCs w:val="28"/>
          <w:lang w:eastAsia="es-ES"/>
        </w:rPr>
        <w:drawing>
          <wp:inline distT="0" distB="0" distL="0" distR="0" wp14:anchorId="02134875" wp14:editId="38CF71B1">
            <wp:extent cx="4268811" cy="2230453"/>
            <wp:effectExtent l="0" t="0" r="0" b="5080"/>
            <wp:docPr id="85" name="Imagen 85" descr="Pruebas de funcionamiento de la aplicación, en imagen se ve a un chico escribiendo en un iPad, una chica con una mano en su línea braille y con otra cogiendo a su guía-intérprete, dicha persona es sordocie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4379245" cy="2288155"/>
                    </a:xfrm>
                    <a:prstGeom prst="rect">
                      <a:avLst/>
                    </a:prstGeom>
                  </pic:spPr>
                </pic:pic>
              </a:graphicData>
            </a:graphic>
          </wp:inline>
        </w:drawing>
      </w:r>
    </w:p>
    <w:p w:rsidR="00033066" w:rsidRPr="005E1103" w:rsidRDefault="00033066">
      <w:pPr>
        <w:rPr>
          <w:rFonts w:eastAsia="Times New Roman" w:cstheme="minorHAnsi"/>
          <w:sz w:val="28"/>
          <w:szCs w:val="28"/>
          <w:lang w:eastAsia="es-ES"/>
        </w:rPr>
      </w:pPr>
      <w:r w:rsidRPr="005E1103">
        <w:rPr>
          <w:rFonts w:eastAsia="Times New Roman" w:cstheme="minorHAnsi"/>
          <w:sz w:val="28"/>
          <w:szCs w:val="28"/>
          <w:lang w:eastAsia="es-ES"/>
        </w:rPr>
        <w:br w:type="page"/>
      </w:r>
    </w:p>
    <w:p w:rsidR="00033066" w:rsidRPr="005E1103" w:rsidRDefault="00033066" w:rsidP="00033066">
      <w:pPr>
        <w:spacing w:line="360" w:lineRule="auto"/>
        <w:jc w:val="center"/>
        <w:rPr>
          <w:rFonts w:cstheme="minorHAnsi"/>
          <w:b/>
          <w:sz w:val="28"/>
          <w:szCs w:val="28"/>
        </w:rPr>
      </w:pPr>
      <w:r w:rsidRPr="005E1103">
        <w:rPr>
          <w:rFonts w:cstheme="minorHAnsi"/>
          <w:b/>
          <w:sz w:val="28"/>
          <w:szCs w:val="28"/>
        </w:rPr>
        <w:lastRenderedPageBreak/>
        <w:t>COMUNICACIÓN 7</w:t>
      </w:r>
    </w:p>
    <w:p w:rsidR="00033066" w:rsidRPr="005E1103" w:rsidRDefault="00033066" w:rsidP="00033066">
      <w:pPr>
        <w:spacing w:line="360" w:lineRule="auto"/>
        <w:jc w:val="center"/>
        <w:rPr>
          <w:rFonts w:cstheme="minorHAnsi"/>
          <w:b/>
          <w:sz w:val="28"/>
          <w:szCs w:val="28"/>
        </w:rPr>
      </w:pPr>
    </w:p>
    <w:tbl>
      <w:tblPr>
        <w:tblStyle w:val="Tablaconcuadrcula"/>
        <w:tblW w:w="0" w:type="auto"/>
        <w:tblLook w:val="04A0" w:firstRow="1" w:lastRow="0" w:firstColumn="1" w:lastColumn="0" w:noHBand="0" w:noVBand="1"/>
      </w:tblPr>
      <w:tblGrid>
        <w:gridCol w:w="8720"/>
      </w:tblGrid>
      <w:tr w:rsidR="00033066" w:rsidRPr="005E1103" w:rsidTr="00033066">
        <w:trPr>
          <w:trHeight w:val="745"/>
        </w:trPr>
        <w:tc>
          <w:tcPr>
            <w:tcW w:w="9710" w:type="dxa"/>
          </w:tcPr>
          <w:p w:rsidR="00033066" w:rsidRPr="005E1103" w:rsidRDefault="00033066" w:rsidP="00033066">
            <w:pPr>
              <w:jc w:val="center"/>
              <w:rPr>
                <w:rFonts w:cstheme="minorHAnsi"/>
                <w:b/>
                <w:sz w:val="28"/>
                <w:szCs w:val="28"/>
              </w:rPr>
            </w:pPr>
          </w:p>
          <w:p w:rsidR="00033066" w:rsidRPr="005E1103" w:rsidRDefault="00033066" w:rsidP="00033066">
            <w:pPr>
              <w:jc w:val="center"/>
              <w:rPr>
                <w:rFonts w:cstheme="minorHAnsi"/>
                <w:sz w:val="28"/>
                <w:szCs w:val="28"/>
              </w:rPr>
            </w:pPr>
            <w:r w:rsidRPr="005E1103">
              <w:rPr>
                <w:rFonts w:cstheme="minorHAnsi"/>
                <w:b/>
                <w:sz w:val="28"/>
                <w:szCs w:val="28"/>
              </w:rPr>
              <w:t>Proyecto IDiLyCo: Inclusión Digital, Lenguaje Natural y Comunicación</w:t>
            </w:r>
          </w:p>
        </w:tc>
      </w:tr>
    </w:tbl>
    <w:p w:rsidR="00033066" w:rsidRPr="005E1103" w:rsidRDefault="00033066" w:rsidP="00033066">
      <w:pPr>
        <w:jc w:val="right"/>
        <w:rPr>
          <w:rFonts w:cstheme="minorHAnsi"/>
          <w:b/>
          <w:sz w:val="28"/>
          <w:szCs w:val="28"/>
        </w:rPr>
      </w:pPr>
    </w:p>
    <w:p w:rsidR="00033066" w:rsidRPr="005E1103" w:rsidRDefault="00033066" w:rsidP="00033066">
      <w:pPr>
        <w:jc w:val="right"/>
        <w:rPr>
          <w:rFonts w:cstheme="minorHAnsi"/>
          <w:b/>
          <w:sz w:val="28"/>
          <w:szCs w:val="28"/>
        </w:rPr>
      </w:pPr>
      <w:r w:rsidRPr="005E1103">
        <w:rPr>
          <w:rFonts w:cstheme="minorHAnsi"/>
          <w:b/>
          <w:sz w:val="28"/>
          <w:szCs w:val="28"/>
        </w:rPr>
        <w:t xml:space="preserve">Susana Bautista </w:t>
      </w:r>
    </w:p>
    <w:p w:rsidR="00033066" w:rsidRPr="005E1103" w:rsidRDefault="00033066" w:rsidP="00033066">
      <w:pPr>
        <w:jc w:val="right"/>
        <w:rPr>
          <w:rFonts w:cstheme="minorHAnsi"/>
          <w:sz w:val="28"/>
          <w:szCs w:val="28"/>
        </w:rPr>
      </w:pPr>
      <w:r w:rsidRPr="005E1103">
        <w:rPr>
          <w:rFonts w:cstheme="minorHAnsi"/>
          <w:sz w:val="28"/>
          <w:szCs w:val="28"/>
        </w:rPr>
        <w:t>Investigadora Contratada</w:t>
      </w:r>
    </w:p>
    <w:p w:rsidR="00033066" w:rsidRPr="005E1103" w:rsidRDefault="00033066" w:rsidP="00033066">
      <w:pPr>
        <w:jc w:val="right"/>
        <w:rPr>
          <w:rFonts w:cstheme="minorHAnsi"/>
          <w:b/>
          <w:sz w:val="28"/>
          <w:szCs w:val="28"/>
        </w:rPr>
      </w:pPr>
      <w:r w:rsidRPr="005E1103">
        <w:rPr>
          <w:rFonts w:cstheme="minorHAnsi"/>
          <w:b/>
          <w:sz w:val="28"/>
          <w:szCs w:val="28"/>
        </w:rPr>
        <w:t>Raquel Hervás</w:t>
      </w:r>
    </w:p>
    <w:p w:rsidR="00033066" w:rsidRPr="005E1103" w:rsidRDefault="00033066" w:rsidP="00033066">
      <w:pPr>
        <w:jc w:val="right"/>
        <w:rPr>
          <w:rFonts w:cstheme="minorHAnsi"/>
          <w:sz w:val="28"/>
          <w:szCs w:val="28"/>
        </w:rPr>
      </w:pPr>
      <w:r w:rsidRPr="005E1103">
        <w:rPr>
          <w:rFonts w:cstheme="minorHAnsi"/>
          <w:sz w:val="28"/>
          <w:szCs w:val="28"/>
        </w:rPr>
        <w:t>Profesora Contratado Doctor</w:t>
      </w:r>
    </w:p>
    <w:p w:rsidR="00033066" w:rsidRPr="005E1103" w:rsidRDefault="00033066" w:rsidP="00033066">
      <w:pPr>
        <w:jc w:val="right"/>
        <w:rPr>
          <w:rFonts w:cstheme="minorHAnsi"/>
          <w:b/>
          <w:sz w:val="28"/>
          <w:szCs w:val="28"/>
        </w:rPr>
      </w:pPr>
      <w:r w:rsidRPr="005E1103">
        <w:rPr>
          <w:rFonts w:cstheme="minorHAnsi"/>
          <w:b/>
          <w:sz w:val="28"/>
          <w:szCs w:val="28"/>
        </w:rPr>
        <w:t xml:space="preserve">Pablo Gervás </w:t>
      </w:r>
    </w:p>
    <w:p w:rsidR="00033066" w:rsidRPr="005E1103" w:rsidRDefault="00033066" w:rsidP="00033066">
      <w:pPr>
        <w:jc w:val="right"/>
        <w:rPr>
          <w:rFonts w:cstheme="minorHAnsi"/>
          <w:sz w:val="28"/>
          <w:szCs w:val="28"/>
        </w:rPr>
      </w:pPr>
      <w:r w:rsidRPr="005E1103">
        <w:rPr>
          <w:rFonts w:cstheme="minorHAnsi"/>
          <w:sz w:val="28"/>
          <w:szCs w:val="28"/>
        </w:rPr>
        <w:t>Profesor Titular</w:t>
      </w:r>
    </w:p>
    <w:p w:rsidR="00033066" w:rsidRPr="005E1103" w:rsidRDefault="00033066" w:rsidP="00033066">
      <w:pPr>
        <w:jc w:val="center"/>
        <w:rPr>
          <w:rFonts w:cstheme="minorHAnsi"/>
          <w:sz w:val="28"/>
          <w:szCs w:val="28"/>
        </w:rPr>
      </w:pPr>
      <w:r w:rsidRPr="005E1103">
        <w:rPr>
          <w:rFonts w:cstheme="minorHAnsi"/>
          <w:sz w:val="28"/>
          <w:szCs w:val="28"/>
        </w:rPr>
        <w:t xml:space="preserve">                        Facultad de Informática    Universidad Complutense de Madrid, España</w:t>
      </w:r>
    </w:p>
    <w:p w:rsidR="00033066" w:rsidRPr="005E1103" w:rsidRDefault="00033066" w:rsidP="00033066">
      <w:pPr>
        <w:jc w:val="right"/>
        <w:rPr>
          <w:rFonts w:cstheme="minorHAnsi"/>
          <w:sz w:val="28"/>
          <w:szCs w:val="28"/>
        </w:rPr>
      </w:pPr>
    </w:p>
    <w:p w:rsidR="00033066" w:rsidRPr="005E1103" w:rsidRDefault="00033066" w:rsidP="00033066">
      <w:pPr>
        <w:pStyle w:val="Prrafodelista"/>
        <w:numPr>
          <w:ilvl w:val="0"/>
          <w:numId w:val="134"/>
        </w:numPr>
        <w:spacing w:before="0" w:after="160" w:line="259" w:lineRule="auto"/>
        <w:rPr>
          <w:rFonts w:asciiTheme="minorHAnsi" w:hAnsiTheme="minorHAnsi" w:cstheme="minorHAnsi"/>
          <w:b/>
          <w:sz w:val="28"/>
          <w:szCs w:val="28"/>
        </w:rPr>
      </w:pPr>
      <w:r w:rsidRPr="005E1103">
        <w:rPr>
          <w:rFonts w:asciiTheme="minorHAnsi" w:hAnsiTheme="minorHAnsi" w:cstheme="minorHAnsi"/>
          <w:b/>
          <w:sz w:val="28"/>
          <w:szCs w:val="28"/>
        </w:rPr>
        <w:t>INTRODUCCIÓN</w:t>
      </w:r>
    </w:p>
    <w:p w:rsidR="00033066" w:rsidRPr="005E1103" w:rsidRDefault="00033066" w:rsidP="00033066">
      <w:pPr>
        <w:autoSpaceDE w:val="0"/>
        <w:autoSpaceDN w:val="0"/>
        <w:adjustRightInd w:val="0"/>
        <w:spacing w:after="0" w:line="360" w:lineRule="auto"/>
        <w:jc w:val="both"/>
        <w:rPr>
          <w:rFonts w:cstheme="minorHAnsi"/>
          <w:sz w:val="28"/>
          <w:szCs w:val="28"/>
        </w:rPr>
      </w:pPr>
      <w:r w:rsidRPr="005E1103">
        <w:rPr>
          <w:rFonts w:cstheme="minorHAnsi"/>
          <w:sz w:val="28"/>
          <w:szCs w:val="28"/>
        </w:rPr>
        <w:t xml:space="preserve">La participación social es un derecho fundamental de la persona con independencia de sus capacidades. En general, dicha participación depende de la posibilidad de comunicarnos con nuestro entorno (hablar, manejar un teléfono,…) y de acceder a la información (ya sea oral o escrita), con todas las consecuencias que ello tiene en la vida personal y laboral, en el ejercicio de los derechos ciudadanos, y en la imagen social de la persona. Sin embargo, con el auge de la llamada sociedad de la información, existen colectivos para los que este entorno digital supone una barrera insalvable, lo que les supone una exclusión social difícil de superar. Así surge la inclusión digital, entendida como un movimiento social para democratizar el acceso a las tecnologías de la información y la </w:t>
      </w:r>
      <w:r w:rsidRPr="005E1103">
        <w:rPr>
          <w:rFonts w:cstheme="minorHAnsi"/>
          <w:sz w:val="28"/>
          <w:szCs w:val="28"/>
        </w:rPr>
        <w:lastRenderedPageBreak/>
        <w:t>comunicación, y permitir la inserción de todos en la sociedad de la información.</w:t>
      </w:r>
    </w:p>
    <w:p w:rsidR="00033066" w:rsidRPr="005E1103" w:rsidRDefault="00033066" w:rsidP="00033066">
      <w:pPr>
        <w:autoSpaceDE w:val="0"/>
        <w:autoSpaceDN w:val="0"/>
        <w:adjustRightInd w:val="0"/>
        <w:spacing w:after="0" w:line="360" w:lineRule="auto"/>
        <w:jc w:val="both"/>
        <w:rPr>
          <w:rFonts w:cstheme="minorHAnsi"/>
          <w:sz w:val="28"/>
          <w:szCs w:val="28"/>
        </w:rPr>
      </w:pPr>
      <w:r w:rsidRPr="005E1103">
        <w:rPr>
          <w:rFonts w:cstheme="minorHAnsi"/>
          <w:sz w:val="28"/>
          <w:szCs w:val="28"/>
        </w:rPr>
        <w:t>Dentro de la sociedad de la información, dos aspectos están resultando especialmente importantes desde el punto de vista de la participación social: la comunicación a través de las nuevas tecnologías (redes sociales, chats, mensajería instantánea a través de dispositivos móviles,...) y el acceso a la información disponible en medios digitales (periódicos, blogs, administración electrónica, páginas web de todo tipo,...). Pero a pesar de su importancia, la comunicación y el acceso a la información digital pueden presentar barreras importantes para aquellas personas que, por su diversidad funcional, tienen problemas para utilizar o entender el lenguaje natural.</w:t>
      </w:r>
    </w:p>
    <w:p w:rsidR="00033066" w:rsidRPr="005E1103" w:rsidRDefault="00033066" w:rsidP="00033066">
      <w:pPr>
        <w:autoSpaceDE w:val="0"/>
        <w:autoSpaceDN w:val="0"/>
        <w:adjustRightInd w:val="0"/>
        <w:spacing w:after="0" w:line="360" w:lineRule="auto"/>
        <w:jc w:val="both"/>
        <w:rPr>
          <w:rFonts w:cstheme="minorHAnsi"/>
          <w:sz w:val="28"/>
          <w:szCs w:val="28"/>
        </w:rPr>
      </w:pPr>
      <w:r w:rsidRPr="005E1103">
        <w:rPr>
          <w:rFonts w:cstheme="minorHAnsi"/>
          <w:sz w:val="28"/>
          <w:szCs w:val="28"/>
        </w:rPr>
        <w:t xml:space="preserve">En este contexto, el proyecto IDiLyCo pretende facilitar la comunicación y el acceso a la información digital a colectivos que, por su diversidad funcional, puedan encontrar problemas a la hora de utilizar el lenguaje para comunicarse o acceder a dicha información. Así, existen tecnologías lingüísticas que pueden ayudar a estos usuarios mediante la corrección automática desde la simplificación de texto, la generación de resúmenes, la comunicación aumentativa y alternativa (CAA) y el análisis emocional. Un ejemplo de simplificación de texto es la adaptación de contenidos textuales en formato de lectura fácil. Se dice que un texto está en formato de lectura fácil cuando sus contenidos han sido redactados con un lenguaje sencillo y claro, de forma que puedan ser entendidos por personas con diversidades funcionales permanentes o transitorias que les impiden un uso normal del lenguaje natural. En esta tarea se puede observar claramente la importancia y utilidad de las tecnologías en las que se va a profundizar en el proyecto. Por un lado, la generación de </w:t>
      </w:r>
      <w:r w:rsidRPr="005E1103">
        <w:rPr>
          <w:rFonts w:cstheme="minorHAnsi"/>
          <w:sz w:val="28"/>
          <w:szCs w:val="28"/>
        </w:rPr>
        <w:lastRenderedPageBreak/>
        <w:t xml:space="preserve">resúmenes permite determinar cuáles son los aspectos clave de un texto y generar un nuevo texto que sólo refleja esos aspectos clave. Sin embargo, estos resúmenes no están necesariamente redactados en un lenguaje fácil de comprender. La simplificación de texto es la que nos permite reescribir o simplificar el texto del resumen para que el lenguaje utilizado sea sencillo y claro, pero manteniendo los aspectos clave. Además, el análisis emocional del texto puede ayudar a identificar subjetividades y ambigüedades emocionales que pueden hacer el texto más difícil de entender para personas con discapacidades como autismo o Asperger. Por último, la comunicación aumentativa y alternativa (CAA) nos permite expresar el texto en lenguajes alternativos al natural (p.e. pictogramas) para aquellas personas que por su discapacidad no pueden utilizar el lenguaje natural como medio de comunicación. </w:t>
      </w:r>
    </w:p>
    <w:p w:rsidR="00033066" w:rsidRPr="005E1103" w:rsidRDefault="00033066" w:rsidP="00033066">
      <w:pPr>
        <w:autoSpaceDE w:val="0"/>
        <w:autoSpaceDN w:val="0"/>
        <w:adjustRightInd w:val="0"/>
        <w:spacing w:after="0" w:line="360" w:lineRule="auto"/>
        <w:jc w:val="both"/>
        <w:rPr>
          <w:rFonts w:cstheme="minorHAnsi"/>
          <w:sz w:val="28"/>
          <w:szCs w:val="28"/>
        </w:rPr>
      </w:pPr>
    </w:p>
    <w:p w:rsidR="00033066" w:rsidRPr="005E1103" w:rsidRDefault="00033066" w:rsidP="00033066">
      <w:pPr>
        <w:autoSpaceDE w:val="0"/>
        <w:autoSpaceDN w:val="0"/>
        <w:adjustRightInd w:val="0"/>
        <w:spacing w:after="0" w:line="360" w:lineRule="auto"/>
        <w:jc w:val="both"/>
        <w:rPr>
          <w:rFonts w:cstheme="minorHAnsi"/>
          <w:b/>
          <w:sz w:val="28"/>
          <w:szCs w:val="28"/>
        </w:rPr>
      </w:pPr>
      <w:r w:rsidRPr="005E1103">
        <w:rPr>
          <w:rFonts w:cstheme="minorHAnsi"/>
          <w:b/>
          <w:sz w:val="28"/>
          <w:szCs w:val="28"/>
        </w:rPr>
        <w:t>2. ÁREAS DE INVESTIGACIÓN</w:t>
      </w:r>
    </w:p>
    <w:p w:rsidR="00033066" w:rsidRPr="005E1103" w:rsidRDefault="00033066" w:rsidP="00033066">
      <w:pPr>
        <w:autoSpaceDE w:val="0"/>
        <w:autoSpaceDN w:val="0"/>
        <w:adjustRightInd w:val="0"/>
        <w:spacing w:after="0" w:line="360" w:lineRule="auto"/>
        <w:jc w:val="both"/>
        <w:rPr>
          <w:rFonts w:cstheme="minorHAnsi"/>
          <w:sz w:val="28"/>
          <w:szCs w:val="28"/>
        </w:rPr>
      </w:pPr>
      <w:r w:rsidRPr="005E1103">
        <w:rPr>
          <w:rFonts w:cstheme="minorHAnsi"/>
          <w:sz w:val="28"/>
          <w:szCs w:val="28"/>
        </w:rPr>
        <w:t>El proyecto IDiLyCo se apoya en los significativos avances en los campos del procesamiento y la generación de lenguaje natural durante la última década. Estos avances han supuesto el desarrollo de soluciones prácticas reutilizables para problemas como el etiquetado léxico, el análisis sintáctico, la generación de expresiones de referencia o la realización superficial. A continuación se explica el estado actual de las cuatro áreas fundamentales en las que se apoya el proyecto: simplificación de textos, generación de resúmenes, comunicación aumentativa y alternativa y análisis emocional.</w:t>
      </w:r>
    </w:p>
    <w:p w:rsidR="00033066" w:rsidRPr="005E1103" w:rsidRDefault="00033066" w:rsidP="00033066">
      <w:pPr>
        <w:autoSpaceDE w:val="0"/>
        <w:autoSpaceDN w:val="0"/>
        <w:adjustRightInd w:val="0"/>
        <w:spacing w:after="0" w:line="360" w:lineRule="auto"/>
        <w:jc w:val="both"/>
        <w:rPr>
          <w:rFonts w:cstheme="minorHAnsi"/>
          <w:sz w:val="28"/>
          <w:szCs w:val="28"/>
        </w:rPr>
      </w:pPr>
    </w:p>
    <w:p w:rsidR="00033066" w:rsidRPr="005E1103" w:rsidRDefault="00033066" w:rsidP="00033066">
      <w:pPr>
        <w:rPr>
          <w:rFonts w:cstheme="minorHAnsi"/>
          <w:b/>
          <w:i/>
          <w:iCs/>
          <w:sz w:val="28"/>
          <w:szCs w:val="28"/>
        </w:rPr>
      </w:pPr>
      <w:r w:rsidRPr="005E1103">
        <w:rPr>
          <w:rFonts w:cstheme="minorHAnsi"/>
          <w:b/>
          <w:i/>
          <w:iCs/>
          <w:sz w:val="28"/>
          <w:szCs w:val="28"/>
        </w:rPr>
        <w:t>2.1. Simplificación de textos.</w:t>
      </w:r>
    </w:p>
    <w:p w:rsidR="00033066" w:rsidRPr="005E1103" w:rsidRDefault="00033066" w:rsidP="00033066">
      <w:pPr>
        <w:autoSpaceDE w:val="0"/>
        <w:autoSpaceDN w:val="0"/>
        <w:adjustRightInd w:val="0"/>
        <w:spacing w:after="0" w:line="360" w:lineRule="auto"/>
        <w:jc w:val="both"/>
        <w:rPr>
          <w:rFonts w:cstheme="minorHAnsi"/>
          <w:sz w:val="28"/>
          <w:szCs w:val="28"/>
        </w:rPr>
      </w:pPr>
      <w:r w:rsidRPr="005E1103">
        <w:rPr>
          <w:rFonts w:cstheme="minorHAnsi"/>
          <w:sz w:val="28"/>
          <w:szCs w:val="28"/>
        </w:rPr>
        <w:lastRenderedPageBreak/>
        <w:t>La simplificación de textos es una tarea relativamente nueva dentro del procesamiento de lenguaje natural que surge con el objetivo de adaptar textos para aquellos lectores que tengan dificultad en su comprensión: inmigrantes, personas mayores, personas con dislexia, con alguna discapacidad cognitiva, etc. Existen muchas organizaciones y entidades que se dedican a simplificar contenidos a formato de lectura fácil (noticias, libros, documentos) para que las personas con dificultad de comprensión puedan acceder a información que les pueda resultar interesante. Sin embargo, muchas de estas elaboraciones son principalmente manuales y el número de herramientas disponibles para automatizar el proceso es escaso, sobre todo en español. Con objeto de realizar la simplificación de los textos de manera automática o semiautomática han surgido sistemas basados en reglas</w:t>
      </w:r>
      <w:sdt>
        <w:sdtPr>
          <w:rPr>
            <w:rFonts w:cstheme="minorHAnsi"/>
            <w:sz w:val="28"/>
            <w:szCs w:val="28"/>
          </w:rPr>
          <w:id w:val="1775054885"/>
          <w:citation/>
        </w:sdtPr>
        <w:sdtEndPr/>
        <w:sdtContent>
          <w:r w:rsidRPr="005E1103">
            <w:rPr>
              <w:rFonts w:cstheme="minorHAnsi"/>
              <w:sz w:val="28"/>
              <w:szCs w:val="28"/>
            </w:rPr>
            <w:fldChar w:fldCharType="begin"/>
          </w:r>
          <w:r w:rsidRPr="005E1103">
            <w:rPr>
              <w:rFonts w:cstheme="minorHAnsi"/>
              <w:sz w:val="28"/>
              <w:szCs w:val="28"/>
            </w:rPr>
            <w:instrText xml:space="preserve"> CITATION Cha96 \l 3082 </w:instrText>
          </w:r>
          <w:r w:rsidRPr="005E1103">
            <w:rPr>
              <w:rFonts w:cstheme="minorHAnsi"/>
              <w:sz w:val="28"/>
              <w:szCs w:val="28"/>
            </w:rPr>
            <w:fldChar w:fldCharType="separate"/>
          </w:r>
          <w:r w:rsidRPr="005E1103">
            <w:rPr>
              <w:rFonts w:cstheme="minorHAnsi"/>
              <w:noProof/>
              <w:sz w:val="28"/>
              <w:szCs w:val="28"/>
            </w:rPr>
            <w:t xml:space="preserve"> (Chandrasekar, R. and Doran, C. and Srinivas, B., 1996)</w:t>
          </w:r>
          <w:r w:rsidRPr="005E1103">
            <w:rPr>
              <w:rFonts w:cstheme="minorHAnsi"/>
              <w:sz w:val="28"/>
              <w:szCs w:val="28"/>
            </w:rPr>
            <w:fldChar w:fldCharType="end"/>
          </w:r>
        </w:sdtContent>
      </w:sdt>
      <w:r w:rsidRPr="005E1103">
        <w:rPr>
          <w:rFonts w:cstheme="minorHAnsi"/>
          <w:sz w:val="28"/>
          <w:szCs w:val="28"/>
        </w:rPr>
        <w:t xml:space="preserve"> y sistemas basados en análisis estadístico de corpus alineados (original-simplificado)</w:t>
      </w:r>
      <w:sdt>
        <w:sdtPr>
          <w:rPr>
            <w:rFonts w:cstheme="minorHAnsi"/>
            <w:sz w:val="28"/>
            <w:szCs w:val="28"/>
          </w:rPr>
          <w:id w:val="-1068419010"/>
          <w:citation/>
        </w:sdtPr>
        <w:sdtEndPr/>
        <w:sdtContent>
          <w:r w:rsidRPr="005E1103">
            <w:rPr>
              <w:rFonts w:cstheme="minorHAnsi"/>
              <w:sz w:val="28"/>
              <w:szCs w:val="28"/>
            </w:rPr>
            <w:fldChar w:fldCharType="begin"/>
          </w:r>
          <w:r w:rsidRPr="005E1103">
            <w:rPr>
              <w:rFonts w:cstheme="minorHAnsi"/>
              <w:sz w:val="28"/>
              <w:szCs w:val="28"/>
            </w:rPr>
            <w:instrText xml:space="preserve"> CITATION Pet07 \l 3082 </w:instrText>
          </w:r>
          <w:r w:rsidRPr="005E1103">
            <w:rPr>
              <w:rFonts w:cstheme="minorHAnsi"/>
              <w:sz w:val="28"/>
              <w:szCs w:val="28"/>
            </w:rPr>
            <w:fldChar w:fldCharType="separate"/>
          </w:r>
          <w:r w:rsidRPr="005E1103">
            <w:rPr>
              <w:rFonts w:cstheme="minorHAnsi"/>
              <w:noProof/>
              <w:sz w:val="28"/>
              <w:szCs w:val="28"/>
            </w:rPr>
            <w:t xml:space="preserve"> (Petersen, S. E. and Ostendorf, M. , 2007)</w:t>
          </w:r>
          <w:r w:rsidRPr="005E1103">
            <w:rPr>
              <w:rFonts w:cstheme="minorHAnsi"/>
              <w:sz w:val="28"/>
              <w:szCs w:val="28"/>
            </w:rPr>
            <w:fldChar w:fldCharType="end"/>
          </w:r>
        </w:sdtContent>
      </w:sdt>
      <w:r w:rsidRPr="005E1103">
        <w:rPr>
          <w:rFonts w:cstheme="minorHAnsi"/>
          <w:sz w:val="28"/>
          <w:szCs w:val="28"/>
        </w:rPr>
        <w:t>. Dentro de estos sistemas se ha usado una amplia variedad de técnicas de simplificación: substitución léxica de palabras no comunes por palabras comunes, activación de oraciones pasivas y resolución de referencias, cambios a nivel de discurso o simplificación sintáctica, entre otras.</w:t>
      </w:r>
    </w:p>
    <w:p w:rsidR="00033066" w:rsidRPr="005E1103" w:rsidRDefault="00033066" w:rsidP="00033066">
      <w:pPr>
        <w:autoSpaceDE w:val="0"/>
        <w:autoSpaceDN w:val="0"/>
        <w:adjustRightInd w:val="0"/>
        <w:spacing w:after="0" w:line="360" w:lineRule="auto"/>
        <w:jc w:val="both"/>
        <w:rPr>
          <w:rFonts w:cstheme="minorHAnsi"/>
          <w:sz w:val="28"/>
          <w:szCs w:val="28"/>
        </w:rPr>
      </w:pPr>
      <w:r w:rsidRPr="005E1103">
        <w:rPr>
          <w:rFonts w:cstheme="minorHAnsi"/>
          <w:sz w:val="28"/>
          <w:szCs w:val="28"/>
        </w:rPr>
        <w:t>En el grupo de investigación NIL</w:t>
      </w:r>
      <w:r w:rsidRPr="005E1103">
        <w:rPr>
          <w:rStyle w:val="Refdenotaalpie"/>
          <w:rFonts w:cstheme="minorHAnsi"/>
          <w:sz w:val="28"/>
          <w:szCs w:val="28"/>
        </w:rPr>
        <w:footnoteReference w:id="74"/>
      </w:r>
      <w:r w:rsidRPr="005E1103">
        <w:rPr>
          <w:rFonts w:cstheme="minorHAnsi"/>
          <w:sz w:val="28"/>
          <w:szCs w:val="28"/>
        </w:rPr>
        <w:t xml:space="preserve"> llevamos años investigando en el tema de la simplificación de textos. Dentro del equipo se han defendido una tesis de máster </w:t>
      </w:r>
      <w:sdt>
        <w:sdtPr>
          <w:rPr>
            <w:rFonts w:cstheme="minorHAnsi"/>
            <w:sz w:val="28"/>
            <w:szCs w:val="28"/>
          </w:rPr>
          <w:id w:val="-1882786103"/>
          <w:citation/>
        </w:sdtPr>
        <w:sdtEndPr/>
        <w:sdtContent>
          <w:r w:rsidRPr="005E1103">
            <w:rPr>
              <w:rFonts w:cstheme="minorHAnsi"/>
              <w:sz w:val="28"/>
              <w:szCs w:val="28"/>
            </w:rPr>
            <w:fldChar w:fldCharType="begin"/>
          </w:r>
          <w:r w:rsidRPr="005E1103">
            <w:rPr>
              <w:rFonts w:cstheme="minorHAnsi"/>
              <w:sz w:val="28"/>
              <w:szCs w:val="28"/>
            </w:rPr>
            <w:instrText xml:space="preserve"> CITATION Bau08 \l 3082 </w:instrText>
          </w:r>
          <w:r w:rsidRPr="005E1103">
            <w:rPr>
              <w:rFonts w:cstheme="minorHAnsi"/>
              <w:sz w:val="28"/>
              <w:szCs w:val="28"/>
            </w:rPr>
            <w:fldChar w:fldCharType="separate"/>
          </w:r>
          <w:r w:rsidRPr="005E1103">
            <w:rPr>
              <w:rFonts w:cstheme="minorHAnsi"/>
              <w:noProof/>
              <w:sz w:val="28"/>
              <w:szCs w:val="28"/>
            </w:rPr>
            <w:t>(Bautista, 2008)</w:t>
          </w:r>
          <w:r w:rsidRPr="005E1103">
            <w:rPr>
              <w:rFonts w:cstheme="minorHAnsi"/>
              <w:sz w:val="28"/>
              <w:szCs w:val="28"/>
            </w:rPr>
            <w:fldChar w:fldCharType="end"/>
          </w:r>
        </w:sdtContent>
      </w:sdt>
      <w:r w:rsidRPr="005E1103">
        <w:rPr>
          <w:rFonts w:cstheme="minorHAnsi"/>
          <w:sz w:val="28"/>
          <w:szCs w:val="28"/>
        </w:rPr>
        <w:t xml:space="preserve"> sobre simplificación léxica adaptativa a partir de las emociones, y una tesis doctoral </w:t>
      </w:r>
      <w:sdt>
        <w:sdtPr>
          <w:rPr>
            <w:rFonts w:cstheme="minorHAnsi"/>
            <w:sz w:val="28"/>
            <w:szCs w:val="28"/>
          </w:rPr>
          <w:id w:val="970321178"/>
          <w:citation/>
        </w:sdtPr>
        <w:sdtEndPr/>
        <w:sdtContent>
          <w:r w:rsidRPr="005E1103">
            <w:rPr>
              <w:rFonts w:cstheme="minorHAnsi"/>
              <w:sz w:val="28"/>
              <w:szCs w:val="28"/>
            </w:rPr>
            <w:fldChar w:fldCharType="begin"/>
          </w:r>
          <w:r w:rsidRPr="005E1103">
            <w:rPr>
              <w:rFonts w:cstheme="minorHAnsi"/>
              <w:sz w:val="28"/>
              <w:szCs w:val="28"/>
            </w:rPr>
            <w:instrText xml:space="preserve"> CITATION Bau15 \l 3082 </w:instrText>
          </w:r>
          <w:r w:rsidRPr="005E1103">
            <w:rPr>
              <w:rFonts w:cstheme="minorHAnsi"/>
              <w:sz w:val="28"/>
              <w:szCs w:val="28"/>
            </w:rPr>
            <w:fldChar w:fldCharType="separate"/>
          </w:r>
          <w:r w:rsidRPr="005E1103">
            <w:rPr>
              <w:rFonts w:cstheme="minorHAnsi"/>
              <w:noProof/>
              <w:sz w:val="28"/>
              <w:szCs w:val="28"/>
            </w:rPr>
            <w:t>(Bautista, 2015)</w:t>
          </w:r>
          <w:r w:rsidRPr="005E1103">
            <w:rPr>
              <w:rFonts w:cstheme="minorHAnsi"/>
              <w:sz w:val="28"/>
              <w:szCs w:val="28"/>
            </w:rPr>
            <w:fldChar w:fldCharType="end"/>
          </w:r>
        </w:sdtContent>
      </w:sdt>
      <w:r w:rsidRPr="005E1103">
        <w:rPr>
          <w:rFonts w:cstheme="minorHAnsi"/>
          <w:sz w:val="28"/>
          <w:szCs w:val="28"/>
        </w:rPr>
        <w:t xml:space="preserve"> sobre la simplificación de expresiones numéricas dentro del proceso de simplificación de textos. Además, miembros del equipo han dirigido proyectos de fin de carrera en los que se crearon herramientas de ayuda a </w:t>
      </w:r>
      <w:r w:rsidRPr="005E1103">
        <w:rPr>
          <w:rFonts w:cstheme="minorHAnsi"/>
          <w:sz w:val="28"/>
          <w:szCs w:val="28"/>
        </w:rPr>
        <w:lastRenderedPageBreak/>
        <w:t xml:space="preserve">la edición de textos para su fácil lectura </w:t>
      </w:r>
      <w:sdt>
        <w:sdtPr>
          <w:rPr>
            <w:rFonts w:cstheme="minorHAnsi"/>
            <w:sz w:val="28"/>
            <w:szCs w:val="28"/>
          </w:rPr>
          <w:id w:val="1569927461"/>
          <w:citation/>
        </w:sdtPr>
        <w:sdtEndPr/>
        <w:sdtContent>
          <w:r w:rsidRPr="005E1103">
            <w:rPr>
              <w:rFonts w:cstheme="minorHAnsi"/>
              <w:sz w:val="28"/>
              <w:szCs w:val="28"/>
            </w:rPr>
            <w:fldChar w:fldCharType="begin"/>
          </w:r>
          <w:r w:rsidRPr="005E1103">
            <w:rPr>
              <w:rFonts w:cstheme="minorHAnsi"/>
              <w:sz w:val="28"/>
              <w:szCs w:val="28"/>
            </w:rPr>
            <w:instrText xml:space="preserve"> CITATION Her13 \l 3082 </w:instrText>
          </w:r>
          <w:r w:rsidRPr="005E1103">
            <w:rPr>
              <w:rFonts w:cstheme="minorHAnsi"/>
              <w:sz w:val="28"/>
              <w:szCs w:val="28"/>
            </w:rPr>
            <w:fldChar w:fldCharType="separate"/>
          </w:r>
          <w:r w:rsidRPr="005E1103">
            <w:rPr>
              <w:rFonts w:cstheme="minorHAnsi"/>
              <w:noProof/>
              <w:sz w:val="28"/>
              <w:szCs w:val="28"/>
            </w:rPr>
            <w:t xml:space="preserve"> (Hervás, R. and Bautista, S. and Rodríguez, M. and de Salas, T. and Vargas, A. and Gervás, P., 2013)</w:t>
          </w:r>
          <w:r w:rsidRPr="005E1103">
            <w:rPr>
              <w:rFonts w:cstheme="minorHAnsi"/>
              <w:sz w:val="28"/>
              <w:szCs w:val="28"/>
            </w:rPr>
            <w:fldChar w:fldCharType="end"/>
          </w:r>
        </w:sdtContent>
      </w:sdt>
      <w:r w:rsidRPr="005E1103">
        <w:rPr>
          <w:rFonts w:cstheme="minorHAnsi"/>
          <w:sz w:val="28"/>
          <w:szCs w:val="28"/>
        </w:rPr>
        <w:t>, y una página web para permitir la navegación web asistida con herramientas de simplificación</w:t>
      </w:r>
      <w:r w:rsidRPr="005E1103">
        <w:rPr>
          <w:rStyle w:val="Refdenotaalpie"/>
          <w:rFonts w:cstheme="minorHAnsi"/>
          <w:sz w:val="28"/>
          <w:szCs w:val="28"/>
        </w:rPr>
        <w:footnoteReference w:id="75"/>
      </w:r>
      <w:r w:rsidRPr="005E1103">
        <w:rPr>
          <w:rFonts w:cstheme="minorHAnsi"/>
          <w:sz w:val="28"/>
          <w:szCs w:val="28"/>
        </w:rPr>
        <w:t xml:space="preserve">. Se han publicado además diversos trabajos en congresos y talleres específicos del área, en los que se presentaron trabajos desarrollados en el marco de la simplificación de textos </w:t>
      </w:r>
    </w:p>
    <w:p w:rsidR="00033066" w:rsidRPr="005E1103" w:rsidRDefault="00BF6455" w:rsidP="00033066">
      <w:pPr>
        <w:autoSpaceDE w:val="0"/>
        <w:autoSpaceDN w:val="0"/>
        <w:adjustRightInd w:val="0"/>
        <w:spacing w:after="0" w:line="360" w:lineRule="auto"/>
        <w:jc w:val="both"/>
        <w:rPr>
          <w:rFonts w:cstheme="minorHAnsi"/>
          <w:sz w:val="28"/>
          <w:szCs w:val="28"/>
          <w:lang w:val="en-US"/>
        </w:rPr>
      </w:pPr>
      <w:sdt>
        <w:sdtPr>
          <w:rPr>
            <w:rFonts w:cstheme="minorHAnsi"/>
            <w:sz w:val="28"/>
            <w:szCs w:val="28"/>
          </w:rPr>
          <w:id w:val="-1725828560"/>
          <w:citation/>
        </w:sdtPr>
        <w:sdtEndPr/>
        <w:sdtContent>
          <w:r w:rsidR="00033066" w:rsidRPr="005E1103">
            <w:rPr>
              <w:rFonts w:cstheme="minorHAnsi"/>
              <w:sz w:val="28"/>
              <w:szCs w:val="28"/>
            </w:rPr>
            <w:fldChar w:fldCharType="begin"/>
          </w:r>
          <w:r w:rsidR="00033066" w:rsidRPr="005E1103">
            <w:rPr>
              <w:rFonts w:cstheme="minorHAnsi"/>
              <w:sz w:val="28"/>
              <w:szCs w:val="28"/>
              <w:lang w:val="en-US"/>
            </w:rPr>
            <w:instrText xml:space="preserve">CITATION Bau12 \l 3082 </w:instrText>
          </w:r>
          <w:r w:rsidR="00033066" w:rsidRPr="005E1103">
            <w:rPr>
              <w:rFonts w:cstheme="minorHAnsi"/>
              <w:sz w:val="28"/>
              <w:szCs w:val="28"/>
            </w:rPr>
            <w:fldChar w:fldCharType="separate"/>
          </w:r>
          <w:r w:rsidR="00033066" w:rsidRPr="005E1103">
            <w:rPr>
              <w:rFonts w:cstheme="minorHAnsi"/>
              <w:noProof/>
              <w:sz w:val="28"/>
              <w:szCs w:val="28"/>
              <w:lang w:val="en-US"/>
            </w:rPr>
            <w:t>(Bautista, S. and Drndarevic, B. and Hervás, R. and Saggion, H. and Gervás, P., 2012)</w:t>
          </w:r>
          <w:r w:rsidR="00033066" w:rsidRPr="005E1103">
            <w:rPr>
              <w:rFonts w:cstheme="minorHAnsi"/>
              <w:sz w:val="28"/>
              <w:szCs w:val="28"/>
            </w:rPr>
            <w:fldChar w:fldCharType="end"/>
          </w:r>
        </w:sdtContent>
      </w:sdt>
      <w:sdt>
        <w:sdtPr>
          <w:rPr>
            <w:rFonts w:cstheme="minorHAnsi"/>
            <w:sz w:val="28"/>
            <w:szCs w:val="28"/>
          </w:rPr>
          <w:id w:val="866003"/>
          <w:citation/>
        </w:sdtPr>
        <w:sdtEndPr/>
        <w:sdtContent>
          <w:r w:rsidR="00033066" w:rsidRPr="005E1103">
            <w:rPr>
              <w:rFonts w:cstheme="minorHAnsi"/>
              <w:sz w:val="28"/>
              <w:szCs w:val="28"/>
            </w:rPr>
            <w:fldChar w:fldCharType="begin"/>
          </w:r>
          <w:r w:rsidR="00033066" w:rsidRPr="005E1103">
            <w:rPr>
              <w:rFonts w:cstheme="minorHAnsi"/>
              <w:sz w:val="28"/>
              <w:szCs w:val="28"/>
              <w:lang w:val="en-US"/>
            </w:rPr>
            <w:instrText xml:space="preserve"> CITATION Bau151 \l 3082 </w:instrText>
          </w:r>
          <w:r w:rsidR="00033066" w:rsidRPr="005E1103">
            <w:rPr>
              <w:rFonts w:cstheme="minorHAnsi"/>
              <w:sz w:val="28"/>
              <w:szCs w:val="28"/>
            </w:rPr>
            <w:fldChar w:fldCharType="separate"/>
          </w:r>
          <w:r w:rsidR="00033066" w:rsidRPr="005E1103">
            <w:rPr>
              <w:rFonts w:cstheme="minorHAnsi"/>
              <w:noProof/>
              <w:sz w:val="28"/>
              <w:szCs w:val="28"/>
              <w:lang w:val="en-US"/>
            </w:rPr>
            <w:t xml:space="preserve"> (Bautista, S. and Hervás, R. and Gervás, P. and Rojo, J. , 2015)</w:t>
          </w:r>
          <w:r w:rsidR="00033066" w:rsidRPr="005E1103">
            <w:rPr>
              <w:rFonts w:cstheme="minorHAnsi"/>
              <w:sz w:val="28"/>
              <w:szCs w:val="28"/>
            </w:rPr>
            <w:fldChar w:fldCharType="end"/>
          </w:r>
        </w:sdtContent>
      </w:sdt>
    </w:p>
    <w:p w:rsidR="00033066" w:rsidRPr="005E1103" w:rsidRDefault="00033066" w:rsidP="00033066">
      <w:pPr>
        <w:autoSpaceDE w:val="0"/>
        <w:autoSpaceDN w:val="0"/>
        <w:adjustRightInd w:val="0"/>
        <w:spacing w:after="0" w:line="360" w:lineRule="auto"/>
        <w:jc w:val="both"/>
        <w:rPr>
          <w:rFonts w:cstheme="minorHAnsi"/>
          <w:sz w:val="28"/>
          <w:szCs w:val="28"/>
          <w:lang w:val="en-US"/>
        </w:rPr>
      </w:pPr>
    </w:p>
    <w:p w:rsidR="00033066" w:rsidRPr="005E1103" w:rsidRDefault="00033066" w:rsidP="00033066">
      <w:pPr>
        <w:autoSpaceDE w:val="0"/>
        <w:autoSpaceDN w:val="0"/>
        <w:adjustRightInd w:val="0"/>
        <w:spacing w:after="0" w:line="360" w:lineRule="auto"/>
        <w:rPr>
          <w:rFonts w:cstheme="minorHAnsi"/>
          <w:b/>
          <w:i/>
          <w:iCs/>
          <w:sz w:val="28"/>
          <w:szCs w:val="28"/>
        </w:rPr>
      </w:pPr>
      <w:r w:rsidRPr="005E1103">
        <w:rPr>
          <w:rFonts w:cstheme="minorHAnsi"/>
          <w:b/>
          <w:i/>
          <w:iCs/>
          <w:sz w:val="28"/>
          <w:szCs w:val="28"/>
        </w:rPr>
        <w:t>2.2. Generación de resúmenes.</w:t>
      </w:r>
    </w:p>
    <w:p w:rsidR="00033066" w:rsidRPr="005E1103" w:rsidRDefault="00033066" w:rsidP="00033066">
      <w:pPr>
        <w:autoSpaceDE w:val="0"/>
        <w:autoSpaceDN w:val="0"/>
        <w:adjustRightInd w:val="0"/>
        <w:spacing w:after="0" w:line="360" w:lineRule="auto"/>
        <w:jc w:val="both"/>
        <w:rPr>
          <w:rFonts w:cstheme="minorHAnsi"/>
          <w:sz w:val="28"/>
          <w:szCs w:val="28"/>
        </w:rPr>
      </w:pPr>
      <w:r w:rsidRPr="005E1103">
        <w:rPr>
          <w:rFonts w:cstheme="minorHAnsi"/>
          <w:sz w:val="28"/>
          <w:szCs w:val="28"/>
        </w:rPr>
        <w:t>La generación de resúmenes tiene como objetivo mostrar la información más importante de una fuente de información que normalmente es un documento o un conjunto de documentos. Los enfoques tradicionales de generación de resúmenes automáticos se basan en técnicas de extracción de oraciones en función de heurísticas que reflejan la importancia de la oración en el documento. Recientemente han surgido métodos basados en grafos que seleccionan las oraciones de acuerdo a su grado de conectividad en un grafo de conceptos en el que las aristas representan similitud semántica. Estos enfoques permiten tener en cuenta relaciones semánticas más complejas entre los conceptos para detectar cuáles son los temas principales del documento y seleccionar las oraciones más relevantes para esos temas.</w:t>
      </w:r>
    </w:p>
    <w:p w:rsidR="00033066" w:rsidRPr="005E1103" w:rsidRDefault="00033066" w:rsidP="00033066">
      <w:pPr>
        <w:autoSpaceDE w:val="0"/>
        <w:autoSpaceDN w:val="0"/>
        <w:adjustRightInd w:val="0"/>
        <w:spacing w:after="0" w:line="360" w:lineRule="auto"/>
        <w:jc w:val="both"/>
        <w:rPr>
          <w:rFonts w:cstheme="minorHAnsi"/>
          <w:sz w:val="28"/>
          <w:szCs w:val="28"/>
        </w:rPr>
      </w:pPr>
      <w:r w:rsidRPr="005E1103">
        <w:rPr>
          <w:rFonts w:cstheme="minorHAnsi"/>
          <w:sz w:val="28"/>
          <w:szCs w:val="28"/>
        </w:rPr>
        <w:t xml:space="preserve">Dentro del grupo de investigación, la tesis doctoral de Alberto Díaz </w:t>
      </w:r>
      <w:sdt>
        <w:sdtPr>
          <w:rPr>
            <w:rFonts w:cstheme="minorHAnsi"/>
            <w:sz w:val="28"/>
            <w:szCs w:val="28"/>
          </w:rPr>
          <w:id w:val="1267890928"/>
          <w:citation/>
        </w:sdtPr>
        <w:sdtEndPr/>
        <w:sdtContent>
          <w:r w:rsidRPr="005E1103">
            <w:rPr>
              <w:rFonts w:cstheme="minorHAnsi"/>
              <w:sz w:val="28"/>
              <w:szCs w:val="28"/>
            </w:rPr>
            <w:fldChar w:fldCharType="begin"/>
          </w:r>
          <w:r w:rsidRPr="005E1103">
            <w:rPr>
              <w:rFonts w:cstheme="minorHAnsi"/>
              <w:sz w:val="28"/>
              <w:szCs w:val="28"/>
            </w:rPr>
            <w:instrText xml:space="preserve"> CITATION Dia05 \l 3082 </w:instrText>
          </w:r>
          <w:r w:rsidRPr="005E1103">
            <w:rPr>
              <w:rFonts w:cstheme="minorHAnsi"/>
              <w:sz w:val="28"/>
              <w:szCs w:val="28"/>
            </w:rPr>
            <w:fldChar w:fldCharType="separate"/>
          </w:r>
          <w:r w:rsidRPr="005E1103">
            <w:rPr>
              <w:rFonts w:cstheme="minorHAnsi"/>
              <w:noProof/>
              <w:sz w:val="28"/>
              <w:szCs w:val="28"/>
            </w:rPr>
            <w:t>(Diaz, 2005)</w:t>
          </w:r>
          <w:r w:rsidRPr="005E1103">
            <w:rPr>
              <w:rFonts w:cstheme="minorHAnsi"/>
              <w:sz w:val="28"/>
              <w:szCs w:val="28"/>
            </w:rPr>
            <w:fldChar w:fldCharType="end"/>
          </w:r>
        </w:sdtContent>
      </w:sdt>
      <w:r w:rsidRPr="005E1103">
        <w:rPr>
          <w:rFonts w:cstheme="minorHAnsi"/>
          <w:sz w:val="28"/>
          <w:szCs w:val="28"/>
        </w:rPr>
        <w:t xml:space="preserve">, dirigida por Pablo Gervás, y la de Laura Plaza </w:t>
      </w:r>
      <w:sdt>
        <w:sdtPr>
          <w:rPr>
            <w:rFonts w:cstheme="minorHAnsi"/>
            <w:sz w:val="28"/>
            <w:szCs w:val="28"/>
          </w:rPr>
          <w:id w:val="-932277131"/>
          <w:citation/>
        </w:sdtPr>
        <w:sdtEndPr/>
        <w:sdtContent>
          <w:r w:rsidRPr="005E1103">
            <w:rPr>
              <w:rFonts w:cstheme="minorHAnsi"/>
              <w:sz w:val="28"/>
              <w:szCs w:val="28"/>
            </w:rPr>
            <w:fldChar w:fldCharType="begin"/>
          </w:r>
          <w:r w:rsidRPr="005E1103">
            <w:rPr>
              <w:rFonts w:cstheme="minorHAnsi"/>
              <w:sz w:val="28"/>
              <w:szCs w:val="28"/>
            </w:rPr>
            <w:instrText xml:space="preserve"> CITATION Pla11 \l 3082 </w:instrText>
          </w:r>
          <w:r w:rsidRPr="005E1103">
            <w:rPr>
              <w:rFonts w:cstheme="minorHAnsi"/>
              <w:sz w:val="28"/>
              <w:szCs w:val="28"/>
            </w:rPr>
            <w:fldChar w:fldCharType="separate"/>
          </w:r>
          <w:r w:rsidRPr="005E1103">
            <w:rPr>
              <w:rFonts w:cstheme="minorHAnsi"/>
              <w:noProof/>
              <w:sz w:val="28"/>
              <w:szCs w:val="28"/>
            </w:rPr>
            <w:t>(Plaza, 2011)</w:t>
          </w:r>
          <w:r w:rsidRPr="005E1103">
            <w:rPr>
              <w:rFonts w:cstheme="minorHAnsi"/>
              <w:sz w:val="28"/>
              <w:szCs w:val="28"/>
            </w:rPr>
            <w:fldChar w:fldCharType="end"/>
          </w:r>
        </w:sdtContent>
      </w:sdt>
      <w:r w:rsidRPr="005E1103">
        <w:rPr>
          <w:rFonts w:cstheme="minorHAnsi"/>
          <w:sz w:val="28"/>
          <w:szCs w:val="28"/>
        </w:rPr>
        <w:t xml:space="preserve">, dirigida por Pablo Gervás y Alberto Díaz, versaron sobre generación de resúmenes. En el ámbito de la accesibilidad la generación de resúmenes es un proceso </w:t>
      </w:r>
      <w:r w:rsidRPr="005E1103">
        <w:rPr>
          <w:rFonts w:cstheme="minorHAnsi"/>
          <w:sz w:val="28"/>
          <w:szCs w:val="28"/>
        </w:rPr>
        <w:lastRenderedPageBreak/>
        <w:t>fundamental para la determinación de cuáles son los aspectos clave del documento o conjunto de documentos que queremos resumir, de tal forma que la nueva redacción refleje estos aspectos y elimine toda la información que no es relevante para el usuario. Esta tarea todavía no se ha estudiado en profundidad en el marco de la generación de contenidos para personas con diversidad funcional, y será una de las contribuciones del proyecto.</w:t>
      </w:r>
    </w:p>
    <w:p w:rsidR="00033066" w:rsidRPr="005E1103" w:rsidRDefault="00033066" w:rsidP="00033066">
      <w:pPr>
        <w:autoSpaceDE w:val="0"/>
        <w:autoSpaceDN w:val="0"/>
        <w:adjustRightInd w:val="0"/>
        <w:spacing w:after="0" w:line="360" w:lineRule="auto"/>
        <w:jc w:val="both"/>
        <w:rPr>
          <w:rFonts w:cstheme="minorHAnsi"/>
          <w:sz w:val="28"/>
          <w:szCs w:val="28"/>
        </w:rPr>
      </w:pPr>
    </w:p>
    <w:p w:rsidR="00033066" w:rsidRPr="005E1103" w:rsidRDefault="00033066" w:rsidP="00033066">
      <w:pPr>
        <w:autoSpaceDE w:val="0"/>
        <w:autoSpaceDN w:val="0"/>
        <w:adjustRightInd w:val="0"/>
        <w:spacing w:after="0" w:line="360" w:lineRule="auto"/>
        <w:rPr>
          <w:rFonts w:cstheme="minorHAnsi"/>
          <w:b/>
          <w:i/>
          <w:iCs/>
          <w:sz w:val="28"/>
          <w:szCs w:val="28"/>
        </w:rPr>
      </w:pPr>
      <w:r w:rsidRPr="005E1103">
        <w:rPr>
          <w:rFonts w:cstheme="minorHAnsi"/>
          <w:b/>
          <w:i/>
          <w:iCs/>
          <w:sz w:val="28"/>
          <w:szCs w:val="28"/>
        </w:rPr>
        <w:t>2.3. Comunicación Aumentativa y Alternativa (CAA).</w:t>
      </w:r>
    </w:p>
    <w:p w:rsidR="00033066" w:rsidRPr="005E1103" w:rsidRDefault="00033066" w:rsidP="00033066">
      <w:pPr>
        <w:autoSpaceDE w:val="0"/>
        <w:autoSpaceDN w:val="0"/>
        <w:adjustRightInd w:val="0"/>
        <w:spacing w:after="0" w:line="360" w:lineRule="auto"/>
        <w:jc w:val="both"/>
        <w:rPr>
          <w:rFonts w:cstheme="minorHAnsi"/>
          <w:sz w:val="28"/>
          <w:szCs w:val="28"/>
        </w:rPr>
      </w:pPr>
      <w:r w:rsidRPr="005E1103">
        <w:rPr>
          <w:rFonts w:cstheme="minorHAnsi"/>
          <w:sz w:val="28"/>
          <w:szCs w:val="28"/>
        </w:rPr>
        <w:t>Los Sistemas Aumentativos y Alternativos de Comunicación (SAACs) surgen para facilitar la comunicación a usuarios con diversidad funcional. Estos usuarios necesitan mejorar sus posibilidades de interacción con las aplicaciones que ofrecen las TICs (buscadores, chats o redes sociales) pero sin restringirse únicamente a la utilización de medios y herramientas diseñados para su forma de comunicación, de modo que puedan interactuar de la manera más natural posible con el resto de internautas. Sin embargo, en la actualidad aún encuentran multitud de barreras. Resulta especialmente necesario abordar desarrollos que garanticen la compatibilidad en el uso de nuevas tecnologías con independencia de los dispositivos utilizados y de la forma de representar el mensaje (texto o pictogramas).</w:t>
      </w:r>
    </w:p>
    <w:p w:rsidR="00033066" w:rsidRPr="005E1103" w:rsidRDefault="00033066" w:rsidP="00033066">
      <w:pPr>
        <w:autoSpaceDE w:val="0"/>
        <w:autoSpaceDN w:val="0"/>
        <w:adjustRightInd w:val="0"/>
        <w:spacing w:after="0" w:line="360" w:lineRule="auto"/>
        <w:jc w:val="both"/>
        <w:rPr>
          <w:rFonts w:cstheme="minorHAnsi"/>
          <w:sz w:val="28"/>
          <w:szCs w:val="28"/>
        </w:rPr>
      </w:pPr>
      <w:r w:rsidRPr="005E1103">
        <w:rPr>
          <w:rFonts w:cstheme="minorHAnsi"/>
          <w:sz w:val="28"/>
          <w:szCs w:val="28"/>
        </w:rPr>
        <w:t>En el curso 2013-2014 se desarrollaron dentro del grupo dos proyectos de fin de carrera en el ámbito de la comunicación basada en pictogramas a través de dispositivos móviles: un conversor de texto a pictogramas</w:t>
      </w:r>
      <w:r w:rsidRPr="005E1103">
        <w:rPr>
          <w:rStyle w:val="Refdenotaalpie"/>
          <w:rFonts w:cstheme="minorHAnsi"/>
          <w:sz w:val="28"/>
          <w:szCs w:val="28"/>
        </w:rPr>
        <w:footnoteReference w:id="76"/>
      </w:r>
      <w:r w:rsidRPr="005E1103">
        <w:rPr>
          <w:rFonts w:cstheme="minorHAnsi"/>
          <w:sz w:val="28"/>
          <w:szCs w:val="28"/>
        </w:rPr>
        <w:t xml:space="preserve"> y un editor predictivo de mensajes en pictogramas</w:t>
      </w:r>
      <w:r w:rsidRPr="005E1103">
        <w:rPr>
          <w:rStyle w:val="Refdenotaalpie"/>
          <w:rFonts w:cstheme="minorHAnsi"/>
          <w:sz w:val="28"/>
          <w:szCs w:val="28"/>
        </w:rPr>
        <w:footnoteReference w:id="77"/>
      </w:r>
      <w:r w:rsidRPr="005E1103">
        <w:rPr>
          <w:rFonts w:cstheme="minorHAnsi"/>
          <w:sz w:val="28"/>
          <w:szCs w:val="28"/>
        </w:rPr>
        <w:t xml:space="preserve">. Para reforzar esta línea, se ha incorporado al equipo de investigación a la profesora Eva Gil García, </w:t>
      </w:r>
      <w:r w:rsidRPr="005E1103">
        <w:rPr>
          <w:rFonts w:cstheme="minorHAnsi"/>
          <w:sz w:val="28"/>
          <w:szCs w:val="28"/>
        </w:rPr>
        <w:lastRenderedPageBreak/>
        <w:t xml:space="preserve">del grupo de trabajo de Ingeniería Web/Mobile para la Diversidad de la Universidad Politécnica de Madrid, quien ha publicado diversos trabajos sobre el tema, ofrecido conferencias como experta en congresos específicos </w:t>
      </w:r>
      <w:sdt>
        <w:sdtPr>
          <w:rPr>
            <w:rFonts w:cstheme="minorHAnsi"/>
            <w:sz w:val="28"/>
            <w:szCs w:val="28"/>
          </w:rPr>
          <w:id w:val="-398125971"/>
          <w:citation/>
        </w:sdtPr>
        <w:sdtEndPr/>
        <w:sdtContent>
          <w:r w:rsidRPr="005E1103">
            <w:rPr>
              <w:rFonts w:cstheme="minorHAnsi"/>
              <w:sz w:val="28"/>
              <w:szCs w:val="28"/>
            </w:rPr>
            <w:fldChar w:fldCharType="begin"/>
          </w:r>
          <w:r w:rsidRPr="005E1103">
            <w:rPr>
              <w:rFonts w:cstheme="minorHAnsi"/>
              <w:sz w:val="28"/>
              <w:szCs w:val="28"/>
            </w:rPr>
            <w:instrText xml:space="preserve"> CITATION Bab10 \l 3082 </w:instrText>
          </w:r>
          <w:r w:rsidRPr="005E1103">
            <w:rPr>
              <w:rFonts w:cstheme="minorHAnsi"/>
              <w:sz w:val="28"/>
              <w:szCs w:val="28"/>
            </w:rPr>
            <w:fldChar w:fldCharType="separate"/>
          </w:r>
          <w:r w:rsidRPr="005E1103">
            <w:rPr>
              <w:rFonts w:cstheme="minorHAnsi"/>
              <w:noProof/>
              <w:sz w:val="28"/>
              <w:szCs w:val="28"/>
            </w:rPr>
            <w:t>(Babio, J. and Gil, E. and Jimenez, L. , 2010)</w:t>
          </w:r>
          <w:r w:rsidRPr="005E1103">
            <w:rPr>
              <w:rFonts w:cstheme="minorHAnsi"/>
              <w:sz w:val="28"/>
              <w:szCs w:val="28"/>
            </w:rPr>
            <w:fldChar w:fldCharType="end"/>
          </w:r>
        </w:sdtContent>
      </w:sdt>
      <w:r w:rsidRPr="005E1103">
        <w:rPr>
          <w:rFonts w:cstheme="minorHAnsi"/>
          <w:sz w:val="28"/>
          <w:szCs w:val="28"/>
        </w:rPr>
        <w:t xml:space="preserve"> </w:t>
      </w:r>
      <w:sdt>
        <w:sdtPr>
          <w:rPr>
            <w:rFonts w:cstheme="minorHAnsi"/>
            <w:sz w:val="28"/>
            <w:szCs w:val="28"/>
          </w:rPr>
          <w:id w:val="1096981913"/>
          <w:citation/>
        </w:sdtPr>
        <w:sdtEndPr/>
        <w:sdtContent>
          <w:r w:rsidRPr="005E1103">
            <w:rPr>
              <w:rFonts w:cstheme="minorHAnsi"/>
              <w:sz w:val="28"/>
              <w:szCs w:val="28"/>
            </w:rPr>
            <w:fldChar w:fldCharType="begin"/>
          </w:r>
          <w:r w:rsidRPr="005E1103">
            <w:rPr>
              <w:rFonts w:cstheme="minorHAnsi"/>
              <w:sz w:val="28"/>
              <w:szCs w:val="28"/>
            </w:rPr>
            <w:instrText xml:space="preserve"> CITATION Gil12 \l 3082 </w:instrText>
          </w:r>
          <w:r w:rsidRPr="005E1103">
            <w:rPr>
              <w:rFonts w:cstheme="minorHAnsi"/>
              <w:sz w:val="28"/>
              <w:szCs w:val="28"/>
            </w:rPr>
            <w:fldChar w:fldCharType="separate"/>
          </w:r>
          <w:r w:rsidRPr="005E1103">
            <w:rPr>
              <w:rFonts w:cstheme="minorHAnsi"/>
              <w:noProof/>
              <w:sz w:val="28"/>
              <w:szCs w:val="28"/>
            </w:rPr>
            <w:t>(Gil, E. and Gervás, P. and Hervás, R. and Jimenez, L. , 2012)</w:t>
          </w:r>
          <w:r w:rsidRPr="005E1103">
            <w:rPr>
              <w:rFonts w:cstheme="minorHAnsi"/>
              <w:sz w:val="28"/>
              <w:szCs w:val="28"/>
            </w:rPr>
            <w:fldChar w:fldCharType="end"/>
          </w:r>
        </w:sdtContent>
      </w:sdt>
      <w:r w:rsidRPr="005E1103">
        <w:rPr>
          <w:rFonts w:cstheme="minorHAnsi"/>
          <w:sz w:val="28"/>
          <w:szCs w:val="28"/>
        </w:rPr>
        <w:t xml:space="preserve"> y presentado su tesis de máster en la Universidad Complutense en el área de la CAA </w:t>
      </w:r>
      <w:sdt>
        <w:sdtPr>
          <w:rPr>
            <w:rFonts w:cstheme="minorHAnsi"/>
            <w:sz w:val="28"/>
            <w:szCs w:val="28"/>
          </w:rPr>
          <w:id w:val="-1668004448"/>
          <w:citation/>
        </w:sdtPr>
        <w:sdtEndPr/>
        <w:sdtContent>
          <w:r w:rsidRPr="005E1103">
            <w:rPr>
              <w:rFonts w:cstheme="minorHAnsi"/>
              <w:sz w:val="28"/>
              <w:szCs w:val="28"/>
            </w:rPr>
            <w:fldChar w:fldCharType="begin"/>
          </w:r>
          <w:r w:rsidRPr="005E1103">
            <w:rPr>
              <w:rFonts w:cstheme="minorHAnsi"/>
              <w:sz w:val="28"/>
              <w:szCs w:val="28"/>
            </w:rPr>
            <w:instrText xml:space="preserve"> CITATION Gil15 \l 3082 </w:instrText>
          </w:r>
          <w:r w:rsidRPr="005E1103">
            <w:rPr>
              <w:rFonts w:cstheme="minorHAnsi"/>
              <w:sz w:val="28"/>
              <w:szCs w:val="28"/>
            </w:rPr>
            <w:fldChar w:fldCharType="separate"/>
          </w:r>
          <w:r w:rsidRPr="005E1103">
            <w:rPr>
              <w:rFonts w:cstheme="minorHAnsi"/>
              <w:noProof/>
              <w:sz w:val="28"/>
              <w:szCs w:val="28"/>
            </w:rPr>
            <w:t>(Gil, 2015)</w:t>
          </w:r>
          <w:r w:rsidRPr="005E1103">
            <w:rPr>
              <w:rFonts w:cstheme="minorHAnsi"/>
              <w:sz w:val="28"/>
              <w:szCs w:val="28"/>
            </w:rPr>
            <w:fldChar w:fldCharType="end"/>
          </w:r>
        </w:sdtContent>
      </w:sdt>
      <w:r w:rsidRPr="005E1103">
        <w:rPr>
          <w:rFonts w:cstheme="minorHAnsi"/>
          <w:sz w:val="28"/>
          <w:szCs w:val="28"/>
        </w:rPr>
        <w:t>, dirigida por Raquel Hervás y Pablo Gervás, los investigadores principales del proyecto.</w:t>
      </w:r>
    </w:p>
    <w:p w:rsidR="00033066" w:rsidRPr="005E1103" w:rsidRDefault="00033066" w:rsidP="00033066">
      <w:pPr>
        <w:autoSpaceDE w:val="0"/>
        <w:autoSpaceDN w:val="0"/>
        <w:adjustRightInd w:val="0"/>
        <w:spacing w:after="0" w:line="360" w:lineRule="auto"/>
        <w:jc w:val="both"/>
        <w:rPr>
          <w:rFonts w:cstheme="minorHAnsi"/>
          <w:sz w:val="28"/>
          <w:szCs w:val="28"/>
        </w:rPr>
      </w:pPr>
    </w:p>
    <w:p w:rsidR="00033066" w:rsidRPr="005E1103" w:rsidRDefault="00033066" w:rsidP="00033066">
      <w:pPr>
        <w:autoSpaceDE w:val="0"/>
        <w:autoSpaceDN w:val="0"/>
        <w:adjustRightInd w:val="0"/>
        <w:spacing w:after="0" w:line="360" w:lineRule="auto"/>
        <w:rPr>
          <w:rFonts w:cstheme="minorHAnsi"/>
          <w:b/>
          <w:i/>
          <w:iCs/>
          <w:sz w:val="28"/>
          <w:szCs w:val="28"/>
        </w:rPr>
      </w:pPr>
      <w:r w:rsidRPr="005E1103">
        <w:rPr>
          <w:rFonts w:cstheme="minorHAnsi"/>
          <w:b/>
          <w:i/>
          <w:iCs/>
          <w:sz w:val="28"/>
          <w:szCs w:val="28"/>
        </w:rPr>
        <w:t>2.4. Análisis emocional</w:t>
      </w:r>
    </w:p>
    <w:p w:rsidR="00033066" w:rsidRPr="005E1103" w:rsidRDefault="00033066" w:rsidP="00033066">
      <w:pPr>
        <w:autoSpaceDE w:val="0"/>
        <w:autoSpaceDN w:val="0"/>
        <w:adjustRightInd w:val="0"/>
        <w:spacing w:after="0" w:line="360" w:lineRule="auto"/>
        <w:jc w:val="both"/>
        <w:rPr>
          <w:rFonts w:cstheme="minorHAnsi"/>
          <w:sz w:val="28"/>
          <w:szCs w:val="28"/>
        </w:rPr>
      </w:pPr>
      <w:r w:rsidRPr="005E1103">
        <w:rPr>
          <w:rFonts w:cstheme="minorHAnsi"/>
          <w:sz w:val="28"/>
          <w:szCs w:val="28"/>
        </w:rPr>
        <w:t xml:space="preserve">El análisis emocional o análisis de sentimiento hace uso del procesamiento y del análisis de lenguaje natural para identificar información subjetiva de un texto, es decir, la actitud del escritor respecto a lo que está escribiendo (si está emitiendo una información objetiva o subjetiva, su estado afectivo a la hora de escribir el texto o la emoción que trata de trasmitir con lo que ha escrito). </w:t>
      </w:r>
    </w:p>
    <w:p w:rsidR="00033066" w:rsidRPr="005E1103" w:rsidRDefault="00033066" w:rsidP="00033066">
      <w:pPr>
        <w:autoSpaceDE w:val="0"/>
        <w:autoSpaceDN w:val="0"/>
        <w:adjustRightInd w:val="0"/>
        <w:spacing w:after="0" w:line="360" w:lineRule="auto"/>
        <w:jc w:val="both"/>
        <w:rPr>
          <w:rFonts w:cstheme="minorHAnsi"/>
          <w:sz w:val="28"/>
          <w:szCs w:val="28"/>
        </w:rPr>
      </w:pPr>
      <w:r w:rsidRPr="005E1103">
        <w:rPr>
          <w:rFonts w:cstheme="minorHAnsi"/>
          <w:sz w:val="28"/>
          <w:szCs w:val="28"/>
        </w:rPr>
        <w:t xml:space="preserve">Nuestro grupo lleva años investigando en el tema del análisis emocional. Las tesis doctorales de Virginia Francisco </w:t>
      </w:r>
      <w:sdt>
        <w:sdtPr>
          <w:rPr>
            <w:rFonts w:cstheme="minorHAnsi"/>
            <w:sz w:val="28"/>
            <w:szCs w:val="28"/>
          </w:rPr>
          <w:id w:val="476586510"/>
          <w:citation/>
        </w:sdtPr>
        <w:sdtEndPr/>
        <w:sdtContent>
          <w:r w:rsidRPr="005E1103">
            <w:rPr>
              <w:rFonts w:cstheme="minorHAnsi"/>
              <w:sz w:val="28"/>
              <w:szCs w:val="28"/>
            </w:rPr>
            <w:fldChar w:fldCharType="begin"/>
          </w:r>
          <w:r w:rsidRPr="005E1103">
            <w:rPr>
              <w:rFonts w:cstheme="minorHAnsi"/>
              <w:sz w:val="28"/>
              <w:szCs w:val="28"/>
            </w:rPr>
            <w:instrText xml:space="preserve"> CITATION Fra08 \l 3082 </w:instrText>
          </w:r>
          <w:r w:rsidRPr="005E1103">
            <w:rPr>
              <w:rFonts w:cstheme="minorHAnsi"/>
              <w:sz w:val="28"/>
              <w:szCs w:val="28"/>
            </w:rPr>
            <w:fldChar w:fldCharType="separate"/>
          </w:r>
          <w:r w:rsidRPr="005E1103">
            <w:rPr>
              <w:rFonts w:cstheme="minorHAnsi"/>
              <w:noProof/>
              <w:sz w:val="28"/>
              <w:szCs w:val="28"/>
            </w:rPr>
            <w:t>(Francisco, V. , 2008)</w:t>
          </w:r>
          <w:r w:rsidRPr="005E1103">
            <w:rPr>
              <w:rFonts w:cstheme="minorHAnsi"/>
              <w:sz w:val="28"/>
              <w:szCs w:val="28"/>
            </w:rPr>
            <w:fldChar w:fldCharType="end"/>
          </w:r>
        </w:sdtContent>
      </w:sdt>
      <w:r w:rsidRPr="005E1103">
        <w:rPr>
          <w:rFonts w:cstheme="minorHAnsi"/>
          <w:sz w:val="28"/>
          <w:szCs w:val="28"/>
        </w:rPr>
        <w:t xml:space="preserve"> y Jorge Carrillo </w:t>
      </w:r>
      <w:sdt>
        <w:sdtPr>
          <w:rPr>
            <w:rFonts w:cstheme="minorHAnsi"/>
            <w:sz w:val="28"/>
            <w:szCs w:val="28"/>
          </w:rPr>
          <w:id w:val="776133280"/>
          <w:citation/>
        </w:sdtPr>
        <w:sdtEndPr/>
        <w:sdtContent>
          <w:r w:rsidRPr="005E1103">
            <w:rPr>
              <w:rFonts w:cstheme="minorHAnsi"/>
              <w:sz w:val="28"/>
              <w:szCs w:val="28"/>
            </w:rPr>
            <w:fldChar w:fldCharType="begin"/>
          </w:r>
          <w:r w:rsidRPr="005E1103">
            <w:rPr>
              <w:rFonts w:cstheme="minorHAnsi"/>
              <w:sz w:val="28"/>
              <w:szCs w:val="28"/>
            </w:rPr>
            <w:instrText xml:space="preserve"> CITATION Car11 \l 3082 </w:instrText>
          </w:r>
          <w:r w:rsidRPr="005E1103">
            <w:rPr>
              <w:rFonts w:cstheme="minorHAnsi"/>
              <w:sz w:val="28"/>
              <w:szCs w:val="28"/>
            </w:rPr>
            <w:fldChar w:fldCharType="separate"/>
          </w:r>
          <w:r w:rsidRPr="005E1103">
            <w:rPr>
              <w:rFonts w:cstheme="minorHAnsi"/>
              <w:noProof/>
              <w:sz w:val="28"/>
              <w:szCs w:val="28"/>
            </w:rPr>
            <w:t>(Carrillo de Albornoz, 2011)</w:t>
          </w:r>
          <w:r w:rsidRPr="005E1103">
            <w:rPr>
              <w:rFonts w:cstheme="minorHAnsi"/>
              <w:sz w:val="28"/>
              <w:szCs w:val="28"/>
            </w:rPr>
            <w:fldChar w:fldCharType="end"/>
          </w:r>
        </w:sdtContent>
      </w:sdt>
      <w:r w:rsidRPr="005E1103">
        <w:rPr>
          <w:rFonts w:cstheme="minorHAnsi"/>
          <w:sz w:val="28"/>
          <w:szCs w:val="28"/>
        </w:rPr>
        <w:t xml:space="preserve">, dirigidas por Pablo Gervás, versaron sobre la identificación del contenido afectivo de un texto. Además, se han publicado trabajos en revistas y congresos sobre detección emocional en textos, </w:t>
      </w:r>
      <w:sdt>
        <w:sdtPr>
          <w:rPr>
            <w:rFonts w:cstheme="minorHAnsi"/>
            <w:sz w:val="28"/>
            <w:szCs w:val="28"/>
          </w:rPr>
          <w:id w:val="-185293992"/>
          <w:citation/>
        </w:sdtPr>
        <w:sdtEndPr/>
        <w:sdtContent>
          <w:r w:rsidRPr="005E1103">
            <w:rPr>
              <w:rFonts w:cstheme="minorHAnsi"/>
              <w:sz w:val="28"/>
              <w:szCs w:val="28"/>
            </w:rPr>
            <w:fldChar w:fldCharType="begin"/>
          </w:r>
          <w:r w:rsidRPr="005E1103">
            <w:rPr>
              <w:rFonts w:cstheme="minorHAnsi"/>
              <w:sz w:val="28"/>
              <w:szCs w:val="28"/>
            </w:rPr>
            <w:instrText xml:space="preserve"> CITATION Fra11 \l 3082 </w:instrText>
          </w:r>
          <w:r w:rsidRPr="005E1103">
            <w:rPr>
              <w:rFonts w:cstheme="minorHAnsi"/>
              <w:sz w:val="28"/>
              <w:szCs w:val="28"/>
            </w:rPr>
            <w:fldChar w:fldCharType="separate"/>
          </w:r>
          <w:r w:rsidRPr="005E1103">
            <w:rPr>
              <w:rFonts w:cstheme="minorHAnsi"/>
              <w:noProof/>
              <w:sz w:val="28"/>
              <w:szCs w:val="28"/>
            </w:rPr>
            <w:t>(Francisco, V. and Hervás, R. and Peinado, F. and Gervás, P., 2011)</w:t>
          </w:r>
          <w:r w:rsidRPr="005E1103">
            <w:rPr>
              <w:rFonts w:cstheme="minorHAnsi"/>
              <w:sz w:val="28"/>
              <w:szCs w:val="28"/>
            </w:rPr>
            <w:fldChar w:fldCharType="end"/>
          </w:r>
        </w:sdtContent>
      </w:sdt>
      <w:r w:rsidRPr="005E1103">
        <w:rPr>
          <w:rFonts w:cstheme="minorHAnsi"/>
          <w:sz w:val="28"/>
          <w:szCs w:val="28"/>
        </w:rPr>
        <w:t xml:space="preserve">, </w:t>
      </w:r>
      <w:sdt>
        <w:sdtPr>
          <w:rPr>
            <w:rFonts w:cstheme="minorHAnsi"/>
            <w:sz w:val="28"/>
            <w:szCs w:val="28"/>
          </w:rPr>
          <w:id w:val="1064296460"/>
          <w:citation/>
        </w:sdtPr>
        <w:sdtEndPr/>
        <w:sdtContent>
          <w:r w:rsidRPr="005E1103">
            <w:rPr>
              <w:rFonts w:cstheme="minorHAnsi"/>
              <w:sz w:val="28"/>
              <w:szCs w:val="28"/>
            </w:rPr>
            <w:fldChar w:fldCharType="begin"/>
          </w:r>
          <w:r w:rsidRPr="005E1103">
            <w:rPr>
              <w:rFonts w:cstheme="minorHAnsi"/>
              <w:sz w:val="28"/>
              <w:szCs w:val="28"/>
            </w:rPr>
            <w:instrText xml:space="preserve"> CITATION Fra12 \l 3082 </w:instrText>
          </w:r>
          <w:r w:rsidRPr="005E1103">
            <w:rPr>
              <w:rFonts w:cstheme="minorHAnsi"/>
              <w:sz w:val="28"/>
              <w:szCs w:val="28"/>
            </w:rPr>
            <w:fldChar w:fldCharType="separate"/>
          </w:r>
          <w:r w:rsidRPr="005E1103">
            <w:rPr>
              <w:rFonts w:cstheme="minorHAnsi"/>
              <w:noProof/>
              <w:sz w:val="28"/>
              <w:szCs w:val="28"/>
            </w:rPr>
            <w:t>(Francisco, V. and Gervás, P., 2012)</w:t>
          </w:r>
          <w:r w:rsidRPr="005E1103">
            <w:rPr>
              <w:rFonts w:cstheme="minorHAnsi"/>
              <w:sz w:val="28"/>
              <w:szCs w:val="28"/>
            </w:rPr>
            <w:fldChar w:fldCharType="end"/>
          </w:r>
        </w:sdtContent>
      </w:sdt>
      <w:r w:rsidRPr="005E1103">
        <w:rPr>
          <w:rFonts w:cstheme="minorHAnsi"/>
          <w:sz w:val="28"/>
          <w:szCs w:val="28"/>
        </w:rPr>
        <w:t>.</w:t>
      </w:r>
    </w:p>
    <w:p w:rsidR="00033066" w:rsidRPr="005E1103" w:rsidRDefault="00033066" w:rsidP="00033066">
      <w:pPr>
        <w:autoSpaceDE w:val="0"/>
        <w:autoSpaceDN w:val="0"/>
        <w:adjustRightInd w:val="0"/>
        <w:spacing w:after="0" w:line="360" w:lineRule="auto"/>
        <w:jc w:val="both"/>
        <w:rPr>
          <w:rFonts w:cstheme="minorHAnsi"/>
          <w:sz w:val="28"/>
          <w:szCs w:val="28"/>
        </w:rPr>
      </w:pPr>
      <w:r w:rsidRPr="005E1103">
        <w:rPr>
          <w:rFonts w:cstheme="minorHAnsi"/>
          <w:sz w:val="28"/>
          <w:szCs w:val="28"/>
        </w:rPr>
        <w:t xml:space="preserve">La complejidad de las emociones hace que muchas personas con diversidad funcional no consigan entenderlas en su totalidad. Las personas con Trastornos del Espectro Autista (TEA) como el síndrome de Asperger presentan un gran déficit en la percepción de las emociones, que </w:t>
      </w:r>
      <w:r w:rsidRPr="005E1103">
        <w:rPr>
          <w:rFonts w:cstheme="minorHAnsi"/>
          <w:sz w:val="28"/>
          <w:szCs w:val="28"/>
        </w:rPr>
        <w:lastRenderedPageBreak/>
        <w:t>constituye un elemento esencial para contribuir al desarrollo afectivo y emocional del sujeto. La detección automática del contenido emocional de un texto puede ayudar a las personas con discapacidad a entender mejor el texto, evitando ambigüedades emocionales innecesarias. Actualmente existen muchos trabajos para ayudar a detectar las emociones de manera visual (por los gestos de la cara o el cuerpo) o de manera auditiva (relacionar los cambios en el tono de la voz con las emociones) pero existen pocos trabajos dedicados a ayudarles a detectar las emociones transmitidas en un texto, a pesar de lo extendido que está actualmente, por ejemplo, el uso de emoticonos en correos electrónicos, mensajería instantánea o redes sociales. En este proyecto se pretende aplicar las técnicas de análisis emocional al problema concreto de la inclusión digital de las personas con discapacidad para cubrir esta falta de soluciones.</w:t>
      </w:r>
    </w:p>
    <w:p w:rsidR="00033066" w:rsidRPr="005E1103" w:rsidRDefault="00033066" w:rsidP="00033066">
      <w:pPr>
        <w:autoSpaceDE w:val="0"/>
        <w:autoSpaceDN w:val="0"/>
        <w:adjustRightInd w:val="0"/>
        <w:spacing w:after="0" w:line="360" w:lineRule="auto"/>
        <w:jc w:val="both"/>
        <w:rPr>
          <w:rFonts w:cstheme="minorHAnsi"/>
          <w:sz w:val="28"/>
          <w:szCs w:val="28"/>
        </w:rPr>
      </w:pPr>
    </w:p>
    <w:p w:rsidR="00033066" w:rsidRPr="005E1103" w:rsidRDefault="00033066" w:rsidP="00033066">
      <w:pPr>
        <w:autoSpaceDE w:val="0"/>
        <w:autoSpaceDN w:val="0"/>
        <w:adjustRightInd w:val="0"/>
        <w:spacing w:after="0" w:line="360" w:lineRule="auto"/>
        <w:jc w:val="both"/>
        <w:rPr>
          <w:rFonts w:cstheme="minorHAnsi"/>
          <w:b/>
          <w:sz w:val="28"/>
          <w:szCs w:val="28"/>
        </w:rPr>
      </w:pPr>
      <w:r w:rsidRPr="005E1103">
        <w:rPr>
          <w:rFonts w:cstheme="minorHAnsi"/>
          <w:b/>
          <w:sz w:val="28"/>
          <w:szCs w:val="28"/>
        </w:rPr>
        <w:t>3. OBJETIVO</w:t>
      </w:r>
    </w:p>
    <w:p w:rsidR="00033066" w:rsidRPr="005E1103" w:rsidRDefault="00033066" w:rsidP="00033066">
      <w:pPr>
        <w:autoSpaceDE w:val="0"/>
        <w:autoSpaceDN w:val="0"/>
        <w:adjustRightInd w:val="0"/>
        <w:spacing w:after="0" w:line="360" w:lineRule="auto"/>
        <w:jc w:val="both"/>
        <w:rPr>
          <w:rFonts w:cstheme="minorHAnsi"/>
          <w:sz w:val="28"/>
          <w:szCs w:val="28"/>
        </w:rPr>
      </w:pPr>
      <w:r w:rsidRPr="005E1103">
        <w:rPr>
          <w:rFonts w:cstheme="minorHAnsi"/>
          <w:bCs/>
          <w:sz w:val="28"/>
          <w:szCs w:val="28"/>
        </w:rPr>
        <w:t xml:space="preserve">El objetivo general </w:t>
      </w:r>
      <w:r w:rsidRPr="005E1103">
        <w:rPr>
          <w:rFonts w:cstheme="minorHAnsi"/>
          <w:sz w:val="28"/>
          <w:szCs w:val="28"/>
        </w:rPr>
        <w:t xml:space="preserve">del proyecto es facilitar la comunicación y el acceso a la información digital a colectivos que, por su diversidad funcional, puedan encontrar problemas a la hora de utilizar el lenguaje para comunicarse o acceder a dicha información. El proyecto parte de experiencias previas en los campos relacionados, y persigue el desarrollo de soluciones tecnológicas concretas que permitan de manera sencilla y altamente configurable la inclusión digital de las personas con diversidad funcional. El que las soluciones desarrolladas sean altamente configurables es especialmente importante para este objetivo, ya que cada persona con diversidad funcional tiene unas necesidades específicas que no siempre </w:t>
      </w:r>
      <w:r w:rsidRPr="005E1103">
        <w:rPr>
          <w:rFonts w:cstheme="minorHAnsi"/>
          <w:sz w:val="28"/>
          <w:szCs w:val="28"/>
        </w:rPr>
        <w:lastRenderedPageBreak/>
        <w:t>coinciden con las de los demás, ni siquiera dentro de una misma diversidad funcional.</w:t>
      </w:r>
    </w:p>
    <w:p w:rsidR="00033066" w:rsidRPr="005E1103" w:rsidRDefault="00033066" w:rsidP="00033066">
      <w:pPr>
        <w:spacing w:after="0" w:line="360" w:lineRule="auto"/>
        <w:jc w:val="both"/>
        <w:rPr>
          <w:rFonts w:cstheme="minorHAnsi"/>
          <w:sz w:val="28"/>
          <w:szCs w:val="28"/>
        </w:rPr>
      </w:pPr>
      <w:r w:rsidRPr="005E1103">
        <w:rPr>
          <w:rFonts w:cstheme="minorHAnsi"/>
          <w:sz w:val="28"/>
          <w:szCs w:val="28"/>
        </w:rPr>
        <w:t>Basándonos en el objetivo general, la aproximación del proyecto IDiLyCo se muestra en la Figura 1. Las áreas de investigación clave del proyecto serán la simplificación de textos, la generación de resúmenes, la comunicación aumentativa y alternativa y el análisis de emociones. A partir de los avances realizados en cada área, se usarán los resultados obtenidos para resolver los problemas de los usuarios finales según un enfoque doble:</w:t>
      </w:r>
    </w:p>
    <w:p w:rsidR="00033066" w:rsidRPr="005E1103" w:rsidRDefault="00033066" w:rsidP="00033066">
      <w:pPr>
        <w:spacing w:after="0" w:line="360" w:lineRule="auto"/>
        <w:jc w:val="both"/>
        <w:rPr>
          <w:rFonts w:cstheme="minorHAnsi"/>
          <w:sz w:val="28"/>
          <w:szCs w:val="28"/>
        </w:rPr>
      </w:pPr>
    </w:p>
    <w:p w:rsidR="00033066" w:rsidRPr="005E1103" w:rsidRDefault="00033066" w:rsidP="00033066">
      <w:pPr>
        <w:spacing w:after="0" w:line="360" w:lineRule="auto"/>
        <w:jc w:val="both"/>
        <w:rPr>
          <w:rFonts w:cstheme="minorHAnsi"/>
          <w:sz w:val="28"/>
          <w:szCs w:val="28"/>
        </w:rPr>
      </w:pPr>
      <w:r w:rsidRPr="005E1103">
        <w:rPr>
          <w:rFonts w:cstheme="minorHAnsi"/>
          <w:noProof/>
          <w:sz w:val="28"/>
          <w:szCs w:val="28"/>
          <w:lang w:eastAsia="es-ES"/>
        </w:rPr>
        <w:drawing>
          <wp:anchor distT="0" distB="0" distL="114300" distR="114300" simplePos="0" relativeHeight="251681792" behindDoc="0" locked="0" layoutInCell="1" allowOverlap="1" wp14:anchorId="09496E32" wp14:editId="611524F1">
            <wp:simplePos x="0" y="0"/>
            <wp:positionH relativeFrom="column">
              <wp:posOffset>192405</wp:posOffset>
            </wp:positionH>
            <wp:positionV relativeFrom="paragraph">
              <wp:posOffset>120015</wp:posOffset>
            </wp:positionV>
            <wp:extent cx="5594350" cy="2759075"/>
            <wp:effectExtent l="0" t="0" r="6350" b="3175"/>
            <wp:wrapTopAndBottom/>
            <wp:docPr id="86" name="Imagen 86" descr="Se observan tres niveles de desarrollo. El de Investigación con la tareas propias del Procesamiento del Lenguaje Natural (Simplificación de textos, generación de resúmenes, comunicación aumentativa y adaptativa y análisis emocional). El de Servicios, donde se alberga la API de servicios para la inclusión social. Y el nivel de aplicaciones, tanto de comunicación, como de acceso a la información. " title="Esquema del proyecto Idily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agrama"/>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594350" cy="27590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33066" w:rsidRPr="005E1103" w:rsidRDefault="00033066" w:rsidP="00033066">
      <w:pPr>
        <w:spacing w:after="0" w:line="360" w:lineRule="auto"/>
        <w:jc w:val="both"/>
        <w:rPr>
          <w:rFonts w:cstheme="minorHAnsi"/>
          <w:sz w:val="28"/>
          <w:szCs w:val="28"/>
        </w:rPr>
      </w:pPr>
    </w:p>
    <w:p w:rsidR="00033066" w:rsidRPr="005E1103" w:rsidRDefault="00033066" w:rsidP="00033066">
      <w:pPr>
        <w:spacing w:after="0" w:line="360" w:lineRule="auto"/>
        <w:jc w:val="both"/>
        <w:rPr>
          <w:rFonts w:cstheme="minorHAnsi"/>
          <w:sz w:val="28"/>
          <w:szCs w:val="28"/>
        </w:rPr>
      </w:pPr>
    </w:p>
    <w:p w:rsidR="00033066" w:rsidRPr="005E1103" w:rsidRDefault="00033066" w:rsidP="00033066">
      <w:pPr>
        <w:pStyle w:val="Prrafodelista"/>
        <w:numPr>
          <w:ilvl w:val="0"/>
          <w:numId w:val="133"/>
        </w:numPr>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 xml:space="preserve">El desarrollo de un conjunto de servicios orientados a la inclusión digital dentro de cada una de las cuatro áreas mencionadas anteriormente, que serán además publicados como una API de servicios para dicha inclusión. Estos servicios encapsularán tareas complejas dentro de cada campo, permitiendo su uso por parte de </w:t>
      </w:r>
      <w:r w:rsidRPr="005E1103">
        <w:rPr>
          <w:rFonts w:asciiTheme="minorHAnsi" w:hAnsiTheme="minorHAnsi" w:cstheme="minorHAnsi"/>
          <w:sz w:val="28"/>
          <w:szCs w:val="28"/>
        </w:rPr>
        <w:lastRenderedPageBreak/>
        <w:t>terceros sin necesidad de conocer el funcionamiento interno de cada tarea.</w:t>
      </w:r>
    </w:p>
    <w:p w:rsidR="00033066" w:rsidRPr="005E1103" w:rsidRDefault="00033066" w:rsidP="00033066">
      <w:pPr>
        <w:pStyle w:val="Prrafodelista"/>
        <w:numPr>
          <w:ilvl w:val="0"/>
          <w:numId w:val="133"/>
        </w:numPr>
        <w:spacing w:before="0" w:line="360" w:lineRule="auto"/>
        <w:jc w:val="both"/>
        <w:rPr>
          <w:rFonts w:asciiTheme="minorHAnsi" w:hAnsiTheme="minorHAnsi" w:cstheme="minorHAnsi"/>
          <w:sz w:val="28"/>
          <w:szCs w:val="28"/>
        </w:rPr>
      </w:pPr>
      <w:r w:rsidRPr="005E1103">
        <w:rPr>
          <w:rFonts w:asciiTheme="minorHAnsi" w:hAnsiTheme="minorHAnsi" w:cstheme="minorHAnsi"/>
          <w:sz w:val="28"/>
          <w:szCs w:val="28"/>
        </w:rPr>
        <w:t>La implementación de dos aplicaciones para mejorar la inclusión digital de las personas con discapacidad: una para facilitar el acceso a la información digital y otra para la comunicación a través de medios digitales. Ambas aplicaciones serán altamente configurables según las necesidades de cada usuario y usarán los servicios anteriores según sea necesario en cada caso.</w:t>
      </w:r>
    </w:p>
    <w:p w:rsidR="00033066" w:rsidRPr="005E1103" w:rsidRDefault="00033066" w:rsidP="00033066">
      <w:pPr>
        <w:spacing w:after="0" w:line="360" w:lineRule="auto"/>
        <w:ind w:left="709" w:hanging="283"/>
        <w:jc w:val="both"/>
        <w:rPr>
          <w:rFonts w:cstheme="minorHAnsi"/>
          <w:sz w:val="28"/>
          <w:szCs w:val="28"/>
        </w:rPr>
      </w:pPr>
    </w:p>
    <w:p w:rsidR="00033066" w:rsidRPr="005E1103" w:rsidRDefault="00033066" w:rsidP="00033066">
      <w:pPr>
        <w:spacing w:after="0" w:line="360" w:lineRule="auto"/>
        <w:jc w:val="both"/>
        <w:rPr>
          <w:rFonts w:cstheme="minorHAnsi"/>
          <w:sz w:val="28"/>
          <w:szCs w:val="28"/>
        </w:rPr>
      </w:pPr>
      <w:r w:rsidRPr="005E1103">
        <w:rPr>
          <w:rFonts w:cstheme="minorHAnsi"/>
          <w:sz w:val="28"/>
          <w:szCs w:val="28"/>
        </w:rPr>
        <w:t>Este enfoque permitirá, por un lado, que los usuarios con diversidad funcional dispongan de herramientas adaptables a sus necesidades personales, ya que las aplicaciones permitirán que los usuarios, sus tutores o familiares, decidan qué servicios necesitan y cómo deben ser configurados. Por otro lado, los diseñadores o programadores de nuevas herramientas que deseen permitir la inclusión digital de personas con discapacidad podrán integrar nuestros servicios en sus implementaciones, ahorrando así un enorme coste en investigación y desarrollo de estas tecnologías accesibles.</w:t>
      </w:r>
    </w:p>
    <w:p w:rsidR="00033066" w:rsidRPr="005E1103" w:rsidRDefault="00033066" w:rsidP="00033066">
      <w:pPr>
        <w:spacing w:after="0" w:line="360" w:lineRule="auto"/>
        <w:ind w:firstLine="284"/>
        <w:rPr>
          <w:rFonts w:cstheme="minorHAnsi"/>
          <w:sz w:val="28"/>
          <w:szCs w:val="28"/>
        </w:rPr>
      </w:pPr>
    </w:p>
    <w:p w:rsidR="00033066" w:rsidRPr="005E1103" w:rsidRDefault="00033066" w:rsidP="00033066">
      <w:pPr>
        <w:spacing w:after="0" w:line="240" w:lineRule="auto"/>
        <w:ind w:firstLine="284"/>
        <w:jc w:val="center"/>
        <w:rPr>
          <w:rFonts w:cstheme="minorHAnsi"/>
          <w:i/>
          <w:sz w:val="28"/>
          <w:szCs w:val="28"/>
        </w:rPr>
      </w:pPr>
      <w:r w:rsidRPr="005E1103">
        <w:rPr>
          <w:rFonts w:cstheme="minorHAnsi"/>
          <w:i/>
          <w:sz w:val="28"/>
          <w:szCs w:val="28"/>
        </w:rPr>
        <w:t>Figura 1. Esquema del proyecto IDiLyCo</w:t>
      </w:r>
    </w:p>
    <w:p w:rsidR="00033066" w:rsidRPr="005E1103" w:rsidRDefault="00033066" w:rsidP="00033066">
      <w:pPr>
        <w:spacing w:after="0" w:line="240" w:lineRule="auto"/>
        <w:ind w:firstLine="284"/>
        <w:jc w:val="center"/>
        <w:rPr>
          <w:rFonts w:cstheme="minorHAnsi"/>
          <w:i/>
          <w:sz w:val="28"/>
          <w:szCs w:val="28"/>
        </w:rPr>
      </w:pPr>
    </w:p>
    <w:p w:rsidR="00033066" w:rsidRPr="005E1103" w:rsidRDefault="00033066" w:rsidP="00033066">
      <w:pPr>
        <w:spacing w:after="0" w:line="360" w:lineRule="auto"/>
        <w:jc w:val="both"/>
        <w:rPr>
          <w:rFonts w:cstheme="minorHAnsi"/>
          <w:sz w:val="28"/>
          <w:szCs w:val="28"/>
        </w:rPr>
      </w:pPr>
      <w:r w:rsidRPr="005E1103">
        <w:rPr>
          <w:rFonts w:cstheme="minorHAnsi"/>
          <w:sz w:val="28"/>
          <w:szCs w:val="28"/>
        </w:rPr>
        <w:t xml:space="preserve">La aplicación para facilitar el acceso a la información digital, que llamaremos LEE, permitirá a las personas con discapacidad el acceso a la información de la web. Por ejemplo, se podrán usar los servicios de simplificación para identificar las partes difíciles de un texto y hacerlas más legibles, los servicios de resúmenes para resaltar las ideas clave de un documento, los servicios de comunicación aumentativa y alternativa para presentar la información en pictogramas (para aquellos usuarios que no </w:t>
      </w:r>
      <w:r w:rsidRPr="005E1103">
        <w:rPr>
          <w:rFonts w:cstheme="minorHAnsi"/>
          <w:sz w:val="28"/>
          <w:szCs w:val="28"/>
        </w:rPr>
        <w:lastRenderedPageBreak/>
        <w:t>pueden usar el lenguaje natural), y los servicios de análisis de emociones para resaltar emociones presentes en el texto que pueden ser difíciles de identificar para ciertos colectivos (como personas con síndrome de Asperger, entre otros). Además, la aplicación permitirá que los servicios se combinen según las necesidades del usuario, lo que favorecerá combinaciones como realizar un resumen con las ideas clave antes de simplificar un texto, realizar la simplificación de un texto antes de traducirlo a pictogramas, marcar las emociones explícitamente en una traducción a pictogramas, o tener en cuenta las emociones que pueden ser ambiguas antes de realizar la simplificación. Cada usuario, con la ayuda de sus tutores y familiares, realizará las configuraciones que sean más adecuadas para él, con la flexibilidad de poder cambiarlas según sea necesario.</w:t>
      </w:r>
    </w:p>
    <w:p w:rsidR="00033066" w:rsidRPr="005E1103" w:rsidRDefault="00033066" w:rsidP="00033066">
      <w:pPr>
        <w:spacing w:after="0" w:line="360" w:lineRule="auto"/>
        <w:jc w:val="both"/>
        <w:rPr>
          <w:rFonts w:cstheme="minorHAnsi"/>
          <w:sz w:val="28"/>
          <w:szCs w:val="28"/>
        </w:rPr>
      </w:pPr>
      <w:r w:rsidRPr="005E1103">
        <w:rPr>
          <w:rFonts w:cstheme="minorHAnsi"/>
          <w:sz w:val="28"/>
          <w:szCs w:val="28"/>
        </w:rPr>
        <w:t>La aplicación para la comunicación a través de medios digitales, que llamaremos CHATEA, será de tipo mensajería instantánea y permitirá la comunicación digital en tiempo real. Esta aplicación permitirá comunicarse a los usuarios independientemente de sus discapacidades o limitaciones. Por ejemplo, un usuario de sistemas aumentativos y alternativos de comunicación podrá escribir sus mensajes en pictogramas, y éstos serán traducidos automáticamente a texto si el receptor sí utiliza el lenguaje natural para comunicarse, o viceversa. Estas traducciones podrán además simplificarse o marcarse con su contenido emocional si el usuario receptor así lo necesita.</w:t>
      </w:r>
    </w:p>
    <w:p w:rsidR="00033066" w:rsidRPr="005E1103" w:rsidRDefault="00033066" w:rsidP="00033066">
      <w:pPr>
        <w:spacing w:after="0" w:line="360" w:lineRule="auto"/>
        <w:jc w:val="both"/>
        <w:rPr>
          <w:rFonts w:cstheme="minorHAnsi"/>
          <w:sz w:val="28"/>
          <w:szCs w:val="28"/>
        </w:rPr>
      </w:pPr>
      <w:r w:rsidRPr="005E1103">
        <w:rPr>
          <w:rFonts w:cstheme="minorHAnsi"/>
          <w:sz w:val="28"/>
          <w:szCs w:val="28"/>
        </w:rPr>
        <w:t>De esta forma, ambas aplicaciones se basarán en las múltiples sinergias existentes entre las áreas de trabajo, siempre gracias a la arquitectura orientada a servicios combinables, proporcionando así una funcionalidad mucho más potente que si se vieran limitadas a sólo una de ellas.</w:t>
      </w:r>
    </w:p>
    <w:p w:rsidR="00033066" w:rsidRPr="005E1103" w:rsidRDefault="00033066" w:rsidP="00033066">
      <w:pPr>
        <w:spacing w:after="0" w:line="360" w:lineRule="auto"/>
        <w:jc w:val="both"/>
        <w:rPr>
          <w:rFonts w:cstheme="minorHAnsi"/>
          <w:noProof/>
          <w:color w:val="000000"/>
          <w:sz w:val="28"/>
          <w:szCs w:val="28"/>
          <w:lang w:val="es-ES_tradnl"/>
        </w:rPr>
      </w:pPr>
      <w:r w:rsidRPr="005E1103">
        <w:rPr>
          <w:rFonts w:cstheme="minorHAnsi"/>
          <w:noProof/>
          <w:color w:val="000000"/>
          <w:sz w:val="28"/>
          <w:szCs w:val="28"/>
          <w:lang w:val="es-ES_tradnl"/>
        </w:rPr>
        <w:lastRenderedPageBreak/>
        <w:t>Por otro lado hay que tener en cuenta que los avances tecnológicos han favorecido la creación de dispositivos con tamaños cada vez más reducidos, capaces de ejecutar nuevas aplicaciones y acceder a los datos mediante conexiones inalámbricas. Sin embargo, en el diseño de estas aplicaciones y dispositivos no siempre se tiene en cuenta el objetivo fundamental de maximizar la accesibilidad, especialmente para facilitar el acceso a usuarios con diversidad funcional. Para resolver esta problemática, dentro del contexto del proyecto IDiLyCo, se tomará como premisa a alcanzar, en cualquiera de los servicios desarrollados, la usabilidad y accesibilidad universal, contando con un aliado fundamental: el Diseño para Todos. Este concepto servirá como base para crear los productos y servicios del proyecto de forma que sean utilizables por personas con independencia de sus capacidades y en todo tipo de situaciones.</w:t>
      </w:r>
    </w:p>
    <w:p w:rsidR="00033066" w:rsidRPr="005E1103" w:rsidRDefault="00033066" w:rsidP="00033066">
      <w:pPr>
        <w:spacing w:after="0" w:line="360" w:lineRule="auto"/>
        <w:ind w:firstLine="284"/>
        <w:jc w:val="both"/>
        <w:rPr>
          <w:rFonts w:cstheme="minorHAnsi"/>
          <w:noProof/>
          <w:color w:val="000000"/>
          <w:sz w:val="28"/>
          <w:szCs w:val="28"/>
          <w:lang w:val="es-ES_tradnl"/>
        </w:rPr>
      </w:pPr>
    </w:p>
    <w:p w:rsidR="00033066" w:rsidRPr="005E1103" w:rsidRDefault="00033066" w:rsidP="00033066">
      <w:pPr>
        <w:spacing w:after="0" w:line="360" w:lineRule="auto"/>
        <w:jc w:val="both"/>
        <w:rPr>
          <w:rFonts w:cstheme="minorHAnsi"/>
          <w:b/>
          <w:sz w:val="28"/>
          <w:szCs w:val="28"/>
        </w:rPr>
      </w:pPr>
      <w:r w:rsidRPr="005E1103">
        <w:rPr>
          <w:rFonts w:cstheme="minorHAnsi"/>
          <w:b/>
          <w:sz w:val="28"/>
          <w:szCs w:val="28"/>
        </w:rPr>
        <w:t>4. METODOLOGÍA</w:t>
      </w:r>
    </w:p>
    <w:p w:rsidR="00033066" w:rsidRPr="005E1103" w:rsidRDefault="00033066" w:rsidP="00033066">
      <w:pPr>
        <w:spacing w:after="0" w:line="360" w:lineRule="auto"/>
        <w:jc w:val="both"/>
        <w:rPr>
          <w:rFonts w:cstheme="minorHAnsi"/>
          <w:sz w:val="28"/>
          <w:szCs w:val="28"/>
        </w:rPr>
      </w:pPr>
      <w:r w:rsidRPr="005E1103">
        <w:rPr>
          <w:rFonts w:cstheme="minorHAnsi"/>
          <w:sz w:val="28"/>
          <w:szCs w:val="28"/>
        </w:rPr>
        <w:t>La metodología propuesta para el proyecto IDiLyCo se basa en dos puntos fundamentales:</w:t>
      </w:r>
    </w:p>
    <w:p w:rsidR="00033066" w:rsidRPr="005E1103" w:rsidRDefault="00033066" w:rsidP="00033066">
      <w:pPr>
        <w:spacing w:after="0" w:line="360" w:lineRule="auto"/>
        <w:jc w:val="both"/>
        <w:rPr>
          <w:rFonts w:cstheme="minorHAnsi"/>
          <w:sz w:val="28"/>
          <w:szCs w:val="28"/>
        </w:rPr>
      </w:pPr>
    </w:p>
    <w:p w:rsidR="00033066" w:rsidRPr="005E1103" w:rsidRDefault="00033066" w:rsidP="00033066">
      <w:pPr>
        <w:pStyle w:val="Prrafodelista"/>
        <w:numPr>
          <w:ilvl w:val="0"/>
          <w:numId w:val="132"/>
        </w:numPr>
        <w:tabs>
          <w:tab w:val="left" w:pos="9071"/>
        </w:tabs>
        <w:spacing w:before="0" w:line="360" w:lineRule="auto"/>
        <w:jc w:val="both"/>
        <w:rPr>
          <w:rFonts w:asciiTheme="minorHAnsi" w:hAnsiTheme="minorHAnsi" w:cstheme="minorHAnsi"/>
          <w:noProof/>
          <w:color w:val="000000"/>
          <w:sz w:val="28"/>
          <w:szCs w:val="28"/>
          <w:lang w:val="es-ES_tradnl"/>
        </w:rPr>
      </w:pPr>
      <w:r w:rsidRPr="005E1103">
        <w:rPr>
          <w:rFonts w:asciiTheme="minorHAnsi" w:hAnsiTheme="minorHAnsi" w:cstheme="minorHAnsi"/>
          <w:noProof/>
          <w:color w:val="000000"/>
          <w:sz w:val="28"/>
          <w:szCs w:val="28"/>
          <w:lang w:val="es-ES_tradnl"/>
        </w:rPr>
        <w:t>El estudio de cuatro áreas de trabajo dentro del procesamiento y la generación de lenguaje natural (</w:t>
      </w:r>
      <w:r w:rsidRPr="005E1103">
        <w:rPr>
          <w:rFonts w:asciiTheme="minorHAnsi" w:hAnsiTheme="minorHAnsi" w:cstheme="minorHAnsi"/>
          <w:sz w:val="28"/>
          <w:szCs w:val="28"/>
        </w:rPr>
        <w:t>simplificación de textos, generación de resúmenes, comunicación aumentativa y alternativa y análisis de emociones)</w:t>
      </w:r>
      <w:r w:rsidRPr="005E1103">
        <w:rPr>
          <w:rFonts w:asciiTheme="minorHAnsi" w:hAnsiTheme="minorHAnsi" w:cstheme="minorHAnsi"/>
          <w:noProof/>
          <w:color w:val="000000"/>
          <w:sz w:val="28"/>
          <w:szCs w:val="28"/>
          <w:lang w:val="es-ES_tradnl"/>
        </w:rPr>
        <w:t>, desde el punto de vista de sus sinergias y su aplicabilidad para resolver problemas específicos de inclusión digital para las personas con discapacidad. Ésta constituirá la parte científica del proyecto.</w:t>
      </w:r>
    </w:p>
    <w:p w:rsidR="00033066" w:rsidRPr="005E1103" w:rsidRDefault="00033066" w:rsidP="00033066">
      <w:pPr>
        <w:pStyle w:val="Prrafodelista"/>
        <w:numPr>
          <w:ilvl w:val="0"/>
          <w:numId w:val="132"/>
        </w:numPr>
        <w:tabs>
          <w:tab w:val="left" w:pos="9071"/>
        </w:tabs>
        <w:spacing w:before="0" w:line="360" w:lineRule="auto"/>
        <w:jc w:val="both"/>
        <w:rPr>
          <w:rFonts w:asciiTheme="minorHAnsi" w:hAnsiTheme="minorHAnsi" w:cstheme="minorHAnsi"/>
          <w:noProof/>
          <w:color w:val="000000"/>
          <w:sz w:val="28"/>
          <w:szCs w:val="28"/>
          <w:lang w:val="es-ES_tradnl"/>
        </w:rPr>
      </w:pPr>
      <w:r w:rsidRPr="005E1103">
        <w:rPr>
          <w:rFonts w:asciiTheme="minorHAnsi" w:hAnsiTheme="minorHAnsi" w:cstheme="minorHAnsi"/>
          <w:noProof/>
          <w:color w:val="000000"/>
          <w:sz w:val="28"/>
          <w:szCs w:val="28"/>
          <w:lang w:val="es-ES_tradnl"/>
        </w:rPr>
        <w:lastRenderedPageBreak/>
        <w:t>El desarrollo de soluciones específicas para resolver los problemas encontrados, contando en todo momento con los usuarios potenciales, para especificar y diseñar soluciones prácticas y genéricas que se puedan poner en marcha y cuya efectividad pueda evaluarse de manera directa. Ésta constituirá la parte tecnológica del proyecto.</w:t>
      </w:r>
    </w:p>
    <w:p w:rsidR="00033066" w:rsidRPr="005E1103" w:rsidRDefault="00033066" w:rsidP="00033066">
      <w:pPr>
        <w:spacing w:after="0" w:line="240" w:lineRule="auto"/>
        <w:jc w:val="both"/>
        <w:rPr>
          <w:rFonts w:cstheme="minorHAnsi"/>
          <w:b/>
          <w:noProof/>
          <w:color w:val="000000"/>
          <w:sz w:val="28"/>
          <w:szCs w:val="28"/>
        </w:rPr>
      </w:pPr>
      <w:r w:rsidRPr="005E1103">
        <w:rPr>
          <w:rFonts w:cstheme="minorHAnsi"/>
          <w:b/>
          <w:noProof/>
          <w:color w:val="000000"/>
          <w:sz w:val="28"/>
          <w:szCs w:val="28"/>
        </w:rPr>
        <w:t>5. IMPACTO CIENTÍFICO-TÉCNICO Y SOCIAL</w:t>
      </w:r>
    </w:p>
    <w:p w:rsidR="00033066" w:rsidRPr="005E1103" w:rsidRDefault="00033066" w:rsidP="00033066">
      <w:pPr>
        <w:spacing w:after="0" w:line="240" w:lineRule="auto"/>
        <w:ind w:left="284"/>
        <w:jc w:val="both"/>
        <w:rPr>
          <w:rFonts w:cstheme="minorHAnsi"/>
          <w:noProof/>
          <w:color w:val="000000"/>
          <w:sz w:val="28"/>
          <w:szCs w:val="28"/>
        </w:rPr>
      </w:pPr>
    </w:p>
    <w:p w:rsidR="00033066" w:rsidRPr="005E1103" w:rsidRDefault="00033066" w:rsidP="00033066">
      <w:pPr>
        <w:spacing w:after="0" w:line="360" w:lineRule="auto"/>
        <w:jc w:val="both"/>
        <w:rPr>
          <w:rFonts w:cstheme="minorHAnsi"/>
          <w:noProof/>
          <w:color w:val="000000"/>
          <w:sz w:val="28"/>
          <w:szCs w:val="28"/>
          <w:lang w:val="es-ES_tradnl"/>
        </w:rPr>
      </w:pPr>
      <w:r w:rsidRPr="005E1103">
        <w:rPr>
          <w:rFonts w:cstheme="minorHAnsi"/>
          <w:noProof/>
          <w:color w:val="000000"/>
          <w:sz w:val="28"/>
          <w:szCs w:val="28"/>
          <w:lang w:val="es-ES_tradnl"/>
        </w:rPr>
        <w:t>El proyecto IDiLyCo tendrá un alto impacto científico y técnico tanto en los campos de la generación y el procesamiento del lenguaje natural, como en las cuatro áreas de trabajo dentro de ellos (simplificación de textos, generación de resúmenes, comunicación aumentativa y alternativa y análisis de emociones). No sólo se avanzará la investigación en estos campos desde el punto de vista de su aplicación al problema de la inclusión digital de las personas con discapacidad, sino que se desarrollarán soluciones específicas para resolver los problemas encontrados, en estrecha colaboración con los usuarios potenciales.</w:t>
      </w:r>
    </w:p>
    <w:p w:rsidR="00033066" w:rsidRPr="005E1103" w:rsidRDefault="00033066" w:rsidP="00033066">
      <w:pPr>
        <w:spacing w:after="0" w:line="360" w:lineRule="auto"/>
        <w:jc w:val="both"/>
        <w:rPr>
          <w:rFonts w:cstheme="minorHAnsi"/>
          <w:noProof/>
          <w:color w:val="000000"/>
          <w:sz w:val="28"/>
          <w:szCs w:val="28"/>
          <w:lang w:val="es-ES_tradnl"/>
        </w:rPr>
      </w:pPr>
      <w:r w:rsidRPr="005E1103">
        <w:rPr>
          <w:rFonts w:cstheme="minorHAnsi"/>
          <w:noProof/>
          <w:color w:val="000000"/>
          <w:sz w:val="28"/>
          <w:szCs w:val="28"/>
          <w:lang w:val="es-ES_tradnl"/>
        </w:rPr>
        <w:t xml:space="preserve">Desde el punto de vista social, el proyecto IDiLyCo ofrecerá herramientas que influirán positivamente en la vida de las personas con discapacidad, mejorando su comunicación y su acceso a la información digital. Por tanto, es un proyecto destinado a los usuarios finales y su éxito depende de una difusión amplia y una transferencia tecnológica de los resultados en los ámbitos correspondientes. Como infraestructura de apoyo para las actividades de difusión y transferencia se plantea la creación y mantenimiento de una página web del proyecto. En esta web se describirá cómo funcionan las herramientas de IDiLyCo y los posibles escenarios de uso. Así, desde la web se podrá acceder a la API de servicios </w:t>
      </w:r>
      <w:r w:rsidRPr="005E1103">
        <w:rPr>
          <w:rFonts w:cstheme="minorHAnsi"/>
          <w:noProof/>
          <w:color w:val="000000"/>
          <w:sz w:val="28"/>
          <w:szCs w:val="28"/>
          <w:lang w:val="es-ES_tradnl"/>
        </w:rPr>
        <w:lastRenderedPageBreak/>
        <w:t xml:space="preserve">implementados y descargar las aplicaciones de forma gratuita, así como su código fuente. </w:t>
      </w:r>
    </w:p>
    <w:p w:rsidR="00033066" w:rsidRPr="005E1103" w:rsidRDefault="00033066" w:rsidP="00033066">
      <w:pPr>
        <w:rPr>
          <w:rFonts w:cstheme="minorHAnsi"/>
          <w:b/>
          <w:noProof/>
          <w:color w:val="000000"/>
          <w:sz w:val="28"/>
          <w:szCs w:val="28"/>
        </w:rPr>
      </w:pPr>
    </w:p>
    <w:p w:rsidR="00033066" w:rsidRPr="005E1103" w:rsidRDefault="00033066" w:rsidP="00033066">
      <w:pPr>
        <w:rPr>
          <w:rFonts w:cstheme="minorHAnsi"/>
          <w:b/>
          <w:noProof/>
          <w:color w:val="000000"/>
          <w:sz w:val="28"/>
          <w:szCs w:val="28"/>
        </w:rPr>
      </w:pPr>
      <w:r w:rsidRPr="005E1103">
        <w:rPr>
          <w:rFonts w:cstheme="minorHAnsi"/>
          <w:b/>
          <w:noProof/>
          <w:color w:val="000000"/>
          <w:sz w:val="28"/>
          <w:szCs w:val="28"/>
        </w:rPr>
        <w:t>Referencias</w:t>
      </w:r>
    </w:p>
    <w:p w:rsidR="00033066" w:rsidRPr="005E1103" w:rsidRDefault="00033066" w:rsidP="00033066">
      <w:pPr>
        <w:pStyle w:val="Bibliografa"/>
        <w:rPr>
          <w:rFonts w:cstheme="minorHAnsi"/>
          <w:noProof/>
          <w:sz w:val="28"/>
          <w:szCs w:val="28"/>
          <w:lang w:val="en-US"/>
        </w:rPr>
      </w:pPr>
      <w:r w:rsidRPr="005E1103">
        <w:rPr>
          <w:rFonts w:cstheme="minorHAnsi"/>
          <w:b/>
          <w:noProof/>
          <w:color w:val="000000"/>
          <w:sz w:val="28"/>
          <w:szCs w:val="28"/>
          <w:lang w:val="en-US"/>
        </w:rPr>
        <w:fldChar w:fldCharType="begin"/>
      </w:r>
      <w:r w:rsidRPr="005E1103">
        <w:rPr>
          <w:rFonts w:cstheme="minorHAnsi"/>
          <w:b/>
          <w:noProof/>
          <w:color w:val="000000"/>
          <w:sz w:val="28"/>
          <w:szCs w:val="28"/>
        </w:rPr>
        <w:instrText xml:space="preserve"> BIBLIOGRAPHY  \l 3082 </w:instrText>
      </w:r>
      <w:r w:rsidRPr="005E1103">
        <w:rPr>
          <w:rFonts w:cstheme="minorHAnsi"/>
          <w:b/>
          <w:noProof/>
          <w:color w:val="000000"/>
          <w:sz w:val="28"/>
          <w:szCs w:val="28"/>
          <w:lang w:val="en-US"/>
        </w:rPr>
        <w:fldChar w:fldCharType="separate"/>
      </w:r>
      <w:r w:rsidRPr="005E1103">
        <w:rPr>
          <w:rFonts w:cstheme="minorHAnsi"/>
          <w:noProof/>
          <w:sz w:val="28"/>
          <w:szCs w:val="28"/>
        </w:rPr>
        <w:t xml:space="preserve">Babio, J. and Gil, E. and Jimenez, L. , 2010. </w:t>
      </w:r>
      <w:r w:rsidRPr="005E1103">
        <w:rPr>
          <w:rFonts w:cstheme="minorHAnsi"/>
          <w:i/>
          <w:iCs/>
          <w:noProof/>
          <w:sz w:val="28"/>
          <w:szCs w:val="28"/>
        </w:rPr>
        <w:t xml:space="preserve">Plataforma de Control de Mensajería Instantánea bajo sistemas ACCS. </w:t>
      </w:r>
      <w:r w:rsidRPr="005E1103">
        <w:rPr>
          <w:rFonts w:cstheme="minorHAnsi"/>
          <w:noProof/>
          <w:sz w:val="28"/>
          <w:szCs w:val="28"/>
          <w:lang w:val="en-US"/>
        </w:rPr>
        <w:t>Barcelona, International Society for Augmentative and Alternative Communication.</w:t>
      </w:r>
    </w:p>
    <w:p w:rsidR="00033066" w:rsidRPr="005E1103" w:rsidRDefault="00033066" w:rsidP="00033066">
      <w:pPr>
        <w:pStyle w:val="Bibliografa"/>
        <w:rPr>
          <w:rFonts w:cstheme="minorHAnsi"/>
          <w:noProof/>
          <w:sz w:val="28"/>
          <w:szCs w:val="28"/>
          <w:lang w:val="en-US"/>
        </w:rPr>
      </w:pPr>
      <w:r w:rsidRPr="005E1103">
        <w:rPr>
          <w:rFonts w:cstheme="minorHAnsi"/>
          <w:noProof/>
          <w:sz w:val="28"/>
          <w:szCs w:val="28"/>
          <w:lang w:val="en-US"/>
        </w:rPr>
        <w:t xml:space="preserve">Bautista, S. and Drndarevic, B. and Hervás, R. and Saggion, H. and Gervás, P., 2012. </w:t>
      </w:r>
      <w:r w:rsidRPr="005E1103">
        <w:rPr>
          <w:rFonts w:cstheme="minorHAnsi"/>
          <w:noProof/>
          <w:sz w:val="28"/>
          <w:szCs w:val="28"/>
        </w:rPr>
        <w:t xml:space="preserve">Análisis de la Simplificación de Expresiones Numéricas en Español mediante un Estudio Empírico. </w:t>
      </w:r>
      <w:r w:rsidRPr="005E1103">
        <w:rPr>
          <w:rFonts w:cstheme="minorHAnsi"/>
          <w:i/>
          <w:iCs/>
          <w:noProof/>
          <w:sz w:val="28"/>
          <w:szCs w:val="28"/>
          <w:lang w:val="en-US"/>
        </w:rPr>
        <w:t xml:space="preserve">Linguamática, </w:t>
      </w:r>
      <w:r w:rsidRPr="005E1103">
        <w:rPr>
          <w:rFonts w:cstheme="minorHAnsi"/>
          <w:noProof/>
          <w:sz w:val="28"/>
          <w:szCs w:val="28"/>
          <w:lang w:val="en-US"/>
        </w:rPr>
        <w:t>4(2), pp. 27-41.</w:t>
      </w:r>
    </w:p>
    <w:p w:rsidR="00033066" w:rsidRPr="005E1103" w:rsidRDefault="00033066" w:rsidP="00033066">
      <w:pPr>
        <w:pStyle w:val="Bibliografa"/>
        <w:rPr>
          <w:rFonts w:cstheme="minorHAnsi"/>
          <w:noProof/>
          <w:sz w:val="28"/>
          <w:szCs w:val="28"/>
        </w:rPr>
      </w:pPr>
      <w:r w:rsidRPr="005E1103">
        <w:rPr>
          <w:rFonts w:cstheme="minorHAnsi"/>
          <w:noProof/>
          <w:sz w:val="28"/>
          <w:szCs w:val="28"/>
          <w:lang w:val="en-US"/>
        </w:rPr>
        <w:t xml:space="preserve">Bautista, S. and Hervás, R. and Gervás, P. and Rojo, J. , 2015. A Model for the Universal Access to Numerical Information. </w:t>
      </w:r>
      <w:r w:rsidRPr="005E1103">
        <w:rPr>
          <w:rFonts w:cstheme="minorHAnsi"/>
          <w:i/>
          <w:iCs/>
          <w:noProof/>
          <w:sz w:val="28"/>
          <w:szCs w:val="28"/>
        </w:rPr>
        <w:t>Universal Access in the Information Society .</w:t>
      </w:r>
    </w:p>
    <w:p w:rsidR="00033066" w:rsidRPr="005E1103" w:rsidRDefault="00033066" w:rsidP="00033066">
      <w:pPr>
        <w:pStyle w:val="Bibliografa"/>
        <w:rPr>
          <w:rFonts w:cstheme="minorHAnsi"/>
          <w:noProof/>
          <w:sz w:val="28"/>
          <w:szCs w:val="28"/>
        </w:rPr>
      </w:pPr>
      <w:r w:rsidRPr="005E1103">
        <w:rPr>
          <w:rFonts w:cstheme="minorHAnsi"/>
          <w:noProof/>
          <w:sz w:val="28"/>
          <w:szCs w:val="28"/>
        </w:rPr>
        <w:t xml:space="preserve">Bautista, S., 2008. </w:t>
      </w:r>
      <w:r w:rsidRPr="005E1103">
        <w:rPr>
          <w:rFonts w:cstheme="minorHAnsi"/>
          <w:i/>
          <w:iCs/>
          <w:noProof/>
          <w:sz w:val="28"/>
          <w:szCs w:val="28"/>
        </w:rPr>
        <w:t xml:space="preserve">Generación de textos adaptativa a partir de una elección léxica basada en emociones. </w:t>
      </w:r>
      <w:r w:rsidRPr="005E1103">
        <w:rPr>
          <w:rFonts w:cstheme="minorHAnsi"/>
          <w:noProof/>
          <w:sz w:val="28"/>
          <w:szCs w:val="28"/>
        </w:rPr>
        <w:t>Tesis de master ed. Madrid: UCM.</w:t>
      </w:r>
    </w:p>
    <w:p w:rsidR="00033066" w:rsidRPr="005E1103" w:rsidRDefault="00033066" w:rsidP="00033066">
      <w:pPr>
        <w:pStyle w:val="Bibliografa"/>
        <w:rPr>
          <w:rFonts w:cstheme="minorHAnsi"/>
          <w:noProof/>
          <w:sz w:val="28"/>
          <w:szCs w:val="28"/>
          <w:lang w:val="en-US"/>
        </w:rPr>
      </w:pPr>
      <w:r w:rsidRPr="005E1103">
        <w:rPr>
          <w:rFonts w:cstheme="minorHAnsi"/>
          <w:noProof/>
          <w:sz w:val="28"/>
          <w:szCs w:val="28"/>
        </w:rPr>
        <w:t xml:space="preserve">Bautista, S., 2015. </w:t>
      </w:r>
      <w:r w:rsidRPr="005E1103">
        <w:rPr>
          <w:rFonts w:cstheme="minorHAnsi"/>
          <w:i/>
          <w:iCs/>
          <w:noProof/>
          <w:sz w:val="28"/>
          <w:szCs w:val="28"/>
        </w:rPr>
        <w:t xml:space="preserve">Un modelo computacional para la simplificación automática de expresiones numéricas. </w:t>
      </w:r>
      <w:r w:rsidRPr="005E1103">
        <w:rPr>
          <w:rFonts w:cstheme="minorHAnsi"/>
          <w:noProof/>
          <w:sz w:val="28"/>
          <w:szCs w:val="28"/>
          <w:lang w:val="en-US"/>
        </w:rPr>
        <w:t>Tesis Doctoral ed. Madrid: UCM.</w:t>
      </w:r>
    </w:p>
    <w:p w:rsidR="00033066" w:rsidRPr="005E1103" w:rsidRDefault="00033066" w:rsidP="00033066">
      <w:pPr>
        <w:pStyle w:val="Bibliografa"/>
        <w:rPr>
          <w:rFonts w:cstheme="minorHAnsi"/>
          <w:noProof/>
          <w:sz w:val="28"/>
          <w:szCs w:val="28"/>
          <w:lang w:val="en-US"/>
        </w:rPr>
      </w:pPr>
      <w:r w:rsidRPr="005E1103">
        <w:rPr>
          <w:rFonts w:cstheme="minorHAnsi"/>
          <w:noProof/>
          <w:sz w:val="28"/>
          <w:szCs w:val="28"/>
          <w:lang w:val="en-US"/>
        </w:rPr>
        <w:t xml:space="preserve">Carrillo de Albornoz, J., 2011. </w:t>
      </w:r>
      <w:r w:rsidRPr="005E1103">
        <w:rPr>
          <w:rFonts w:cstheme="minorHAnsi"/>
          <w:i/>
          <w:iCs/>
          <w:noProof/>
          <w:sz w:val="28"/>
          <w:szCs w:val="28"/>
          <w:lang w:val="en-US"/>
        </w:rPr>
        <w:t xml:space="preserve">Combining Linguistic and Semantic Information in an Emotion-based Model for Polarity and Intensity Classification. </w:t>
      </w:r>
      <w:r w:rsidRPr="005E1103">
        <w:rPr>
          <w:rFonts w:cstheme="minorHAnsi"/>
          <w:noProof/>
          <w:sz w:val="28"/>
          <w:szCs w:val="28"/>
          <w:lang w:val="en-US"/>
        </w:rPr>
        <w:t>Tesis Doctoral ed. Madrid: UCM.</w:t>
      </w:r>
    </w:p>
    <w:p w:rsidR="00033066" w:rsidRPr="005E1103" w:rsidRDefault="00033066" w:rsidP="00033066">
      <w:pPr>
        <w:pStyle w:val="Bibliografa"/>
        <w:rPr>
          <w:rFonts w:cstheme="minorHAnsi"/>
          <w:noProof/>
          <w:sz w:val="28"/>
          <w:szCs w:val="28"/>
          <w:lang w:val="en-US"/>
        </w:rPr>
      </w:pPr>
      <w:r w:rsidRPr="005E1103">
        <w:rPr>
          <w:rFonts w:cstheme="minorHAnsi"/>
          <w:noProof/>
          <w:sz w:val="28"/>
          <w:szCs w:val="28"/>
          <w:lang w:val="en-US"/>
        </w:rPr>
        <w:t xml:space="preserve">Chandrasekar, R. and Doran, C. and Srinivas, B., 1996. </w:t>
      </w:r>
      <w:r w:rsidRPr="005E1103">
        <w:rPr>
          <w:rFonts w:cstheme="minorHAnsi"/>
          <w:i/>
          <w:iCs/>
          <w:noProof/>
          <w:sz w:val="28"/>
          <w:szCs w:val="28"/>
          <w:lang w:val="en-US"/>
        </w:rPr>
        <w:t xml:space="preserve">Motivations and Methods for Text Simplification. </w:t>
      </w:r>
      <w:r w:rsidRPr="005E1103">
        <w:rPr>
          <w:rFonts w:cstheme="minorHAnsi"/>
          <w:noProof/>
          <w:sz w:val="28"/>
          <w:szCs w:val="28"/>
          <w:lang w:val="en-US"/>
        </w:rPr>
        <w:t>s.l., En Proceedings of the Sixteenth International Conference on Computational Linguistics (COLING '96).</w:t>
      </w:r>
    </w:p>
    <w:p w:rsidR="00033066" w:rsidRPr="005E1103" w:rsidRDefault="00033066" w:rsidP="00033066">
      <w:pPr>
        <w:pStyle w:val="Bibliografa"/>
        <w:rPr>
          <w:rFonts w:cstheme="minorHAnsi"/>
          <w:noProof/>
          <w:sz w:val="28"/>
          <w:szCs w:val="28"/>
        </w:rPr>
      </w:pPr>
      <w:r w:rsidRPr="005E1103">
        <w:rPr>
          <w:rFonts w:cstheme="minorHAnsi"/>
          <w:noProof/>
          <w:sz w:val="28"/>
          <w:szCs w:val="28"/>
        </w:rPr>
        <w:t xml:space="preserve">Diaz, A., 2005. </w:t>
      </w:r>
      <w:r w:rsidRPr="005E1103">
        <w:rPr>
          <w:rFonts w:cstheme="minorHAnsi"/>
          <w:i/>
          <w:iCs/>
          <w:noProof/>
          <w:sz w:val="28"/>
          <w:szCs w:val="28"/>
        </w:rPr>
        <w:t xml:space="preserve">Integración de técnicas de clasificación de texto y modelado de usuario para la personalización en servicios de noticias. </w:t>
      </w:r>
      <w:r w:rsidRPr="005E1103">
        <w:rPr>
          <w:rFonts w:cstheme="minorHAnsi"/>
          <w:noProof/>
          <w:sz w:val="28"/>
          <w:szCs w:val="28"/>
        </w:rPr>
        <w:t>Tesis Doctoral ed. Madrid: UCM.</w:t>
      </w:r>
    </w:p>
    <w:p w:rsidR="00033066" w:rsidRPr="005E1103" w:rsidRDefault="00033066" w:rsidP="00033066">
      <w:pPr>
        <w:pStyle w:val="Bibliografa"/>
        <w:rPr>
          <w:rFonts w:cstheme="minorHAnsi"/>
          <w:noProof/>
          <w:sz w:val="28"/>
          <w:szCs w:val="28"/>
          <w:lang w:val="en-US"/>
        </w:rPr>
      </w:pPr>
      <w:r w:rsidRPr="005E1103">
        <w:rPr>
          <w:rFonts w:cstheme="minorHAnsi"/>
          <w:noProof/>
          <w:sz w:val="28"/>
          <w:szCs w:val="28"/>
        </w:rPr>
        <w:t xml:space="preserve">Francisco, V. , 2008. </w:t>
      </w:r>
      <w:r w:rsidRPr="005E1103">
        <w:rPr>
          <w:rFonts w:cstheme="minorHAnsi"/>
          <w:i/>
          <w:iCs/>
          <w:noProof/>
          <w:sz w:val="28"/>
          <w:szCs w:val="28"/>
        </w:rPr>
        <w:t xml:space="preserve">Identificación Automática del Contenido Afectivo de un Texto y su papel en la Presentación de Información. </w:t>
      </w:r>
      <w:r w:rsidRPr="005E1103">
        <w:rPr>
          <w:rFonts w:cstheme="minorHAnsi"/>
          <w:noProof/>
          <w:sz w:val="28"/>
          <w:szCs w:val="28"/>
          <w:lang w:val="en-US"/>
        </w:rPr>
        <w:t>Tesis Doctoral ed. Madrid: UCM.</w:t>
      </w:r>
    </w:p>
    <w:p w:rsidR="00033066" w:rsidRPr="005E1103" w:rsidRDefault="00033066" w:rsidP="00033066">
      <w:pPr>
        <w:pStyle w:val="Bibliografa"/>
        <w:rPr>
          <w:rFonts w:cstheme="minorHAnsi"/>
          <w:noProof/>
          <w:sz w:val="28"/>
          <w:szCs w:val="28"/>
          <w:lang w:val="en-US"/>
        </w:rPr>
      </w:pPr>
      <w:r w:rsidRPr="005E1103">
        <w:rPr>
          <w:rFonts w:cstheme="minorHAnsi"/>
          <w:noProof/>
          <w:sz w:val="28"/>
          <w:szCs w:val="28"/>
          <w:lang w:val="en-US"/>
        </w:rPr>
        <w:t xml:space="preserve">Francisco, V. and Gervás, P., 2012. EmoTag: An Approach to Automated Markup of Emotions in Texts. </w:t>
      </w:r>
      <w:r w:rsidRPr="005E1103">
        <w:rPr>
          <w:rFonts w:cstheme="minorHAnsi"/>
          <w:i/>
          <w:iCs/>
          <w:noProof/>
          <w:sz w:val="28"/>
          <w:szCs w:val="28"/>
          <w:lang w:val="en-US"/>
        </w:rPr>
        <w:t xml:space="preserve">Computation Intelligence, </w:t>
      </w:r>
      <w:r w:rsidRPr="005E1103">
        <w:rPr>
          <w:rFonts w:cstheme="minorHAnsi"/>
          <w:noProof/>
          <w:sz w:val="28"/>
          <w:szCs w:val="28"/>
          <w:lang w:val="en-US"/>
        </w:rPr>
        <w:t>29(4), pp. 680-721.</w:t>
      </w:r>
    </w:p>
    <w:p w:rsidR="00033066" w:rsidRPr="005E1103" w:rsidRDefault="00033066" w:rsidP="00033066">
      <w:pPr>
        <w:pStyle w:val="Bibliografa"/>
        <w:rPr>
          <w:rFonts w:cstheme="minorHAnsi"/>
          <w:noProof/>
          <w:sz w:val="28"/>
          <w:szCs w:val="28"/>
          <w:lang w:val="en-US"/>
        </w:rPr>
      </w:pPr>
      <w:r w:rsidRPr="005E1103">
        <w:rPr>
          <w:rFonts w:cstheme="minorHAnsi"/>
          <w:noProof/>
          <w:sz w:val="28"/>
          <w:szCs w:val="28"/>
          <w:lang w:val="en-US"/>
        </w:rPr>
        <w:lastRenderedPageBreak/>
        <w:t xml:space="preserve">Francisco, V. and Hervás, R. and Peinado, F. and Gervás, P., 2011. EmoTales: creating a corpus of folk tales with emotional annotations. </w:t>
      </w:r>
      <w:r w:rsidRPr="005E1103">
        <w:rPr>
          <w:rFonts w:cstheme="minorHAnsi"/>
          <w:i/>
          <w:iCs/>
          <w:noProof/>
          <w:sz w:val="28"/>
          <w:szCs w:val="28"/>
          <w:lang w:val="en-US"/>
        </w:rPr>
        <w:t xml:space="preserve">Language Resources and Evaluation, </w:t>
      </w:r>
      <w:r w:rsidRPr="005E1103">
        <w:rPr>
          <w:rFonts w:cstheme="minorHAnsi"/>
          <w:noProof/>
          <w:sz w:val="28"/>
          <w:szCs w:val="28"/>
          <w:lang w:val="en-US"/>
        </w:rPr>
        <w:t>46(3), pp. 341-381.</w:t>
      </w:r>
    </w:p>
    <w:p w:rsidR="00033066" w:rsidRPr="005E1103" w:rsidRDefault="00033066" w:rsidP="00033066">
      <w:pPr>
        <w:pStyle w:val="Bibliografa"/>
        <w:rPr>
          <w:rFonts w:cstheme="minorHAnsi"/>
          <w:noProof/>
          <w:sz w:val="28"/>
          <w:szCs w:val="28"/>
        </w:rPr>
      </w:pPr>
      <w:r w:rsidRPr="005E1103">
        <w:rPr>
          <w:rFonts w:cstheme="minorHAnsi"/>
          <w:noProof/>
          <w:sz w:val="28"/>
          <w:szCs w:val="28"/>
          <w:lang w:val="en-US"/>
        </w:rPr>
        <w:t xml:space="preserve">Gil, E. and Gervás, P. and Hervás, R. and Jimenez, L. , 2012. </w:t>
      </w:r>
      <w:r w:rsidRPr="005E1103">
        <w:rPr>
          <w:rFonts w:cstheme="minorHAnsi"/>
          <w:i/>
          <w:iCs/>
          <w:noProof/>
          <w:sz w:val="28"/>
          <w:szCs w:val="28"/>
        </w:rPr>
        <w:t xml:space="preserve">INTERpretación de diálogos en mensajería instantánea bajo sistemas SAACs. </w:t>
      </w:r>
      <w:r w:rsidRPr="005E1103">
        <w:rPr>
          <w:rFonts w:cstheme="minorHAnsi"/>
          <w:noProof/>
          <w:sz w:val="28"/>
          <w:szCs w:val="28"/>
        </w:rPr>
        <w:t>Madrid, I Congreso Internacional Universidad y Discapacidad.</w:t>
      </w:r>
    </w:p>
    <w:p w:rsidR="00033066" w:rsidRPr="005E1103" w:rsidRDefault="00033066" w:rsidP="00033066">
      <w:pPr>
        <w:pStyle w:val="Bibliografa"/>
        <w:rPr>
          <w:rFonts w:cstheme="minorHAnsi"/>
          <w:noProof/>
          <w:sz w:val="28"/>
          <w:szCs w:val="28"/>
        </w:rPr>
      </w:pPr>
      <w:r w:rsidRPr="005E1103">
        <w:rPr>
          <w:rFonts w:cstheme="minorHAnsi"/>
          <w:noProof/>
          <w:sz w:val="28"/>
          <w:szCs w:val="28"/>
        </w:rPr>
        <w:t xml:space="preserve">Gil, E., 2015. </w:t>
      </w:r>
      <w:r w:rsidRPr="005E1103">
        <w:rPr>
          <w:rFonts w:cstheme="minorHAnsi"/>
          <w:i/>
          <w:iCs/>
          <w:noProof/>
          <w:sz w:val="28"/>
          <w:szCs w:val="28"/>
        </w:rPr>
        <w:t xml:space="preserve">INTERacción comunicativa en mensajería instantánea bajo sistemas SAACs. </w:t>
      </w:r>
      <w:r w:rsidRPr="005E1103">
        <w:rPr>
          <w:rFonts w:cstheme="minorHAnsi"/>
          <w:noProof/>
          <w:sz w:val="28"/>
          <w:szCs w:val="28"/>
        </w:rPr>
        <w:t>Tesis de Máster ed. Madrid: UCM.</w:t>
      </w:r>
    </w:p>
    <w:p w:rsidR="00033066" w:rsidRPr="005E1103" w:rsidRDefault="00033066" w:rsidP="00033066">
      <w:pPr>
        <w:pStyle w:val="Bibliografa"/>
        <w:rPr>
          <w:rFonts w:cstheme="minorHAnsi"/>
          <w:noProof/>
          <w:sz w:val="28"/>
          <w:szCs w:val="28"/>
          <w:lang w:val="en-US"/>
        </w:rPr>
      </w:pPr>
      <w:r w:rsidRPr="005E1103">
        <w:rPr>
          <w:rFonts w:cstheme="minorHAnsi"/>
          <w:noProof/>
          <w:sz w:val="28"/>
          <w:szCs w:val="28"/>
        </w:rPr>
        <w:t xml:space="preserve">Hervás, R. and Bautista, S. and Rodríguez, M. and de Salas, T. and Vargas, A. and Gervás, P., 2013. </w:t>
      </w:r>
      <w:r w:rsidRPr="005E1103">
        <w:rPr>
          <w:rFonts w:cstheme="minorHAnsi"/>
          <w:noProof/>
          <w:sz w:val="28"/>
          <w:szCs w:val="28"/>
          <w:lang w:val="en-US"/>
        </w:rPr>
        <w:t xml:space="preserve">Integration of lexical and syntactic simplification capabilities in a text editr. </w:t>
      </w:r>
      <w:r w:rsidRPr="005E1103">
        <w:rPr>
          <w:rFonts w:cstheme="minorHAnsi"/>
          <w:i/>
          <w:iCs/>
          <w:noProof/>
          <w:sz w:val="28"/>
          <w:szCs w:val="28"/>
          <w:lang w:val="en-US"/>
        </w:rPr>
        <w:t>Procedia Computer Science.</w:t>
      </w:r>
    </w:p>
    <w:p w:rsidR="00033066" w:rsidRPr="005E1103" w:rsidRDefault="00033066" w:rsidP="00033066">
      <w:pPr>
        <w:pStyle w:val="Bibliografa"/>
        <w:rPr>
          <w:rFonts w:cstheme="minorHAnsi"/>
          <w:noProof/>
          <w:sz w:val="28"/>
          <w:szCs w:val="28"/>
          <w:lang w:val="en-US"/>
        </w:rPr>
      </w:pPr>
      <w:r w:rsidRPr="005E1103">
        <w:rPr>
          <w:rFonts w:cstheme="minorHAnsi"/>
          <w:noProof/>
          <w:sz w:val="28"/>
          <w:szCs w:val="28"/>
          <w:lang w:val="en-US"/>
        </w:rPr>
        <w:t xml:space="preserve">Petersen, S. E. and Ostendorf, M. , 2007. Text Simplification for Language Learners: A Corpus Analysis. </w:t>
      </w:r>
      <w:r w:rsidRPr="005E1103">
        <w:rPr>
          <w:rFonts w:cstheme="minorHAnsi"/>
          <w:i/>
          <w:iCs/>
          <w:noProof/>
          <w:sz w:val="28"/>
          <w:szCs w:val="28"/>
          <w:lang w:val="en-US"/>
        </w:rPr>
        <w:t>Speech and Language Technology for Education.</w:t>
      </w:r>
    </w:p>
    <w:p w:rsidR="00033066" w:rsidRPr="005E1103" w:rsidRDefault="00033066" w:rsidP="00033066">
      <w:pPr>
        <w:pStyle w:val="Bibliografa"/>
        <w:rPr>
          <w:rFonts w:cstheme="minorHAnsi"/>
          <w:noProof/>
          <w:sz w:val="28"/>
          <w:szCs w:val="28"/>
          <w:lang w:val="en-US"/>
        </w:rPr>
      </w:pPr>
      <w:r w:rsidRPr="005E1103">
        <w:rPr>
          <w:rFonts w:cstheme="minorHAnsi"/>
          <w:noProof/>
          <w:sz w:val="28"/>
          <w:szCs w:val="28"/>
          <w:lang w:val="en-US"/>
        </w:rPr>
        <w:t xml:space="preserve">Plaza, L., 2011. </w:t>
      </w:r>
      <w:r w:rsidRPr="005E1103">
        <w:rPr>
          <w:rFonts w:cstheme="minorHAnsi"/>
          <w:i/>
          <w:iCs/>
          <w:noProof/>
          <w:sz w:val="28"/>
          <w:szCs w:val="28"/>
          <w:lang w:val="en-US"/>
        </w:rPr>
        <w:t xml:space="preserve">The Use of Semantic Graphs in Automatic Summarization: Comparative Case Studies in Biomedicine, Journalism and Tourism. </w:t>
      </w:r>
      <w:r w:rsidRPr="005E1103">
        <w:rPr>
          <w:rFonts w:cstheme="minorHAnsi"/>
          <w:noProof/>
          <w:sz w:val="28"/>
          <w:szCs w:val="28"/>
          <w:lang w:val="en-US"/>
        </w:rPr>
        <w:t>Tesis Doctoral ed. Madrid: UCM.</w:t>
      </w:r>
    </w:p>
    <w:p w:rsidR="00033066" w:rsidRPr="005E1103" w:rsidRDefault="00033066" w:rsidP="00033066">
      <w:pPr>
        <w:spacing w:after="0" w:line="240" w:lineRule="auto"/>
        <w:rPr>
          <w:rFonts w:cstheme="minorHAnsi"/>
          <w:b/>
          <w:noProof/>
          <w:color w:val="000000"/>
          <w:sz w:val="28"/>
          <w:szCs w:val="28"/>
          <w:lang w:val="en-US"/>
        </w:rPr>
      </w:pPr>
      <w:r w:rsidRPr="005E1103">
        <w:rPr>
          <w:rFonts w:cstheme="minorHAnsi"/>
          <w:b/>
          <w:noProof/>
          <w:color w:val="000000"/>
          <w:sz w:val="28"/>
          <w:szCs w:val="28"/>
          <w:lang w:val="en-US"/>
        </w:rPr>
        <w:fldChar w:fldCharType="end"/>
      </w:r>
    </w:p>
    <w:p w:rsidR="00033066" w:rsidRPr="005E1103" w:rsidRDefault="00033066">
      <w:pPr>
        <w:rPr>
          <w:rFonts w:cstheme="minorHAnsi"/>
          <w:b/>
          <w:noProof/>
          <w:color w:val="000000"/>
          <w:sz w:val="28"/>
          <w:szCs w:val="28"/>
          <w:lang w:val="en-US"/>
        </w:rPr>
      </w:pPr>
      <w:r w:rsidRPr="005E1103">
        <w:rPr>
          <w:rFonts w:cstheme="minorHAnsi"/>
          <w:b/>
          <w:noProof/>
          <w:color w:val="000000"/>
          <w:sz w:val="28"/>
          <w:szCs w:val="28"/>
          <w:lang w:val="en-US"/>
        </w:rPr>
        <w:br w:type="page"/>
      </w:r>
    </w:p>
    <w:p w:rsidR="00033066" w:rsidRPr="005E1103" w:rsidRDefault="00033066" w:rsidP="00033066">
      <w:pPr>
        <w:spacing w:line="360" w:lineRule="auto"/>
        <w:jc w:val="center"/>
        <w:rPr>
          <w:rFonts w:cstheme="minorHAnsi"/>
          <w:b/>
          <w:sz w:val="28"/>
          <w:szCs w:val="28"/>
        </w:rPr>
      </w:pPr>
      <w:r w:rsidRPr="005E1103">
        <w:rPr>
          <w:rFonts w:cstheme="minorHAnsi"/>
          <w:b/>
          <w:sz w:val="28"/>
          <w:szCs w:val="28"/>
        </w:rPr>
        <w:lastRenderedPageBreak/>
        <w:t>COMUNICACIÓN 8</w:t>
      </w:r>
    </w:p>
    <w:tbl>
      <w:tblPr>
        <w:tblStyle w:val="Tablaconcuadrcula"/>
        <w:tblW w:w="0" w:type="auto"/>
        <w:tblLook w:val="04A0" w:firstRow="1" w:lastRow="0" w:firstColumn="1" w:lastColumn="0" w:noHBand="0" w:noVBand="1"/>
      </w:tblPr>
      <w:tblGrid>
        <w:gridCol w:w="8720"/>
      </w:tblGrid>
      <w:tr w:rsidR="00033066" w:rsidRPr="005E1103" w:rsidTr="00033066">
        <w:tc>
          <w:tcPr>
            <w:tcW w:w="9710" w:type="dxa"/>
          </w:tcPr>
          <w:p w:rsidR="00033066" w:rsidRPr="005E1103" w:rsidRDefault="00033066" w:rsidP="00033066">
            <w:pPr>
              <w:spacing w:line="360" w:lineRule="auto"/>
              <w:jc w:val="center"/>
              <w:rPr>
                <w:rFonts w:cstheme="minorHAnsi"/>
                <w:b/>
                <w:sz w:val="28"/>
                <w:szCs w:val="28"/>
              </w:rPr>
            </w:pPr>
            <w:r w:rsidRPr="005E1103">
              <w:rPr>
                <w:rFonts w:cstheme="minorHAnsi"/>
                <w:b/>
                <w:sz w:val="28"/>
                <w:szCs w:val="28"/>
              </w:rPr>
              <w:t>Proyecto SWING: Impacto de las TIC Accesibles, Universidad y Discapacidad en Marruecos y Egipto</w:t>
            </w:r>
          </w:p>
        </w:tc>
      </w:tr>
    </w:tbl>
    <w:p w:rsidR="00033066" w:rsidRPr="005E1103" w:rsidRDefault="00033066" w:rsidP="00033066">
      <w:pPr>
        <w:spacing w:line="360" w:lineRule="auto"/>
        <w:jc w:val="center"/>
        <w:rPr>
          <w:rFonts w:cstheme="minorHAnsi"/>
          <w:b/>
          <w:sz w:val="28"/>
          <w:szCs w:val="28"/>
        </w:rPr>
      </w:pPr>
    </w:p>
    <w:p w:rsidR="00033066" w:rsidRPr="005E1103" w:rsidRDefault="00033066" w:rsidP="00033066">
      <w:pPr>
        <w:spacing w:line="360" w:lineRule="auto"/>
        <w:jc w:val="center"/>
        <w:rPr>
          <w:rFonts w:cstheme="minorHAnsi"/>
          <w:b/>
          <w:sz w:val="28"/>
          <w:szCs w:val="28"/>
        </w:rPr>
      </w:pPr>
    </w:p>
    <w:p w:rsidR="00033066" w:rsidRPr="005E1103" w:rsidRDefault="00033066" w:rsidP="00033066">
      <w:pPr>
        <w:spacing w:line="360" w:lineRule="auto"/>
        <w:jc w:val="right"/>
        <w:rPr>
          <w:rFonts w:cstheme="minorHAnsi"/>
          <w:sz w:val="28"/>
          <w:szCs w:val="28"/>
        </w:rPr>
      </w:pPr>
      <w:r w:rsidRPr="005E1103">
        <w:rPr>
          <w:rFonts w:cstheme="minorHAnsi"/>
          <w:sz w:val="28"/>
          <w:szCs w:val="28"/>
        </w:rPr>
        <w:t>José María Fernández y Carolina Madeleine</w:t>
      </w:r>
    </w:p>
    <w:p w:rsidR="00033066" w:rsidRPr="005E1103" w:rsidRDefault="00033066" w:rsidP="00033066">
      <w:pPr>
        <w:spacing w:line="360" w:lineRule="auto"/>
        <w:jc w:val="right"/>
        <w:rPr>
          <w:rFonts w:cstheme="minorHAnsi"/>
          <w:sz w:val="28"/>
          <w:szCs w:val="28"/>
        </w:rPr>
      </w:pPr>
      <w:r w:rsidRPr="005E1103">
        <w:rPr>
          <w:rFonts w:cstheme="minorHAnsi"/>
          <w:sz w:val="28"/>
          <w:szCs w:val="28"/>
        </w:rPr>
        <w:t>Técnico Centro de Apoyo al Estudiante y Coordinadora Oficina de Proyectos Internacionales</w:t>
      </w:r>
    </w:p>
    <w:p w:rsidR="00033066" w:rsidRPr="005E1103" w:rsidRDefault="00033066" w:rsidP="00033066">
      <w:pPr>
        <w:spacing w:line="360" w:lineRule="auto"/>
        <w:jc w:val="right"/>
        <w:rPr>
          <w:rFonts w:cstheme="minorHAnsi"/>
          <w:sz w:val="28"/>
          <w:szCs w:val="28"/>
        </w:rPr>
      </w:pPr>
      <w:r w:rsidRPr="005E1103">
        <w:rPr>
          <w:rFonts w:cstheme="minorHAnsi"/>
          <w:sz w:val="28"/>
          <w:szCs w:val="28"/>
        </w:rPr>
        <w:t>Universidad de Alicante</w:t>
      </w:r>
    </w:p>
    <w:p w:rsidR="00033066" w:rsidRPr="005E1103" w:rsidRDefault="00033066" w:rsidP="00033066">
      <w:pPr>
        <w:spacing w:line="360" w:lineRule="auto"/>
        <w:rPr>
          <w:rFonts w:cstheme="minorHAnsi"/>
          <w:b/>
          <w:sz w:val="28"/>
          <w:szCs w:val="28"/>
        </w:rPr>
      </w:pPr>
      <w:r w:rsidRPr="005E1103">
        <w:rPr>
          <w:rFonts w:cstheme="minorHAnsi"/>
          <w:b/>
          <w:sz w:val="28"/>
          <w:szCs w:val="28"/>
        </w:rPr>
        <w:t>Proyecto SWING</w:t>
      </w:r>
    </w:p>
    <w:p w:rsidR="00033066" w:rsidRPr="005E1103" w:rsidRDefault="00033066" w:rsidP="00033066">
      <w:pPr>
        <w:spacing w:line="360" w:lineRule="auto"/>
        <w:rPr>
          <w:rFonts w:cstheme="minorHAnsi"/>
          <w:sz w:val="28"/>
          <w:szCs w:val="28"/>
        </w:rPr>
      </w:pPr>
    </w:p>
    <w:p w:rsidR="00033066" w:rsidRPr="005E1103" w:rsidRDefault="00033066" w:rsidP="00033066">
      <w:pPr>
        <w:spacing w:line="360" w:lineRule="auto"/>
        <w:rPr>
          <w:rFonts w:cstheme="minorHAnsi"/>
          <w:sz w:val="28"/>
          <w:szCs w:val="28"/>
        </w:rPr>
      </w:pPr>
      <w:r w:rsidRPr="005E1103">
        <w:rPr>
          <w:rFonts w:cstheme="minorHAnsi"/>
          <w:sz w:val="28"/>
          <w:szCs w:val="28"/>
        </w:rPr>
        <w:t xml:space="preserve">La Universidad de Alicante ha participado en el proyecto europeo </w:t>
      </w:r>
      <w:hyperlink r:id="rId175" w:history="1">
        <w:r w:rsidRPr="005E1103">
          <w:rPr>
            <w:rFonts w:cstheme="minorHAnsi"/>
            <w:sz w:val="28"/>
            <w:szCs w:val="28"/>
          </w:rPr>
          <w:t>SWING</w:t>
        </w:r>
      </w:hyperlink>
      <w:r w:rsidRPr="005E1103">
        <w:rPr>
          <w:rFonts w:cstheme="minorHAnsi"/>
          <w:sz w:val="28"/>
          <w:szCs w:val="28"/>
        </w:rPr>
        <w:t>, que tiene como objetivo crear políticas sostenibles en las universidades para que los estudiantes con discapacidad encuentren igual acceso a los ambientes y programas de aprendizaje.</w:t>
      </w:r>
    </w:p>
    <w:p w:rsidR="00033066" w:rsidRPr="005E1103" w:rsidRDefault="00033066" w:rsidP="00033066">
      <w:pPr>
        <w:spacing w:line="360" w:lineRule="auto"/>
        <w:rPr>
          <w:rFonts w:cstheme="minorHAnsi"/>
          <w:sz w:val="28"/>
          <w:szCs w:val="28"/>
        </w:rPr>
      </w:pPr>
    </w:p>
    <w:p w:rsidR="00033066" w:rsidRPr="005E1103" w:rsidRDefault="00033066" w:rsidP="00033066">
      <w:pPr>
        <w:widowControl w:val="0"/>
        <w:autoSpaceDE w:val="0"/>
        <w:autoSpaceDN w:val="0"/>
        <w:adjustRightInd w:val="0"/>
        <w:spacing w:line="360" w:lineRule="auto"/>
        <w:rPr>
          <w:rFonts w:cstheme="minorHAnsi"/>
          <w:sz w:val="28"/>
          <w:szCs w:val="28"/>
        </w:rPr>
      </w:pPr>
      <w:r w:rsidRPr="005E1103">
        <w:rPr>
          <w:rFonts w:cstheme="minorHAnsi"/>
          <w:sz w:val="28"/>
          <w:szCs w:val="28"/>
        </w:rPr>
        <w:t xml:space="preserve">Para ello, trabajamos junto a las universidades: </w:t>
      </w:r>
      <w:hyperlink r:id="rId176" w:history="1">
        <w:r w:rsidRPr="005E1103">
          <w:rPr>
            <w:rFonts w:cstheme="minorHAnsi"/>
            <w:sz w:val="28"/>
            <w:szCs w:val="28"/>
          </w:rPr>
          <w:t xml:space="preserve">Coventry University </w:t>
        </w:r>
      </w:hyperlink>
      <w:r w:rsidRPr="005E1103">
        <w:rPr>
          <w:rFonts w:cstheme="minorHAnsi"/>
          <w:sz w:val="28"/>
          <w:szCs w:val="28"/>
        </w:rPr>
        <w:t xml:space="preserve">inglesa, </w:t>
      </w:r>
      <w:hyperlink r:id="rId177" w:history="1">
        <w:r w:rsidRPr="005E1103">
          <w:rPr>
            <w:rFonts w:cstheme="minorHAnsi"/>
            <w:sz w:val="28"/>
            <w:szCs w:val="28"/>
          </w:rPr>
          <w:t xml:space="preserve">Four Elements </w:t>
        </w:r>
      </w:hyperlink>
      <w:r w:rsidRPr="005E1103">
        <w:rPr>
          <w:rFonts w:cstheme="minorHAnsi"/>
          <w:sz w:val="28"/>
          <w:szCs w:val="28"/>
        </w:rPr>
        <w:t xml:space="preserve">griega y </w:t>
      </w:r>
      <w:hyperlink r:id="rId178" w:history="1">
        <w:r w:rsidRPr="005E1103">
          <w:rPr>
            <w:rFonts w:cstheme="minorHAnsi"/>
            <w:sz w:val="28"/>
            <w:szCs w:val="28"/>
          </w:rPr>
          <w:t xml:space="preserve">Università di Bologna </w:t>
        </w:r>
      </w:hyperlink>
      <w:r w:rsidRPr="005E1103">
        <w:rPr>
          <w:rFonts w:cstheme="minorHAnsi"/>
          <w:sz w:val="28"/>
          <w:szCs w:val="28"/>
        </w:rPr>
        <w:t>italiana, en el desarrollo, selección, procedimientos y uso de Tecnologías de la Información Accesibles y estándares en accesibilidad que ahora están disponibles a través de los Centros de accesibilidad creados en los países asociados: Marruecos y Egipto.</w:t>
      </w:r>
    </w:p>
    <w:p w:rsidR="00033066" w:rsidRPr="005E1103" w:rsidRDefault="00033066" w:rsidP="00033066">
      <w:pPr>
        <w:widowControl w:val="0"/>
        <w:autoSpaceDE w:val="0"/>
        <w:autoSpaceDN w:val="0"/>
        <w:adjustRightInd w:val="0"/>
        <w:spacing w:line="360" w:lineRule="auto"/>
        <w:jc w:val="center"/>
        <w:rPr>
          <w:rFonts w:cstheme="minorHAnsi"/>
          <w:sz w:val="28"/>
          <w:szCs w:val="28"/>
        </w:rPr>
      </w:pPr>
      <w:r w:rsidRPr="005E1103">
        <w:rPr>
          <w:rFonts w:cstheme="minorHAnsi"/>
          <w:noProof/>
          <w:sz w:val="28"/>
          <w:szCs w:val="28"/>
          <w:lang w:eastAsia="es-ES"/>
        </w:rPr>
        <w:lastRenderedPageBreak/>
        <w:drawing>
          <wp:inline distT="0" distB="0" distL="0" distR="0" wp14:anchorId="033714E9" wp14:editId="7329DC93">
            <wp:extent cx="4584031" cy="1638791"/>
            <wp:effectExtent l="0" t="0" r="762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4586445" cy="1639654"/>
                    </a:xfrm>
                    <a:prstGeom prst="rect">
                      <a:avLst/>
                    </a:prstGeom>
                  </pic:spPr>
                </pic:pic>
              </a:graphicData>
            </a:graphic>
          </wp:inline>
        </w:drawing>
      </w:r>
    </w:p>
    <w:p w:rsidR="00033066" w:rsidRPr="005E1103" w:rsidRDefault="00033066" w:rsidP="00033066">
      <w:pPr>
        <w:widowControl w:val="0"/>
        <w:autoSpaceDE w:val="0"/>
        <w:autoSpaceDN w:val="0"/>
        <w:adjustRightInd w:val="0"/>
        <w:spacing w:line="360" w:lineRule="auto"/>
        <w:rPr>
          <w:rFonts w:cstheme="minorHAnsi"/>
          <w:sz w:val="28"/>
          <w:szCs w:val="28"/>
        </w:rPr>
      </w:pPr>
    </w:p>
    <w:p w:rsidR="00033066" w:rsidRPr="005E1103" w:rsidRDefault="00033066" w:rsidP="00033066">
      <w:pPr>
        <w:pStyle w:val="Ttulo2"/>
        <w:spacing w:line="360" w:lineRule="auto"/>
        <w:rPr>
          <w:rFonts w:asciiTheme="minorHAnsi" w:hAnsiTheme="minorHAnsi" w:cstheme="minorHAnsi"/>
          <w:color w:val="auto"/>
          <w:sz w:val="28"/>
          <w:szCs w:val="28"/>
        </w:rPr>
      </w:pPr>
      <w:r w:rsidRPr="005E1103">
        <w:rPr>
          <w:rFonts w:asciiTheme="minorHAnsi" w:hAnsiTheme="minorHAnsi" w:cstheme="minorHAnsi"/>
          <w:color w:val="auto"/>
          <w:sz w:val="28"/>
          <w:szCs w:val="28"/>
        </w:rPr>
        <w:t>Universidad y discapacidad en Marruecos y Egipto</w:t>
      </w:r>
    </w:p>
    <w:p w:rsidR="00033066" w:rsidRPr="005E1103" w:rsidRDefault="00033066" w:rsidP="00033066">
      <w:pPr>
        <w:widowControl w:val="0"/>
        <w:autoSpaceDE w:val="0"/>
        <w:autoSpaceDN w:val="0"/>
        <w:adjustRightInd w:val="0"/>
        <w:spacing w:line="360" w:lineRule="auto"/>
        <w:rPr>
          <w:rFonts w:cstheme="minorHAnsi"/>
          <w:sz w:val="28"/>
          <w:szCs w:val="28"/>
        </w:rPr>
      </w:pPr>
    </w:p>
    <w:p w:rsidR="00033066" w:rsidRPr="005E1103" w:rsidRDefault="00033066" w:rsidP="00033066">
      <w:pPr>
        <w:widowControl w:val="0"/>
        <w:autoSpaceDE w:val="0"/>
        <w:autoSpaceDN w:val="0"/>
        <w:adjustRightInd w:val="0"/>
        <w:spacing w:line="360" w:lineRule="auto"/>
        <w:rPr>
          <w:rFonts w:cstheme="minorHAnsi"/>
          <w:sz w:val="28"/>
          <w:szCs w:val="28"/>
        </w:rPr>
      </w:pPr>
      <w:r w:rsidRPr="005E1103">
        <w:rPr>
          <w:rFonts w:cstheme="minorHAnsi"/>
          <w:sz w:val="28"/>
          <w:szCs w:val="28"/>
        </w:rPr>
        <w:t>Antiguamente, en el mundo árabe, se consideraba la discapacidad como algo negativo, una especie de maldición que recaía sobre la persona que padecía algún tipo de discapacidad. Las propias familias eran las que mantenían a sus familiares con discapacidad en casa, los niños no iban al colegio -hoy en día sigue ocurriendo- puesto que se consideraba una vergüenza.</w:t>
      </w:r>
    </w:p>
    <w:p w:rsidR="00033066" w:rsidRPr="005E1103" w:rsidRDefault="00033066" w:rsidP="00033066">
      <w:pPr>
        <w:widowControl w:val="0"/>
        <w:autoSpaceDE w:val="0"/>
        <w:autoSpaceDN w:val="0"/>
        <w:adjustRightInd w:val="0"/>
        <w:spacing w:line="360" w:lineRule="auto"/>
        <w:rPr>
          <w:rFonts w:cstheme="minorHAnsi"/>
          <w:sz w:val="28"/>
          <w:szCs w:val="28"/>
        </w:rPr>
      </w:pPr>
    </w:p>
    <w:p w:rsidR="00033066" w:rsidRPr="005E1103" w:rsidRDefault="00033066" w:rsidP="00033066">
      <w:pPr>
        <w:widowControl w:val="0"/>
        <w:autoSpaceDE w:val="0"/>
        <w:autoSpaceDN w:val="0"/>
        <w:adjustRightInd w:val="0"/>
        <w:spacing w:line="360" w:lineRule="auto"/>
        <w:rPr>
          <w:rFonts w:cstheme="minorHAnsi"/>
          <w:sz w:val="28"/>
          <w:szCs w:val="28"/>
        </w:rPr>
      </w:pPr>
      <w:r w:rsidRPr="005E1103">
        <w:rPr>
          <w:rFonts w:cstheme="minorHAnsi"/>
          <w:sz w:val="28"/>
          <w:szCs w:val="28"/>
        </w:rPr>
        <w:t>Desde el inicio de este milenio los países árabes han dado un gran salto en cuanto a la lucha por los derechos de las personas con discapacidad, encabezadas por Marruecos, el primer país árabe en firmar la Convención Internacional de los derechos de las Personas con Discapacidad.</w:t>
      </w:r>
    </w:p>
    <w:p w:rsidR="00033066" w:rsidRPr="005E1103" w:rsidRDefault="00033066" w:rsidP="00033066">
      <w:pPr>
        <w:widowControl w:val="0"/>
        <w:autoSpaceDE w:val="0"/>
        <w:autoSpaceDN w:val="0"/>
        <w:adjustRightInd w:val="0"/>
        <w:spacing w:line="360" w:lineRule="auto"/>
        <w:rPr>
          <w:rFonts w:cstheme="minorHAnsi"/>
          <w:sz w:val="28"/>
          <w:szCs w:val="28"/>
        </w:rPr>
      </w:pPr>
    </w:p>
    <w:p w:rsidR="00033066" w:rsidRPr="005E1103" w:rsidRDefault="00033066" w:rsidP="00033066">
      <w:pPr>
        <w:widowControl w:val="0"/>
        <w:autoSpaceDE w:val="0"/>
        <w:autoSpaceDN w:val="0"/>
        <w:adjustRightInd w:val="0"/>
        <w:spacing w:line="360" w:lineRule="auto"/>
        <w:rPr>
          <w:rFonts w:cstheme="minorHAnsi"/>
          <w:sz w:val="28"/>
          <w:szCs w:val="28"/>
        </w:rPr>
      </w:pPr>
      <w:r w:rsidRPr="005E1103">
        <w:rPr>
          <w:rFonts w:cstheme="minorHAnsi"/>
          <w:sz w:val="28"/>
          <w:szCs w:val="28"/>
        </w:rPr>
        <w:t>Por su parte, Egipto ha intentado desde sus inicios trasmitir normalidad en la sociedad para las personas con discapacidad, apostando con el deporte paralímpico y competiciones internacionales de robótica adaptada y otros eventos con repercusión nacional.</w:t>
      </w:r>
    </w:p>
    <w:p w:rsidR="00033066" w:rsidRPr="005E1103" w:rsidRDefault="00033066" w:rsidP="00033066">
      <w:pPr>
        <w:widowControl w:val="0"/>
        <w:autoSpaceDE w:val="0"/>
        <w:autoSpaceDN w:val="0"/>
        <w:adjustRightInd w:val="0"/>
        <w:spacing w:line="360" w:lineRule="auto"/>
        <w:rPr>
          <w:rFonts w:cstheme="minorHAnsi"/>
          <w:sz w:val="28"/>
          <w:szCs w:val="28"/>
        </w:rPr>
      </w:pPr>
    </w:p>
    <w:p w:rsidR="00033066" w:rsidRPr="005E1103" w:rsidRDefault="00033066" w:rsidP="00033066">
      <w:pPr>
        <w:widowControl w:val="0"/>
        <w:autoSpaceDE w:val="0"/>
        <w:autoSpaceDN w:val="0"/>
        <w:adjustRightInd w:val="0"/>
        <w:spacing w:line="360" w:lineRule="auto"/>
        <w:rPr>
          <w:rFonts w:cstheme="minorHAnsi"/>
          <w:sz w:val="28"/>
          <w:szCs w:val="28"/>
        </w:rPr>
      </w:pPr>
      <w:r w:rsidRPr="005E1103">
        <w:rPr>
          <w:rFonts w:cstheme="minorHAnsi"/>
          <w:sz w:val="28"/>
          <w:szCs w:val="28"/>
        </w:rPr>
        <w:t>La Universidad en la actualidad tiene una gran importancia en estos países y gracias al Proyecto SWING –y sus recursos- se está consiguiendo que se introduzcan productos de apoyo, se creen materiales accesibles, se promuevan las plataformas educativas inclusivas y los sitios web accesibles, se promueve el voluntariado o la realización de actividades de sensibilización.</w:t>
      </w:r>
    </w:p>
    <w:p w:rsidR="00033066" w:rsidRPr="005E1103" w:rsidRDefault="00033066" w:rsidP="00033066">
      <w:pPr>
        <w:widowControl w:val="0"/>
        <w:autoSpaceDE w:val="0"/>
        <w:autoSpaceDN w:val="0"/>
        <w:adjustRightInd w:val="0"/>
        <w:spacing w:line="360" w:lineRule="auto"/>
        <w:rPr>
          <w:rFonts w:cstheme="minorHAnsi"/>
          <w:sz w:val="28"/>
          <w:szCs w:val="28"/>
        </w:rPr>
      </w:pPr>
    </w:p>
    <w:p w:rsidR="00033066" w:rsidRPr="005E1103" w:rsidRDefault="00033066" w:rsidP="00033066">
      <w:pPr>
        <w:widowControl w:val="0"/>
        <w:autoSpaceDE w:val="0"/>
        <w:autoSpaceDN w:val="0"/>
        <w:adjustRightInd w:val="0"/>
        <w:spacing w:line="360" w:lineRule="auto"/>
        <w:rPr>
          <w:rFonts w:cstheme="minorHAnsi"/>
          <w:sz w:val="28"/>
          <w:szCs w:val="28"/>
        </w:rPr>
      </w:pPr>
    </w:p>
    <w:p w:rsidR="00033066" w:rsidRPr="005E1103" w:rsidRDefault="00033066" w:rsidP="00033066">
      <w:pPr>
        <w:pStyle w:val="Ttulo2"/>
        <w:spacing w:line="360" w:lineRule="auto"/>
        <w:rPr>
          <w:rFonts w:asciiTheme="minorHAnsi" w:hAnsiTheme="minorHAnsi" w:cstheme="minorHAnsi"/>
          <w:color w:val="auto"/>
          <w:sz w:val="28"/>
          <w:szCs w:val="28"/>
        </w:rPr>
      </w:pPr>
      <w:r w:rsidRPr="005E1103">
        <w:rPr>
          <w:rFonts w:asciiTheme="minorHAnsi" w:hAnsiTheme="minorHAnsi" w:cstheme="minorHAnsi"/>
          <w:color w:val="auto"/>
          <w:sz w:val="28"/>
          <w:szCs w:val="28"/>
        </w:rPr>
        <w:t>Selección y formación</w:t>
      </w:r>
    </w:p>
    <w:p w:rsidR="00033066" w:rsidRPr="005E1103" w:rsidRDefault="00033066" w:rsidP="00033066">
      <w:pPr>
        <w:widowControl w:val="0"/>
        <w:autoSpaceDE w:val="0"/>
        <w:autoSpaceDN w:val="0"/>
        <w:adjustRightInd w:val="0"/>
        <w:spacing w:line="360" w:lineRule="auto"/>
        <w:rPr>
          <w:rFonts w:cstheme="minorHAnsi"/>
          <w:sz w:val="28"/>
          <w:szCs w:val="28"/>
        </w:rPr>
      </w:pPr>
    </w:p>
    <w:p w:rsidR="00033066" w:rsidRPr="005E1103" w:rsidRDefault="00033066" w:rsidP="00033066">
      <w:pPr>
        <w:widowControl w:val="0"/>
        <w:autoSpaceDE w:val="0"/>
        <w:autoSpaceDN w:val="0"/>
        <w:adjustRightInd w:val="0"/>
        <w:spacing w:line="360" w:lineRule="auto"/>
        <w:rPr>
          <w:rFonts w:cstheme="minorHAnsi"/>
          <w:sz w:val="28"/>
          <w:szCs w:val="28"/>
        </w:rPr>
      </w:pPr>
      <w:r w:rsidRPr="005E1103">
        <w:rPr>
          <w:rFonts w:cstheme="minorHAnsi"/>
          <w:sz w:val="28"/>
          <w:szCs w:val="28"/>
        </w:rPr>
        <w:t>El proyecto comenzó con la visita de delegaciones de las dos universidades marroquíes y 2 egipcias a las cuatros universidades europeas, donde se les mostró las buenas prácticas de atención a personas con discapacidad, la estructura de los servicios de apoyo a la discapacidad y de todos los productos de apoyo  y tecnologías accesibles con las que contaba cada institución.</w:t>
      </w:r>
    </w:p>
    <w:p w:rsidR="00033066" w:rsidRPr="005E1103" w:rsidRDefault="00033066" w:rsidP="00033066">
      <w:pPr>
        <w:widowControl w:val="0"/>
        <w:autoSpaceDE w:val="0"/>
        <w:autoSpaceDN w:val="0"/>
        <w:adjustRightInd w:val="0"/>
        <w:spacing w:line="360" w:lineRule="auto"/>
        <w:rPr>
          <w:rFonts w:cstheme="minorHAnsi"/>
          <w:sz w:val="28"/>
          <w:szCs w:val="28"/>
        </w:rPr>
      </w:pPr>
    </w:p>
    <w:p w:rsidR="00033066" w:rsidRPr="005E1103" w:rsidRDefault="00033066" w:rsidP="00033066">
      <w:pPr>
        <w:widowControl w:val="0"/>
        <w:autoSpaceDE w:val="0"/>
        <w:autoSpaceDN w:val="0"/>
        <w:adjustRightInd w:val="0"/>
        <w:spacing w:line="360" w:lineRule="auto"/>
        <w:rPr>
          <w:rFonts w:cstheme="minorHAnsi"/>
          <w:sz w:val="28"/>
          <w:szCs w:val="28"/>
        </w:rPr>
      </w:pPr>
      <w:r w:rsidRPr="005E1103">
        <w:rPr>
          <w:rFonts w:cstheme="minorHAnsi"/>
          <w:sz w:val="28"/>
          <w:szCs w:val="28"/>
        </w:rPr>
        <w:t>Una vez de vuelta en sus países con toda la información obtenida, seleccionaron y formaron en aspectos básicos a personal de su Universidad para iniciar el proceso de creación de los servicios de apoyo a estudiantes con discapacidad, denominados en el proyecto como centros de accesibilidad.</w:t>
      </w:r>
    </w:p>
    <w:p w:rsidR="00033066" w:rsidRPr="005E1103" w:rsidRDefault="00033066" w:rsidP="00033066">
      <w:pPr>
        <w:widowControl w:val="0"/>
        <w:autoSpaceDE w:val="0"/>
        <w:autoSpaceDN w:val="0"/>
        <w:adjustRightInd w:val="0"/>
        <w:spacing w:line="360" w:lineRule="auto"/>
        <w:rPr>
          <w:rFonts w:cstheme="minorHAnsi"/>
          <w:sz w:val="28"/>
          <w:szCs w:val="28"/>
        </w:rPr>
      </w:pPr>
    </w:p>
    <w:p w:rsidR="00033066" w:rsidRPr="005E1103" w:rsidRDefault="00033066" w:rsidP="00033066">
      <w:pPr>
        <w:widowControl w:val="0"/>
        <w:autoSpaceDE w:val="0"/>
        <w:autoSpaceDN w:val="0"/>
        <w:adjustRightInd w:val="0"/>
        <w:spacing w:line="360" w:lineRule="auto"/>
        <w:rPr>
          <w:rFonts w:cstheme="minorHAnsi"/>
          <w:sz w:val="28"/>
          <w:szCs w:val="28"/>
        </w:rPr>
      </w:pPr>
      <w:r w:rsidRPr="005E1103">
        <w:rPr>
          <w:rFonts w:cstheme="minorHAnsi"/>
          <w:sz w:val="28"/>
          <w:szCs w:val="28"/>
        </w:rPr>
        <w:lastRenderedPageBreak/>
        <w:t>Entre las Universidades europeas elaboramos una ‘lista de deseos’ con una serie de recomendaciones en torno a qué productos de apoyo y tecnologías accesibles adquirir para que las tuvieras disponibles en sus centros de accesibilidad.</w:t>
      </w:r>
    </w:p>
    <w:p w:rsidR="00033066" w:rsidRPr="005E1103" w:rsidRDefault="00033066" w:rsidP="00033066">
      <w:pPr>
        <w:widowControl w:val="0"/>
        <w:autoSpaceDE w:val="0"/>
        <w:autoSpaceDN w:val="0"/>
        <w:adjustRightInd w:val="0"/>
        <w:spacing w:line="360" w:lineRule="auto"/>
        <w:rPr>
          <w:rFonts w:cstheme="minorHAnsi"/>
          <w:sz w:val="28"/>
          <w:szCs w:val="28"/>
        </w:rPr>
      </w:pPr>
    </w:p>
    <w:p w:rsidR="00033066" w:rsidRPr="005E1103" w:rsidRDefault="00033066" w:rsidP="00033066">
      <w:pPr>
        <w:widowControl w:val="0"/>
        <w:autoSpaceDE w:val="0"/>
        <w:autoSpaceDN w:val="0"/>
        <w:adjustRightInd w:val="0"/>
        <w:spacing w:line="360" w:lineRule="auto"/>
        <w:rPr>
          <w:rFonts w:cstheme="minorHAnsi"/>
          <w:sz w:val="28"/>
          <w:szCs w:val="28"/>
        </w:rPr>
      </w:pPr>
      <w:r w:rsidRPr="005E1103">
        <w:rPr>
          <w:rFonts w:cstheme="minorHAnsi"/>
          <w:sz w:val="28"/>
          <w:szCs w:val="28"/>
        </w:rPr>
        <w:t>Cada Universidad adquirió el material que consideró más necesario según las características de sus estudiantes, puesto que había diferencias importantes entre el número y tipo de discapacidad entre las cinco universidades, véase el ejemplo de la Universidad de Tetuán, que contaba con más de 30 estudiantes que padecían ceguera.</w:t>
      </w:r>
    </w:p>
    <w:p w:rsidR="00033066" w:rsidRPr="005E1103" w:rsidRDefault="00033066" w:rsidP="00033066">
      <w:pPr>
        <w:widowControl w:val="0"/>
        <w:autoSpaceDE w:val="0"/>
        <w:autoSpaceDN w:val="0"/>
        <w:adjustRightInd w:val="0"/>
        <w:spacing w:line="360" w:lineRule="auto"/>
        <w:rPr>
          <w:rFonts w:cstheme="minorHAnsi"/>
          <w:sz w:val="28"/>
          <w:szCs w:val="28"/>
        </w:rPr>
      </w:pPr>
    </w:p>
    <w:p w:rsidR="00033066" w:rsidRPr="005E1103" w:rsidRDefault="00033066" w:rsidP="00033066">
      <w:pPr>
        <w:widowControl w:val="0"/>
        <w:autoSpaceDE w:val="0"/>
        <w:autoSpaceDN w:val="0"/>
        <w:adjustRightInd w:val="0"/>
        <w:spacing w:line="360" w:lineRule="auto"/>
        <w:rPr>
          <w:rFonts w:cstheme="minorHAnsi"/>
          <w:sz w:val="28"/>
          <w:szCs w:val="28"/>
        </w:rPr>
      </w:pPr>
      <w:r w:rsidRPr="005E1103">
        <w:rPr>
          <w:rFonts w:cstheme="minorHAnsi"/>
          <w:sz w:val="28"/>
          <w:szCs w:val="28"/>
        </w:rPr>
        <w:t>Se adquirieron Líneas Braille, impresoras Braille, lectores y magnificadores de pantalla como Jaws y Zoom Text, Sistemas de escucha asistida como Emisores y receptores FM, teclados y ratones adaptados, iPad’s y tabletas Surface para la docencia en tiempo real en el aula, así como magnificadores hardware.</w:t>
      </w:r>
    </w:p>
    <w:p w:rsidR="00033066" w:rsidRPr="005E1103" w:rsidRDefault="00033066" w:rsidP="00033066">
      <w:pPr>
        <w:widowControl w:val="0"/>
        <w:autoSpaceDE w:val="0"/>
        <w:autoSpaceDN w:val="0"/>
        <w:adjustRightInd w:val="0"/>
        <w:spacing w:line="360" w:lineRule="auto"/>
        <w:rPr>
          <w:rFonts w:cstheme="minorHAnsi"/>
          <w:sz w:val="28"/>
          <w:szCs w:val="28"/>
        </w:rPr>
      </w:pPr>
    </w:p>
    <w:p w:rsidR="00033066" w:rsidRPr="005E1103" w:rsidRDefault="00033066" w:rsidP="00033066">
      <w:pPr>
        <w:pStyle w:val="Ttulo2"/>
        <w:spacing w:line="360" w:lineRule="auto"/>
        <w:rPr>
          <w:rFonts w:asciiTheme="minorHAnsi" w:hAnsiTheme="minorHAnsi" w:cstheme="minorHAnsi"/>
          <w:color w:val="auto"/>
          <w:sz w:val="28"/>
          <w:szCs w:val="28"/>
        </w:rPr>
      </w:pPr>
      <w:r w:rsidRPr="005E1103">
        <w:rPr>
          <w:rFonts w:asciiTheme="minorHAnsi" w:hAnsiTheme="minorHAnsi" w:cstheme="minorHAnsi"/>
          <w:color w:val="auto"/>
          <w:sz w:val="28"/>
          <w:szCs w:val="28"/>
        </w:rPr>
        <w:t>Formación en TIC Accesibles en Marruecos y Egipto</w:t>
      </w:r>
    </w:p>
    <w:p w:rsidR="00033066" w:rsidRPr="005E1103" w:rsidRDefault="00033066" w:rsidP="00033066">
      <w:pPr>
        <w:widowControl w:val="0"/>
        <w:autoSpaceDE w:val="0"/>
        <w:autoSpaceDN w:val="0"/>
        <w:adjustRightInd w:val="0"/>
        <w:spacing w:line="360" w:lineRule="auto"/>
        <w:rPr>
          <w:rFonts w:cstheme="minorHAnsi"/>
          <w:sz w:val="28"/>
          <w:szCs w:val="28"/>
        </w:rPr>
      </w:pPr>
    </w:p>
    <w:p w:rsidR="00033066" w:rsidRPr="005E1103" w:rsidRDefault="00033066" w:rsidP="00033066">
      <w:pPr>
        <w:widowControl w:val="0"/>
        <w:autoSpaceDE w:val="0"/>
        <w:autoSpaceDN w:val="0"/>
        <w:adjustRightInd w:val="0"/>
        <w:spacing w:line="360" w:lineRule="auto"/>
        <w:rPr>
          <w:rFonts w:cstheme="minorHAnsi"/>
          <w:sz w:val="28"/>
          <w:szCs w:val="28"/>
        </w:rPr>
      </w:pPr>
      <w:r w:rsidRPr="005E1103">
        <w:rPr>
          <w:rFonts w:cstheme="minorHAnsi"/>
          <w:sz w:val="28"/>
          <w:szCs w:val="28"/>
        </w:rPr>
        <w:t xml:space="preserve">Dentro del progreso del proyecto, llegó la etapa de formación en tecnologías accesibles en las universidades de Marruecos y Egipto. Un especialista de cada Universidad europea acudió a las jornadas y cada uno impartió formación al personal del Centro de Accesibilidad en la instalación, configuración y uso de software como Jaws, NVDA, Zoom Text, Dragon Natural Speaking, Adobe XI Pro además de formación en la </w:t>
      </w:r>
      <w:r w:rsidRPr="005E1103">
        <w:rPr>
          <w:rFonts w:cstheme="minorHAnsi"/>
          <w:sz w:val="28"/>
          <w:szCs w:val="28"/>
        </w:rPr>
        <w:lastRenderedPageBreak/>
        <w:t>correcta utilización de todo el hardware: magnificadores de pantalla, impresoras braille, líneas braille y simulaciones de clases accesibles con iPads o Tabletas Surface, además de formación en estándares de accesibilidad y directrices para la generación de materiales accesibles.</w:t>
      </w:r>
    </w:p>
    <w:p w:rsidR="00033066" w:rsidRPr="005E1103" w:rsidRDefault="00033066" w:rsidP="00033066">
      <w:pPr>
        <w:widowControl w:val="0"/>
        <w:autoSpaceDE w:val="0"/>
        <w:autoSpaceDN w:val="0"/>
        <w:adjustRightInd w:val="0"/>
        <w:spacing w:line="360" w:lineRule="auto"/>
        <w:rPr>
          <w:rFonts w:cstheme="minorHAnsi"/>
          <w:sz w:val="28"/>
          <w:szCs w:val="28"/>
        </w:rPr>
      </w:pPr>
    </w:p>
    <w:p w:rsidR="00033066" w:rsidRPr="005E1103" w:rsidRDefault="00033066" w:rsidP="00033066">
      <w:pPr>
        <w:pStyle w:val="Ttulo3"/>
        <w:rPr>
          <w:rFonts w:asciiTheme="minorHAnsi" w:hAnsiTheme="minorHAnsi" w:cstheme="minorHAnsi"/>
          <w:color w:val="auto"/>
          <w:sz w:val="28"/>
          <w:szCs w:val="28"/>
        </w:rPr>
      </w:pPr>
      <w:r w:rsidRPr="005E1103">
        <w:rPr>
          <w:rFonts w:asciiTheme="minorHAnsi" w:hAnsiTheme="minorHAnsi" w:cstheme="minorHAnsi"/>
          <w:color w:val="auto"/>
          <w:sz w:val="28"/>
          <w:szCs w:val="28"/>
        </w:rPr>
        <w:t>Algunos problemas con las TIC Accesibles</w:t>
      </w:r>
    </w:p>
    <w:p w:rsidR="00033066" w:rsidRPr="005E1103" w:rsidRDefault="00033066" w:rsidP="00033066">
      <w:pPr>
        <w:spacing w:line="360" w:lineRule="auto"/>
        <w:rPr>
          <w:rFonts w:cstheme="minorHAnsi"/>
          <w:sz w:val="28"/>
          <w:szCs w:val="28"/>
        </w:rPr>
      </w:pPr>
    </w:p>
    <w:p w:rsidR="00033066" w:rsidRPr="005E1103" w:rsidRDefault="00033066" w:rsidP="00033066">
      <w:pPr>
        <w:spacing w:line="360" w:lineRule="auto"/>
        <w:rPr>
          <w:rFonts w:cstheme="minorHAnsi"/>
          <w:sz w:val="28"/>
          <w:szCs w:val="28"/>
        </w:rPr>
      </w:pPr>
      <w:r w:rsidRPr="005E1103">
        <w:rPr>
          <w:rFonts w:cstheme="minorHAnsi"/>
          <w:sz w:val="28"/>
          <w:szCs w:val="28"/>
        </w:rPr>
        <w:t>Tanto en Marruecos y Egipto no existen organizaciones como por ejemplo la ONCE o la CNSE en España que hagan la labor de formar en el uso de tecnologías accesibles y productos de apoyo como Jaws o realizar cursos de utilización de procesadores de textos, navegación por internet, correo electrónico etc. Existen pequeñas asociaciones como ROA, asociación de ciegos de Marruecos, pero con escasa capacidad operativa.</w:t>
      </w:r>
    </w:p>
    <w:p w:rsidR="00033066" w:rsidRPr="005E1103" w:rsidRDefault="00033066" w:rsidP="00033066">
      <w:pPr>
        <w:spacing w:line="360" w:lineRule="auto"/>
        <w:rPr>
          <w:rFonts w:cstheme="minorHAnsi"/>
          <w:sz w:val="28"/>
          <w:szCs w:val="28"/>
        </w:rPr>
      </w:pPr>
    </w:p>
    <w:p w:rsidR="00033066" w:rsidRPr="005E1103" w:rsidRDefault="00033066" w:rsidP="00033066">
      <w:pPr>
        <w:spacing w:line="360" w:lineRule="auto"/>
        <w:rPr>
          <w:rFonts w:cstheme="minorHAnsi"/>
          <w:sz w:val="28"/>
          <w:szCs w:val="28"/>
        </w:rPr>
      </w:pPr>
      <w:r w:rsidRPr="005E1103">
        <w:rPr>
          <w:rFonts w:cstheme="minorHAnsi"/>
          <w:sz w:val="28"/>
          <w:szCs w:val="28"/>
        </w:rPr>
        <w:t>Esto es un gran inconveniente, porque usar ciertos productos de apoyo no es sencillo y requiere un adiestramiento, no digamos ya realizar tareas básicas con un ordenador, lo que hace que la introducción de las TIC Accesibles sea lenta y requiera de una formación específica a los estudiantes, como por ejemplo hacen en la Universidad de Alejandría, donde un estudiante ciego imparte cursos de manejo de productos de apoyo, de procesadores de texto o de redes sociales a estudiantes de la Universidad.</w:t>
      </w:r>
    </w:p>
    <w:p w:rsidR="00033066" w:rsidRPr="005E1103" w:rsidRDefault="00033066" w:rsidP="00033066">
      <w:pPr>
        <w:spacing w:line="360" w:lineRule="auto"/>
        <w:rPr>
          <w:rFonts w:cstheme="minorHAnsi"/>
          <w:sz w:val="28"/>
          <w:szCs w:val="28"/>
        </w:rPr>
      </w:pPr>
    </w:p>
    <w:p w:rsidR="00033066" w:rsidRPr="005E1103" w:rsidRDefault="00033066" w:rsidP="00033066">
      <w:pPr>
        <w:spacing w:line="360" w:lineRule="auto"/>
        <w:rPr>
          <w:rFonts w:cstheme="minorHAnsi"/>
          <w:sz w:val="28"/>
          <w:szCs w:val="28"/>
        </w:rPr>
      </w:pPr>
      <w:r w:rsidRPr="005E1103">
        <w:rPr>
          <w:rFonts w:cstheme="minorHAnsi"/>
          <w:sz w:val="28"/>
          <w:szCs w:val="28"/>
        </w:rPr>
        <w:t xml:space="preserve">Otro gran inconveniente que existe con las TIC Accesibles es el idioma, existen programas que no funcionan de la misma manera con el idioma </w:t>
      </w:r>
      <w:r w:rsidRPr="005E1103">
        <w:rPr>
          <w:rFonts w:cstheme="minorHAnsi"/>
          <w:sz w:val="28"/>
          <w:szCs w:val="28"/>
        </w:rPr>
        <w:lastRenderedPageBreak/>
        <w:t>árabe que con otras lenguas occidentales, que posean características más limitadas o directamente no están disponibles para esa región e idioma.</w:t>
      </w:r>
    </w:p>
    <w:p w:rsidR="00033066" w:rsidRPr="005E1103" w:rsidRDefault="00033066" w:rsidP="00033066">
      <w:pPr>
        <w:spacing w:line="360" w:lineRule="auto"/>
        <w:rPr>
          <w:rFonts w:cstheme="minorHAnsi"/>
          <w:sz w:val="28"/>
          <w:szCs w:val="28"/>
        </w:rPr>
      </w:pPr>
    </w:p>
    <w:p w:rsidR="00033066" w:rsidRPr="005E1103" w:rsidRDefault="00033066" w:rsidP="00033066">
      <w:pPr>
        <w:pStyle w:val="Ttulo2"/>
        <w:spacing w:line="360" w:lineRule="auto"/>
        <w:rPr>
          <w:rFonts w:asciiTheme="minorHAnsi" w:hAnsiTheme="minorHAnsi" w:cstheme="minorHAnsi"/>
          <w:color w:val="auto"/>
          <w:sz w:val="28"/>
          <w:szCs w:val="28"/>
        </w:rPr>
      </w:pPr>
      <w:r w:rsidRPr="005E1103">
        <w:rPr>
          <w:rFonts w:asciiTheme="minorHAnsi" w:hAnsiTheme="minorHAnsi" w:cstheme="minorHAnsi"/>
          <w:color w:val="auto"/>
          <w:sz w:val="28"/>
          <w:szCs w:val="28"/>
        </w:rPr>
        <w:t>Hitos del proyecto</w:t>
      </w:r>
    </w:p>
    <w:p w:rsidR="00033066" w:rsidRPr="005E1103" w:rsidRDefault="00033066" w:rsidP="00033066">
      <w:pPr>
        <w:spacing w:line="360" w:lineRule="auto"/>
        <w:jc w:val="center"/>
        <w:rPr>
          <w:rFonts w:cstheme="minorHAnsi"/>
          <w:sz w:val="28"/>
          <w:szCs w:val="28"/>
        </w:rPr>
      </w:pPr>
      <w:r w:rsidRPr="005E1103">
        <w:rPr>
          <w:rFonts w:cstheme="minorHAnsi"/>
          <w:noProof/>
          <w:sz w:val="28"/>
          <w:szCs w:val="28"/>
          <w:lang w:eastAsia="es-ES"/>
        </w:rPr>
        <w:drawing>
          <wp:inline distT="0" distB="0" distL="0" distR="0" wp14:anchorId="27FFDA82" wp14:editId="1D6E7563">
            <wp:extent cx="4122821" cy="3092116"/>
            <wp:effectExtent l="0" t="0" r="0" b="0"/>
            <wp:docPr id="88" name="Imagen 88" descr="En una mesa se ven dialogando a personas expertos europeos en accesibilidad y estudiantes de la Universidad de Alejandría en Egip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4124520" cy="3093391"/>
                    </a:xfrm>
                    <a:prstGeom prst="rect">
                      <a:avLst/>
                    </a:prstGeom>
                  </pic:spPr>
                </pic:pic>
              </a:graphicData>
            </a:graphic>
          </wp:inline>
        </w:drawing>
      </w:r>
    </w:p>
    <w:p w:rsidR="00033066" w:rsidRPr="005E1103" w:rsidRDefault="00033066" w:rsidP="00033066">
      <w:pPr>
        <w:spacing w:line="360" w:lineRule="auto"/>
        <w:rPr>
          <w:rFonts w:cstheme="minorHAnsi"/>
          <w:sz w:val="28"/>
          <w:szCs w:val="28"/>
        </w:rPr>
      </w:pPr>
    </w:p>
    <w:p w:rsidR="00033066" w:rsidRPr="005E1103" w:rsidRDefault="00033066" w:rsidP="00033066">
      <w:pPr>
        <w:spacing w:line="360" w:lineRule="auto"/>
        <w:rPr>
          <w:rFonts w:cstheme="minorHAnsi"/>
          <w:sz w:val="28"/>
          <w:szCs w:val="28"/>
        </w:rPr>
      </w:pPr>
      <w:r w:rsidRPr="005E1103">
        <w:rPr>
          <w:rFonts w:cstheme="minorHAnsi"/>
          <w:sz w:val="28"/>
          <w:szCs w:val="28"/>
        </w:rPr>
        <w:t>Como colofón al proyecto, se prepararon dos Conferencias Internacionales, una en Marruecos y otra en Egipto. En ellas se expusieron los logros obtenidos y se hicieron ponencias y talleres donde los asistentes tuvieron su primer acercamiento al mundo de las tecnologías accesibles y a la discapacidad.</w:t>
      </w:r>
    </w:p>
    <w:p w:rsidR="00033066" w:rsidRPr="005E1103" w:rsidRDefault="00033066" w:rsidP="00033066">
      <w:pPr>
        <w:widowControl w:val="0"/>
        <w:autoSpaceDE w:val="0"/>
        <w:autoSpaceDN w:val="0"/>
        <w:adjustRightInd w:val="0"/>
        <w:spacing w:line="360" w:lineRule="auto"/>
        <w:rPr>
          <w:rFonts w:cstheme="minorHAnsi"/>
          <w:color w:val="1A1A1A"/>
          <w:sz w:val="28"/>
          <w:szCs w:val="28"/>
        </w:rPr>
      </w:pPr>
      <w:r w:rsidRPr="005E1103">
        <w:rPr>
          <w:rFonts w:cstheme="minorHAnsi"/>
          <w:color w:val="1A1A1A"/>
          <w:sz w:val="28"/>
          <w:szCs w:val="28"/>
        </w:rPr>
        <w:t>Por último, y más importante, durante las conferencias, los Ministerios de cada país anunciaron medidas legislativas con el objetivo de fomentar la participación de las personas con discapacidad, como  por ejemplo, la ley</w:t>
      </w:r>
      <w:r w:rsidRPr="005E1103">
        <w:rPr>
          <w:rFonts w:cstheme="minorHAnsi"/>
          <w:bCs/>
          <w:color w:val="1A1A1A"/>
          <w:sz w:val="28"/>
          <w:szCs w:val="28"/>
        </w:rPr>
        <w:t xml:space="preserve"> nº 97.13</w:t>
      </w:r>
      <w:r w:rsidRPr="005E1103">
        <w:rPr>
          <w:rFonts w:cstheme="minorHAnsi"/>
          <w:color w:val="1A1A1A"/>
          <w:sz w:val="28"/>
          <w:szCs w:val="28"/>
        </w:rPr>
        <w:t xml:space="preserve"> en Marruecos, que incluye, entre otras:</w:t>
      </w:r>
    </w:p>
    <w:p w:rsidR="00033066" w:rsidRPr="005E1103" w:rsidRDefault="00033066" w:rsidP="00033066">
      <w:pPr>
        <w:pStyle w:val="Prrafodelista"/>
        <w:widowControl w:val="0"/>
        <w:numPr>
          <w:ilvl w:val="0"/>
          <w:numId w:val="135"/>
        </w:numPr>
        <w:autoSpaceDE w:val="0"/>
        <w:autoSpaceDN w:val="0"/>
        <w:adjustRightInd w:val="0"/>
        <w:spacing w:before="0" w:line="360" w:lineRule="auto"/>
        <w:rPr>
          <w:rFonts w:asciiTheme="minorHAnsi" w:hAnsiTheme="minorHAnsi" w:cstheme="minorHAnsi"/>
          <w:color w:val="1A1A1A"/>
          <w:sz w:val="28"/>
          <w:szCs w:val="28"/>
        </w:rPr>
      </w:pPr>
      <w:r w:rsidRPr="005E1103">
        <w:rPr>
          <w:rFonts w:asciiTheme="minorHAnsi" w:hAnsiTheme="minorHAnsi" w:cstheme="minorHAnsi"/>
          <w:color w:val="1A1A1A"/>
          <w:sz w:val="28"/>
          <w:szCs w:val="28"/>
        </w:rPr>
        <w:t xml:space="preserve">El desarrollo de un sistema de </w:t>
      </w:r>
      <w:r w:rsidRPr="005E1103">
        <w:rPr>
          <w:rFonts w:asciiTheme="minorHAnsi" w:hAnsiTheme="minorHAnsi" w:cstheme="minorHAnsi"/>
          <w:bCs/>
          <w:color w:val="1A1A1A"/>
          <w:sz w:val="28"/>
          <w:szCs w:val="28"/>
        </w:rPr>
        <w:t>evaluación de la discapacidad</w:t>
      </w:r>
      <w:r w:rsidRPr="005E1103">
        <w:rPr>
          <w:rFonts w:asciiTheme="minorHAnsi" w:hAnsiTheme="minorHAnsi" w:cstheme="minorHAnsi"/>
          <w:color w:val="1A1A1A"/>
          <w:sz w:val="28"/>
          <w:szCs w:val="28"/>
        </w:rPr>
        <w:t xml:space="preserve"> y la </w:t>
      </w:r>
      <w:r w:rsidRPr="005E1103">
        <w:rPr>
          <w:rFonts w:asciiTheme="minorHAnsi" w:hAnsiTheme="minorHAnsi" w:cstheme="minorHAnsi"/>
          <w:color w:val="1A1A1A"/>
          <w:sz w:val="28"/>
          <w:szCs w:val="28"/>
        </w:rPr>
        <w:lastRenderedPageBreak/>
        <w:t>creación de la tarjeta de persona con discapacidad.</w:t>
      </w:r>
    </w:p>
    <w:p w:rsidR="00033066" w:rsidRPr="005E1103" w:rsidRDefault="00033066" w:rsidP="00033066">
      <w:pPr>
        <w:pStyle w:val="Prrafodelista"/>
        <w:widowControl w:val="0"/>
        <w:numPr>
          <w:ilvl w:val="0"/>
          <w:numId w:val="135"/>
        </w:numPr>
        <w:autoSpaceDE w:val="0"/>
        <w:autoSpaceDN w:val="0"/>
        <w:adjustRightInd w:val="0"/>
        <w:spacing w:before="0" w:line="360" w:lineRule="auto"/>
        <w:rPr>
          <w:rFonts w:asciiTheme="minorHAnsi" w:hAnsiTheme="minorHAnsi" w:cstheme="minorHAnsi"/>
          <w:color w:val="1A1A1A"/>
          <w:sz w:val="28"/>
          <w:szCs w:val="28"/>
        </w:rPr>
      </w:pPr>
      <w:r w:rsidRPr="005E1103">
        <w:rPr>
          <w:rFonts w:asciiTheme="minorHAnsi" w:hAnsiTheme="minorHAnsi" w:cstheme="minorHAnsi"/>
          <w:color w:val="1A1A1A"/>
          <w:sz w:val="28"/>
          <w:szCs w:val="28"/>
        </w:rPr>
        <w:t xml:space="preserve">La concesión de </w:t>
      </w:r>
      <w:r w:rsidRPr="005E1103">
        <w:rPr>
          <w:rFonts w:asciiTheme="minorHAnsi" w:hAnsiTheme="minorHAnsi" w:cstheme="minorHAnsi"/>
          <w:bCs/>
          <w:color w:val="1A1A1A"/>
          <w:sz w:val="28"/>
          <w:szCs w:val="28"/>
        </w:rPr>
        <w:t>becas de 1000Dh (unos 100€)</w:t>
      </w:r>
      <w:r w:rsidRPr="005E1103">
        <w:rPr>
          <w:rFonts w:asciiTheme="minorHAnsi" w:hAnsiTheme="minorHAnsi" w:cstheme="minorHAnsi"/>
          <w:color w:val="1A1A1A"/>
          <w:sz w:val="28"/>
          <w:szCs w:val="28"/>
        </w:rPr>
        <w:t xml:space="preserve"> al mes y ayudas para la adquisición de productos de apoyo a estudiantes con discapacidad en cualquier nivel educativo.</w:t>
      </w:r>
    </w:p>
    <w:p w:rsidR="00033066" w:rsidRPr="005E1103" w:rsidRDefault="00033066">
      <w:pPr>
        <w:rPr>
          <w:rFonts w:eastAsia="Calibri" w:cstheme="minorHAnsi"/>
          <w:color w:val="1A1A1A"/>
          <w:sz w:val="28"/>
          <w:szCs w:val="28"/>
        </w:rPr>
      </w:pPr>
      <w:r w:rsidRPr="005E1103">
        <w:rPr>
          <w:rFonts w:cstheme="minorHAnsi"/>
          <w:color w:val="1A1A1A"/>
          <w:sz w:val="28"/>
          <w:szCs w:val="28"/>
        </w:rPr>
        <w:br w:type="page"/>
      </w:r>
    </w:p>
    <w:p w:rsidR="00033066" w:rsidRPr="005E1103" w:rsidRDefault="00033066" w:rsidP="00033066">
      <w:pPr>
        <w:widowControl w:val="0"/>
        <w:autoSpaceDE w:val="0"/>
        <w:autoSpaceDN w:val="0"/>
        <w:adjustRightInd w:val="0"/>
        <w:spacing w:line="360" w:lineRule="auto"/>
        <w:jc w:val="center"/>
        <w:rPr>
          <w:rFonts w:cstheme="minorHAnsi"/>
          <w:b/>
          <w:sz w:val="28"/>
          <w:szCs w:val="28"/>
        </w:rPr>
      </w:pPr>
      <w:r w:rsidRPr="005E1103">
        <w:rPr>
          <w:rFonts w:cstheme="minorHAnsi"/>
          <w:b/>
          <w:sz w:val="28"/>
          <w:szCs w:val="28"/>
        </w:rPr>
        <w:lastRenderedPageBreak/>
        <w:t>COMUNICACIÓN 9</w:t>
      </w:r>
    </w:p>
    <w:tbl>
      <w:tblPr>
        <w:tblStyle w:val="Tablaconcuadrcula"/>
        <w:tblW w:w="0" w:type="auto"/>
        <w:tblLook w:val="04A0" w:firstRow="1" w:lastRow="0" w:firstColumn="1" w:lastColumn="0" w:noHBand="0" w:noVBand="1"/>
      </w:tblPr>
      <w:tblGrid>
        <w:gridCol w:w="8720"/>
      </w:tblGrid>
      <w:tr w:rsidR="00033066" w:rsidRPr="005E1103" w:rsidTr="00033066">
        <w:tc>
          <w:tcPr>
            <w:tcW w:w="9710" w:type="dxa"/>
          </w:tcPr>
          <w:p w:rsidR="00033066" w:rsidRPr="005E1103" w:rsidRDefault="00033066" w:rsidP="00033066">
            <w:pPr>
              <w:spacing w:line="360" w:lineRule="auto"/>
              <w:jc w:val="center"/>
              <w:rPr>
                <w:rFonts w:eastAsia="Times New Roman" w:cstheme="minorHAnsi"/>
                <w:color w:val="222222"/>
                <w:sz w:val="28"/>
                <w:szCs w:val="28"/>
                <w:shd w:val="clear" w:color="auto" w:fill="FFFFFF"/>
                <w:lang w:eastAsia="es-MX"/>
              </w:rPr>
            </w:pPr>
            <w:r w:rsidRPr="005E1103">
              <w:rPr>
                <w:rFonts w:eastAsia="Times New Roman" w:cstheme="minorHAnsi"/>
                <w:color w:val="222222"/>
                <w:sz w:val="28"/>
                <w:szCs w:val="28"/>
                <w:shd w:val="clear" w:color="auto" w:fill="FFFFFF"/>
                <w:lang w:eastAsia="es-MX"/>
              </w:rPr>
              <w:t>Sinergia Social</w:t>
            </w:r>
          </w:p>
        </w:tc>
      </w:tr>
    </w:tbl>
    <w:p w:rsidR="00033066" w:rsidRPr="005E1103" w:rsidRDefault="00033066" w:rsidP="00033066">
      <w:pPr>
        <w:spacing w:after="0" w:line="360" w:lineRule="auto"/>
        <w:jc w:val="center"/>
        <w:rPr>
          <w:rFonts w:eastAsia="Times New Roman" w:cstheme="minorHAnsi"/>
          <w:color w:val="222222"/>
          <w:sz w:val="28"/>
          <w:szCs w:val="28"/>
          <w:shd w:val="clear" w:color="auto" w:fill="FFFFFF"/>
          <w:lang w:eastAsia="es-MX"/>
        </w:rPr>
      </w:pPr>
    </w:p>
    <w:p w:rsidR="00033066" w:rsidRPr="005E1103" w:rsidRDefault="00033066" w:rsidP="00033066">
      <w:pPr>
        <w:spacing w:after="0" w:line="360" w:lineRule="auto"/>
        <w:jc w:val="center"/>
        <w:rPr>
          <w:rFonts w:eastAsia="Times New Roman" w:cstheme="minorHAnsi"/>
          <w:color w:val="222222"/>
          <w:sz w:val="28"/>
          <w:szCs w:val="28"/>
          <w:shd w:val="clear" w:color="auto" w:fill="FFFFFF"/>
          <w:lang w:eastAsia="es-MX"/>
        </w:rPr>
      </w:pPr>
    </w:p>
    <w:p w:rsidR="00033066" w:rsidRPr="005E1103" w:rsidRDefault="00033066" w:rsidP="00033066">
      <w:pPr>
        <w:spacing w:after="0" w:line="360" w:lineRule="auto"/>
        <w:jc w:val="center"/>
        <w:rPr>
          <w:rFonts w:eastAsia="Times New Roman" w:cstheme="minorHAnsi"/>
          <w:sz w:val="28"/>
          <w:szCs w:val="28"/>
          <w:lang w:eastAsia="es-MX"/>
        </w:rPr>
      </w:pPr>
    </w:p>
    <w:p w:rsidR="00033066" w:rsidRPr="005E1103" w:rsidRDefault="00033066" w:rsidP="00033066">
      <w:pPr>
        <w:spacing w:after="0" w:line="360" w:lineRule="auto"/>
        <w:jc w:val="right"/>
        <w:rPr>
          <w:rFonts w:eastAsia="Times New Roman" w:cstheme="minorHAnsi"/>
          <w:sz w:val="28"/>
          <w:szCs w:val="28"/>
          <w:lang w:eastAsia="es-MX"/>
        </w:rPr>
      </w:pPr>
      <w:r w:rsidRPr="005E1103">
        <w:rPr>
          <w:rFonts w:eastAsia="Times New Roman" w:cstheme="minorHAnsi"/>
          <w:color w:val="222222"/>
          <w:sz w:val="28"/>
          <w:szCs w:val="28"/>
          <w:shd w:val="clear" w:color="auto" w:fill="FFFFFF"/>
          <w:lang w:eastAsia="es-MX"/>
        </w:rPr>
        <w:t>Marisol Robles Ruelas</w:t>
      </w:r>
    </w:p>
    <w:p w:rsidR="00033066" w:rsidRPr="005E1103" w:rsidRDefault="00033066" w:rsidP="00033066">
      <w:pPr>
        <w:spacing w:after="0" w:line="360" w:lineRule="auto"/>
        <w:jc w:val="right"/>
        <w:rPr>
          <w:rFonts w:eastAsia="Times New Roman" w:cstheme="minorHAnsi"/>
          <w:color w:val="222222"/>
          <w:sz w:val="28"/>
          <w:szCs w:val="28"/>
          <w:shd w:val="clear" w:color="auto" w:fill="FFFFFF"/>
          <w:lang w:eastAsia="es-MX"/>
        </w:rPr>
      </w:pPr>
      <w:r w:rsidRPr="005E1103">
        <w:rPr>
          <w:rFonts w:eastAsia="Times New Roman" w:cstheme="minorHAnsi"/>
          <w:color w:val="222222"/>
          <w:sz w:val="28"/>
          <w:szCs w:val="28"/>
          <w:shd w:val="clear" w:color="auto" w:fill="FFFFFF"/>
          <w:lang w:eastAsia="es-MX"/>
        </w:rPr>
        <w:t>Coordinadora de Investigación del Colectivo Universidad Incluyente UDG</w:t>
      </w:r>
    </w:p>
    <w:p w:rsidR="00033066" w:rsidRPr="005E1103" w:rsidRDefault="00033066" w:rsidP="00033066">
      <w:pPr>
        <w:spacing w:after="0" w:line="360" w:lineRule="auto"/>
        <w:jc w:val="right"/>
        <w:rPr>
          <w:rFonts w:eastAsia="Times New Roman" w:cstheme="minorHAnsi"/>
          <w:sz w:val="28"/>
          <w:szCs w:val="28"/>
          <w:lang w:eastAsia="es-MX"/>
        </w:rPr>
      </w:pPr>
    </w:p>
    <w:p w:rsidR="00033066" w:rsidRPr="005E1103" w:rsidRDefault="00033066" w:rsidP="00033066">
      <w:pPr>
        <w:spacing w:after="0" w:line="360" w:lineRule="auto"/>
        <w:jc w:val="right"/>
        <w:rPr>
          <w:rFonts w:eastAsia="Times New Roman" w:cstheme="minorHAnsi"/>
          <w:sz w:val="28"/>
          <w:szCs w:val="28"/>
          <w:lang w:eastAsia="es-MX"/>
        </w:rPr>
      </w:pPr>
      <w:r w:rsidRPr="005E1103">
        <w:rPr>
          <w:rFonts w:eastAsia="Times New Roman" w:cstheme="minorHAnsi"/>
          <w:color w:val="222222"/>
          <w:sz w:val="28"/>
          <w:szCs w:val="28"/>
          <w:shd w:val="clear" w:color="auto" w:fill="FFFFFF"/>
          <w:lang w:eastAsia="es-MX"/>
        </w:rPr>
        <w:t>Froylán Mauricio Díaz Rojas</w:t>
      </w:r>
    </w:p>
    <w:p w:rsidR="00033066" w:rsidRPr="005E1103" w:rsidRDefault="00033066" w:rsidP="00033066">
      <w:pPr>
        <w:spacing w:after="0" w:line="360" w:lineRule="auto"/>
        <w:jc w:val="right"/>
        <w:rPr>
          <w:rFonts w:eastAsia="Times New Roman" w:cstheme="minorHAnsi"/>
          <w:color w:val="222222"/>
          <w:sz w:val="28"/>
          <w:szCs w:val="28"/>
          <w:shd w:val="clear" w:color="auto" w:fill="FFFFFF"/>
          <w:lang w:eastAsia="es-MX"/>
        </w:rPr>
      </w:pPr>
      <w:r w:rsidRPr="005E1103">
        <w:rPr>
          <w:rFonts w:eastAsia="Times New Roman" w:cstheme="minorHAnsi"/>
          <w:color w:val="222222"/>
          <w:sz w:val="28"/>
          <w:szCs w:val="28"/>
          <w:shd w:val="clear" w:color="auto" w:fill="FFFFFF"/>
          <w:lang w:eastAsia="es-MX"/>
        </w:rPr>
        <w:t>Coordinador del Colectivo Universidad Incluyente UDG</w:t>
      </w:r>
    </w:p>
    <w:p w:rsidR="00033066" w:rsidRPr="005E1103" w:rsidRDefault="00033066" w:rsidP="00033066">
      <w:pPr>
        <w:spacing w:after="0" w:line="360" w:lineRule="auto"/>
        <w:jc w:val="right"/>
        <w:rPr>
          <w:rFonts w:eastAsia="Times New Roman" w:cstheme="minorHAnsi"/>
          <w:sz w:val="28"/>
          <w:szCs w:val="28"/>
          <w:lang w:eastAsia="es-MX"/>
        </w:rPr>
      </w:pPr>
    </w:p>
    <w:p w:rsidR="00033066" w:rsidRPr="005E1103" w:rsidRDefault="00033066" w:rsidP="00033066">
      <w:pPr>
        <w:spacing w:after="0" w:line="360" w:lineRule="auto"/>
        <w:jc w:val="right"/>
        <w:rPr>
          <w:rFonts w:eastAsia="Times New Roman" w:cstheme="minorHAnsi"/>
          <w:sz w:val="28"/>
          <w:szCs w:val="28"/>
          <w:lang w:eastAsia="es-MX"/>
        </w:rPr>
      </w:pPr>
      <w:r w:rsidRPr="005E1103">
        <w:rPr>
          <w:rFonts w:eastAsia="Times New Roman" w:cstheme="minorHAnsi"/>
          <w:color w:val="222222"/>
          <w:sz w:val="28"/>
          <w:szCs w:val="28"/>
          <w:shd w:val="clear" w:color="auto" w:fill="FFFFFF"/>
          <w:lang w:eastAsia="es-MX"/>
        </w:rPr>
        <w:t>Mark Jonathan Camacho Escatel</w:t>
      </w:r>
    </w:p>
    <w:p w:rsidR="00033066" w:rsidRPr="005E1103" w:rsidRDefault="00033066" w:rsidP="00033066">
      <w:pPr>
        <w:spacing w:after="0" w:line="360" w:lineRule="auto"/>
        <w:jc w:val="right"/>
        <w:rPr>
          <w:rFonts w:eastAsia="Times New Roman" w:cstheme="minorHAnsi"/>
          <w:color w:val="222222"/>
          <w:sz w:val="28"/>
          <w:szCs w:val="28"/>
          <w:shd w:val="clear" w:color="auto" w:fill="FFFFFF"/>
          <w:lang w:eastAsia="es-MX"/>
        </w:rPr>
      </w:pPr>
      <w:r w:rsidRPr="005E1103">
        <w:rPr>
          <w:rFonts w:eastAsia="Times New Roman" w:cstheme="minorHAnsi"/>
          <w:color w:val="222222"/>
          <w:sz w:val="28"/>
          <w:szCs w:val="28"/>
          <w:shd w:val="clear" w:color="auto" w:fill="FFFFFF"/>
          <w:lang w:eastAsia="es-MX"/>
        </w:rPr>
        <w:t>Coordinador de vinculación y gestión de proyectos del Colectivo Universidad Incluyente UDG</w:t>
      </w:r>
    </w:p>
    <w:p w:rsidR="00033066" w:rsidRPr="005E1103" w:rsidRDefault="00033066" w:rsidP="00033066">
      <w:pPr>
        <w:spacing w:after="0" w:line="360" w:lineRule="auto"/>
        <w:jc w:val="right"/>
        <w:rPr>
          <w:rFonts w:eastAsia="Times New Roman" w:cstheme="minorHAnsi"/>
          <w:sz w:val="28"/>
          <w:szCs w:val="28"/>
          <w:lang w:eastAsia="es-MX"/>
        </w:rPr>
      </w:pPr>
    </w:p>
    <w:p w:rsidR="00033066" w:rsidRPr="005E1103" w:rsidRDefault="00033066" w:rsidP="00033066">
      <w:pPr>
        <w:spacing w:after="0" w:line="360" w:lineRule="auto"/>
        <w:jc w:val="right"/>
        <w:rPr>
          <w:rFonts w:eastAsia="Times New Roman" w:cstheme="minorHAnsi"/>
          <w:sz w:val="28"/>
          <w:szCs w:val="28"/>
          <w:lang w:eastAsia="es-MX"/>
        </w:rPr>
      </w:pPr>
      <w:r w:rsidRPr="005E1103">
        <w:rPr>
          <w:rFonts w:eastAsia="Times New Roman" w:cstheme="minorHAnsi"/>
          <w:color w:val="222222"/>
          <w:sz w:val="28"/>
          <w:szCs w:val="28"/>
          <w:shd w:val="clear" w:color="auto" w:fill="FFFFFF"/>
          <w:lang w:eastAsia="es-MX"/>
        </w:rPr>
        <w:t>J. Jesús Calvillo Reynoso</w:t>
      </w:r>
    </w:p>
    <w:p w:rsidR="00033066" w:rsidRPr="005E1103" w:rsidRDefault="00033066" w:rsidP="00033066">
      <w:pPr>
        <w:spacing w:after="0" w:line="360" w:lineRule="auto"/>
        <w:jc w:val="right"/>
        <w:rPr>
          <w:rFonts w:eastAsia="Times New Roman" w:cstheme="minorHAnsi"/>
          <w:color w:val="222222"/>
          <w:sz w:val="28"/>
          <w:szCs w:val="28"/>
          <w:shd w:val="clear" w:color="auto" w:fill="FFFFFF"/>
          <w:lang w:eastAsia="es-MX"/>
        </w:rPr>
      </w:pPr>
      <w:r w:rsidRPr="005E1103">
        <w:rPr>
          <w:rFonts w:eastAsia="Times New Roman" w:cstheme="minorHAnsi"/>
          <w:color w:val="222222"/>
          <w:sz w:val="28"/>
          <w:szCs w:val="28"/>
          <w:shd w:val="clear" w:color="auto" w:fill="FFFFFF"/>
          <w:lang w:eastAsia="es-MX"/>
        </w:rPr>
        <w:t>Coordinador de la Red de Servicios Bibliotecarios para Usuarios con Discapacidad Visual de la Universidad de Guadalajara (UDG)</w:t>
      </w:r>
    </w:p>
    <w:p w:rsidR="00033066" w:rsidRPr="005E1103" w:rsidRDefault="00033066" w:rsidP="00033066">
      <w:pPr>
        <w:spacing w:after="0" w:line="360" w:lineRule="auto"/>
        <w:jc w:val="right"/>
        <w:rPr>
          <w:rFonts w:eastAsia="Times New Roman" w:cstheme="minorHAnsi"/>
          <w:color w:val="222222"/>
          <w:sz w:val="28"/>
          <w:szCs w:val="28"/>
          <w:shd w:val="clear" w:color="auto" w:fill="FFFFFF"/>
          <w:lang w:eastAsia="es-MX"/>
        </w:rPr>
      </w:pPr>
    </w:p>
    <w:p w:rsidR="00033066" w:rsidRPr="005E1103" w:rsidRDefault="00033066" w:rsidP="00033066">
      <w:pPr>
        <w:spacing w:after="0" w:line="360" w:lineRule="auto"/>
        <w:jc w:val="right"/>
        <w:rPr>
          <w:rFonts w:eastAsia="Times New Roman" w:cstheme="minorHAnsi"/>
          <w:sz w:val="28"/>
          <w:szCs w:val="28"/>
          <w:lang w:eastAsia="es-MX"/>
        </w:rPr>
      </w:pPr>
    </w:p>
    <w:p w:rsidR="00033066" w:rsidRPr="005E1103" w:rsidRDefault="00033066" w:rsidP="00033066">
      <w:pPr>
        <w:spacing w:after="0" w:line="360" w:lineRule="auto"/>
        <w:jc w:val="right"/>
        <w:rPr>
          <w:rFonts w:eastAsia="Times New Roman" w:cstheme="minorHAnsi"/>
          <w:sz w:val="28"/>
          <w:szCs w:val="28"/>
          <w:lang w:eastAsia="es-MX"/>
        </w:rPr>
      </w:pPr>
    </w:p>
    <w:p w:rsidR="00033066" w:rsidRPr="005E1103" w:rsidRDefault="00033066" w:rsidP="00033066">
      <w:pPr>
        <w:spacing w:after="0" w:line="360" w:lineRule="auto"/>
        <w:jc w:val="right"/>
        <w:rPr>
          <w:rFonts w:eastAsia="Times New Roman" w:cstheme="minorHAnsi"/>
          <w:sz w:val="28"/>
          <w:szCs w:val="28"/>
          <w:lang w:eastAsia="es-MX"/>
        </w:rPr>
      </w:pPr>
      <w:r w:rsidRPr="005E1103">
        <w:rPr>
          <w:rFonts w:eastAsia="Times New Roman" w:cstheme="minorHAnsi"/>
          <w:color w:val="222222"/>
          <w:sz w:val="28"/>
          <w:szCs w:val="28"/>
          <w:shd w:val="clear" w:color="auto" w:fill="FFFFFF"/>
          <w:lang w:eastAsia="es-MX"/>
        </w:rPr>
        <w:t>“La discapacidad es una condición y/o situación que forma parte del ser humano, la cual se presentará indudablemente en alguna etapa de la vida”.</w:t>
      </w:r>
    </w:p>
    <w:p w:rsidR="00033066" w:rsidRPr="005E1103" w:rsidRDefault="00033066" w:rsidP="00033066">
      <w:pPr>
        <w:spacing w:after="0" w:line="360" w:lineRule="auto"/>
        <w:jc w:val="right"/>
        <w:rPr>
          <w:rFonts w:eastAsia="Times New Roman" w:cstheme="minorHAnsi"/>
          <w:color w:val="222222"/>
          <w:sz w:val="28"/>
          <w:szCs w:val="28"/>
          <w:shd w:val="clear" w:color="auto" w:fill="FFFFFF"/>
          <w:lang w:eastAsia="es-MX"/>
        </w:rPr>
      </w:pPr>
      <w:r w:rsidRPr="005E1103">
        <w:rPr>
          <w:rFonts w:eastAsia="Times New Roman" w:cstheme="minorHAnsi"/>
          <w:color w:val="222222"/>
          <w:sz w:val="28"/>
          <w:szCs w:val="28"/>
          <w:shd w:val="clear" w:color="auto" w:fill="FFFFFF"/>
          <w:lang w:eastAsia="es-MX"/>
        </w:rPr>
        <w:t>Filosofía de la Red Colectivo Universidad Incluyente UDG.</w:t>
      </w:r>
    </w:p>
    <w:p w:rsidR="00033066" w:rsidRPr="005E1103" w:rsidRDefault="00033066" w:rsidP="00033066">
      <w:pPr>
        <w:spacing w:after="0" w:line="360" w:lineRule="auto"/>
        <w:jc w:val="right"/>
        <w:rPr>
          <w:rFonts w:eastAsia="Times New Roman" w:cstheme="minorHAnsi"/>
          <w:sz w:val="28"/>
          <w:szCs w:val="28"/>
          <w:lang w:eastAsia="es-MX"/>
        </w:rPr>
      </w:pPr>
    </w:p>
    <w:p w:rsidR="00033066" w:rsidRPr="005E1103" w:rsidRDefault="00033066" w:rsidP="00033066">
      <w:pPr>
        <w:spacing w:after="0" w:line="360" w:lineRule="auto"/>
        <w:jc w:val="right"/>
        <w:rPr>
          <w:rFonts w:eastAsia="Times New Roman" w:cstheme="minorHAnsi"/>
          <w:sz w:val="28"/>
          <w:szCs w:val="28"/>
          <w:lang w:eastAsia="es-MX"/>
        </w:rPr>
      </w:pPr>
    </w:p>
    <w:p w:rsidR="00033066" w:rsidRPr="005E1103" w:rsidRDefault="00033066" w:rsidP="00033066">
      <w:pPr>
        <w:spacing w:after="0" w:line="360" w:lineRule="auto"/>
        <w:jc w:val="right"/>
        <w:rPr>
          <w:rFonts w:eastAsia="Times New Roman" w:cstheme="minorHAnsi"/>
          <w:sz w:val="28"/>
          <w:szCs w:val="28"/>
          <w:lang w:eastAsia="es-MX"/>
        </w:rPr>
      </w:pPr>
    </w:p>
    <w:p w:rsidR="00033066" w:rsidRPr="005E1103" w:rsidRDefault="00033066" w:rsidP="00033066">
      <w:pPr>
        <w:spacing w:after="0" w:line="360" w:lineRule="auto"/>
        <w:jc w:val="right"/>
        <w:rPr>
          <w:rFonts w:eastAsia="Times New Roman" w:cstheme="minorHAnsi"/>
          <w:sz w:val="28"/>
          <w:szCs w:val="28"/>
          <w:lang w:eastAsia="es-MX"/>
        </w:rPr>
      </w:pPr>
    </w:p>
    <w:p w:rsidR="00033066" w:rsidRPr="005E1103" w:rsidRDefault="00033066" w:rsidP="00033066">
      <w:pPr>
        <w:spacing w:after="0" w:line="360" w:lineRule="auto"/>
        <w:jc w:val="right"/>
        <w:rPr>
          <w:rFonts w:eastAsia="Times New Roman" w:cstheme="minorHAnsi"/>
          <w:sz w:val="28"/>
          <w:szCs w:val="28"/>
          <w:lang w:eastAsia="es-MX"/>
        </w:rPr>
      </w:pPr>
    </w:p>
    <w:p w:rsidR="00033066" w:rsidRPr="005E1103" w:rsidRDefault="00033066" w:rsidP="00033066">
      <w:pPr>
        <w:spacing w:after="0" w:line="360" w:lineRule="auto"/>
        <w:jc w:val="right"/>
        <w:rPr>
          <w:rFonts w:eastAsia="Times New Roman" w:cstheme="minorHAnsi"/>
          <w:sz w:val="28"/>
          <w:szCs w:val="28"/>
          <w:lang w:eastAsia="es-MX"/>
        </w:rPr>
      </w:pPr>
    </w:p>
    <w:p w:rsidR="00033066" w:rsidRPr="005E1103" w:rsidRDefault="00033066" w:rsidP="00033066">
      <w:pPr>
        <w:spacing w:after="0" w:line="360" w:lineRule="auto"/>
        <w:jc w:val="right"/>
        <w:rPr>
          <w:rFonts w:eastAsia="Times New Roman" w:cstheme="minorHAnsi"/>
          <w:sz w:val="28"/>
          <w:szCs w:val="28"/>
          <w:lang w:eastAsia="es-MX"/>
        </w:rPr>
      </w:pPr>
    </w:p>
    <w:p w:rsidR="00033066" w:rsidRPr="005E1103" w:rsidRDefault="00033066" w:rsidP="00033066">
      <w:pPr>
        <w:spacing w:after="0" w:line="360" w:lineRule="auto"/>
        <w:jc w:val="right"/>
        <w:rPr>
          <w:rFonts w:eastAsia="Times New Roman" w:cstheme="minorHAnsi"/>
          <w:sz w:val="28"/>
          <w:szCs w:val="28"/>
          <w:lang w:eastAsia="es-MX"/>
        </w:rPr>
      </w:pPr>
    </w:p>
    <w:p w:rsidR="00033066" w:rsidRPr="005E1103" w:rsidRDefault="00033066" w:rsidP="00033066">
      <w:pPr>
        <w:spacing w:after="0" w:line="360" w:lineRule="auto"/>
        <w:jc w:val="right"/>
        <w:rPr>
          <w:rFonts w:eastAsia="Times New Roman" w:cstheme="minorHAnsi"/>
          <w:sz w:val="28"/>
          <w:szCs w:val="28"/>
          <w:lang w:eastAsia="es-MX"/>
        </w:rPr>
      </w:pPr>
    </w:p>
    <w:p w:rsidR="00033066" w:rsidRPr="005E1103" w:rsidRDefault="00033066" w:rsidP="00033066">
      <w:pPr>
        <w:spacing w:after="0" w:line="360" w:lineRule="auto"/>
        <w:jc w:val="right"/>
        <w:rPr>
          <w:rFonts w:eastAsia="Times New Roman" w:cstheme="minorHAnsi"/>
          <w:sz w:val="28"/>
          <w:szCs w:val="28"/>
          <w:lang w:eastAsia="es-MX"/>
        </w:rPr>
      </w:pPr>
    </w:p>
    <w:p w:rsidR="00033066" w:rsidRPr="005E1103" w:rsidRDefault="00033066" w:rsidP="00033066">
      <w:pPr>
        <w:spacing w:after="0" w:line="360" w:lineRule="auto"/>
        <w:jc w:val="both"/>
        <w:rPr>
          <w:rFonts w:eastAsia="Times New Roman" w:cstheme="minorHAnsi"/>
          <w:sz w:val="28"/>
          <w:szCs w:val="28"/>
          <w:lang w:eastAsia="es-MX"/>
        </w:rPr>
      </w:pPr>
      <w:r w:rsidRPr="005E1103">
        <w:rPr>
          <w:rFonts w:eastAsia="Times New Roman" w:cstheme="minorHAnsi"/>
          <w:color w:val="222222"/>
          <w:sz w:val="28"/>
          <w:szCs w:val="28"/>
          <w:shd w:val="clear" w:color="auto" w:fill="FFFFFF"/>
          <w:lang w:eastAsia="es-MX"/>
        </w:rPr>
        <w:t>Resumen</w:t>
      </w:r>
    </w:p>
    <w:p w:rsidR="00033066" w:rsidRPr="005E1103" w:rsidRDefault="00033066" w:rsidP="00033066">
      <w:pPr>
        <w:spacing w:after="0" w:line="360" w:lineRule="auto"/>
        <w:jc w:val="both"/>
        <w:rPr>
          <w:rFonts w:eastAsia="Times New Roman" w:cstheme="minorHAnsi"/>
          <w:sz w:val="28"/>
          <w:szCs w:val="28"/>
          <w:lang w:eastAsia="es-MX"/>
        </w:rPr>
      </w:pPr>
      <w:r w:rsidRPr="005E1103">
        <w:rPr>
          <w:rFonts w:eastAsia="Times New Roman" w:cstheme="minorHAnsi"/>
          <w:color w:val="000000"/>
          <w:sz w:val="28"/>
          <w:szCs w:val="28"/>
          <w:shd w:val="clear" w:color="auto" w:fill="FFFFFF"/>
          <w:lang w:eastAsia="es-MX"/>
        </w:rPr>
        <w:t>Como comunidad universitaria nos dimos cuenta de la necesidad existente en universidades públicas y privadas de México de ser inclusivas, por lo cual, se generó un proyecto social que abona a la adquisición y difusión de la cultura de inclusión para personas con discapacidad en las Universidades y en la sociedad.</w:t>
      </w:r>
    </w:p>
    <w:p w:rsidR="00033066" w:rsidRPr="005E1103" w:rsidRDefault="00033066" w:rsidP="00033066">
      <w:pPr>
        <w:spacing w:after="0" w:line="360" w:lineRule="auto"/>
        <w:jc w:val="both"/>
        <w:rPr>
          <w:rFonts w:eastAsia="Times New Roman" w:cstheme="minorHAnsi"/>
          <w:sz w:val="28"/>
          <w:szCs w:val="28"/>
          <w:lang w:eastAsia="es-MX"/>
        </w:rPr>
      </w:pPr>
    </w:p>
    <w:p w:rsidR="00033066" w:rsidRPr="005E1103" w:rsidRDefault="00033066" w:rsidP="00033066">
      <w:pPr>
        <w:spacing w:after="0" w:line="360" w:lineRule="auto"/>
        <w:jc w:val="both"/>
        <w:rPr>
          <w:rFonts w:eastAsia="Times New Roman" w:cstheme="minorHAnsi"/>
          <w:sz w:val="28"/>
          <w:szCs w:val="28"/>
          <w:lang w:eastAsia="es-MX"/>
        </w:rPr>
      </w:pPr>
      <w:r w:rsidRPr="005E1103">
        <w:rPr>
          <w:rFonts w:eastAsia="Times New Roman" w:cstheme="minorHAnsi"/>
          <w:color w:val="000000"/>
          <w:sz w:val="28"/>
          <w:szCs w:val="28"/>
          <w:shd w:val="clear" w:color="auto" w:fill="FFFFFF"/>
          <w:lang w:eastAsia="es-MX"/>
        </w:rPr>
        <w:t>Sinergia social es una plataforma web creada y administrada por la comunidad universitaria con y sin discapacidad de la Universidad de Guadalajara (UDG) que tiene como finalidad fomentar, impulsar y documentar las buenas prácticas de inclusión para personas con discapacidad en educación superior, además de  ser un espacio de diálogo universitario donde las comunidades e instituciones de educación superior podrán compartir sus ideas, iniciativas, proyectos  y resultados con la finalidad de sumar esfuerzos en el proceso de transición que actualmente están llevando las universidades latinoamericanas en materia de inclusión y derechos humanos para personas con discapacidad.</w:t>
      </w:r>
    </w:p>
    <w:p w:rsidR="00033066" w:rsidRPr="005E1103" w:rsidRDefault="00033066" w:rsidP="00033066">
      <w:pPr>
        <w:spacing w:after="0" w:line="360" w:lineRule="auto"/>
        <w:jc w:val="both"/>
        <w:rPr>
          <w:rFonts w:eastAsia="Times New Roman" w:cstheme="minorHAnsi"/>
          <w:color w:val="000000"/>
          <w:sz w:val="28"/>
          <w:szCs w:val="28"/>
          <w:shd w:val="clear" w:color="auto" w:fill="FFFFFF"/>
          <w:lang w:eastAsia="es-MX"/>
        </w:rPr>
      </w:pPr>
      <w:r w:rsidRPr="005E1103">
        <w:rPr>
          <w:rFonts w:eastAsia="Times New Roman" w:cstheme="minorHAnsi"/>
          <w:color w:val="000000"/>
          <w:sz w:val="28"/>
          <w:szCs w:val="28"/>
          <w:shd w:val="clear" w:color="auto" w:fill="FFFFFF"/>
          <w:lang w:eastAsia="es-MX"/>
        </w:rPr>
        <w:t xml:space="preserve">Para el desarrollo de la plataforma se ha contado con la colaboración de la Red Colectivo Universidad Incluyente UDG y la Coordinación General de </w:t>
      </w:r>
      <w:r w:rsidRPr="005E1103">
        <w:rPr>
          <w:rFonts w:eastAsia="Times New Roman" w:cstheme="minorHAnsi"/>
          <w:color w:val="000000"/>
          <w:sz w:val="28"/>
          <w:szCs w:val="28"/>
          <w:shd w:val="clear" w:color="auto" w:fill="FFFFFF"/>
          <w:lang w:eastAsia="es-MX"/>
        </w:rPr>
        <w:lastRenderedPageBreak/>
        <w:t>Tecnologías de la información (CGTI) de la Universidad de Guadalajara, además del respaldo y participación de la Red de Estudiantes Latinoamericanos por la Inclusión RELPI.</w:t>
      </w:r>
    </w:p>
    <w:p w:rsidR="00033066" w:rsidRPr="005E1103" w:rsidRDefault="00033066" w:rsidP="00033066">
      <w:pPr>
        <w:spacing w:after="0" w:line="360" w:lineRule="auto"/>
        <w:jc w:val="both"/>
        <w:rPr>
          <w:rFonts w:eastAsia="Times New Roman" w:cstheme="minorHAnsi"/>
          <w:color w:val="222222"/>
          <w:sz w:val="28"/>
          <w:szCs w:val="28"/>
          <w:shd w:val="clear" w:color="auto" w:fill="FFFFFF"/>
          <w:lang w:eastAsia="es-MX"/>
        </w:rPr>
      </w:pPr>
    </w:p>
    <w:p w:rsidR="00033066" w:rsidRPr="005E1103" w:rsidRDefault="00033066" w:rsidP="00033066">
      <w:pPr>
        <w:spacing w:after="0" w:line="360" w:lineRule="auto"/>
        <w:jc w:val="both"/>
        <w:rPr>
          <w:rFonts w:eastAsia="Times New Roman" w:cstheme="minorHAnsi"/>
          <w:sz w:val="28"/>
          <w:szCs w:val="28"/>
          <w:lang w:eastAsia="es-MX"/>
        </w:rPr>
      </w:pPr>
    </w:p>
    <w:p w:rsidR="00033066" w:rsidRPr="005E1103" w:rsidRDefault="00033066" w:rsidP="00033066">
      <w:pPr>
        <w:spacing w:after="0" w:line="360" w:lineRule="auto"/>
        <w:jc w:val="both"/>
        <w:rPr>
          <w:rFonts w:eastAsia="Times New Roman" w:cstheme="minorHAnsi"/>
          <w:sz w:val="28"/>
          <w:szCs w:val="28"/>
          <w:lang w:val="en-US" w:eastAsia="es-MX"/>
        </w:rPr>
      </w:pPr>
      <w:r w:rsidRPr="005E1103">
        <w:rPr>
          <w:rFonts w:eastAsia="Times New Roman" w:cstheme="minorHAnsi"/>
          <w:color w:val="000000"/>
          <w:sz w:val="28"/>
          <w:szCs w:val="28"/>
          <w:lang w:val="en-US" w:eastAsia="es-MX"/>
        </w:rPr>
        <w:t>Abstract</w:t>
      </w:r>
    </w:p>
    <w:p w:rsidR="00033066" w:rsidRPr="005E1103" w:rsidRDefault="00033066" w:rsidP="00033066">
      <w:pPr>
        <w:spacing w:after="0" w:line="360" w:lineRule="auto"/>
        <w:jc w:val="both"/>
        <w:rPr>
          <w:rFonts w:eastAsia="Times New Roman" w:cstheme="minorHAnsi"/>
          <w:sz w:val="28"/>
          <w:szCs w:val="28"/>
          <w:lang w:val="en-US" w:eastAsia="es-MX"/>
        </w:rPr>
      </w:pPr>
      <w:r w:rsidRPr="005E1103">
        <w:rPr>
          <w:rFonts w:eastAsia="Times New Roman" w:cstheme="minorHAnsi"/>
          <w:color w:val="000000"/>
          <w:sz w:val="28"/>
          <w:szCs w:val="28"/>
          <w:lang w:val="en-US" w:eastAsia="es-MX"/>
        </w:rPr>
        <w:t>As a university community we realized the need in Mexico’s public and private universities to be inclusive, therefore, we generate a social project that contributes to the acquisition and dissemination of the culture of inclusion for people with disabilities in universities and in society.</w:t>
      </w:r>
    </w:p>
    <w:p w:rsidR="00033066" w:rsidRPr="005E1103" w:rsidRDefault="00033066" w:rsidP="00033066">
      <w:pPr>
        <w:spacing w:after="0" w:line="360" w:lineRule="auto"/>
        <w:jc w:val="both"/>
        <w:rPr>
          <w:rFonts w:eastAsia="Times New Roman" w:cstheme="minorHAnsi"/>
          <w:sz w:val="28"/>
          <w:szCs w:val="28"/>
          <w:lang w:val="en-US" w:eastAsia="es-MX"/>
        </w:rPr>
      </w:pPr>
      <w:r w:rsidRPr="005E1103">
        <w:rPr>
          <w:rFonts w:eastAsia="Times New Roman" w:cstheme="minorHAnsi"/>
          <w:color w:val="000000"/>
          <w:sz w:val="28"/>
          <w:szCs w:val="28"/>
          <w:lang w:val="en-US" w:eastAsia="es-MX"/>
        </w:rPr>
        <w:t>“Sinergia Social (social Synergy)” is a web platform created and managed by the university community with and without disabilities at the University of Guadalajara which it aims to encourage, promote and document good practices of inclusion for people with disabilities in higher education, it is a space for dialogue where communities and institutions of higher education can share their ideas, initiatives, projects and results in order to join efforts in the transition process currently leading the Latin American Universities in terms of inclusion and human rights for people with disabilities.</w:t>
      </w:r>
    </w:p>
    <w:p w:rsidR="00033066" w:rsidRPr="005E1103" w:rsidRDefault="00033066" w:rsidP="00033066">
      <w:pPr>
        <w:spacing w:after="0" w:line="360" w:lineRule="auto"/>
        <w:jc w:val="both"/>
        <w:rPr>
          <w:rFonts w:eastAsia="Times New Roman" w:cstheme="minorHAnsi"/>
          <w:sz w:val="28"/>
          <w:szCs w:val="28"/>
          <w:lang w:val="en-US" w:eastAsia="es-MX"/>
        </w:rPr>
      </w:pPr>
      <w:r w:rsidRPr="005E1103">
        <w:rPr>
          <w:rFonts w:eastAsia="Times New Roman" w:cstheme="minorHAnsi"/>
          <w:color w:val="000000"/>
          <w:sz w:val="28"/>
          <w:szCs w:val="28"/>
          <w:lang w:val="en-US" w:eastAsia="es-MX"/>
        </w:rPr>
        <w:t>For the development of the platform has enjoyed the cooperation of the network of Inclusive University’s Collective (Colectivo Universidad Incluyente) and the General Coordination of Information Technology at the University of Guadalajara (CGTI) in addition to the support and participation of the Network of Latin American Students for Inclusion RELPI.</w:t>
      </w:r>
    </w:p>
    <w:p w:rsidR="00033066" w:rsidRPr="005E1103" w:rsidRDefault="00033066" w:rsidP="00033066">
      <w:pPr>
        <w:spacing w:after="0" w:line="360" w:lineRule="auto"/>
        <w:jc w:val="right"/>
        <w:rPr>
          <w:rFonts w:eastAsia="Times New Roman" w:cstheme="minorHAnsi"/>
          <w:sz w:val="28"/>
          <w:szCs w:val="28"/>
          <w:lang w:val="en-US" w:eastAsia="es-MX"/>
        </w:rPr>
      </w:pPr>
    </w:p>
    <w:p w:rsidR="00033066" w:rsidRPr="005E1103" w:rsidRDefault="00033066" w:rsidP="00033066">
      <w:pPr>
        <w:spacing w:after="0" w:line="360" w:lineRule="auto"/>
        <w:jc w:val="both"/>
        <w:rPr>
          <w:rFonts w:eastAsia="Times New Roman" w:cstheme="minorHAnsi"/>
          <w:color w:val="222222"/>
          <w:sz w:val="28"/>
          <w:szCs w:val="28"/>
          <w:shd w:val="clear" w:color="auto" w:fill="FFFFFF"/>
          <w:lang w:val="en-US" w:eastAsia="es-MX"/>
        </w:rPr>
      </w:pPr>
    </w:p>
    <w:p w:rsidR="00033066" w:rsidRPr="005E1103" w:rsidRDefault="00033066" w:rsidP="00033066">
      <w:pPr>
        <w:spacing w:after="0" w:line="360" w:lineRule="auto"/>
        <w:jc w:val="both"/>
        <w:rPr>
          <w:rFonts w:eastAsia="Times New Roman" w:cstheme="minorHAnsi"/>
          <w:color w:val="222222"/>
          <w:sz w:val="28"/>
          <w:szCs w:val="28"/>
          <w:shd w:val="clear" w:color="auto" w:fill="FFFFFF"/>
          <w:lang w:eastAsia="es-MX"/>
        </w:rPr>
      </w:pPr>
      <w:r w:rsidRPr="005E1103">
        <w:rPr>
          <w:rFonts w:eastAsia="Times New Roman" w:cstheme="minorHAnsi"/>
          <w:color w:val="222222"/>
          <w:sz w:val="28"/>
          <w:szCs w:val="28"/>
          <w:shd w:val="clear" w:color="auto" w:fill="FFFFFF"/>
          <w:lang w:eastAsia="es-MX"/>
        </w:rPr>
        <w:lastRenderedPageBreak/>
        <w:t>Introducción</w:t>
      </w:r>
    </w:p>
    <w:p w:rsidR="00033066" w:rsidRPr="005E1103" w:rsidRDefault="00033066" w:rsidP="00033066">
      <w:pPr>
        <w:spacing w:after="0" w:line="360" w:lineRule="auto"/>
        <w:jc w:val="both"/>
        <w:rPr>
          <w:rFonts w:eastAsia="Times New Roman" w:cstheme="minorHAnsi"/>
          <w:color w:val="222222"/>
          <w:sz w:val="28"/>
          <w:szCs w:val="28"/>
          <w:shd w:val="clear" w:color="auto" w:fill="FFFFFF"/>
          <w:lang w:eastAsia="es-MX"/>
        </w:rPr>
      </w:pPr>
    </w:p>
    <w:p w:rsidR="00033066" w:rsidRPr="005E1103" w:rsidRDefault="00033066" w:rsidP="00033066">
      <w:pPr>
        <w:spacing w:after="0" w:line="360" w:lineRule="auto"/>
        <w:jc w:val="both"/>
        <w:rPr>
          <w:rFonts w:eastAsia="Times New Roman" w:cstheme="minorHAnsi"/>
          <w:sz w:val="28"/>
          <w:szCs w:val="28"/>
          <w:lang w:eastAsia="es-MX"/>
        </w:rPr>
      </w:pPr>
      <w:r w:rsidRPr="005E1103">
        <w:rPr>
          <w:rFonts w:eastAsia="Times New Roman" w:cstheme="minorHAnsi"/>
          <w:color w:val="222222"/>
          <w:sz w:val="28"/>
          <w:szCs w:val="28"/>
          <w:shd w:val="clear" w:color="auto" w:fill="FFFFFF"/>
          <w:lang w:eastAsia="es-MX"/>
        </w:rPr>
        <w:t>El colectivo universidad incluyente UDG, es una iniciativa de integrantes de la comunidad universitaria con y sin discapacidad que nace en un salón de clases en el 2013 la cual se consolida con la experiencia y legado del proyecto Oscar creado en el 2005.  El colectivo es una unidad de gestión y creación de proyectos de alto impacto para la atención a la diversidad de la comunidad universitaria con discapacidad, actualmente somos una Red de Colectivos conformada por estudiantes, egresados, trabajadores, docentes con y sin discapacidad de la Universidad de Guadalajara que tiene dentro de sus objetivos la resignificación del término “Discapacidad” en el imaginario colectivo, esto de acuerdo con la Convención sobre los derechos de las personas con discapacidad celebrada en el 2006 por la Organización de las Naciones Unidas (ONU), que la define como “un concepto que evoluciona y que resulta de la interacción entre las personas con deficiencias y las barreras debidas a la actitud y al entorno que evitan su participación plena y efectiva en la sociedad, en igualdad de condiciones con las demás”(ONU, 2006:2). Es decir, debemos resaltar el valor de la diversidad y no el de las diferencias, teniendo como base el respeto, principio fundamental de la inclusión.</w:t>
      </w:r>
    </w:p>
    <w:p w:rsidR="00033066" w:rsidRPr="005E1103" w:rsidRDefault="00033066" w:rsidP="00033066">
      <w:pPr>
        <w:spacing w:after="0" w:line="360" w:lineRule="auto"/>
        <w:jc w:val="both"/>
        <w:rPr>
          <w:rFonts w:eastAsia="Times New Roman" w:cstheme="minorHAnsi"/>
          <w:sz w:val="28"/>
          <w:szCs w:val="28"/>
          <w:lang w:eastAsia="es-MX"/>
        </w:rPr>
      </w:pPr>
    </w:p>
    <w:p w:rsidR="00033066" w:rsidRPr="005E1103" w:rsidRDefault="00033066" w:rsidP="00033066">
      <w:pPr>
        <w:spacing w:after="0" w:line="360" w:lineRule="auto"/>
        <w:jc w:val="both"/>
        <w:rPr>
          <w:rFonts w:eastAsia="Times New Roman" w:cstheme="minorHAnsi"/>
          <w:color w:val="000000"/>
          <w:sz w:val="28"/>
          <w:szCs w:val="28"/>
          <w:lang w:eastAsia="es-MX"/>
        </w:rPr>
      </w:pPr>
      <w:r w:rsidRPr="005E1103">
        <w:rPr>
          <w:rFonts w:eastAsia="Times New Roman" w:cstheme="minorHAnsi"/>
          <w:color w:val="222222"/>
          <w:sz w:val="28"/>
          <w:szCs w:val="28"/>
          <w:shd w:val="clear" w:color="auto" w:fill="FFFFFF"/>
          <w:lang w:eastAsia="es-MX"/>
        </w:rPr>
        <w:t>La plataforma sinergia social es una herramienta que fomenta la creación, documentación y difusión de buenas prácticas que contribuyan a la adquisición de la cultura de la discapacidad, entendiendo</w:t>
      </w:r>
      <w:r w:rsidRPr="005E1103">
        <w:rPr>
          <w:rFonts w:eastAsia="Times New Roman" w:cstheme="minorHAnsi"/>
          <w:color w:val="000000"/>
          <w:sz w:val="28"/>
          <w:szCs w:val="28"/>
          <w:lang w:eastAsia="es-MX"/>
        </w:rPr>
        <w:t xml:space="preserve"> por buena práctica “una iniciativa, una política o un modelo de actuación exitoso que mejora, a la postre, los procesos escolares y los resultados educativos de los alumnos los atributos del concepto, los rasgos que lo caracterizan. En </w:t>
      </w:r>
      <w:r w:rsidRPr="005E1103">
        <w:rPr>
          <w:rFonts w:eastAsia="Times New Roman" w:cstheme="minorHAnsi"/>
          <w:color w:val="000000"/>
          <w:sz w:val="28"/>
          <w:szCs w:val="28"/>
          <w:lang w:eastAsia="es-MX"/>
        </w:rPr>
        <w:lastRenderedPageBreak/>
        <w:t xml:space="preserve">términos generales, una buena práctica ha de ser: Innovadora, desarrolla soluciones nuevas o creativas, efectiva, demuestra un impacto positivo y tangible sobre la mejora, sostenible, por sus exigencias sociales, económicas y medioambientales pueden mantenerse en el tiempo y producir efectos duraderos, replicable, sirve como modelo para desarrollar políticas, iniciativas y actuaciones en otros lugares” (MAEC, p.1). </w:t>
      </w:r>
      <w:r w:rsidRPr="005E1103">
        <w:rPr>
          <w:rFonts w:eastAsia="Times New Roman" w:cstheme="minorHAnsi"/>
          <w:sz w:val="28"/>
          <w:szCs w:val="28"/>
          <w:lang w:eastAsia="es-MX"/>
        </w:rPr>
        <w:t xml:space="preserve"> </w:t>
      </w:r>
    </w:p>
    <w:p w:rsidR="00033066" w:rsidRPr="005E1103" w:rsidRDefault="00033066" w:rsidP="00033066">
      <w:pPr>
        <w:spacing w:after="0" w:line="360" w:lineRule="auto"/>
        <w:jc w:val="both"/>
        <w:rPr>
          <w:rFonts w:eastAsia="Times New Roman" w:cstheme="minorHAnsi"/>
          <w:sz w:val="28"/>
          <w:szCs w:val="28"/>
          <w:lang w:eastAsia="es-MX"/>
        </w:rPr>
      </w:pPr>
    </w:p>
    <w:p w:rsidR="00033066" w:rsidRPr="005E1103" w:rsidRDefault="00033066" w:rsidP="00033066">
      <w:pPr>
        <w:spacing w:after="0" w:line="360" w:lineRule="auto"/>
        <w:jc w:val="both"/>
        <w:rPr>
          <w:rFonts w:eastAsia="Times New Roman" w:cstheme="minorHAnsi"/>
          <w:sz w:val="28"/>
          <w:szCs w:val="28"/>
          <w:lang w:eastAsia="es-MX"/>
        </w:rPr>
      </w:pPr>
      <w:r w:rsidRPr="005E1103">
        <w:rPr>
          <w:rFonts w:eastAsia="Times New Roman" w:cstheme="minorHAnsi"/>
          <w:color w:val="222222"/>
          <w:sz w:val="28"/>
          <w:szCs w:val="28"/>
          <w:shd w:val="clear" w:color="auto" w:fill="FFFFFF"/>
          <w:lang w:eastAsia="es-MX"/>
        </w:rPr>
        <w:t xml:space="preserve">Sinergia social fue creada a partir de las experiencias previas de nuestros compañeros de la Red colectivo universidad incluyente con la finalidad de salvaguardar los procesos y metodologías usadas en cada caso dado que el valor de una buena práctica se encuentra en función del espacio de reflexión entre el alumno y el docente. </w:t>
      </w:r>
    </w:p>
    <w:p w:rsidR="00033066" w:rsidRPr="005E1103" w:rsidRDefault="00033066" w:rsidP="00033066">
      <w:pPr>
        <w:spacing w:after="0" w:line="360" w:lineRule="auto"/>
        <w:jc w:val="both"/>
        <w:rPr>
          <w:rFonts w:eastAsia="Times New Roman" w:cstheme="minorHAnsi"/>
          <w:sz w:val="28"/>
          <w:szCs w:val="28"/>
          <w:lang w:eastAsia="es-MX"/>
        </w:rPr>
      </w:pPr>
    </w:p>
    <w:p w:rsidR="00033066" w:rsidRPr="005E1103" w:rsidRDefault="00033066" w:rsidP="00033066">
      <w:pPr>
        <w:spacing w:after="0" w:line="360" w:lineRule="auto"/>
        <w:jc w:val="both"/>
        <w:rPr>
          <w:rFonts w:eastAsia="Times New Roman" w:cstheme="minorHAnsi"/>
          <w:color w:val="222222"/>
          <w:sz w:val="28"/>
          <w:szCs w:val="28"/>
          <w:shd w:val="clear" w:color="auto" w:fill="FFFFFF"/>
          <w:lang w:eastAsia="es-MX"/>
        </w:rPr>
      </w:pPr>
      <w:r w:rsidRPr="005E1103">
        <w:rPr>
          <w:rFonts w:eastAsia="Times New Roman" w:cstheme="minorHAnsi"/>
          <w:color w:val="222222"/>
          <w:sz w:val="28"/>
          <w:szCs w:val="28"/>
          <w:shd w:val="clear" w:color="auto" w:fill="FFFFFF"/>
          <w:lang w:eastAsia="es-MX"/>
        </w:rPr>
        <w:t>A continuación, ejemplificamos lo antes mencionado con la experiencia de nuestro compañero Froylán Mauricio Díaz Rojas en la materia de métodos cuantitativos que fue parteaguas para la creación del programa tutor par, que a través de esta sistematización y recuperación se ha estado replicando en ciclos escolares con diversos compañeros con discapacidad visual en la Universidad de Guadalajara.</w:t>
      </w:r>
    </w:p>
    <w:p w:rsidR="00033066" w:rsidRPr="005E1103" w:rsidRDefault="00033066" w:rsidP="00033066">
      <w:pPr>
        <w:spacing w:after="0" w:line="360" w:lineRule="auto"/>
        <w:jc w:val="both"/>
        <w:rPr>
          <w:rFonts w:eastAsia="Times New Roman" w:cstheme="minorHAnsi"/>
          <w:sz w:val="28"/>
          <w:szCs w:val="28"/>
          <w:lang w:eastAsia="es-MX"/>
        </w:rPr>
      </w:pPr>
    </w:p>
    <w:p w:rsidR="00033066" w:rsidRPr="005E1103" w:rsidRDefault="00033066" w:rsidP="00033066">
      <w:pPr>
        <w:spacing w:after="0" w:line="360" w:lineRule="auto"/>
        <w:jc w:val="both"/>
        <w:rPr>
          <w:rFonts w:eastAsia="Times New Roman" w:cstheme="minorHAnsi"/>
          <w:sz w:val="28"/>
          <w:szCs w:val="28"/>
          <w:lang w:eastAsia="es-MX"/>
        </w:rPr>
      </w:pPr>
      <w:r w:rsidRPr="005E1103">
        <w:rPr>
          <w:rFonts w:eastAsia="Times New Roman" w:cstheme="minorHAnsi"/>
          <w:color w:val="222222"/>
          <w:sz w:val="28"/>
          <w:szCs w:val="28"/>
          <w:shd w:val="clear" w:color="auto" w:fill="FFFFFF"/>
          <w:lang w:eastAsia="es-MX"/>
        </w:rPr>
        <w:t>“Mi experiencia previa a la etapa universitaria en cuanto a materias de métodos cuantitativos, no había sido de lo más satisfactorio y productivo en cuanto a conocimientos adquiridos por mi parte, sobre todo en la preparatoria, ya que en esta etapa no existió el interés de analizar, buscar y ejecutar buenas prácticas o adecuaciones que faciliten y mejoren el proceso de enseñanza aprendizaje.</w:t>
      </w:r>
    </w:p>
    <w:p w:rsidR="00033066" w:rsidRPr="005E1103" w:rsidRDefault="00033066" w:rsidP="00033066">
      <w:pPr>
        <w:spacing w:after="0" w:line="360" w:lineRule="auto"/>
        <w:jc w:val="both"/>
        <w:rPr>
          <w:rFonts w:eastAsia="Times New Roman" w:cstheme="minorHAnsi"/>
          <w:color w:val="222222"/>
          <w:sz w:val="28"/>
          <w:szCs w:val="28"/>
          <w:shd w:val="clear" w:color="auto" w:fill="FFFFFF"/>
          <w:lang w:eastAsia="es-MX"/>
        </w:rPr>
      </w:pPr>
    </w:p>
    <w:p w:rsidR="00033066" w:rsidRPr="005E1103" w:rsidRDefault="00033066" w:rsidP="00033066">
      <w:pPr>
        <w:spacing w:after="0" w:line="360" w:lineRule="auto"/>
        <w:jc w:val="both"/>
        <w:rPr>
          <w:rFonts w:eastAsia="Times New Roman" w:cstheme="minorHAnsi"/>
          <w:sz w:val="28"/>
          <w:szCs w:val="28"/>
          <w:lang w:eastAsia="es-MX"/>
        </w:rPr>
      </w:pPr>
      <w:r w:rsidRPr="005E1103">
        <w:rPr>
          <w:rFonts w:eastAsia="Times New Roman" w:cstheme="minorHAnsi"/>
          <w:color w:val="222222"/>
          <w:sz w:val="28"/>
          <w:szCs w:val="28"/>
          <w:shd w:val="clear" w:color="auto" w:fill="FFFFFF"/>
          <w:lang w:eastAsia="es-MX"/>
        </w:rPr>
        <w:t xml:space="preserve">Al comenzar el primer semestre de la licenciatura de recursos humanos en el centro de ciencias económico administrativas de la universidad de Guadalajara, me encontré nuevamente con las dificultades que conlleva cursar materias de métodos cuantitativos teniendo discapacidad visual. </w:t>
      </w:r>
    </w:p>
    <w:p w:rsidR="00033066" w:rsidRPr="005E1103" w:rsidRDefault="00033066" w:rsidP="00033066">
      <w:pPr>
        <w:spacing w:after="0" w:line="360" w:lineRule="auto"/>
        <w:jc w:val="both"/>
        <w:rPr>
          <w:rFonts w:eastAsia="Times New Roman" w:cstheme="minorHAnsi"/>
          <w:color w:val="222222"/>
          <w:sz w:val="28"/>
          <w:szCs w:val="28"/>
          <w:shd w:val="clear" w:color="auto" w:fill="FFFFFF"/>
          <w:lang w:eastAsia="es-MX"/>
        </w:rPr>
      </w:pPr>
    </w:p>
    <w:p w:rsidR="00033066" w:rsidRPr="005E1103" w:rsidRDefault="00033066" w:rsidP="00033066">
      <w:pPr>
        <w:spacing w:after="0" w:line="360" w:lineRule="auto"/>
        <w:jc w:val="both"/>
        <w:rPr>
          <w:rFonts w:eastAsia="Times New Roman" w:cstheme="minorHAnsi"/>
          <w:sz w:val="28"/>
          <w:szCs w:val="28"/>
          <w:lang w:eastAsia="es-MX"/>
        </w:rPr>
      </w:pPr>
      <w:r w:rsidRPr="005E1103">
        <w:rPr>
          <w:rFonts w:eastAsia="Times New Roman" w:cstheme="minorHAnsi"/>
          <w:color w:val="222222"/>
          <w:sz w:val="28"/>
          <w:szCs w:val="28"/>
          <w:shd w:val="clear" w:color="auto" w:fill="FFFFFF"/>
          <w:lang w:eastAsia="es-MX"/>
        </w:rPr>
        <w:t>En la asignatura de matemáticas 1 dentro del primer semestre, la angustia por mi parte comenzó a surgir al no entender las enseñanzas impartidas por el maestro, el cual también se preguntaba cuál sería la forma más viable para lograr que un alumno con discapacidad visual consiguiera aprender y aplicar los temas que indicaba el programa de la materia, temas que en su mayoría eran de algebra.  Al final del curso y con un aprendizaje algo deficiente consejo aprobar la materia con más preguntas que respuestas.</w:t>
      </w:r>
    </w:p>
    <w:p w:rsidR="00033066" w:rsidRPr="005E1103" w:rsidRDefault="00033066" w:rsidP="00033066">
      <w:pPr>
        <w:spacing w:after="0" w:line="360" w:lineRule="auto"/>
        <w:jc w:val="both"/>
        <w:rPr>
          <w:rFonts w:eastAsia="Times New Roman" w:cstheme="minorHAnsi"/>
          <w:color w:val="222222"/>
          <w:sz w:val="28"/>
          <w:szCs w:val="28"/>
          <w:shd w:val="clear" w:color="auto" w:fill="FFFFFF"/>
          <w:lang w:eastAsia="es-MX"/>
        </w:rPr>
      </w:pPr>
    </w:p>
    <w:p w:rsidR="00033066" w:rsidRPr="005E1103" w:rsidRDefault="00033066" w:rsidP="00033066">
      <w:pPr>
        <w:spacing w:after="0" w:line="360" w:lineRule="auto"/>
        <w:jc w:val="both"/>
        <w:rPr>
          <w:rFonts w:eastAsia="Times New Roman" w:cstheme="minorHAnsi"/>
          <w:sz w:val="28"/>
          <w:szCs w:val="28"/>
          <w:lang w:eastAsia="es-MX"/>
        </w:rPr>
      </w:pPr>
      <w:r w:rsidRPr="005E1103">
        <w:rPr>
          <w:rFonts w:eastAsia="Times New Roman" w:cstheme="minorHAnsi"/>
          <w:color w:val="222222"/>
          <w:sz w:val="28"/>
          <w:szCs w:val="28"/>
          <w:shd w:val="clear" w:color="auto" w:fill="FFFFFF"/>
          <w:lang w:eastAsia="es-MX"/>
        </w:rPr>
        <w:t>Al cursar matemáticas 2, la problemática fue la misma, pero con base a las experiencias previas decidí que no volviera a ocurrir lo mismo, esta vez expondría mi caso ante las autoridades correspondientes con el apoyo del maestro que impartía la materia. El maestro y yo expusimos la situación a la que entonces fungía como la jefa de departamento de métodos cuantitativos Laura Plazola Zamora, la cual le interesó el caso y se involucró activamente en la resolución del mismo.</w:t>
      </w:r>
    </w:p>
    <w:p w:rsidR="00033066" w:rsidRPr="005E1103" w:rsidRDefault="00033066" w:rsidP="00033066">
      <w:pPr>
        <w:spacing w:after="0" w:line="360" w:lineRule="auto"/>
        <w:jc w:val="both"/>
        <w:rPr>
          <w:rFonts w:eastAsia="Times New Roman" w:cstheme="minorHAnsi"/>
          <w:color w:val="222222"/>
          <w:sz w:val="28"/>
          <w:szCs w:val="28"/>
          <w:shd w:val="clear" w:color="auto" w:fill="FFFFFF"/>
          <w:lang w:eastAsia="es-MX"/>
        </w:rPr>
      </w:pPr>
    </w:p>
    <w:p w:rsidR="00033066" w:rsidRPr="005E1103" w:rsidRDefault="00033066" w:rsidP="00033066">
      <w:pPr>
        <w:spacing w:after="0" w:line="360" w:lineRule="auto"/>
        <w:jc w:val="both"/>
        <w:rPr>
          <w:rFonts w:eastAsia="Times New Roman" w:cstheme="minorHAnsi"/>
          <w:color w:val="222222"/>
          <w:sz w:val="28"/>
          <w:szCs w:val="28"/>
          <w:shd w:val="clear" w:color="auto" w:fill="FFFFFF"/>
          <w:lang w:eastAsia="es-MX"/>
        </w:rPr>
      </w:pPr>
      <w:r w:rsidRPr="005E1103">
        <w:rPr>
          <w:rFonts w:eastAsia="Times New Roman" w:cstheme="minorHAnsi"/>
          <w:color w:val="222222"/>
          <w:sz w:val="28"/>
          <w:szCs w:val="28"/>
          <w:shd w:val="clear" w:color="auto" w:fill="FFFFFF"/>
          <w:lang w:eastAsia="es-MX"/>
        </w:rPr>
        <w:t>A continuación, puntualizaré y detallaré las acciones realizadas por la Dra. Laura Plazola para el análisis y solución a la problemática en el proceso de enseñanza aprendizaje en materias de métodos cuantitativos para un alumno con discapacidad visual.</w:t>
      </w:r>
    </w:p>
    <w:p w:rsidR="00033066" w:rsidRPr="005E1103" w:rsidRDefault="00033066" w:rsidP="00033066">
      <w:pPr>
        <w:spacing w:after="0" w:line="360" w:lineRule="auto"/>
        <w:jc w:val="both"/>
        <w:rPr>
          <w:rFonts w:eastAsia="Times New Roman" w:cstheme="minorHAnsi"/>
          <w:sz w:val="28"/>
          <w:szCs w:val="28"/>
          <w:lang w:eastAsia="es-MX"/>
        </w:rPr>
      </w:pPr>
    </w:p>
    <w:p w:rsidR="00033066" w:rsidRPr="005E1103" w:rsidRDefault="00033066" w:rsidP="00033066">
      <w:pPr>
        <w:pStyle w:val="Prrafodelista"/>
        <w:numPr>
          <w:ilvl w:val="0"/>
          <w:numId w:val="136"/>
        </w:numPr>
        <w:spacing w:before="0" w:line="360" w:lineRule="auto"/>
        <w:jc w:val="both"/>
        <w:rPr>
          <w:rFonts w:asciiTheme="minorHAnsi" w:eastAsia="Times New Roman" w:hAnsiTheme="minorHAnsi" w:cstheme="minorHAnsi"/>
          <w:sz w:val="28"/>
          <w:szCs w:val="28"/>
          <w:lang w:eastAsia="es-MX"/>
        </w:rPr>
      </w:pPr>
      <w:r w:rsidRPr="005E1103">
        <w:rPr>
          <w:rFonts w:asciiTheme="minorHAnsi" w:eastAsia="Times New Roman" w:hAnsiTheme="minorHAnsi" w:cstheme="minorHAnsi"/>
          <w:color w:val="222222"/>
          <w:sz w:val="28"/>
          <w:szCs w:val="28"/>
          <w:shd w:val="clear" w:color="auto" w:fill="FFFFFF"/>
          <w:lang w:eastAsia="es-MX"/>
        </w:rPr>
        <w:t>formar un equipo de trabajo.</w:t>
      </w:r>
    </w:p>
    <w:p w:rsidR="00033066" w:rsidRPr="005E1103" w:rsidRDefault="00033066" w:rsidP="00033066">
      <w:pPr>
        <w:spacing w:after="0" w:line="360" w:lineRule="auto"/>
        <w:jc w:val="both"/>
        <w:rPr>
          <w:rFonts w:eastAsia="Times New Roman" w:cstheme="minorHAnsi"/>
          <w:color w:val="222222"/>
          <w:sz w:val="28"/>
          <w:szCs w:val="28"/>
          <w:shd w:val="clear" w:color="auto" w:fill="FFFFFF"/>
          <w:lang w:eastAsia="es-MX"/>
        </w:rPr>
      </w:pPr>
      <w:r w:rsidRPr="005E1103">
        <w:rPr>
          <w:rFonts w:eastAsia="Times New Roman" w:cstheme="minorHAnsi"/>
          <w:color w:val="222222"/>
          <w:sz w:val="28"/>
          <w:szCs w:val="28"/>
          <w:shd w:val="clear" w:color="auto" w:fill="FFFFFF"/>
          <w:lang w:eastAsia="es-MX"/>
        </w:rPr>
        <w:t>El equipo de trabajo fue formado por la jefa de departamento, el maestro que impartía la asignatura, un alumno prestador de servicio con los conocimientos adecuados y con un cierto perfil que encajara con la figura de un tutor par y el alumno con discapacidad visual.   </w:t>
      </w:r>
    </w:p>
    <w:p w:rsidR="00033066" w:rsidRPr="005E1103" w:rsidRDefault="00033066" w:rsidP="00033066">
      <w:pPr>
        <w:spacing w:after="0" w:line="360" w:lineRule="auto"/>
        <w:jc w:val="both"/>
        <w:rPr>
          <w:rFonts w:eastAsia="Times New Roman" w:cstheme="minorHAnsi"/>
          <w:sz w:val="28"/>
          <w:szCs w:val="28"/>
          <w:lang w:eastAsia="es-MX"/>
        </w:rPr>
      </w:pPr>
      <w:r w:rsidRPr="005E1103">
        <w:rPr>
          <w:rFonts w:eastAsia="Times New Roman" w:cstheme="minorHAnsi"/>
          <w:color w:val="222222"/>
          <w:sz w:val="28"/>
          <w:szCs w:val="28"/>
          <w:shd w:val="clear" w:color="auto" w:fill="FFFFFF"/>
          <w:lang w:eastAsia="es-MX"/>
        </w:rPr>
        <w:t>Cabe destacar que el perfil del alumno que fungía como tutor par se conformaba por las siguientes cualidades:</w:t>
      </w:r>
    </w:p>
    <w:p w:rsidR="00033066" w:rsidRPr="005E1103" w:rsidRDefault="00033066" w:rsidP="00033066">
      <w:pPr>
        <w:spacing w:after="0" w:line="360" w:lineRule="auto"/>
        <w:jc w:val="both"/>
        <w:rPr>
          <w:rFonts w:eastAsia="Times New Roman" w:cstheme="minorHAnsi"/>
          <w:color w:val="222222"/>
          <w:sz w:val="28"/>
          <w:szCs w:val="28"/>
          <w:shd w:val="clear" w:color="auto" w:fill="FFFFFF"/>
          <w:lang w:eastAsia="es-MX"/>
        </w:rPr>
      </w:pPr>
      <w:r w:rsidRPr="005E1103">
        <w:rPr>
          <w:rFonts w:eastAsia="Times New Roman" w:cstheme="minorHAnsi"/>
          <w:color w:val="222222"/>
          <w:sz w:val="28"/>
          <w:szCs w:val="28"/>
          <w:shd w:val="clear" w:color="auto" w:fill="FFFFFF"/>
          <w:lang w:eastAsia="es-MX"/>
        </w:rPr>
        <w:t>proactivo, paciente, haber cursado de buena forma la materia a impartir, buena comunicación, responsable, innovador.</w:t>
      </w:r>
    </w:p>
    <w:p w:rsidR="00033066" w:rsidRPr="005E1103" w:rsidRDefault="00033066" w:rsidP="00033066">
      <w:pPr>
        <w:spacing w:after="0" w:line="360" w:lineRule="auto"/>
        <w:jc w:val="both"/>
        <w:rPr>
          <w:rFonts w:eastAsia="Times New Roman" w:cstheme="minorHAnsi"/>
          <w:sz w:val="28"/>
          <w:szCs w:val="28"/>
          <w:lang w:eastAsia="es-MX"/>
        </w:rPr>
      </w:pPr>
    </w:p>
    <w:p w:rsidR="00033066" w:rsidRPr="005E1103" w:rsidRDefault="00033066" w:rsidP="00033066">
      <w:pPr>
        <w:pStyle w:val="Prrafodelista"/>
        <w:numPr>
          <w:ilvl w:val="0"/>
          <w:numId w:val="136"/>
        </w:numPr>
        <w:spacing w:before="0" w:line="360" w:lineRule="auto"/>
        <w:jc w:val="both"/>
        <w:rPr>
          <w:rFonts w:asciiTheme="minorHAnsi" w:eastAsia="Times New Roman" w:hAnsiTheme="minorHAnsi" w:cstheme="minorHAnsi"/>
          <w:sz w:val="28"/>
          <w:szCs w:val="28"/>
          <w:lang w:eastAsia="es-MX"/>
        </w:rPr>
      </w:pPr>
      <w:r w:rsidRPr="005E1103">
        <w:rPr>
          <w:rFonts w:asciiTheme="minorHAnsi" w:eastAsia="Times New Roman" w:hAnsiTheme="minorHAnsi" w:cstheme="minorHAnsi"/>
          <w:color w:val="222222"/>
          <w:sz w:val="28"/>
          <w:szCs w:val="28"/>
          <w:shd w:val="clear" w:color="auto" w:fill="FFFFFF"/>
          <w:lang w:eastAsia="es-MX"/>
        </w:rPr>
        <w:t>Realizar una entrevista a el alumno con discapacidad.</w:t>
      </w:r>
    </w:p>
    <w:p w:rsidR="00033066" w:rsidRPr="005E1103" w:rsidRDefault="00033066" w:rsidP="00033066">
      <w:pPr>
        <w:spacing w:after="0" w:line="360" w:lineRule="auto"/>
        <w:jc w:val="both"/>
        <w:rPr>
          <w:rFonts w:eastAsia="Times New Roman" w:cstheme="minorHAnsi"/>
          <w:sz w:val="28"/>
          <w:szCs w:val="28"/>
          <w:lang w:eastAsia="es-MX"/>
        </w:rPr>
      </w:pPr>
      <w:r w:rsidRPr="005E1103">
        <w:rPr>
          <w:rFonts w:eastAsia="Times New Roman" w:cstheme="minorHAnsi"/>
          <w:color w:val="222222"/>
          <w:sz w:val="28"/>
          <w:szCs w:val="28"/>
          <w:shd w:val="clear" w:color="auto" w:fill="FFFFFF"/>
          <w:lang w:eastAsia="es-MX"/>
        </w:rPr>
        <w:t>Los objetivos de realizar la entrevista al alumno con discapacidad son los siguientes:</w:t>
      </w:r>
    </w:p>
    <w:p w:rsidR="00033066" w:rsidRPr="005E1103" w:rsidRDefault="00033066" w:rsidP="00033066">
      <w:pPr>
        <w:spacing w:after="0" w:line="360" w:lineRule="auto"/>
        <w:jc w:val="both"/>
        <w:rPr>
          <w:rFonts w:eastAsia="Times New Roman" w:cstheme="minorHAnsi"/>
          <w:sz w:val="28"/>
          <w:szCs w:val="28"/>
          <w:lang w:eastAsia="es-MX"/>
        </w:rPr>
      </w:pPr>
      <w:r w:rsidRPr="005E1103">
        <w:rPr>
          <w:rFonts w:eastAsia="Times New Roman" w:cstheme="minorHAnsi"/>
          <w:color w:val="222222"/>
          <w:sz w:val="28"/>
          <w:szCs w:val="28"/>
          <w:shd w:val="clear" w:color="auto" w:fill="FFFFFF"/>
          <w:lang w:eastAsia="es-MX"/>
        </w:rPr>
        <w:t>Conocer el tipo de discapacidad que tiene el alumno y el grado de la misma, así como su desarrollo (nacimiento o adquirida).</w:t>
      </w:r>
    </w:p>
    <w:p w:rsidR="00033066" w:rsidRPr="005E1103" w:rsidRDefault="00033066" w:rsidP="00033066">
      <w:pPr>
        <w:spacing w:after="0" w:line="360" w:lineRule="auto"/>
        <w:jc w:val="both"/>
        <w:rPr>
          <w:rFonts w:eastAsia="Times New Roman" w:cstheme="minorHAnsi"/>
          <w:sz w:val="28"/>
          <w:szCs w:val="28"/>
          <w:lang w:eastAsia="es-MX"/>
        </w:rPr>
      </w:pPr>
      <w:r w:rsidRPr="005E1103">
        <w:rPr>
          <w:rFonts w:eastAsia="Times New Roman" w:cstheme="minorHAnsi"/>
          <w:color w:val="222222"/>
          <w:sz w:val="28"/>
          <w:szCs w:val="28"/>
          <w:shd w:val="clear" w:color="auto" w:fill="FFFFFF"/>
          <w:lang w:eastAsia="es-MX"/>
        </w:rPr>
        <w:t>Documentar el proceso de aprendizaje que ha tenido el alumno a lo largo de sus diferentes etapas escolares, para así conocer las diferentes estrategias utilizadas por el alumno y sus maestros para el proceso de enseñanza aprendizaje.</w:t>
      </w:r>
    </w:p>
    <w:p w:rsidR="00033066" w:rsidRPr="005E1103" w:rsidRDefault="00033066" w:rsidP="00033066">
      <w:pPr>
        <w:spacing w:after="0" w:line="360" w:lineRule="auto"/>
        <w:jc w:val="both"/>
        <w:rPr>
          <w:rFonts w:eastAsia="Times New Roman" w:cstheme="minorHAnsi"/>
          <w:sz w:val="28"/>
          <w:szCs w:val="28"/>
          <w:lang w:eastAsia="es-MX"/>
        </w:rPr>
      </w:pPr>
      <w:r w:rsidRPr="005E1103">
        <w:rPr>
          <w:rFonts w:eastAsia="Times New Roman" w:cstheme="minorHAnsi"/>
          <w:color w:val="222222"/>
          <w:sz w:val="28"/>
          <w:szCs w:val="28"/>
          <w:shd w:val="clear" w:color="auto" w:fill="FFFFFF"/>
          <w:lang w:eastAsia="es-MX"/>
        </w:rPr>
        <w:t>Evaluar los conocimientos en la materia adquiridos por el alumno, con el fin de conocer las de vialidades y fortalezas en la misma.</w:t>
      </w:r>
    </w:p>
    <w:p w:rsidR="00033066" w:rsidRPr="005E1103" w:rsidRDefault="00033066" w:rsidP="00033066">
      <w:pPr>
        <w:spacing w:after="0" w:line="360" w:lineRule="auto"/>
        <w:jc w:val="both"/>
        <w:rPr>
          <w:rFonts w:eastAsia="Times New Roman" w:cstheme="minorHAnsi"/>
          <w:color w:val="222222"/>
          <w:sz w:val="28"/>
          <w:szCs w:val="28"/>
          <w:shd w:val="clear" w:color="auto" w:fill="FFFFFF"/>
          <w:lang w:eastAsia="es-MX"/>
        </w:rPr>
      </w:pPr>
    </w:p>
    <w:p w:rsidR="00033066" w:rsidRPr="005E1103" w:rsidRDefault="00033066" w:rsidP="00033066">
      <w:pPr>
        <w:spacing w:after="0" w:line="360" w:lineRule="auto"/>
        <w:jc w:val="both"/>
        <w:rPr>
          <w:rFonts w:eastAsia="Times New Roman" w:cstheme="minorHAnsi"/>
          <w:sz w:val="28"/>
          <w:szCs w:val="28"/>
          <w:lang w:eastAsia="es-MX"/>
        </w:rPr>
      </w:pPr>
      <w:r w:rsidRPr="005E1103">
        <w:rPr>
          <w:rFonts w:eastAsia="Times New Roman" w:cstheme="minorHAnsi"/>
          <w:color w:val="222222"/>
          <w:sz w:val="28"/>
          <w:szCs w:val="28"/>
          <w:shd w:val="clear" w:color="auto" w:fill="FFFFFF"/>
          <w:lang w:eastAsia="es-MX"/>
        </w:rPr>
        <w:t>A continuación, menciono algunas de las preguntas realizadas por el equipo de trabajo hacia el alumno con discapacidad:</w:t>
      </w:r>
    </w:p>
    <w:p w:rsidR="00033066" w:rsidRPr="005E1103" w:rsidRDefault="00033066" w:rsidP="00033066">
      <w:pPr>
        <w:spacing w:after="0" w:line="360" w:lineRule="auto"/>
        <w:jc w:val="both"/>
        <w:rPr>
          <w:rFonts w:eastAsia="Times New Roman" w:cstheme="minorHAnsi"/>
          <w:sz w:val="28"/>
          <w:szCs w:val="28"/>
          <w:lang w:eastAsia="es-MX"/>
        </w:rPr>
      </w:pPr>
      <w:r w:rsidRPr="005E1103">
        <w:rPr>
          <w:rFonts w:eastAsia="Times New Roman" w:cstheme="minorHAnsi"/>
          <w:color w:val="222222"/>
          <w:sz w:val="28"/>
          <w:szCs w:val="28"/>
          <w:shd w:val="clear" w:color="auto" w:fill="FFFFFF"/>
          <w:lang w:eastAsia="es-MX"/>
        </w:rPr>
        <w:t>¿qué tipo de discapacidad tienes y en qué grado?</w:t>
      </w:r>
    </w:p>
    <w:p w:rsidR="00033066" w:rsidRPr="005E1103" w:rsidRDefault="00033066" w:rsidP="00033066">
      <w:pPr>
        <w:spacing w:after="0" w:line="360" w:lineRule="auto"/>
        <w:jc w:val="both"/>
        <w:rPr>
          <w:rFonts w:eastAsia="Times New Roman" w:cstheme="minorHAnsi"/>
          <w:sz w:val="28"/>
          <w:szCs w:val="28"/>
          <w:lang w:eastAsia="es-MX"/>
        </w:rPr>
      </w:pPr>
      <w:r w:rsidRPr="005E1103">
        <w:rPr>
          <w:rFonts w:eastAsia="Times New Roman" w:cstheme="minorHAnsi"/>
          <w:color w:val="222222"/>
          <w:sz w:val="28"/>
          <w:szCs w:val="28"/>
          <w:shd w:val="clear" w:color="auto" w:fill="FFFFFF"/>
          <w:lang w:eastAsia="es-MX"/>
        </w:rPr>
        <w:t>¿esta discapacidad fue adquirida o de nacimiento?</w:t>
      </w:r>
    </w:p>
    <w:p w:rsidR="00033066" w:rsidRPr="005E1103" w:rsidRDefault="00033066" w:rsidP="00033066">
      <w:pPr>
        <w:spacing w:after="0" w:line="360" w:lineRule="auto"/>
        <w:jc w:val="both"/>
        <w:rPr>
          <w:rFonts w:eastAsia="Times New Roman" w:cstheme="minorHAnsi"/>
          <w:sz w:val="28"/>
          <w:szCs w:val="28"/>
          <w:lang w:eastAsia="es-MX"/>
        </w:rPr>
      </w:pPr>
      <w:r w:rsidRPr="005E1103">
        <w:rPr>
          <w:rFonts w:eastAsia="Times New Roman" w:cstheme="minorHAnsi"/>
          <w:color w:val="222222"/>
          <w:sz w:val="28"/>
          <w:szCs w:val="28"/>
          <w:shd w:val="clear" w:color="auto" w:fill="FFFFFF"/>
          <w:lang w:eastAsia="es-MX"/>
        </w:rPr>
        <w:lastRenderedPageBreak/>
        <w:t>¿qué edad tenías y que año escolar cursabas cuando adquiriste la discapacidad?</w:t>
      </w:r>
    </w:p>
    <w:p w:rsidR="00033066" w:rsidRPr="005E1103" w:rsidRDefault="00033066" w:rsidP="00033066">
      <w:pPr>
        <w:spacing w:after="0" w:line="360" w:lineRule="auto"/>
        <w:jc w:val="both"/>
        <w:rPr>
          <w:rFonts w:eastAsia="Times New Roman" w:cstheme="minorHAnsi"/>
          <w:sz w:val="28"/>
          <w:szCs w:val="28"/>
          <w:lang w:eastAsia="es-MX"/>
        </w:rPr>
      </w:pPr>
      <w:r w:rsidRPr="005E1103">
        <w:rPr>
          <w:rFonts w:eastAsia="Times New Roman" w:cstheme="minorHAnsi"/>
          <w:color w:val="222222"/>
          <w:sz w:val="28"/>
          <w:szCs w:val="28"/>
          <w:shd w:val="clear" w:color="auto" w:fill="FFFFFF"/>
          <w:lang w:eastAsia="es-MX"/>
        </w:rPr>
        <w:t>En una clase regular ¿de qué forma documentas lo impartido por el maestro?</w:t>
      </w:r>
    </w:p>
    <w:p w:rsidR="00033066" w:rsidRPr="005E1103" w:rsidRDefault="00033066" w:rsidP="00033066">
      <w:pPr>
        <w:spacing w:after="0" w:line="360" w:lineRule="auto"/>
        <w:jc w:val="both"/>
        <w:rPr>
          <w:rFonts w:eastAsia="Times New Roman" w:cstheme="minorHAnsi"/>
          <w:sz w:val="28"/>
          <w:szCs w:val="28"/>
          <w:lang w:eastAsia="es-MX"/>
        </w:rPr>
      </w:pPr>
      <w:r w:rsidRPr="005E1103">
        <w:rPr>
          <w:rFonts w:eastAsia="Times New Roman" w:cstheme="minorHAnsi"/>
          <w:color w:val="222222"/>
          <w:sz w:val="28"/>
          <w:szCs w:val="28"/>
          <w:shd w:val="clear" w:color="auto" w:fill="FFFFFF"/>
          <w:lang w:eastAsia="es-MX"/>
        </w:rPr>
        <w:t>¿hasta dónde llegan tus conocimientos de las matemáticas?</w:t>
      </w:r>
    </w:p>
    <w:p w:rsidR="00033066" w:rsidRPr="005E1103" w:rsidRDefault="00033066" w:rsidP="00033066">
      <w:pPr>
        <w:spacing w:after="0" w:line="360" w:lineRule="auto"/>
        <w:jc w:val="both"/>
        <w:rPr>
          <w:rFonts w:eastAsia="Times New Roman" w:cstheme="minorHAnsi"/>
          <w:sz w:val="28"/>
          <w:szCs w:val="28"/>
          <w:lang w:eastAsia="es-MX"/>
        </w:rPr>
      </w:pPr>
      <w:r w:rsidRPr="005E1103">
        <w:rPr>
          <w:rFonts w:eastAsia="Times New Roman" w:cstheme="minorHAnsi"/>
          <w:color w:val="222222"/>
          <w:sz w:val="28"/>
          <w:szCs w:val="28"/>
          <w:shd w:val="clear" w:color="auto" w:fill="FFFFFF"/>
          <w:lang w:eastAsia="es-MX"/>
        </w:rPr>
        <w:t>¿cuáles son tus conocimientos de algebra?</w:t>
      </w:r>
    </w:p>
    <w:p w:rsidR="00033066" w:rsidRPr="005E1103" w:rsidRDefault="00033066" w:rsidP="00033066">
      <w:pPr>
        <w:spacing w:after="0" w:line="360" w:lineRule="auto"/>
        <w:jc w:val="both"/>
        <w:rPr>
          <w:rFonts w:eastAsia="Times New Roman" w:cstheme="minorHAnsi"/>
          <w:sz w:val="28"/>
          <w:szCs w:val="28"/>
          <w:lang w:eastAsia="es-MX"/>
        </w:rPr>
      </w:pPr>
      <w:r w:rsidRPr="005E1103">
        <w:rPr>
          <w:rFonts w:eastAsia="Times New Roman" w:cstheme="minorHAnsi"/>
          <w:color w:val="222222"/>
          <w:sz w:val="28"/>
          <w:szCs w:val="28"/>
          <w:shd w:val="clear" w:color="auto" w:fill="FFFFFF"/>
          <w:lang w:eastAsia="es-MX"/>
        </w:rPr>
        <w:t>en ciclos escolares anteriores ¿cuáles han sido las estrategias que han implementado tus maestros para mejorar y facilitar el proceso de enseñanza aprendizaje?</w:t>
      </w:r>
    </w:p>
    <w:p w:rsidR="00033066" w:rsidRPr="005E1103" w:rsidRDefault="00033066" w:rsidP="00033066">
      <w:pPr>
        <w:spacing w:after="0" w:line="360" w:lineRule="auto"/>
        <w:jc w:val="both"/>
        <w:rPr>
          <w:rFonts w:eastAsia="Times New Roman" w:cstheme="minorHAnsi"/>
          <w:sz w:val="28"/>
          <w:szCs w:val="28"/>
          <w:lang w:eastAsia="es-MX"/>
        </w:rPr>
      </w:pPr>
      <w:r w:rsidRPr="005E1103">
        <w:rPr>
          <w:rFonts w:eastAsia="Times New Roman" w:cstheme="minorHAnsi"/>
          <w:color w:val="222222"/>
          <w:sz w:val="28"/>
          <w:szCs w:val="28"/>
          <w:shd w:val="clear" w:color="auto" w:fill="FFFFFF"/>
          <w:lang w:eastAsia="es-MX"/>
        </w:rPr>
        <w:t>de las estrategias antes mencionadas ¿cuáles te han resultado más efectivas y más útiles en el aprovechamiento de la enseñanza?</w:t>
      </w:r>
    </w:p>
    <w:p w:rsidR="00033066" w:rsidRPr="005E1103" w:rsidRDefault="00033066" w:rsidP="00033066">
      <w:pPr>
        <w:spacing w:after="0" w:line="360" w:lineRule="auto"/>
        <w:jc w:val="both"/>
        <w:rPr>
          <w:rFonts w:eastAsia="Times New Roman" w:cstheme="minorHAnsi"/>
          <w:sz w:val="28"/>
          <w:szCs w:val="28"/>
          <w:lang w:eastAsia="es-MX"/>
        </w:rPr>
      </w:pPr>
      <w:r w:rsidRPr="005E1103">
        <w:rPr>
          <w:rFonts w:eastAsia="Times New Roman" w:cstheme="minorHAnsi"/>
          <w:color w:val="222222"/>
          <w:sz w:val="28"/>
          <w:szCs w:val="28"/>
          <w:shd w:val="clear" w:color="auto" w:fill="FFFFFF"/>
          <w:lang w:eastAsia="es-MX"/>
        </w:rPr>
        <w:t>en ciclos escolares anteriores de qué forma te han evaluado tus maestros?</w:t>
      </w:r>
    </w:p>
    <w:p w:rsidR="00033066" w:rsidRPr="005E1103" w:rsidRDefault="00033066" w:rsidP="00033066">
      <w:pPr>
        <w:spacing w:after="0" w:line="360" w:lineRule="auto"/>
        <w:jc w:val="both"/>
        <w:rPr>
          <w:rFonts w:eastAsia="Times New Roman" w:cstheme="minorHAnsi"/>
          <w:sz w:val="28"/>
          <w:szCs w:val="28"/>
          <w:lang w:eastAsia="es-MX"/>
        </w:rPr>
      </w:pPr>
      <w:r w:rsidRPr="005E1103">
        <w:rPr>
          <w:rFonts w:eastAsia="Times New Roman" w:cstheme="minorHAnsi"/>
          <w:color w:val="222222"/>
          <w:sz w:val="28"/>
          <w:szCs w:val="28"/>
          <w:shd w:val="clear" w:color="auto" w:fill="FFFFFF"/>
          <w:lang w:eastAsia="es-MX"/>
        </w:rPr>
        <w:t>de las formas antes mencionadas ¿cuáles te han parecido las más correctas y justas para una mejor evaluación?  </w:t>
      </w:r>
    </w:p>
    <w:p w:rsidR="00033066" w:rsidRPr="005E1103" w:rsidRDefault="00033066" w:rsidP="00033066">
      <w:pPr>
        <w:spacing w:after="0" w:line="360" w:lineRule="auto"/>
        <w:jc w:val="both"/>
        <w:rPr>
          <w:rFonts w:eastAsia="Times New Roman" w:cstheme="minorHAnsi"/>
          <w:sz w:val="28"/>
          <w:szCs w:val="28"/>
          <w:lang w:eastAsia="es-MX"/>
        </w:rPr>
      </w:pPr>
      <w:r w:rsidRPr="005E1103">
        <w:rPr>
          <w:rFonts w:eastAsia="Times New Roman" w:cstheme="minorHAnsi"/>
          <w:color w:val="222222"/>
          <w:sz w:val="28"/>
          <w:szCs w:val="28"/>
          <w:shd w:val="clear" w:color="auto" w:fill="FFFFFF"/>
          <w:lang w:eastAsia="es-MX"/>
        </w:rPr>
        <w:t>¿qué agregarías o quitarías para mejorar las evaluaciones que as mencionado previamente?</w:t>
      </w:r>
    </w:p>
    <w:p w:rsidR="00033066" w:rsidRPr="005E1103" w:rsidRDefault="00033066" w:rsidP="00033066">
      <w:pPr>
        <w:spacing w:after="0" w:line="360" w:lineRule="auto"/>
        <w:jc w:val="both"/>
        <w:rPr>
          <w:rFonts w:eastAsia="Times New Roman" w:cstheme="minorHAnsi"/>
          <w:color w:val="222222"/>
          <w:sz w:val="28"/>
          <w:szCs w:val="28"/>
          <w:shd w:val="clear" w:color="auto" w:fill="FFFFFF"/>
          <w:lang w:eastAsia="es-MX"/>
        </w:rPr>
      </w:pPr>
      <w:r w:rsidRPr="005E1103">
        <w:rPr>
          <w:rFonts w:eastAsia="Times New Roman" w:cstheme="minorHAnsi"/>
          <w:color w:val="222222"/>
          <w:sz w:val="28"/>
          <w:szCs w:val="28"/>
          <w:shd w:val="clear" w:color="auto" w:fill="FFFFFF"/>
          <w:lang w:eastAsia="es-MX"/>
        </w:rPr>
        <w:t>¿crees que una asesoría personalizada facilitaría y mejoraría el proceso de enseñanza</w:t>
      </w:r>
    </w:p>
    <w:p w:rsidR="00033066" w:rsidRPr="005E1103" w:rsidRDefault="00033066" w:rsidP="00033066">
      <w:pPr>
        <w:spacing w:after="0" w:line="360" w:lineRule="auto"/>
        <w:jc w:val="both"/>
        <w:rPr>
          <w:rFonts w:eastAsia="Times New Roman" w:cstheme="minorHAnsi"/>
          <w:sz w:val="28"/>
          <w:szCs w:val="28"/>
          <w:lang w:eastAsia="es-MX"/>
        </w:rPr>
      </w:pPr>
      <w:r w:rsidRPr="005E1103">
        <w:rPr>
          <w:rFonts w:eastAsia="Times New Roman" w:cstheme="minorHAnsi"/>
          <w:color w:val="222222"/>
          <w:sz w:val="28"/>
          <w:szCs w:val="28"/>
          <w:shd w:val="clear" w:color="auto" w:fill="FFFFFF"/>
          <w:lang w:eastAsia="es-MX"/>
        </w:rPr>
        <w:t>aprendizaje? -si-no- y por qué?</w:t>
      </w:r>
    </w:p>
    <w:p w:rsidR="00033066" w:rsidRPr="005E1103" w:rsidRDefault="00033066" w:rsidP="00033066">
      <w:pPr>
        <w:spacing w:after="0" w:line="360" w:lineRule="auto"/>
        <w:jc w:val="both"/>
        <w:rPr>
          <w:rFonts w:eastAsia="Times New Roman" w:cstheme="minorHAnsi"/>
          <w:color w:val="222222"/>
          <w:sz w:val="28"/>
          <w:szCs w:val="28"/>
          <w:shd w:val="clear" w:color="auto" w:fill="FFFFFF"/>
          <w:lang w:eastAsia="es-MX"/>
        </w:rPr>
      </w:pPr>
    </w:p>
    <w:p w:rsidR="00033066" w:rsidRPr="005E1103" w:rsidRDefault="00033066" w:rsidP="00033066">
      <w:pPr>
        <w:pStyle w:val="Prrafodelista"/>
        <w:numPr>
          <w:ilvl w:val="0"/>
          <w:numId w:val="136"/>
        </w:numPr>
        <w:spacing w:before="0" w:line="360" w:lineRule="auto"/>
        <w:jc w:val="both"/>
        <w:rPr>
          <w:rFonts w:asciiTheme="minorHAnsi" w:eastAsia="Times New Roman" w:hAnsiTheme="minorHAnsi" w:cstheme="minorHAnsi"/>
          <w:color w:val="222222"/>
          <w:sz w:val="28"/>
          <w:szCs w:val="28"/>
          <w:shd w:val="clear" w:color="auto" w:fill="FFFFFF"/>
          <w:lang w:eastAsia="es-MX"/>
        </w:rPr>
      </w:pPr>
      <w:r w:rsidRPr="005E1103">
        <w:rPr>
          <w:rFonts w:asciiTheme="minorHAnsi" w:eastAsia="Times New Roman" w:hAnsiTheme="minorHAnsi" w:cstheme="minorHAnsi"/>
          <w:color w:val="222222"/>
          <w:sz w:val="28"/>
          <w:szCs w:val="28"/>
          <w:shd w:val="clear" w:color="auto" w:fill="FFFFFF"/>
          <w:lang w:eastAsia="es-MX"/>
        </w:rPr>
        <w:t>Analizar junto con el equipo de trabajo la información recolectada.</w:t>
      </w:r>
    </w:p>
    <w:p w:rsidR="00033066" w:rsidRPr="005E1103" w:rsidRDefault="00033066" w:rsidP="00033066">
      <w:pPr>
        <w:spacing w:after="0" w:line="360" w:lineRule="auto"/>
        <w:jc w:val="both"/>
        <w:rPr>
          <w:rFonts w:eastAsia="Times New Roman" w:cstheme="minorHAnsi"/>
          <w:sz w:val="28"/>
          <w:szCs w:val="28"/>
          <w:lang w:eastAsia="es-MX"/>
        </w:rPr>
      </w:pPr>
      <w:r w:rsidRPr="005E1103">
        <w:rPr>
          <w:rFonts w:eastAsia="Times New Roman" w:cstheme="minorHAnsi"/>
          <w:color w:val="222222"/>
          <w:sz w:val="28"/>
          <w:szCs w:val="28"/>
          <w:shd w:val="clear" w:color="auto" w:fill="FFFFFF"/>
          <w:lang w:eastAsia="es-MX"/>
        </w:rPr>
        <w:t>La importancia de analizar y compartir con el equipo de trabajo la información recolectada fue de encontrar en conjunto las adecuaciones curriculares y de material más viables para un mayor aprovechamiento de las materias de métodos cuantitativos.</w:t>
      </w:r>
    </w:p>
    <w:p w:rsidR="00033066" w:rsidRPr="005E1103" w:rsidRDefault="00033066" w:rsidP="00033066">
      <w:pPr>
        <w:spacing w:after="0" w:line="360" w:lineRule="auto"/>
        <w:jc w:val="both"/>
        <w:rPr>
          <w:rFonts w:eastAsia="Times New Roman" w:cstheme="minorHAnsi"/>
          <w:color w:val="222222"/>
          <w:sz w:val="28"/>
          <w:szCs w:val="28"/>
          <w:shd w:val="clear" w:color="auto" w:fill="FFFFFF"/>
          <w:lang w:eastAsia="es-MX"/>
        </w:rPr>
      </w:pPr>
    </w:p>
    <w:p w:rsidR="00033066" w:rsidRPr="005E1103" w:rsidRDefault="00033066" w:rsidP="00033066">
      <w:pPr>
        <w:spacing w:after="0" w:line="360" w:lineRule="auto"/>
        <w:jc w:val="both"/>
        <w:rPr>
          <w:rFonts w:eastAsia="Times New Roman" w:cstheme="minorHAnsi"/>
          <w:color w:val="222222"/>
          <w:sz w:val="28"/>
          <w:szCs w:val="28"/>
          <w:shd w:val="clear" w:color="auto" w:fill="FFFFFF"/>
          <w:lang w:eastAsia="es-MX"/>
        </w:rPr>
      </w:pPr>
    </w:p>
    <w:p w:rsidR="00033066" w:rsidRPr="005E1103" w:rsidRDefault="00033066" w:rsidP="00033066">
      <w:pPr>
        <w:pStyle w:val="Prrafodelista"/>
        <w:numPr>
          <w:ilvl w:val="0"/>
          <w:numId w:val="136"/>
        </w:numPr>
        <w:spacing w:before="0" w:line="360" w:lineRule="auto"/>
        <w:jc w:val="both"/>
        <w:rPr>
          <w:rFonts w:asciiTheme="minorHAnsi" w:eastAsia="Times New Roman" w:hAnsiTheme="minorHAnsi" w:cstheme="minorHAnsi"/>
          <w:sz w:val="28"/>
          <w:szCs w:val="28"/>
          <w:lang w:eastAsia="es-MX"/>
        </w:rPr>
      </w:pPr>
      <w:r w:rsidRPr="005E1103">
        <w:rPr>
          <w:rFonts w:asciiTheme="minorHAnsi" w:eastAsia="Times New Roman" w:hAnsiTheme="minorHAnsi" w:cstheme="minorHAnsi"/>
          <w:color w:val="222222"/>
          <w:sz w:val="28"/>
          <w:szCs w:val="28"/>
          <w:shd w:val="clear" w:color="auto" w:fill="FFFFFF"/>
          <w:lang w:eastAsia="es-MX"/>
        </w:rPr>
        <w:lastRenderedPageBreak/>
        <w:t>elaborar y adaptar los materiales necesarios  </w:t>
      </w:r>
    </w:p>
    <w:p w:rsidR="00033066" w:rsidRPr="005E1103" w:rsidRDefault="00033066" w:rsidP="00033066">
      <w:pPr>
        <w:spacing w:after="0" w:line="360" w:lineRule="auto"/>
        <w:jc w:val="both"/>
        <w:rPr>
          <w:rFonts w:eastAsia="Times New Roman" w:cstheme="minorHAnsi"/>
          <w:sz w:val="28"/>
          <w:szCs w:val="28"/>
          <w:lang w:eastAsia="es-MX"/>
        </w:rPr>
      </w:pPr>
      <w:r w:rsidRPr="005E1103">
        <w:rPr>
          <w:rFonts w:eastAsia="Times New Roman" w:cstheme="minorHAnsi"/>
          <w:color w:val="222222"/>
          <w:sz w:val="28"/>
          <w:szCs w:val="28"/>
          <w:shd w:val="clear" w:color="auto" w:fill="FFFFFF"/>
          <w:lang w:eastAsia="es-MX"/>
        </w:rPr>
        <w:t>La adaptación de materiales es necesario para complementar un aprendizaje integral y completo, dependiendo de cada discapacidad, en mi caso el uso de materiales en 3D, relieves o texturas ayudaban a facilitar el entendimiento de lo previamente visto ya sea en la clase o por el tutor.</w:t>
      </w:r>
    </w:p>
    <w:p w:rsidR="00033066" w:rsidRPr="005E1103" w:rsidRDefault="00033066" w:rsidP="00033066">
      <w:pPr>
        <w:spacing w:after="0" w:line="360" w:lineRule="auto"/>
        <w:jc w:val="both"/>
        <w:rPr>
          <w:rFonts w:eastAsia="Times New Roman" w:cstheme="minorHAnsi"/>
          <w:color w:val="222222"/>
          <w:sz w:val="28"/>
          <w:szCs w:val="28"/>
          <w:shd w:val="clear" w:color="auto" w:fill="FFFFFF"/>
          <w:lang w:eastAsia="es-MX"/>
        </w:rPr>
      </w:pPr>
    </w:p>
    <w:p w:rsidR="00033066" w:rsidRPr="005E1103" w:rsidRDefault="00033066" w:rsidP="00033066">
      <w:pPr>
        <w:pStyle w:val="Prrafodelista"/>
        <w:numPr>
          <w:ilvl w:val="0"/>
          <w:numId w:val="136"/>
        </w:numPr>
        <w:spacing w:before="0" w:line="360" w:lineRule="auto"/>
        <w:jc w:val="both"/>
        <w:rPr>
          <w:rFonts w:asciiTheme="minorHAnsi" w:eastAsia="Times New Roman" w:hAnsiTheme="minorHAnsi" w:cstheme="minorHAnsi"/>
          <w:sz w:val="28"/>
          <w:szCs w:val="28"/>
          <w:lang w:eastAsia="es-MX"/>
        </w:rPr>
      </w:pPr>
      <w:r w:rsidRPr="005E1103">
        <w:rPr>
          <w:rFonts w:asciiTheme="minorHAnsi" w:eastAsia="Times New Roman" w:hAnsiTheme="minorHAnsi" w:cstheme="minorHAnsi"/>
          <w:color w:val="222222"/>
          <w:sz w:val="28"/>
          <w:szCs w:val="28"/>
          <w:shd w:val="clear" w:color="auto" w:fill="FFFFFF"/>
          <w:lang w:eastAsia="es-MX"/>
        </w:rPr>
        <w:t>Ajustes razonables en evaluaciones y tareas</w:t>
      </w:r>
    </w:p>
    <w:p w:rsidR="00033066" w:rsidRPr="005E1103" w:rsidRDefault="00033066" w:rsidP="00033066">
      <w:pPr>
        <w:spacing w:after="0" w:line="360" w:lineRule="auto"/>
        <w:jc w:val="both"/>
        <w:rPr>
          <w:rFonts w:eastAsia="Times New Roman" w:cstheme="minorHAnsi"/>
          <w:color w:val="222222"/>
          <w:sz w:val="28"/>
          <w:szCs w:val="28"/>
          <w:shd w:val="clear" w:color="auto" w:fill="FFFFFF"/>
          <w:lang w:eastAsia="es-MX"/>
        </w:rPr>
      </w:pPr>
      <w:r w:rsidRPr="005E1103">
        <w:rPr>
          <w:rFonts w:eastAsia="Times New Roman" w:cstheme="minorHAnsi"/>
          <w:color w:val="222222"/>
          <w:sz w:val="28"/>
          <w:szCs w:val="28"/>
          <w:shd w:val="clear" w:color="auto" w:fill="FFFFFF"/>
          <w:lang w:eastAsia="es-MX"/>
        </w:rPr>
        <w:t>Los ajustes en evaluaciones consistían en ajustes de tiempo, y evaluaciones personalizadas de acuerdo a cada tema visto, se analizaban los puntos importantes y así mismo se hacían las adaptaciones.</w:t>
      </w:r>
    </w:p>
    <w:p w:rsidR="00033066" w:rsidRPr="005E1103" w:rsidRDefault="00033066" w:rsidP="00033066">
      <w:pPr>
        <w:shd w:val="clear" w:color="auto" w:fill="FFFFFF"/>
        <w:spacing w:after="0" w:line="360" w:lineRule="auto"/>
        <w:jc w:val="both"/>
        <w:rPr>
          <w:rFonts w:eastAsia="Times New Roman" w:cstheme="minorHAnsi"/>
          <w:color w:val="222222"/>
          <w:sz w:val="28"/>
          <w:szCs w:val="28"/>
          <w:lang w:eastAsia="es-MX"/>
        </w:rPr>
      </w:pPr>
    </w:p>
    <w:p w:rsidR="00033066" w:rsidRPr="005E1103" w:rsidRDefault="00033066" w:rsidP="00033066">
      <w:pPr>
        <w:shd w:val="clear" w:color="auto" w:fill="FFFFFF"/>
        <w:spacing w:after="0" w:line="360" w:lineRule="auto"/>
        <w:jc w:val="both"/>
        <w:rPr>
          <w:rFonts w:eastAsia="Times New Roman" w:cstheme="minorHAnsi"/>
          <w:color w:val="222222"/>
          <w:sz w:val="28"/>
          <w:szCs w:val="28"/>
          <w:lang w:eastAsia="es-MX"/>
        </w:rPr>
      </w:pPr>
      <w:r w:rsidRPr="005E1103">
        <w:rPr>
          <w:rFonts w:eastAsia="Times New Roman" w:cstheme="minorHAnsi"/>
          <w:color w:val="222222"/>
          <w:sz w:val="28"/>
          <w:szCs w:val="28"/>
          <w:lang w:eastAsia="es-MX"/>
        </w:rPr>
        <w:t xml:space="preserve">Principios de la plataforma </w:t>
      </w:r>
    </w:p>
    <w:p w:rsidR="00033066" w:rsidRPr="005E1103" w:rsidRDefault="00033066" w:rsidP="00033066">
      <w:pPr>
        <w:shd w:val="clear" w:color="auto" w:fill="FFFFFF"/>
        <w:spacing w:after="0" w:line="360" w:lineRule="auto"/>
        <w:jc w:val="both"/>
        <w:rPr>
          <w:rFonts w:eastAsia="Times New Roman" w:cstheme="minorHAnsi"/>
          <w:color w:val="222222"/>
          <w:sz w:val="28"/>
          <w:szCs w:val="28"/>
          <w:lang w:eastAsia="es-MX"/>
        </w:rPr>
      </w:pPr>
    </w:p>
    <w:p w:rsidR="00033066" w:rsidRPr="005E1103" w:rsidRDefault="00033066" w:rsidP="00033066">
      <w:pPr>
        <w:shd w:val="clear" w:color="auto" w:fill="FFFFFF"/>
        <w:spacing w:after="0" w:line="360" w:lineRule="auto"/>
        <w:jc w:val="both"/>
        <w:rPr>
          <w:rFonts w:eastAsia="Times New Roman" w:cstheme="minorHAnsi"/>
          <w:color w:val="222222"/>
          <w:sz w:val="28"/>
          <w:szCs w:val="28"/>
          <w:lang w:eastAsia="es-MX"/>
        </w:rPr>
      </w:pPr>
      <w:r w:rsidRPr="005E1103">
        <w:rPr>
          <w:rFonts w:eastAsia="Times New Roman" w:cstheme="minorHAnsi"/>
          <w:color w:val="222222"/>
          <w:sz w:val="28"/>
          <w:szCs w:val="28"/>
          <w:lang w:eastAsia="es-MX"/>
        </w:rPr>
        <w:t>Los principios que la plataforma contiene para su desarrollo contemplan los establecidos por Web Content Accessibility Guidelines 2.0, para que pueda ser totalmente accesible además de contar con la validación y administración de la misma comunidad universitaria con discapacidad de la Universidad de Guadalajara.</w:t>
      </w:r>
    </w:p>
    <w:p w:rsidR="00033066" w:rsidRPr="005E1103" w:rsidRDefault="00033066" w:rsidP="00033066">
      <w:pPr>
        <w:shd w:val="clear" w:color="auto" w:fill="FFFFFF"/>
        <w:spacing w:after="0" w:line="360" w:lineRule="auto"/>
        <w:jc w:val="both"/>
        <w:rPr>
          <w:rFonts w:eastAsia="Times New Roman" w:cstheme="minorHAnsi"/>
          <w:color w:val="222222"/>
          <w:sz w:val="28"/>
          <w:szCs w:val="28"/>
          <w:lang w:eastAsia="es-MX"/>
        </w:rPr>
      </w:pPr>
    </w:p>
    <w:p w:rsidR="00033066" w:rsidRPr="005E1103" w:rsidRDefault="00033066" w:rsidP="00033066">
      <w:pPr>
        <w:shd w:val="clear" w:color="auto" w:fill="FFFFFF"/>
        <w:spacing w:after="0" w:line="360" w:lineRule="auto"/>
        <w:jc w:val="both"/>
        <w:rPr>
          <w:rFonts w:eastAsia="Times New Roman" w:cstheme="minorHAnsi"/>
          <w:color w:val="222222"/>
          <w:sz w:val="28"/>
          <w:szCs w:val="28"/>
          <w:lang w:eastAsia="es-MX"/>
        </w:rPr>
      </w:pPr>
      <w:r w:rsidRPr="005E1103">
        <w:rPr>
          <w:rFonts w:eastAsia="Times New Roman" w:cstheme="minorHAnsi"/>
          <w:color w:val="222222"/>
          <w:sz w:val="28"/>
          <w:szCs w:val="28"/>
          <w:lang w:eastAsia="es-MX"/>
        </w:rPr>
        <w:t>Los principios son los siguientes:</w:t>
      </w:r>
    </w:p>
    <w:p w:rsidR="00033066" w:rsidRPr="005E1103" w:rsidRDefault="00033066" w:rsidP="00033066">
      <w:pPr>
        <w:shd w:val="clear" w:color="auto" w:fill="FFFFFF"/>
        <w:spacing w:after="0" w:line="360" w:lineRule="auto"/>
        <w:jc w:val="both"/>
        <w:rPr>
          <w:rFonts w:eastAsia="Times New Roman" w:cstheme="minorHAnsi"/>
          <w:color w:val="222222"/>
          <w:sz w:val="28"/>
          <w:szCs w:val="28"/>
          <w:lang w:eastAsia="es-MX"/>
        </w:rPr>
      </w:pPr>
      <w:r w:rsidRPr="005E1103">
        <w:rPr>
          <w:rFonts w:eastAsia="Times New Roman" w:cstheme="minorHAnsi"/>
          <w:color w:val="222222"/>
          <w:sz w:val="28"/>
          <w:szCs w:val="28"/>
          <w:lang w:eastAsia="es-MX"/>
        </w:rPr>
        <w:t>Principio 1: Perceptible: la información y los componentes de la interfaz de usuario deben ser mostrados a los usuarios en formas que ellos puedan entender.</w:t>
      </w:r>
    </w:p>
    <w:p w:rsidR="00033066" w:rsidRPr="005E1103" w:rsidRDefault="00033066" w:rsidP="00033066">
      <w:pPr>
        <w:shd w:val="clear" w:color="auto" w:fill="FFFFFF"/>
        <w:spacing w:after="0" w:line="360" w:lineRule="auto"/>
        <w:jc w:val="both"/>
        <w:rPr>
          <w:rFonts w:eastAsia="Times New Roman" w:cstheme="minorHAnsi"/>
          <w:color w:val="222222"/>
          <w:sz w:val="28"/>
          <w:szCs w:val="28"/>
          <w:lang w:eastAsia="es-MX"/>
        </w:rPr>
      </w:pPr>
      <w:r w:rsidRPr="005E1103">
        <w:rPr>
          <w:rFonts w:eastAsia="Times New Roman" w:cstheme="minorHAnsi"/>
          <w:color w:val="222222"/>
          <w:sz w:val="28"/>
          <w:szCs w:val="28"/>
          <w:lang w:eastAsia="es-MX"/>
        </w:rPr>
        <w:t>Principio 2: Operable: Los componentes de la interfaz de usuario y la navegación debe ser manejable.</w:t>
      </w:r>
    </w:p>
    <w:p w:rsidR="00033066" w:rsidRPr="005E1103" w:rsidRDefault="00033066" w:rsidP="00033066">
      <w:pPr>
        <w:shd w:val="clear" w:color="auto" w:fill="FFFFFF"/>
        <w:spacing w:after="0" w:line="360" w:lineRule="auto"/>
        <w:jc w:val="both"/>
        <w:rPr>
          <w:rFonts w:eastAsia="Times New Roman" w:cstheme="minorHAnsi"/>
          <w:color w:val="222222"/>
          <w:sz w:val="28"/>
          <w:szCs w:val="28"/>
          <w:lang w:eastAsia="es-MX"/>
        </w:rPr>
      </w:pPr>
      <w:r w:rsidRPr="005E1103">
        <w:rPr>
          <w:rFonts w:eastAsia="Times New Roman" w:cstheme="minorHAnsi"/>
          <w:color w:val="222222"/>
          <w:sz w:val="28"/>
          <w:szCs w:val="28"/>
          <w:lang w:eastAsia="es-MX"/>
        </w:rPr>
        <w:t>Principio 3: Comprensible. La información y las operaciones de usuarios deben ser comprensibles.</w:t>
      </w:r>
    </w:p>
    <w:p w:rsidR="00033066" w:rsidRPr="005E1103" w:rsidRDefault="00033066" w:rsidP="00033066">
      <w:pPr>
        <w:shd w:val="clear" w:color="auto" w:fill="FFFFFF"/>
        <w:spacing w:after="0" w:line="360" w:lineRule="auto"/>
        <w:jc w:val="both"/>
        <w:rPr>
          <w:rFonts w:eastAsia="Times New Roman" w:cstheme="minorHAnsi"/>
          <w:color w:val="222222"/>
          <w:sz w:val="28"/>
          <w:szCs w:val="28"/>
          <w:lang w:eastAsia="es-MX"/>
        </w:rPr>
      </w:pPr>
      <w:r w:rsidRPr="005E1103">
        <w:rPr>
          <w:rFonts w:eastAsia="Times New Roman" w:cstheme="minorHAnsi"/>
          <w:color w:val="222222"/>
          <w:sz w:val="28"/>
          <w:szCs w:val="28"/>
          <w:lang w:eastAsia="es-MX"/>
        </w:rPr>
        <w:lastRenderedPageBreak/>
        <w:t>Principio 4: Robustez: el contenido deber ser suficientemente robusto para que pueda ser bien interpretado por una gran variedad de agentes de usuario, incluyendo tecnologías de asistencia. (principios y directrices, n.d)</w:t>
      </w:r>
    </w:p>
    <w:p w:rsidR="00033066" w:rsidRPr="005E1103" w:rsidRDefault="00033066" w:rsidP="00033066">
      <w:pPr>
        <w:shd w:val="clear" w:color="auto" w:fill="FFFFFF"/>
        <w:spacing w:after="0" w:line="360" w:lineRule="auto"/>
        <w:jc w:val="both"/>
        <w:rPr>
          <w:rFonts w:eastAsia="Times New Roman" w:cstheme="minorHAnsi"/>
          <w:color w:val="222222"/>
          <w:sz w:val="28"/>
          <w:szCs w:val="28"/>
          <w:lang w:eastAsia="es-MX"/>
        </w:rPr>
      </w:pPr>
    </w:p>
    <w:p w:rsidR="00033066" w:rsidRPr="005E1103" w:rsidRDefault="00033066" w:rsidP="00033066">
      <w:pPr>
        <w:shd w:val="clear" w:color="auto" w:fill="FFFFFF"/>
        <w:spacing w:after="0" w:line="360" w:lineRule="auto"/>
        <w:jc w:val="both"/>
        <w:rPr>
          <w:rFonts w:eastAsia="Times New Roman" w:cstheme="minorHAnsi"/>
          <w:color w:val="222222"/>
          <w:sz w:val="28"/>
          <w:szCs w:val="28"/>
          <w:lang w:eastAsia="es-MX"/>
        </w:rPr>
      </w:pPr>
    </w:p>
    <w:p w:rsidR="00033066" w:rsidRPr="005E1103" w:rsidRDefault="00033066" w:rsidP="00033066">
      <w:pPr>
        <w:shd w:val="clear" w:color="auto" w:fill="FFFFFF"/>
        <w:spacing w:after="0" w:line="360" w:lineRule="auto"/>
        <w:jc w:val="both"/>
        <w:rPr>
          <w:rFonts w:eastAsia="Times New Roman" w:cstheme="minorHAnsi"/>
          <w:color w:val="222222"/>
          <w:sz w:val="28"/>
          <w:szCs w:val="28"/>
          <w:lang w:eastAsia="es-MX"/>
        </w:rPr>
      </w:pPr>
      <w:r w:rsidRPr="005E1103">
        <w:rPr>
          <w:rFonts w:eastAsia="Times New Roman" w:cstheme="minorHAnsi"/>
          <w:color w:val="222222"/>
          <w:sz w:val="28"/>
          <w:szCs w:val="28"/>
          <w:lang w:eastAsia="es-MX"/>
        </w:rPr>
        <w:t>La plataforma está dividida por tipos de discapacidad en cada una de estas áreas se brindara información de una forma sencilla, clara y coherente para que el docente pueda consultar las buenas prácticas que se han implementado en universidades latinoamericanas y de esta misma manera si él cuenta con una buena práctica de inclusión podrá elegir la opción de compartirla de acuerdo al formato establecido para la sistematización y recuperación de buenas prácticas que impulsa la plataforma sinergia incluyente.</w:t>
      </w:r>
    </w:p>
    <w:p w:rsidR="00033066" w:rsidRPr="005E1103" w:rsidRDefault="00033066" w:rsidP="00033066">
      <w:pPr>
        <w:shd w:val="clear" w:color="auto" w:fill="FFFFFF"/>
        <w:spacing w:after="0" w:line="360" w:lineRule="auto"/>
        <w:jc w:val="both"/>
        <w:rPr>
          <w:rFonts w:eastAsia="Times New Roman" w:cstheme="minorHAnsi"/>
          <w:color w:val="222222"/>
          <w:sz w:val="28"/>
          <w:szCs w:val="28"/>
          <w:lang w:eastAsia="es-MX"/>
        </w:rPr>
      </w:pPr>
    </w:p>
    <w:p w:rsidR="00033066" w:rsidRPr="005E1103" w:rsidRDefault="00033066" w:rsidP="00033066">
      <w:pPr>
        <w:shd w:val="clear" w:color="auto" w:fill="FFFFFF"/>
        <w:spacing w:after="0" w:line="360" w:lineRule="auto"/>
        <w:jc w:val="both"/>
        <w:rPr>
          <w:rFonts w:eastAsia="Times New Roman" w:cstheme="minorHAnsi"/>
          <w:color w:val="222222"/>
          <w:sz w:val="28"/>
          <w:szCs w:val="28"/>
          <w:lang w:eastAsia="es-MX"/>
        </w:rPr>
      </w:pPr>
      <w:r w:rsidRPr="005E1103">
        <w:rPr>
          <w:rFonts w:eastAsia="Times New Roman" w:cstheme="minorHAnsi"/>
          <w:color w:val="222222"/>
          <w:sz w:val="28"/>
          <w:szCs w:val="28"/>
          <w:lang w:eastAsia="es-MX"/>
        </w:rPr>
        <w:t>La plataforma cuenta con el soporte de la Universidad de Guadalajara la cual cuenta con la colaboración de la Red de estudiantes latinoamericanos por la inclusión, además de la Red Interuniversitaria latinoamericana y del caribe sobre discapacidad y derechos humanos con la finalidad de recopilar las buenas prácticas para compartirlas y replicarlas de acuerdo al contexto y realidad de cada persona y/o universidad</w:t>
      </w:r>
    </w:p>
    <w:p w:rsidR="00033066" w:rsidRPr="005E1103" w:rsidRDefault="00033066" w:rsidP="00033066">
      <w:pPr>
        <w:shd w:val="clear" w:color="auto" w:fill="FFFFFF"/>
        <w:spacing w:after="0" w:line="360" w:lineRule="auto"/>
        <w:jc w:val="both"/>
        <w:rPr>
          <w:rFonts w:eastAsia="Times New Roman" w:cstheme="minorHAnsi"/>
          <w:color w:val="222222"/>
          <w:sz w:val="28"/>
          <w:szCs w:val="28"/>
          <w:lang w:eastAsia="es-MX"/>
        </w:rPr>
      </w:pPr>
    </w:p>
    <w:p w:rsidR="00033066" w:rsidRPr="005E1103" w:rsidRDefault="00033066" w:rsidP="00033066">
      <w:pPr>
        <w:shd w:val="clear" w:color="auto" w:fill="FFFFFF"/>
        <w:spacing w:after="0" w:line="360" w:lineRule="auto"/>
        <w:jc w:val="both"/>
        <w:rPr>
          <w:rFonts w:eastAsia="Times New Roman" w:cstheme="minorHAnsi"/>
          <w:color w:val="222222"/>
          <w:sz w:val="28"/>
          <w:szCs w:val="28"/>
          <w:lang w:eastAsia="es-MX"/>
        </w:rPr>
      </w:pPr>
    </w:p>
    <w:p w:rsidR="00033066" w:rsidRPr="005E1103" w:rsidRDefault="00033066" w:rsidP="00033066">
      <w:pPr>
        <w:shd w:val="clear" w:color="auto" w:fill="FFFFFF"/>
        <w:spacing w:after="0" w:line="360" w:lineRule="auto"/>
        <w:jc w:val="both"/>
        <w:rPr>
          <w:rFonts w:eastAsia="Times New Roman" w:cstheme="minorHAnsi"/>
          <w:color w:val="222222"/>
          <w:sz w:val="28"/>
          <w:szCs w:val="28"/>
          <w:lang w:eastAsia="es-MX"/>
        </w:rPr>
      </w:pPr>
      <w:r w:rsidRPr="005E1103">
        <w:rPr>
          <w:rFonts w:eastAsia="Times New Roman" w:cstheme="minorHAnsi"/>
          <w:color w:val="222222"/>
          <w:sz w:val="28"/>
          <w:szCs w:val="28"/>
          <w:lang w:eastAsia="es-MX"/>
        </w:rPr>
        <w:t>Conclusiones:</w:t>
      </w:r>
    </w:p>
    <w:p w:rsidR="00033066" w:rsidRPr="005E1103" w:rsidRDefault="00033066" w:rsidP="00033066">
      <w:pPr>
        <w:shd w:val="clear" w:color="auto" w:fill="FFFFFF"/>
        <w:spacing w:after="0" w:line="360" w:lineRule="auto"/>
        <w:jc w:val="both"/>
        <w:rPr>
          <w:rFonts w:eastAsia="Times New Roman" w:cstheme="minorHAnsi"/>
          <w:color w:val="222222"/>
          <w:sz w:val="28"/>
          <w:szCs w:val="28"/>
          <w:lang w:eastAsia="es-MX"/>
        </w:rPr>
      </w:pPr>
    </w:p>
    <w:p w:rsidR="00033066" w:rsidRPr="005E1103" w:rsidRDefault="00033066" w:rsidP="00033066">
      <w:pPr>
        <w:spacing w:line="360" w:lineRule="auto"/>
        <w:jc w:val="both"/>
        <w:rPr>
          <w:rFonts w:cstheme="minorHAnsi"/>
          <w:sz w:val="28"/>
          <w:szCs w:val="28"/>
        </w:rPr>
      </w:pPr>
      <w:r w:rsidRPr="005E1103">
        <w:rPr>
          <w:rFonts w:cstheme="minorHAnsi"/>
          <w:sz w:val="28"/>
          <w:szCs w:val="28"/>
        </w:rPr>
        <w:t xml:space="preserve">La colaboración alumno-docente juega un rol fundamental, para fomentar la transformación en los procesos de enseñanza-aprendizaje, fortaleciendo los procesos de inclusión al visibilizar las experiencias </w:t>
      </w:r>
      <w:r w:rsidRPr="005E1103">
        <w:rPr>
          <w:rFonts w:cstheme="minorHAnsi"/>
          <w:sz w:val="28"/>
          <w:szCs w:val="28"/>
        </w:rPr>
        <w:lastRenderedPageBreak/>
        <w:t>adquiridas para su sistematización y documentación para facilitar la construcción de un entorno equitativo.</w:t>
      </w:r>
    </w:p>
    <w:p w:rsidR="00033066" w:rsidRPr="005E1103" w:rsidRDefault="00033066" w:rsidP="00033066">
      <w:pPr>
        <w:spacing w:line="360" w:lineRule="auto"/>
        <w:jc w:val="both"/>
        <w:rPr>
          <w:rFonts w:cstheme="minorHAnsi"/>
          <w:sz w:val="28"/>
          <w:szCs w:val="28"/>
        </w:rPr>
      </w:pPr>
      <w:r w:rsidRPr="005E1103">
        <w:rPr>
          <w:rFonts w:cstheme="minorHAnsi"/>
          <w:sz w:val="28"/>
          <w:szCs w:val="28"/>
        </w:rPr>
        <w:t>La inclusión educativa marca un espacio en donde todos los alumnos, profesores y las comunidades son capaces de conseguir logros de competencia personal, participación social y convivencia armónica logrando generar un ambiente importante en el entorno social.</w:t>
      </w:r>
    </w:p>
    <w:p w:rsidR="00033066" w:rsidRPr="005E1103" w:rsidRDefault="00033066" w:rsidP="00033066">
      <w:pPr>
        <w:spacing w:line="360" w:lineRule="auto"/>
        <w:jc w:val="both"/>
        <w:rPr>
          <w:rFonts w:cstheme="minorHAnsi"/>
          <w:sz w:val="28"/>
          <w:szCs w:val="28"/>
        </w:rPr>
      </w:pPr>
    </w:p>
    <w:p w:rsidR="00033066" w:rsidRPr="005E1103" w:rsidRDefault="00033066" w:rsidP="00033066">
      <w:pPr>
        <w:spacing w:line="360" w:lineRule="auto"/>
        <w:jc w:val="both"/>
        <w:rPr>
          <w:rFonts w:cstheme="minorHAnsi"/>
          <w:sz w:val="28"/>
          <w:szCs w:val="28"/>
        </w:rPr>
      </w:pPr>
      <w:r w:rsidRPr="005E1103">
        <w:rPr>
          <w:rFonts w:cstheme="minorHAnsi"/>
          <w:sz w:val="28"/>
          <w:szCs w:val="28"/>
        </w:rPr>
        <w:t>Bibliografía</w:t>
      </w:r>
    </w:p>
    <w:p w:rsidR="00033066" w:rsidRPr="005E1103" w:rsidRDefault="00033066" w:rsidP="00033066">
      <w:pPr>
        <w:spacing w:line="360" w:lineRule="auto"/>
        <w:jc w:val="both"/>
        <w:rPr>
          <w:rFonts w:cstheme="minorHAnsi"/>
          <w:sz w:val="28"/>
          <w:szCs w:val="28"/>
        </w:rPr>
      </w:pPr>
      <w:r w:rsidRPr="005E1103">
        <w:rPr>
          <w:rFonts w:cstheme="minorHAnsi"/>
          <w:sz w:val="28"/>
          <w:szCs w:val="28"/>
        </w:rPr>
        <w:t xml:space="preserve">ONU, Convención sobre los derechos de las personas con discapacidad y protocolo facultativo de la Organización de las Naciones Unidas, 2006, Pp. 42. </w:t>
      </w:r>
      <w:hyperlink r:id="rId181" w:history="1">
        <w:r w:rsidRPr="005E1103">
          <w:rPr>
            <w:rStyle w:val="Hipervnculo"/>
            <w:rFonts w:cstheme="minorHAnsi"/>
            <w:sz w:val="28"/>
            <w:szCs w:val="28"/>
          </w:rPr>
          <w:t>http://www.un.org/disabilities/documents/convention/convoptprot-s.pdf</w:t>
        </w:r>
      </w:hyperlink>
    </w:p>
    <w:p w:rsidR="00033066" w:rsidRPr="005E1103" w:rsidRDefault="00033066" w:rsidP="00033066">
      <w:pPr>
        <w:shd w:val="clear" w:color="auto" w:fill="FFFFFF"/>
        <w:spacing w:after="0" w:line="360" w:lineRule="auto"/>
        <w:jc w:val="both"/>
        <w:rPr>
          <w:rFonts w:cstheme="minorHAnsi"/>
          <w:sz w:val="28"/>
          <w:szCs w:val="28"/>
        </w:rPr>
      </w:pPr>
      <w:r w:rsidRPr="005E1103">
        <w:rPr>
          <w:rFonts w:cstheme="minorHAnsi"/>
          <w:sz w:val="28"/>
          <w:szCs w:val="28"/>
        </w:rPr>
        <w:t xml:space="preserve">Ministerio de Educación, cultura y deporte, Sobre el concepto de buena práctica, recuperado </w:t>
      </w:r>
      <w:hyperlink r:id="rId182" w:history="1">
        <w:r w:rsidRPr="005E1103">
          <w:rPr>
            <w:rStyle w:val="Hipervnculo"/>
            <w:rFonts w:cstheme="minorHAnsi"/>
            <w:sz w:val="28"/>
            <w:szCs w:val="28"/>
          </w:rPr>
          <w:t>http://www.mecd.gob.es/dctm/cee/encuentros/buenapractica.pdf?documentId=0901e72b815f9789</w:t>
        </w:r>
      </w:hyperlink>
    </w:p>
    <w:p w:rsidR="00033066" w:rsidRPr="005E1103" w:rsidRDefault="00033066" w:rsidP="00033066">
      <w:pPr>
        <w:shd w:val="clear" w:color="auto" w:fill="FFFFFF"/>
        <w:spacing w:after="0" w:line="360" w:lineRule="auto"/>
        <w:jc w:val="both"/>
        <w:rPr>
          <w:rFonts w:cstheme="minorHAnsi"/>
          <w:sz w:val="28"/>
          <w:szCs w:val="28"/>
        </w:rPr>
      </w:pPr>
    </w:p>
    <w:p w:rsidR="00033066" w:rsidRPr="005E1103" w:rsidRDefault="00033066" w:rsidP="00033066">
      <w:pPr>
        <w:shd w:val="clear" w:color="auto" w:fill="FFFFFF"/>
        <w:spacing w:after="0" w:line="360" w:lineRule="auto"/>
        <w:jc w:val="both"/>
        <w:rPr>
          <w:rFonts w:cstheme="minorHAnsi"/>
          <w:sz w:val="28"/>
          <w:szCs w:val="28"/>
        </w:rPr>
      </w:pPr>
      <w:r w:rsidRPr="005E1103">
        <w:rPr>
          <w:rFonts w:cstheme="minorHAnsi"/>
          <w:sz w:val="28"/>
          <w:szCs w:val="28"/>
        </w:rPr>
        <w:t xml:space="preserve">Universidad de Alicante, Principios y directrices de la WCAG 2.0, (N.d.) recuperado de </w:t>
      </w:r>
      <w:hyperlink r:id="rId183" w:history="1">
        <w:r w:rsidRPr="005E1103">
          <w:rPr>
            <w:rStyle w:val="Hipervnculo"/>
            <w:rFonts w:cstheme="minorHAnsi"/>
            <w:sz w:val="28"/>
            <w:szCs w:val="28"/>
          </w:rPr>
          <w:t>http://accesibilidadweb.dlsi.ua.es/?menu=principios-2.0</w:t>
        </w:r>
      </w:hyperlink>
    </w:p>
    <w:p w:rsidR="00033066" w:rsidRPr="005E1103" w:rsidRDefault="00033066">
      <w:pPr>
        <w:rPr>
          <w:rFonts w:cstheme="minorHAnsi"/>
          <w:sz w:val="28"/>
          <w:szCs w:val="28"/>
        </w:rPr>
      </w:pPr>
      <w:r w:rsidRPr="005E1103">
        <w:rPr>
          <w:rFonts w:cstheme="minorHAnsi"/>
          <w:sz w:val="28"/>
          <w:szCs w:val="28"/>
        </w:rPr>
        <w:br w:type="page"/>
      </w:r>
    </w:p>
    <w:p w:rsidR="00033066" w:rsidRPr="005E1103" w:rsidRDefault="00033066" w:rsidP="00033066">
      <w:pPr>
        <w:widowControl w:val="0"/>
        <w:autoSpaceDE w:val="0"/>
        <w:autoSpaceDN w:val="0"/>
        <w:adjustRightInd w:val="0"/>
        <w:spacing w:line="360" w:lineRule="auto"/>
        <w:jc w:val="center"/>
        <w:rPr>
          <w:rFonts w:cstheme="minorHAnsi"/>
          <w:b/>
          <w:sz w:val="28"/>
          <w:szCs w:val="28"/>
        </w:rPr>
      </w:pPr>
      <w:r w:rsidRPr="005E1103">
        <w:rPr>
          <w:rFonts w:cstheme="minorHAnsi"/>
          <w:b/>
          <w:sz w:val="28"/>
          <w:szCs w:val="28"/>
        </w:rPr>
        <w:lastRenderedPageBreak/>
        <w:t>COMUNICACIÓN 10</w:t>
      </w:r>
    </w:p>
    <w:p w:rsidR="00033066" w:rsidRPr="005E1103" w:rsidRDefault="00033066" w:rsidP="00033066">
      <w:pPr>
        <w:widowControl w:val="0"/>
        <w:pBdr>
          <w:top w:val="single" w:sz="4" w:space="1" w:color="auto"/>
          <w:left w:val="single" w:sz="4" w:space="4" w:color="auto"/>
          <w:bottom w:val="single" w:sz="4" w:space="1" w:color="auto"/>
          <w:right w:val="single" w:sz="4" w:space="4" w:color="auto"/>
        </w:pBdr>
        <w:autoSpaceDE w:val="0"/>
        <w:autoSpaceDN w:val="0"/>
        <w:adjustRightInd w:val="0"/>
        <w:spacing w:line="360" w:lineRule="auto"/>
        <w:jc w:val="center"/>
        <w:rPr>
          <w:rFonts w:cstheme="minorHAnsi"/>
          <w:sz w:val="28"/>
          <w:szCs w:val="28"/>
        </w:rPr>
      </w:pPr>
      <w:r w:rsidRPr="005E1103">
        <w:rPr>
          <w:rFonts w:cstheme="minorHAnsi"/>
          <w:sz w:val="28"/>
          <w:szCs w:val="28"/>
        </w:rPr>
        <w:t>Historiormática, una visión global de las nuevas tecnologías para todos</w:t>
      </w:r>
    </w:p>
    <w:p w:rsidR="00033066" w:rsidRPr="005E1103" w:rsidRDefault="00033066" w:rsidP="00033066">
      <w:pPr>
        <w:pStyle w:val="Textoindependiente"/>
        <w:spacing w:before="1"/>
        <w:rPr>
          <w:rFonts w:asciiTheme="minorHAnsi" w:hAnsiTheme="minorHAnsi" w:cstheme="minorHAnsi"/>
          <w:sz w:val="28"/>
          <w:szCs w:val="28"/>
        </w:rPr>
      </w:pPr>
    </w:p>
    <w:p w:rsidR="00033066" w:rsidRPr="005E1103" w:rsidRDefault="00033066" w:rsidP="00033066">
      <w:pPr>
        <w:pStyle w:val="Textoindependiente"/>
        <w:spacing w:before="8"/>
        <w:rPr>
          <w:rFonts w:asciiTheme="minorHAnsi" w:hAnsiTheme="minorHAnsi" w:cstheme="minorHAnsi"/>
          <w:b/>
          <w:sz w:val="28"/>
          <w:szCs w:val="28"/>
        </w:rPr>
      </w:pPr>
    </w:p>
    <w:p w:rsidR="00033066" w:rsidRPr="005E1103" w:rsidRDefault="00033066" w:rsidP="00033066">
      <w:pPr>
        <w:pStyle w:val="Textoindependiente"/>
        <w:ind w:left="102"/>
        <w:rPr>
          <w:rFonts w:asciiTheme="minorHAnsi" w:hAnsiTheme="minorHAnsi" w:cstheme="minorHAnsi"/>
          <w:sz w:val="28"/>
          <w:szCs w:val="28"/>
        </w:rPr>
      </w:pPr>
      <w:r w:rsidRPr="005E1103">
        <w:rPr>
          <w:rFonts w:asciiTheme="minorHAnsi" w:hAnsiTheme="minorHAnsi" w:cstheme="minorHAnsi"/>
          <w:sz w:val="28"/>
          <w:szCs w:val="28"/>
        </w:rPr>
        <w:t xml:space="preserve">Por </w:t>
      </w:r>
      <w:r w:rsidRPr="005E1103">
        <w:rPr>
          <w:rFonts w:asciiTheme="minorHAnsi" w:hAnsiTheme="minorHAnsi" w:cstheme="minorHAnsi"/>
          <w:color w:val="0000FF"/>
          <w:sz w:val="28"/>
          <w:szCs w:val="28"/>
          <w:u w:val="single" w:color="0000FF"/>
        </w:rPr>
        <w:t>José Manuel Fernández Granda</w:t>
      </w:r>
    </w:p>
    <w:p w:rsidR="00033066" w:rsidRPr="005E1103" w:rsidRDefault="00033066" w:rsidP="00033066">
      <w:pPr>
        <w:rPr>
          <w:rFonts w:cstheme="minorHAnsi"/>
          <w:sz w:val="28"/>
          <w:szCs w:val="28"/>
        </w:rPr>
      </w:pPr>
    </w:p>
    <w:p w:rsidR="00033066" w:rsidRPr="005E1103" w:rsidRDefault="00033066" w:rsidP="00033066">
      <w:pPr>
        <w:spacing w:line="360" w:lineRule="auto"/>
        <w:ind w:firstLine="708"/>
        <w:jc w:val="both"/>
        <w:rPr>
          <w:rFonts w:cstheme="minorHAnsi"/>
          <w:sz w:val="28"/>
          <w:szCs w:val="28"/>
        </w:rPr>
      </w:pPr>
      <w:r w:rsidRPr="005E1103">
        <w:rPr>
          <w:rFonts w:cstheme="minorHAnsi"/>
          <w:sz w:val="28"/>
          <w:szCs w:val="28"/>
        </w:rPr>
        <w:t>La sociedad se encuentra en una etapa cambiante, lo que sin duda está constituyendo un hito histórico del mismo modo que en su momento lo fue la revolución industrial iniciada en Reino Unido. Salvando las distancias, podríamos afirmar que la era tecnológica supone un cambio similar pero mucho más rápido en su expansión y globalización.</w:t>
      </w:r>
    </w:p>
    <w:p w:rsidR="00033066" w:rsidRPr="005E1103" w:rsidRDefault="00033066" w:rsidP="00033066">
      <w:pPr>
        <w:spacing w:line="360" w:lineRule="auto"/>
        <w:jc w:val="both"/>
        <w:rPr>
          <w:rFonts w:cstheme="minorHAnsi"/>
          <w:sz w:val="28"/>
          <w:szCs w:val="28"/>
        </w:rPr>
      </w:pPr>
    </w:p>
    <w:p w:rsidR="00033066" w:rsidRPr="005E1103" w:rsidRDefault="00033066" w:rsidP="00033066">
      <w:pPr>
        <w:spacing w:line="360" w:lineRule="auto"/>
        <w:ind w:firstLine="708"/>
        <w:jc w:val="both"/>
        <w:rPr>
          <w:rFonts w:cstheme="minorHAnsi"/>
          <w:sz w:val="28"/>
          <w:szCs w:val="28"/>
        </w:rPr>
      </w:pPr>
      <w:r w:rsidRPr="005E1103">
        <w:rPr>
          <w:rFonts w:cstheme="minorHAnsi"/>
          <w:sz w:val="28"/>
          <w:szCs w:val="28"/>
        </w:rPr>
        <w:t xml:space="preserve">Las tecnologías forman parte de nosotros y somos muchos los que quizá no podríamos vivir sin ellas, pese a crecer en un entorno en el que se fueron implantando progresivamente. Hoy están presentes en la vida diaria para ayudarnos si sabemos utilizarlas, o jugarnos malas pasadas si pecamos de ignorantes. </w:t>
      </w:r>
    </w:p>
    <w:p w:rsidR="00033066" w:rsidRPr="005E1103" w:rsidRDefault="00033066" w:rsidP="00033066">
      <w:pPr>
        <w:spacing w:line="360" w:lineRule="auto"/>
        <w:jc w:val="both"/>
        <w:rPr>
          <w:rFonts w:cstheme="minorHAnsi"/>
          <w:sz w:val="28"/>
          <w:szCs w:val="28"/>
        </w:rPr>
      </w:pPr>
    </w:p>
    <w:p w:rsidR="00033066" w:rsidRPr="005E1103" w:rsidRDefault="00033066" w:rsidP="00033066">
      <w:pPr>
        <w:spacing w:line="360" w:lineRule="auto"/>
        <w:ind w:firstLine="708"/>
        <w:jc w:val="both"/>
        <w:rPr>
          <w:rFonts w:cstheme="minorHAnsi"/>
          <w:sz w:val="28"/>
          <w:szCs w:val="28"/>
        </w:rPr>
      </w:pPr>
      <w:r w:rsidRPr="005E1103">
        <w:rPr>
          <w:rFonts w:cstheme="minorHAnsi"/>
          <w:sz w:val="28"/>
          <w:szCs w:val="28"/>
        </w:rPr>
        <w:t xml:space="preserve">En la actualidad ha quedado demostrado que todas estas cuestiones técnicas han revolucionado nuestra sociedad, desde el momento en que la comunicación a través de estos medios se convierte en una necesidad que ha cambiado el mundo.  </w:t>
      </w:r>
    </w:p>
    <w:p w:rsidR="00033066" w:rsidRPr="005E1103" w:rsidRDefault="00033066" w:rsidP="00033066">
      <w:pPr>
        <w:spacing w:line="360" w:lineRule="auto"/>
        <w:jc w:val="both"/>
        <w:rPr>
          <w:rFonts w:cstheme="minorHAnsi"/>
          <w:sz w:val="28"/>
          <w:szCs w:val="28"/>
        </w:rPr>
      </w:pPr>
    </w:p>
    <w:p w:rsidR="00033066" w:rsidRPr="005E1103" w:rsidRDefault="00033066" w:rsidP="00033066">
      <w:pPr>
        <w:spacing w:line="360" w:lineRule="auto"/>
        <w:ind w:firstLine="708"/>
        <w:jc w:val="both"/>
        <w:rPr>
          <w:rFonts w:cstheme="minorHAnsi"/>
          <w:sz w:val="28"/>
          <w:szCs w:val="28"/>
        </w:rPr>
      </w:pPr>
      <w:r w:rsidRPr="005E1103">
        <w:rPr>
          <w:rFonts w:cstheme="minorHAnsi"/>
          <w:sz w:val="28"/>
          <w:szCs w:val="28"/>
        </w:rPr>
        <w:t xml:space="preserve">Cambia la manera de relacionarnos con amigos, familiares y gente que ni siquiera imaginábamos. La forma de comprar y vender, los hábitos </w:t>
      </w:r>
      <w:r w:rsidRPr="005E1103">
        <w:rPr>
          <w:rFonts w:cstheme="minorHAnsi"/>
          <w:sz w:val="28"/>
          <w:szCs w:val="28"/>
        </w:rPr>
        <w:lastRenderedPageBreak/>
        <w:t xml:space="preserve">de consumo, el acceso a la información y gestión de nuestros recursos, el ocio y los viajes. Moviliza masas y modifica opiniones, con lo bueno y lo malo que esto trae consigo. </w:t>
      </w:r>
    </w:p>
    <w:p w:rsidR="00033066" w:rsidRPr="005E1103" w:rsidRDefault="00033066" w:rsidP="00033066">
      <w:pPr>
        <w:spacing w:line="360" w:lineRule="auto"/>
        <w:jc w:val="both"/>
        <w:rPr>
          <w:rFonts w:cstheme="minorHAnsi"/>
          <w:sz w:val="28"/>
          <w:szCs w:val="28"/>
        </w:rPr>
      </w:pPr>
    </w:p>
    <w:p w:rsidR="00033066" w:rsidRPr="005E1103" w:rsidRDefault="00033066" w:rsidP="00033066">
      <w:pPr>
        <w:spacing w:line="360" w:lineRule="auto"/>
        <w:ind w:firstLine="708"/>
        <w:jc w:val="both"/>
        <w:rPr>
          <w:rFonts w:cstheme="minorHAnsi"/>
          <w:sz w:val="28"/>
          <w:szCs w:val="28"/>
        </w:rPr>
      </w:pPr>
      <w:r w:rsidRPr="005E1103">
        <w:rPr>
          <w:rFonts w:cstheme="minorHAnsi"/>
          <w:sz w:val="28"/>
          <w:szCs w:val="28"/>
        </w:rPr>
        <w:t>Debemos tener en cuenta que servicios considerados imprescindibles, hace solo diez años no se habían siquiera inventado. Tras el contenido visualizado en nuestras pantallas, hay miles de horas de trabajo en ingeniería, fabricación, investigación… Esas palabras que tanto dolor de cabeza levantan en nuestro país y tan necesarias son en las sociedades desarrolladas.</w:t>
      </w:r>
    </w:p>
    <w:p w:rsidR="00033066" w:rsidRPr="005E1103" w:rsidRDefault="00033066" w:rsidP="00033066">
      <w:pPr>
        <w:spacing w:line="360" w:lineRule="auto"/>
        <w:jc w:val="both"/>
        <w:rPr>
          <w:rFonts w:cstheme="minorHAnsi"/>
          <w:sz w:val="28"/>
          <w:szCs w:val="28"/>
        </w:rPr>
      </w:pPr>
    </w:p>
    <w:p w:rsidR="00033066" w:rsidRPr="005E1103" w:rsidRDefault="00033066" w:rsidP="00033066">
      <w:pPr>
        <w:spacing w:line="360" w:lineRule="auto"/>
        <w:ind w:firstLine="708"/>
        <w:jc w:val="both"/>
        <w:rPr>
          <w:rFonts w:cstheme="minorHAnsi"/>
          <w:sz w:val="28"/>
          <w:szCs w:val="28"/>
        </w:rPr>
      </w:pPr>
      <w:r w:rsidRPr="005E1103">
        <w:rPr>
          <w:rFonts w:cstheme="minorHAnsi"/>
          <w:sz w:val="28"/>
          <w:szCs w:val="28"/>
        </w:rPr>
        <w:t>Del mismo modo que en su momento aprendimos a leer y escribir, hoy debemos adquirir nuevos conocimientos que nos ayuden a comprender las nuevas tecnologías para saber ponerlas a nuestro servicio. Es algo a lo que la sociedad nos va a empujar si queremos sentirnos integrados.</w:t>
      </w:r>
    </w:p>
    <w:p w:rsidR="00033066" w:rsidRPr="005E1103" w:rsidRDefault="00033066" w:rsidP="00033066">
      <w:pPr>
        <w:spacing w:line="360" w:lineRule="auto"/>
        <w:jc w:val="both"/>
        <w:rPr>
          <w:rFonts w:cstheme="minorHAnsi"/>
          <w:sz w:val="28"/>
          <w:szCs w:val="28"/>
        </w:rPr>
      </w:pPr>
    </w:p>
    <w:p w:rsidR="00033066" w:rsidRPr="005E1103" w:rsidRDefault="00033066" w:rsidP="00033066">
      <w:pPr>
        <w:spacing w:line="360" w:lineRule="auto"/>
        <w:ind w:firstLine="708"/>
        <w:jc w:val="both"/>
        <w:rPr>
          <w:rFonts w:cstheme="minorHAnsi"/>
          <w:sz w:val="28"/>
          <w:szCs w:val="28"/>
        </w:rPr>
      </w:pPr>
      <w:r w:rsidRPr="005E1103">
        <w:rPr>
          <w:rFonts w:cstheme="minorHAnsi"/>
          <w:sz w:val="28"/>
          <w:szCs w:val="28"/>
        </w:rPr>
        <w:t xml:space="preserve">A lo largo de estas páginas, iremos descubriendo que no todo es tan complejo y que es posible encontrar respuestas sencillas a lo que nos parece complicado. Por ello, esta obra no es un manual ni tampoco una novela, sino un compendio de ideas básicas fuera de los tópicos habituales, que pretende ofrecer la cultura general básica y fomentar la curiosidad junto a un afán de investigación personal. </w:t>
      </w:r>
    </w:p>
    <w:p w:rsidR="00033066" w:rsidRPr="005E1103" w:rsidRDefault="00033066" w:rsidP="00033066">
      <w:pPr>
        <w:spacing w:line="360" w:lineRule="auto"/>
        <w:jc w:val="both"/>
        <w:rPr>
          <w:rFonts w:cstheme="minorHAnsi"/>
          <w:sz w:val="28"/>
          <w:szCs w:val="28"/>
        </w:rPr>
      </w:pPr>
    </w:p>
    <w:p w:rsidR="00033066" w:rsidRPr="005E1103" w:rsidRDefault="00033066" w:rsidP="00033066">
      <w:pPr>
        <w:spacing w:line="360" w:lineRule="auto"/>
        <w:ind w:firstLine="708"/>
        <w:jc w:val="both"/>
        <w:rPr>
          <w:rFonts w:cstheme="minorHAnsi"/>
          <w:sz w:val="28"/>
          <w:szCs w:val="28"/>
        </w:rPr>
      </w:pPr>
      <w:r w:rsidRPr="005E1103">
        <w:rPr>
          <w:rFonts w:cstheme="minorHAnsi"/>
          <w:sz w:val="28"/>
          <w:szCs w:val="28"/>
        </w:rPr>
        <w:lastRenderedPageBreak/>
        <w:t>El objetivo final es mostrar las nuevas tecnologías como algo cercano e interesante. Por lo menos me gustaría pensar que estas páginas puedan servir para abrir al lector una ventana a un mundo diferente, del que todos debemos formar parte de una manera libre y segura.</w:t>
      </w:r>
    </w:p>
    <w:p w:rsidR="00033066" w:rsidRPr="005E1103" w:rsidRDefault="00033066" w:rsidP="00033066">
      <w:pPr>
        <w:spacing w:line="360" w:lineRule="auto"/>
        <w:jc w:val="both"/>
        <w:rPr>
          <w:rFonts w:cstheme="minorHAnsi"/>
          <w:sz w:val="28"/>
          <w:szCs w:val="28"/>
        </w:rPr>
      </w:pPr>
      <w:r w:rsidRPr="005E1103">
        <w:rPr>
          <w:rFonts w:cstheme="minorHAnsi"/>
          <w:sz w:val="28"/>
          <w:szCs w:val="28"/>
        </w:rPr>
        <w:br w:type="page"/>
      </w:r>
    </w:p>
    <w:p w:rsidR="00033066" w:rsidRPr="005E1103" w:rsidRDefault="00033066" w:rsidP="00033066">
      <w:pPr>
        <w:pStyle w:val="Ttulo1"/>
        <w:spacing w:line="360" w:lineRule="auto"/>
        <w:jc w:val="center"/>
        <w:rPr>
          <w:rFonts w:asciiTheme="minorHAnsi" w:hAnsiTheme="minorHAnsi" w:cstheme="minorHAnsi"/>
          <w:b w:val="0"/>
        </w:rPr>
      </w:pPr>
      <w:bookmarkStart w:id="83" w:name="_Toc460870600"/>
      <w:r w:rsidRPr="005E1103">
        <w:rPr>
          <w:rFonts w:asciiTheme="minorHAnsi" w:hAnsiTheme="minorHAnsi" w:cstheme="minorHAnsi"/>
          <w:b w:val="0"/>
        </w:rPr>
        <w:lastRenderedPageBreak/>
        <w:t>INTRODUCCIÓN</w:t>
      </w:r>
      <w:bookmarkEnd w:id="83"/>
    </w:p>
    <w:p w:rsidR="00033066" w:rsidRPr="005E1103" w:rsidRDefault="00033066" w:rsidP="00033066">
      <w:pPr>
        <w:spacing w:line="360" w:lineRule="auto"/>
        <w:jc w:val="both"/>
        <w:rPr>
          <w:rFonts w:cstheme="minorHAnsi"/>
          <w:sz w:val="28"/>
          <w:szCs w:val="28"/>
        </w:rPr>
      </w:pPr>
    </w:p>
    <w:p w:rsidR="00033066" w:rsidRPr="005E1103" w:rsidRDefault="00033066" w:rsidP="00033066">
      <w:pPr>
        <w:spacing w:line="355" w:lineRule="auto"/>
        <w:ind w:firstLine="708"/>
        <w:jc w:val="both"/>
        <w:rPr>
          <w:rFonts w:cstheme="minorHAnsi"/>
          <w:sz w:val="28"/>
          <w:szCs w:val="28"/>
        </w:rPr>
      </w:pPr>
      <w:r w:rsidRPr="005E1103">
        <w:rPr>
          <w:rFonts w:cstheme="minorHAnsi"/>
          <w:sz w:val="28"/>
          <w:szCs w:val="28"/>
        </w:rPr>
        <w:t xml:space="preserve">Antes de sumergirnos en la lectura de las siguientes páginas, debemos meternos en el papel: </w:t>
      </w:r>
    </w:p>
    <w:p w:rsidR="00033066" w:rsidRPr="005E1103" w:rsidRDefault="00033066" w:rsidP="00033066">
      <w:pPr>
        <w:spacing w:line="355" w:lineRule="auto"/>
        <w:jc w:val="both"/>
        <w:rPr>
          <w:rFonts w:cstheme="minorHAnsi"/>
          <w:sz w:val="28"/>
          <w:szCs w:val="28"/>
        </w:rPr>
      </w:pPr>
      <w:r w:rsidRPr="005E1103">
        <w:rPr>
          <w:rFonts w:cstheme="minorHAnsi"/>
          <w:sz w:val="28"/>
          <w:szCs w:val="28"/>
        </w:rPr>
        <w:t xml:space="preserve"> </w:t>
      </w:r>
    </w:p>
    <w:p w:rsidR="00033066" w:rsidRPr="005E1103" w:rsidRDefault="00033066" w:rsidP="00033066">
      <w:pPr>
        <w:spacing w:line="355" w:lineRule="auto"/>
        <w:ind w:firstLine="708"/>
        <w:jc w:val="both"/>
        <w:rPr>
          <w:rFonts w:cstheme="minorHAnsi"/>
          <w:sz w:val="28"/>
          <w:szCs w:val="28"/>
        </w:rPr>
      </w:pPr>
      <w:r w:rsidRPr="005E1103">
        <w:rPr>
          <w:rFonts w:cstheme="minorHAnsi"/>
          <w:sz w:val="28"/>
          <w:szCs w:val="28"/>
        </w:rPr>
        <w:t xml:space="preserve">Partimos de una situación cotidiana como puede ser la compra de un Rasca de la </w:t>
      </w:r>
      <w:hyperlink r:id="rId184" w:history="1">
        <w:r w:rsidRPr="005E1103">
          <w:rPr>
            <w:rStyle w:val="Hipervnculo"/>
            <w:rFonts w:cstheme="minorHAnsi"/>
            <w:sz w:val="28"/>
            <w:szCs w:val="28"/>
          </w:rPr>
          <w:t>ONCE</w:t>
        </w:r>
      </w:hyperlink>
      <w:r w:rsidRPr="005E1103">
        <w:rPr>
          <w:rFonts w:cstheme="minorHAnsi"/>
          <w:sz w:val="28"/>
          <w:szCs w:val="28"/>
        </w:rPr>
        <w:t xml:space="preserve">, en el que descubrimos una cantidad lo suficientemente importante como para alegrarnos el año. Echándole entonces una mirada a nuestro viejo </w:t>
      </w:r>
      <w:hyperlink r:id="rId185" w:history="1">
        <w:r w:rsidRPr="005E1103">
          <w:rPr>
            <w:rStyle w:val="Hipervnculo"/>
            <w:rFonts w:cstheme="minorHAnsi"/>
            <w:sz w:val="28"/>
            <w:szCs w:val="28"/>
          </w:rPr>
          <w:t>Nokia 6600</w:t>
        </w:r>
      </w:hyperlink>
      <w:r w:rsidRPr="005E1103">
        <w:rPr>
          <w:rFonts w:cstheme="minorHAnsi"/>
          <w:sz w:val="28"/>
          <w:szCs w:val="28"/>
        </w:rPr>
        <w:t xml:space="preserve"> que cumplió como un campeón, decidimos darnos una pequeña alegría y salir del Jurásico, renovando el terminal tras doce años de uso continuado (hoy ya no los hacen así). Como nos sentimos espléndidos, también invitamos a toda la familia a una buena mariscada junto a nuestro nuevo amigo el vendedor, del que tenemos grandes cosas que aprender.</w:t>
      </w:r>
    </w:p>
    <w:p w:rsidR="00033066" w:rsidRPr="005E1103" w:rsidRDefault="00033066" w:rsidP="00033066">
      <w:pPr>
        <w:spacing w:line="355" w:lineRule="auto"/>
        <w:jc w:val="both"/>
        <w:rPr>
          <w:rFonts w:cstheme="minorHAnsi"/>
          <w:sz w:val="28"/>
          <w:szCs w:val="28"/>
        </w:rPr>
      </w:pPr>
    </w:p>
    <w:p w:rsidR="00033066" w:rsidRPr="005E1103" w:rsidRDefault="00033066" w:rsidP="00033066">
      <w:pPr>
        <w:spacing w:line="355" w:lineRule="auto"/>
        <w:ind w:firstLine="708"/>
        <w:jc w:val="both"/>
        <w:rPr>
          <w:rFonts w:cstheme="minorHAnsi"/>
          <w:sz w:val="28"/>
          <w:szCs w:val="28"/>
        </w:rPr>
      </w:pPr>
      <w:r w:rsidRPr="005E1103">
        <w:rPr>
          <w:rFonts w:cstheme="minorHAnsi"/>
          <w:sz w:val="28"/>
          <w:szCs w:val="28"/>
        </w:rPr>
        <w:t xml:space="preserve">Aquel Nokia (un teléfono que en su momento creímos que ya era inteligente), resulta que se ha quedado obsoleto incluso para nosotros, que solo enviamos y recibimos llamadas. Aunque eso de “Whatsappear” con los compañeros nos tienta un poquito y estamos bastante hartos de las bromas que nos gastan a diario cuando lo sacamos del bolso. Como no somos tontos, ponemos rumbo al </w:t>
      </w:r>
      <w:hyperlink r:id="rId186" w:history="1">
        <w:r w:rsidRPr="005E1103">
          <w:rPr>
            <w:rStyle w:val="Hipervnculo"/>
            <w:rFonts w:cstheme="minorHAnsi"/>
            <w:sz w:val="28"/>
            <w:szCs w:val="28"/>
          </w:rPr>
          <w:t>Fnac</w:t>
        </w:r>
      </w:hyperlink>
      <w:r w:rsidRPr="005E1103">
        <w:rPr>
          <w:rFonts w:cstheme="minorHAnsi"/>
          <w:sz w:val="28"/>
          <w:szCs w:val="28"/>
        </w:rPr>
        <w:t xml:space="preserve"> que nos queda más a mano y de camino al centro comercial, se nos ocurre la idea de tener otro detalle con nuestro nuevo amigo regalándole un teléfono inteligente, ¿pero cuál sería el más adecuado teniendo en cuenta su ceguera? ¿Le valdría uno como ese Samsung Galaxy Edge que tanto nos gusta? Nunca habíamos caído en </w:t>
      </w:r>
      <w:r w:rsidRPr="005E1103">
        <w:rPr>
          <w:rFonts w:cstheme="minorHAnsi"/>
          <w:sz w:val="28"/>
          <w:szCs w:val="28"/>
        </w:rPr>
        <w:lastRenderedPageBreak/>
        <w:t xml:space="preserve">la cuenta del “pequeño detalle” que supone tener que manejar un dispositivo sin poder verlo. </w:t>
      </w:r>
    </w:p>
    <w:p w:rsidR="00033066" w:rsidRPr="005E1103" w:rsidRDefault="00033066" w:rsidP="00033066">
      <w:pPr>
        <w:spacing w:line="355" w:lineRule="auto"/>
        <w:jc w:val="both"/>
        <w:rPr>
          <w:rFonts w:cstheme="minorHAnsi"/>
          <w:sz w:val="28"/>
          <w:szCs w:val="28"/>
        </w:rPr>
      </w:pPr>
    </w:p>
    <w:p w:rsidR="00033066" w:rsidRPr="005E1103" w:rsidRDefault="00033066" w:rsidP="00033066">
      <w:pPr>
        <w:spacing w:line="355" w:lineRule="auto"/>
        <w:ind w:firstLine="708"/>
        <w:jc w:val="both"/>
        <w:rPr>
          <w:rFonts w:cstheme="minorHAnsi"/>
          <w:sz w:val="28"/>
          <w:szCs w:val="28"/>
        </w:rPr>
      </w:pPr>
      <w:r w:rsidRPr="005E1103">
        <w:rPr>
          <w:rFonts w:cstheme="minorHAnsi"/>
          <w:sz w:val="28"/>
          <w:szCs w:val="28"/>
        </w:rPr>
        <w:t>Algo que en principio debería ser sencillo cuando contamos con los recursos económicos suficientes, se vuelve en ocasiones difícil por la propia dispersión de un mercado que parece tener un aparato para cada persona. Como no está el dinero para tirarlo y todos los fabricantes practican una manera de venta un tanto agresiva, debemos analizar a fondo las necesidades que pretendemos cubrir para dar con el terminal adecuado.</w:t>
      </w:r>
    </w:p>
    <w:p w:rsidR="00033066" w:rsidRPr="005E1103" w:rsidRDefault="00033066" w:rsidP="00033066">
      <w:pPr>
        <w:spacing w:line="355" w:lineRule="auto"/>
        <w:jc w:val="both"/>
        <w:rPr>
          <w:rFonts w:cstheme="minorHAnsi"/>
          <w:sz w:val="28"/>
          <w:szCs w:val="28"/>
        </w:rPr>
      </w:pPr>
    </w:p>
    <w:p w:rsidR="00033066" w:rsidRPr="005E1103" w:rsidRDefault="00033066" w:rsidP="00033066">
      <w:pPr>
        <w:spacing w:line="355" w:lineRule="auto"/>
        <w:ind w:firstLine="708"/>
        <w:jc w:val="both"/>
        <w:rPr>
          <w:rFonts w:cstheme="minorHAnsi"/>
          <w:sz w:val="28"/>
          <w:szCs w:val="28"/>
        </w:rPr>
      </w:pPr>
      <w:r w:rsidRPr="005E1103">
        <w:rPr>
          <w:rFonts w:cstheme="minorHAnsi"/>
          <w:sz w:val="28"/>
          <w:szCs w:val="28"/>
        </w:rPr>
        <w:t xml:space="preserve">Al traspasar las puertas de la superficie comercial, solicitamos información sobre varias cuestiones que creíamos tener más o menos claras a la hora de adquirir un teléfono, pero comienzan a bombardearnos con sistemas operativos, versiones, gigahercios, memorias… Quedándonos igual o peor que cuando entramos. Según el dependiente de Fnac, el </w:t>
      </w:r>
      <w:hyperlink r:id="rId187" w:history="1">
        <w:r w:rsidRPr="005E1103">
          <w:rPr>
            <w:rStyle w:val="Hipervnculo"/>
            <w:rFonts w:cstheme="minorHAnsi"/>
            <w:sz w:val="28"/>
            <w:szCs w:val="28"/>
          </w:rPr>
          <w:t>BQ Aquarius</w:t>
        </w:r>
      </w:hyperlink>
      <w:r w:rsidRPr="005E1103">
        <w:rPr>
          <w:rFonts w:cstheme="minorHAnsi"/>
          <w:sz w:val="28"/>
          <w:szCs w:val="28"/>
        </w:rPr>
        <w:t xml:space="preserve"> es el mejor de todos y además lleva </w:t>
      </w:r>
      <w:hyperlink r:id="rId188" w:history="1">
        <w:r w:rsidRPr="005E1103">
          <w:rPr>
            <w:rStyle w:val="Hipervnculo"/>
            <w:rFonts w:cstheme="minorHAnsi"/>
            <w:sz w:val="28"/>
            <w:szCs w:val="28"/>
          </w:rPr>
          <w:t>Android</w:t>
        </w:r>
      </w:hyperlink>
      <w:r w:rsidRPr="005E1103">
        <w:rPr>
          <w:rFonts w:cstheme="minorHAnsi"/>
          <w:sz w:val="28"/>
          <w:szCs w:val="28"/>
        </w:rPr>
        <w:t xml:space="preserve"> y </w:t>
      </w:r>
      <w:hyperlink r:id="rId189" w:history="1">
        <w:r w:rsidRPr="005E1103">
          <w:rPr>
            <w:rStyle w:val="Hipervnculo"/>
            <w:rFonts w:cstheme="minorHAnsi"/>
            <w:sz w:val="28"/>
            <w:szCs w:val="28"/>
          </w:rPr>
          <w:t>WhatsApp,</w:t>
        </w:r>
      </w:hyperlink>
      <w:r w:rsidRPr="005E1103">
        <w:rPr>
          <w:rFonts w:cstheme="minorHAnsi"/>
          <w:sz w:val="28"/>
          <w:szCs w:val="28"/>
        </w:rPr>
        <w:t xml:space="preserve"> ¿Qué más podemos pedir? ¿Diseñado en España? ¡Pues va a resultar que también! </w:t>
      </w:r>
    </w:p>
    <w:p w:rsidR="00033066" w:rsidRPr="005E1103" w:rsidRDefault="00033066" w:rsidP="00033066">
      <w:pPr>
        <w:spacing w:line="355" w:lineRule="auto"/>
        <w:jc w:val="both"/>
        <w:rPr>
          <w:rFonts w:cstheme="minorHAnsi"/>
          <w:sz w:val="28"/>
          <w:szCs w:val="28"/>
        </w:rPr>
      </w:pPr>
    </w:p>
    <w:p w:rsidR="00033066" w:rsidRPr="005E1103" w:rsidRDefault="00033066" w:rsidP="00033066">
      <w:pPr>
        <w:spacing w:line="355" w:lineRule="auto"/>
        <w:ind w:firstLine="708"/>
        <w:jc w:val="both"/>
        <w:rPr>
          <w:rFonts w:cstheme="minorHAnsi"/>
          <w:sz w:val="28"/>
          <w:szCs w:val="28"/>
        </w:rPr>
      </w:pPr>
      <w:r w:rsidRPr="005E1103">
        <w:rPr>
          <w:rFonts w:cstheme="minorHAnsi"/>
          <w:sz w:val="28"/>
          <w:szCs w:val="28"/>
        </w:rPr>
        <w:t xml:space="preserve">Cuando consultamos sobre el acceso a las nuevas tecnologías para usuarios con discapacidad, el comercial nos mira con cara rara y se remite al manual de cada terminal, mostrándonos los teléfonos para personas mayores que según afirma efusivamente, “¡hablan al pulsar las teclas!”. Dejamos de intentar asesorarnos por esta vía sobre la cuestión, porque a fin de cuentas sin ser lo que buscamos, casi lo compramos. </w:t>
      </w:r>
    </w:p>
    <w:p w:rsidR="00033066" w:rsidRPr="005E1103" w:rsidRDefault="00033066" w:rsidP="00033066">
      <w:pPr>
        <w:spacing w:line="355" w:lineRule="auto"/>
        <w:jc w:val="both"/>
        <w:rPr>
          <w:rFonts w:cstheme="minorHAnsi"/>
          <w:sz w:val="28"/>
          <w:szCs w:val="28"/>
        </w:rPr>
      </w:pPr>
    </w:p>
    <w:p w:rsidR="00033066" w:rsidRPr="005E1103" w:rsidRDefault="00033066" w:rsidP="00033066">
      <w:pPr>
        <w:spacing w:line="355" w:lineRule="auto"/>
        <w:ind w:firstLine="708"/>
        <w:jc w:val="both"/>
        <w:rPr>
          <w:rFonts w:cstheme="minorHAnsi"/>
          <w:sz w:val="28"/>
          <w:szCs w:val="28"/>
        </w:rPr>
      </w:pPr>
      <w:r w:rsidRPr="005E1103">
        <w:rPr>
          <w:rFonts w:cstheme="minorHAnsi"/>
          <w:sz w:val="28"/>
          <w:szCs w:val="28"/>
        </w:rPr>
        <w:t xml:space="preserve">Ya en casa con más tranquilidad, decidimos ampliar nuestros conocimientos con unas búsquedas en la red mediante opiniones de otras personas expertas en la materia, pero nos cuesta mucho asimilar la terminología utilizada. Resulta que estos BQ vienen con la ROM libre, que debe ser mejor para poder entrar al </w:t>
      </w:r>
      <w:hyperlink r:id="rId190" w:history="1">
        <w:r w:rsidRPr="005E1103">
          <w:rPr>
            <w:rStyle w:val="Hipervnculo"/>
            <w:rFonts w:cstheme="minorHAnsi"/>
            <w:sz w:val="28"/>
            <w:szCs w:val="28"/>
          </w:rPr>
          <w:t>FaceBook,</w:t>
        </w:r>
      </w:hyperlink>
      <w:r w:rsidRPr="005E1103">
        <w:rPr>
          <w:rFonts w:cstheme="minorHAnsi"/>
          <w:sz w:val="28"/>
          <w:szCs w:val="28"/>
        </w:rPr>
        <w:t xml:space="preserve"> o al menos eso pensamos de momento. También llevan de serie algo que se puede cocinar”… suponemos que podrá tratarse de una aplicación que envía avisos cuando ponemos el horno… ¡Si es que hoy en día ya no queda nada por inventar!</w:t>
      </w:r>
    </w:p>
    <w:p w:rsidR="00033066" w:rsidRPr="005E1103" w:rsidRDefault="00033066" w:rsidP="00033066">
      <w:pPr>
        <w:spacing w:line="355" w:lineRule="auto"/>
        <w:jc w:val="both"/>
        <w:rPr>
          <w:rFonts w:cstheme="minorHAnsi"/>
          <w:sz w:val="28"/>
          <w:szCs w:val="28"/>
        </w:rPr>
      </w:pPr>
    </w:p>
    <w:p w:rsidR="00033066" w:rsidRPr="005E1103" w:rsidRDefault="00033066" w:rsidP="00033066">
      <w:pPr>
        <w:spacing w:line="355" w:lineRule="auto"/>
        <w:ind w:firstLine="708"/>
        <w:jc w:val="both"/>
        <w:rPr>
          <w:rFonts w:cstheme="minorHAnsi"/>
          <w:sz w:val="28"/>
          <w:szCs w:val="28"/>
        </w:rPr>
      </w:pPr>
      <w:r w:rsidRPr="005E1103">
        <w:rPr>
          <w:rFonts w:cstheme="minorHAnsi"/>
          <w:sz w:val="28"/>
          <w:szCs w:val="28"/>
        </w:rPr>
        <w:t xml:space="preserve">Vamos aprendiendo un poco de la experiencia adquirida, sacando en claro que las grandes superficies están interesadas en colocarnos un terminal concreto porque lo tienen en oferta o trabajan con él, como es el caso de BQ con </w:t>
      </w:r>
      <w:hyperlink r:id="rId191" w:history="1">
        <w:r w:rsidRPr="005E1103">
          <w:rPr>
            <w:rStyle w:val="Hipervnculo"/>
            <w:rFonts w:cstheme="minorHAnsi"/>
            <w:sz w:val="28"/>
            <w:szCs w:val="28"/>
          </w:rPr>
          <w:t>Fnac,</w:t>
        </w:r>
      </w:hyperlink>
      <w:r w:rsidRPr="005E1103">
        <w:rPr>
          <w:rFonts w:cstheme="minorHAnsi"/>
          <w:sz w:val="28"/>
          <w:szCs w:val="28"/>
        </w:rPr>
        <w:t xml:space="preserve"> vendiéndolos bajo marca propia. </w:t>
      </w:r>
      <w:hyperlink r:id="rId192" w:history="1">
        <w:r w:rsidRPr="005E1103">
          <w:rPr>
            <w:rStyle w:val="Hipervnculo"/>
            <w:rFonts w:cstheme="minorHAnsi"/>
            <w:sz w:val="28"/>
            <w:szCs w:val="28"/>
          </w:rPr>
          <w:t>Orange</w:t>
        </w:r>
      </w:hyperlink>
      <w:r w:rsidRPr="005E1103">
        <w:rPr>
          <w:rFonts w:cstheme="minorHAnsi"/>
          <w:sz w:val="28"/>
          <w:szCs w:val="28"/>
        </w:rPr>
        <w:t xml:space="preserve"> afirma regalarnos un Sony Xperia Z si pagamos solo diez euros más al mes. El operador que nos atiende, no comprende cómo hemos podido vivir sin algo de Internet que se llama </w:t>
      </w:r>
      <w:hyperlink r:id="rId193" w:history="1">
        <w:r w:rsidRPr="005E1103">
          <w:rPr>
            <w:rStyle w:val="Hipervnculo"/>
            <w:rFonts w:cstheme="minorHAnsi"/>
            <w:sz w:val="28"/>
            <w:szCs w:val="28"/>
          </w:rPr>
          <w:t>4G</w:t>
        </w:r>
      </w:hyperlink>
      <w:r w:rsidRPr="005E1103">
        <w:rPr>
          <w:rFonts w:cstheme="minorHAnsi"/>
          <w:sz w:val="28"/>
          <w:szCs w:val="28"/>
        </w:rPr>
        <w:t xml:space="preserve"> y nuestro amigo vendedor (ciego total) nos recomienda estirarnos un poco con el famoso iPhone S Plus (el de la manzana), porque dice que se ve muy bien y paradójicamente, parece que tiene bastante razón. </w:t>
      </w:r>
    </w:p>
    <w:p w:rsidR="00033066" w:rsidRPr="005E1103" w:rsidRDefault="00033066" w:rsidP="00033066">
      <w:pPr>
        <w:spacing w:line="355" w:lineRule="auto"/>
        <w:jc w:val="both"/>
        <w:rPr>
          <w:rFonts w:cstheme="minorHAnsi"/>
          <w:sz w:val="28"/>
          <w:szCs w:val="28"/>
        </w:rPr>
      </w:pPr>
    </w:p>
    <w:p w:rsidR="00033066" w:rsidRPr="005E1103" w:rsidRDefault="00033066" w:rsidP="00033066">
      <w:pPr>
        <w:spacing w:line="355" w:lineRule="auto"/>
        <w:ind w:firstLine="708"/>
        <w:jc w:val="both"/>
        <w:rPr>
          <w:rFonts w:cstheme="minorHAnsi"/>
          <w:sz w:val="28"/>
          <w:szCs w:val="28"/>
        </w:rPr>
      </w:pPr>
      <w:r w:rsidRPr="005E1103">
        <w:rPr>
          <w:rFonts w:cstheme="minorHAnsi"/>
          <w:sz w:val="28"/>
          <w:szCs w:val="28"/>
        </w:rPr>
        <w:t xml:space="preserve">Estamos tan perdidos que ya no sabemos si debemos comprar un teléfono con sistema operativo Android, iOs, Firefox Os o Windows Phone, si lo queremos con 4 pulgadas de pantalla o será más positivo pasar al formato Phablet, aunque no tengamos del todo claro lo que esto significa. Pero nos gustan tanto las curvas de ese </w:t>
      </w:r>
      <w:hyperlink r:id="rId194" w:history="1">
        <w:r w:rsidRPr="005E1103">
          <w:rPr>
            <w:rStyle w:val="Hipervnculo"/>
            <w:rFonts w:cstheme="minorHAnsi"/>
            <w:sz w:val="28"/>
            <w:szCs w:val="28"/>
          </w:rPr>
          <w:t>Samsung Galaxy Edge...</w:t>
        </w:r>
      </w:hyperlink>
      <w:r w:rsidRPr="005E1103">
        <w:rPr>
          <w:rFonts w:cstheme="minorHAnsi"/>
          <w:sz w:val="28"/>
          <w:szCs w:val="28"/>
        </w:rPr>
        <w:t xml:space="preserve"> Además </w:t>
      </w:r>
      <w:r w:rsidRPr="005E1103">
        <w:rPr>
          <w:rFonts w:cstheme="minorHAnsi"/>
          <w:sz w:val="28"/>
          <w:szCs w:val="28"/>
        </w:rPr>
        <w:lastRenderedPageBreak/>
        <w:t xml:space="preserve">seguro que al doblar las especificaciones técnicas del resto, funciona a la perfección. </w:t>
      </w:r>
    </w:p>
    <w:p w:rsidR="00033066" w:rsidRPr="005E1103" w:rsidRDefault="00033066" w:rsidP="00033066">
      <w:pPr>
        <w:spacing w:line="355" w:lineRule="auto"/>
        <w:jc w:val="both"/>
        <w:rPr>
          <w:rFonts w:cstheme="minorHAnsi"/>
          <w:sz w:val="28"/>
          <w:szCs w:val="28"/>
        </w:rPr>
      </w:pPr>
    </w:p>
    <w:p w:rsidR="00033066" w:rsidRPr="005E1103" w:rsidRDefault="00033066" w:rsidP="00033066">
      <w:pPr>
        <w:spacing w:line="355" w:lineRule="auto"/>
        <w:ind w:firstLine="708"/>
        <w:jc w:val="both"/>
        <w:rPr>
          <w:rFonts w:cstheme="minorHAnsi"/>
          <w:sz w:val="28"/>
          <w:szCs w:val="28"/>
        </w:rPr>
      </w:pPr>
      <w:r w:rsidRPr="005E1103">
        <w:rPr>
          <w:rFonts w:cstheme="minorHAnsi"/>
          <w:sz w:val="28"/>
          <w:szCs w:val="28"/>
        </w:rPr>
        <w:t xml:space="preserve">Lo cierto es que la decisión no es tan sencilla como parece, al entrar en juego una gran cantidad de factores que no habíamos tenido en cuenta de antemano. También estamos comprobando (gracias a nuestro nuevo amigo) la problemática y el negocio que han montado algunos fabricantes en torno al acceso de las personas con necesidades especiales a los nuevos servicios, que añadido a cuestiones concretas en el aprendizaje, puede llegar a generar cierta frustración y rechazo, al requerir determinadas herramientas específicas que por desgracia no todos los fabricantes y desarrolladores tienen en cuenta. Nos ponemos por un momento en su lugar, pensando lo difícil que debe ser utilizar un teléfono táctil o un ordenador, siendo ciego y sin las herramientas adecuadas. </w:t>
      </w:r>
    </w:p>
    <w:p w:rsidR="00033066" w:rsidRPr="005E1103" w:rsidRDefault="00033066" w:rsidP="00033066">
      <w:pPr>
        <w:spacing w:line="355" w:lineRule="auto"/>
        <w:jc w:val="both"/>
        <w:rPr>
          <w:rFonts w:cstheme="minorHAnsi"/>
          <w:sz w:val="28"/>
          <w:szCs w:val="28"/>
        </w:rPr>
      </w:pPr>
    </w:p>
    <w:p w:rsidR="00033066" w:rsidRPr="005E1103" w:rsidRDefault="00033066" w:rsidP="00033066">
      <w:pPr>
        <w:spacing w:line="355" w:lineRule="auto"/>
        <w:ind w:firstLine="708"/>
        <w:jc w:val="both"/>
        <w:rPr>
          <w:rFonts w:cstheme="minorHAnsi"/>
          <w:sz w:val="28"/>
          <w:szCs w:val="28"/>
        </w:rPr>
      </w:pPr>
      <w:r w:rsidRPr="005E1103">
        <w:rPr>
          <w:rFonts w:cstheme="minorHAnsi"/>
          <w:sz w:val="28"/>
          <w:szCs w:val="28"/>
        </w:rPr>
        <w:t xml:space="preserve">Llega el momento en que la información recibida no va a aportarnos nada nuevo si no somos capaces de entenderla y contextualizarla. Esto podría provocar que nos guiásemos por otros criterios más fáciles de apreciar a primera vista como el diseño o las marcas, perdiendo la perspectiva de lo que realmente necesitamos. Un ejemplo claro, podrían constituirlo algunas personas con un elevado nivel adquisitivo y pocos conocimientos, que empuñan con orgullo flamantes terminales iPhone S Plus de 128 gigas para enviar WhatsApp, sin ser conscientes del potencial que tienen entre sus manos y lo que podrían llegar a hacer con él si le pusieran interés. Aun así, les gusta llevarlo encima como signo de distinción porque cuesta más de mil euros. De esto se ocupa el propio </w:t>
      </w:r>
      <w:r w:rsidRPr="005E1103">
        <w:rPr>
          <w:rFonts w:cstheme="minorHAnsi"/>
          <w:sz w:val="28"/>
          <w:szCs w:val="28"/>
        </w:rPr>
        <w:lastRenderedPageBreak/>
        <w:t xml:space="preserve">mercado, que ha ido cambiando los hábitos de consumo hasta hacer de la tecnología un nuevo estatus social. Por una parte, las propias marcas se encargan de vender su producto, pero por otro lado, también debemos aplicar ciertos conocimientos y criterios a la hora de decidir, empezando por identificar nuestras necesidades reales. </w:t>
      </w:r>
    </w:p>
    <w:p w:rsidR="00033066" w:rsidRPr="005E1103" w:rsidRDefault="00033066" w:rsidP="00033066">
      <w:pPr>
        <w:spacing w:line="355" w:lineRule="auto"/>
        <w:jc w:val="both"/>
        <w:rPr>
          <w:rFonts w:cstheme="minorHAnsi"/>
          <w:sz w:val="28"/>
          <w:szCs w:val="28"/>
        </w:rPr>
      </w:pPr>
    </w:p>
    <w:p w:rsidR="00033066" w:rsidRPr="005E1103" w:rsidRDefault="00033066" w:rsidP="00033066">
      <w:pPr>
        <w:spacing w:line="355" w:lineRule="auto"/>
        <w:ind w:firstLine="708"/>
        <w:jc w:val="both"/>
        <w:rPr>
          <w:rFonts w:cstheme="minorHAnsi"/>
          <w:sz w:val="28"/>
          <w:szCs w:val="28"/>
        </w:rPr>
      </w:pPr>
      <w:r w:rsidRPr="005E1103">
        <w:rPr>
          <w:rFonts w:cstheme="minorHAnsi"/>
          <w:sz w:val="28"/>
          <w:szCs w:val="28"/>
        </w:rPr>
        <w:t>De este modo, si queremos un dispositivo para leer mejor nuestra fenomenal colección de diez mil obras en formato digital, quizá debiésemos orientarnos a pantallas de mayor formato o de tinta electrónica. Y… ¿Por qué no intentarlo con los audiolibros?</w:t>
      </w:r>
    </w:p>
    <w:p w:rsidR="00033066" w:rsidRPr="005E1103" w:rsidRDefault="00033066" w:rsidP="00033066">
      <w:pPr>
        <w:spacing w:line="355" w:lineRule="auto"/>
        <w:jc w:val="both"/>
        <w:rPr>
          <w:rFonts w:cstheme="minorHAnsi"/>
          <w:sz w:val="28"/>
          <w:szCs w:val="28"/>
        </w:rPr>
      </w:pPr>
    </w:p>
    <w:p w:rsidR="00033066" w:rsidRPr="005E1103" w:rsidRDefault="00033066" w:rsidP="00033066">
      <w:pPr>
        <w:spacing w:line="355" w:lineRule="auto"/>
        <w:ind w:firstLine="708"/>
        <w:jc w:val="both"/>
        <w:rPr>
          <w:rFonts w:cstheme="minorHAnsi"/>
          <w:sz w:val="28"/>
          <w:szCs w:val="28"/>
        </w:rPr>
      </w:pPr>
      <w:r w:rsidRPr="005E1103">
        <w:rPr>
          <w:rFonts w:cstheme="minorHAnsi"/>
          <w:sz w:val="28"/>
          <w:szCs w:val="28"/>
        </w:rPr>
        <w:t>Si nos gustan los videojuegos con una alta carga gráfica, lo lógico sería llevar nuestras búsquedas a terminales con gran pantalla, potente procesador y una GPU superior a la media. Además debemos disponer de plataformas donde los desarrolladores confíen para publicar sus creaciones, disfrutando así de las principales novedades en el sector.</w:t>
      </w:r>
    </w:p>
    <w:p w:rsidR="00033066" w:rsidRPr="005E1103" w:rsidRDefault="00033066" w:rsidP="00033066">
      <w:pPr>
        <w:spacing w:line="355" w:lineRule="auto"/>
        <w:jc w:val="both"/>
        <w:rPr>
          <w:rFonts w:cstheme="minorHAnsi"/>
          <w:sz w:val="28"/>
          <w:szCs w:val="28"/>
        </w:rPr>
      </w:pPr>
    </w:p>
    <w:p w:rsidR="00033066" w:rsidRPr="005E1103" w:rsidRDefault="00033066" w:rsidP="00033066">
      <w:pPr>
        <w:spacing w:line="355" w:lineRule="auto"/>
        <w:ind w:firstLine="708"/>
        <w:jc w:val="both"/>
        <w:rPr>
          <w:rFonts w:cstheme="minorHAnsi"/>
          <w:sz w:val="28"/>
          <w:szCs w:val="28"/>
        </w:rPr>
      </w:pPr>
      <w:r w:rsidRPr="005E1103">
        <w:rPr>
          <w:rFonts w:cstheme="minorHAnsi"/>
          <w:sz w:val="28"/>
          <w:szCs w:val="28"/>
        </w:rPr>
        <w:t>Al trabajar en el ámbito educativo, necesitaremos aplicar las nuevas tecnologías con un cierto sentido. Por ello (de gustarnos nuestro trabajo), puede interesarnos una tableta de buena pantalla, conexión a Internet y gran capacidad de memoria en la que almacenar contenidos multimedia. Como es probable que en algún momento de la docencia tengamos que atender alumnado con necesidades educativas especiales, valoraríamos mucho que el dispositivo incorporase unas herramientas de accesibilidad potentes. Así tendríamos una ventana abierta al mundo para este tipo de personas, fomentando la integración de las mismas.</w:t>
      </w:r>
    </w:p>
    <w:p w:rsidR="00033066" w:rsidRPr="005E1103" w:rsidRDefault="00033066" w:rsidP="00033066">
      <w:pPr>
        <w:spacing w:line="355" w:lineRule="auto"/>
        <w:jc w:val="both"/>
        <w:rPr>
          <w:rFonts w:cstheme="minorHAnsi"/>
          <w:sz w:val="28"/>
          <w:szCs w:val="28"/>
        </w:rPr>
      </w:pPr>
    </w:p>
    <w:p w:rsidR="00033066" w:rsidRPr="005E1103" w:rsidRDefault="00033066" w:rsidP="00033066">
      <w:pPr>
        <w:spacing w:line="355" w:lineRule="auto"/>
        <w:ind w:firstLine="708"/>
        <w:jc w:val="both"/>
        <w:rPr>
          <w:rFonts w:cstheme="minorHAnsi"/>
          <w:sz w:val="28"/>
          <w:szCs w:val="28"/>
        </w:rPr>
      </w:pPr>
      <w:r w:rsidRPr="005E1103">
        <w:rPr>
          <w:rFonts w:cstheme="minorHAnsi"/>
          <w:sz w:val="28"/>
          <w:szCs w:val="28"/>
        </w:rPr>
        <w:t>También podemos ser adeptos de las series televisivas, vídeos, música y todo tipo de contenidos transmitidos a través de Internet. En estas situaciones el tamaño importa, valorando el uso de pantallas grandes con buena resolución y conexiones de alta velocidad, si queremos utilizar estos servicios a tiempo real y sin cortes.</w:t>
      </w:r>
    </w:p>
    <w:p w:rsidR="00033066" w:rsidRPr="005E1103" w:rsidRDefault="00033066" w:rsidP="00033066">
      <w:pPr>
        <w:spacing w:line="355" w:lineRule="auto"/>
        <w:jc w:val="both"/>
        <w:rPr>
          <w:rFonts w:cstheme="minorHAnsi"/>
          <w:sz w:val="28"/>
          <w:szCs w:val="28"/>
        </w:rPr>
      </w:pPr>
    </w:p>
    <w:p w:rsidR="00033066" w:rsidRPr="005E1103" w:rsidRDefault="00033066" w:rsidP="00033066">
      <w:pPr>
        <w:spacing w:line="355" w:lineRule="auto"/>
        <w:ind w:firstLine="708"/>
        <w:jc w:val="both"/>
        <w:rPr>
          <w:rFonts w:cstheme="minorHAnsi"/>
          <w:sz w:val="28"/>
          <w:szCs w:val="28"/>
        </w:rPr>
      </w:pPr>
      <w:r w:rsidRPr="005E1103">
        <w:rPr>
          <w:rFonts w:cstheme="minorHAnsi"/>
          <w:sz w:val="28"/>
          <w:szCs w:val="28"/>
        </w:rPr>
        <w:t xml:space="preserve">Si nuestra vida transcurre en la carretera, el compañero ideal sería un teléfono de gran pantalla (incluso una pequeña tableta) con una buena aplicación actualizada de GPS y un soporte que permita colocarlo en la luna para echarle una miradita de vez en cuando. Dispondríamos de un cargador específico que nos daría autonomía suficiente en viajes largos y si contamos con la tecnología adecuada, podemos utilizarlo como manos libres controlándolo a través de la voz. </w:t>
      </w:r>
    </w:p>
    <w:p w:rsidR="00033066" w:rsidRPr="005E1103" w:rsidRDefault="00033066" w:rsidP="00033066">
      <w:pPr>
        <w:spacing w:line="355" w:lineRule="auto"/>
        <w:ind w:firstLine="708"/>
        <w:jc w:val="both"/>
        <w:rPr>
          <w:rFonts w:cstheme="minorHAnsi"/>
          <w:sz w:val="28"/>
          <w:szCs w:val="28"/>
        </w:rPr>
      </w:pPr>
    </w:p>
    <w:p w:rsidR="00033066" w:rsidRPr="005E1103" w:rsidRDefault="00033066" w:rsidP="00033066">
      <w:pPr>
        <w:spacing w:line="355" w:lineRule="auto"/>
        <w:ind w:firstLine="708"/>
        <w:jc w:val="both"/>
        <w:rPr>
          <w:rFonts w:cstheme="minorHAnsi"/>
          <w:sz w:val="28"/>
          <w:szCs w:val="28"/>
        </w:rPr>
      </w:pPr>
      <w:r w:rsidRPr="005E1103">
        <w:rPr>
          <w:rFonts w:cstheme="minorHAnsi"/>
          <w:sz w:val="28"/>
          <w:szCs w:val="28"/>
        </w:rPr>
        <w:t>De ser aficionados a la fotografía, la compañera de nuestra cámara digital podría ser una tableta de gran pantalla, con buena capacidad de almacenamiento y la posibilidad de sincronizar archivos en la nube. También debería contar con una aplicación eficiente de procesado, por si queremos realizar retoques rápidos y eficaces.</w:t>
      </w:r>
    </w:p>
    <w:p w:rsidR="00033066" w:rsidRPr="005E1103" w:rsidRDefault="00033066" w:rsidP="00033066">
      <w:pPr>
        <w:spacing w:line="355" w:lineRule="auto"/>
        <w:ind w:firstLine="708"/>
        <w:jc w:val="both"/>
        <w:rPr>
          <w:rFonts w:cstheme="minorHAnsi"/>
          <w:sz w:val="28"/>
          <w:szCs w:val="28"/>
        </w:rPr>
      </w:pPr>
      <w:r w:rsidRPr="005E1103">
        <w:rPr>
          <w:rFonts w:cstheme="minorHAnsi"/>
          <w:sz w:val="28"/>
          <w:szCs w:val="28"/>
        </w:rPr>
        <w:t xml:space="preserve"> </w:t>
      </w:r>
    </w:p>
    <w:p w:rsidR="00033066" w:rsidRPr="005E1103" w:rsidRDefault="00033066" w:rsidP="00033066">
      <w:pPr>
        <w:spacing w:line="355" w:lineRule="auto"/>
        <w:ind w:firstLine="708"/>
        <w:jc w:val="both"/>
        <w:rPr>
          <w:rFonts w:cstheme="minorHAnsi"/>
          <w:sz w:val="28"/>
          <w:szCs w:val="28"/>
        </w:rPr>
      </w:pPr>
      <w:r w:rsidRPr="005E1103">
        <w:rPr>
          <w:rFonts w:cstheme="minorHAnsi"/>
          <w:sz w:val="28"/>
          <w:szCs w:val="28"/>
        </w:rPr>
        <w:t xml:space="preserve">Y… si lo único que necesitamos es un terminal sencillo y robusto que le dure la batería más de un día, ¿siguen existiendo los teléfonos móviles como tal? De ser así, quizá podríamos estar interesados en algún dispositivo con teclado, únicamente para enviar y recibir llamadas. </w:t>
      </w:r>
    </w:p>
    <w:p w:rsidR="00033066" w:rsidRPr="005E1103" w:rsidRDefault="00033066" w:rsidP="00033066">
      <w:pPr>
        <w:spacing w:line="355" w:lineRule="auto"/>
        <w:jc w:val="both"/>
        <w:rPr>
          <w:rFonts w:cstheme="minorHAnsi"/>
          <w:sz w:val="28"/>
          <w:szCs w:val="28"/>
        </w:rPr>
      </w:pPr>
    </w:p>
    <w:p w:rsidR="00033066" w:rsidRPr="005E1103" w:rsidRDefault="00033066" w:rsidP="00033066">
      <w:pPr>
        <w:spacing w:line="355" w:lineRule="auto"/>
        <w:ind w:firstLine="708"/>
        <w:jc w:val="both"/>
        <w:rPr>
          <w:rFonts w:cstheme="minorHAnsi"/>
          <w:sz w:val="28"/>
          <w:szCs w:val="28"/>
        </w:rPr>
      </w:pPr>
      <w:r w:rsidRPr="005E1103">
        <w:rPr>
          <w:rFonts w:cstheme="minorHAnsi"/>
          <w:sz w:val="28"/>
          <w:szCs w:val="28"/>
        </w:rPr>
        <w:t>Como somos muy buenos nietos, queremos regalarle a nuestra abuela (con muy poco resto visual), un teléfono móvil sencillo que nos permita estar en contacto con ella. Necesitamos que la agenda y el menú tengan una guía de voz, además de contar con un buen contraste en la pantalla  y teclas grandes que faciliten el marcado. Podríamos requerir también un refuerzo en el altavoz para la pérdida leve de audición y un manejo sencillo e intuitivo.</w:t>
      </w:r>
    </w:p>
    <w:p w:rsidR="00033066" w:rsidRPr="005E1103" w:rsidRDefault="00033066" w:rsidP="00033066">
      <w:pPr>
        <w:spacing w:line="355" w:lineRule="auto"/>
        <w:ind w:firstLine="708"/>
        <w:jc w:val="both"/>
        <w:rPr>
          <w:rFonts w:cstheme="minorHAnsi"/>
          <w:sz w:val="28"/>
          <w:szCs w:val="28"/>
        </w:rPr>
      </w:pPr>
    </w:p>
    <w:p w:rsidR="00033066" w:rsidRPr="005E1103" w:rsidRDefault="00033066" w:rsidP="00033066">
      <w:pPr>
        <w:spacing w:line="355" w:lineRule="auto"/>
        <w:ind w:firstLine="708"/>
        <w:jc w:val="both"/>
        <w:rPr>
          <w:rFonts w:cstheme="minorHAnsi"/>
          <w:sz w:val="28"/>
          <w:szCs w:val="28"/>
        </w:rPr>
      </w:pPr>
      <w:r w:rsidRPr="005E1103">
        <w:rPr>
          <w:rFonts w:cstheme="minorHAnsi"/>
          <w:sz w:val="28"/>
          <w:szCs w:val="28"/>
        </w:rPr>
        <w:t>Con las recomendaciones de la Organización Mundial de la Salud sobre la carne roja, hemos decidido sacar la bicicleta del trastero y ponernos en forma. Sin duda, un accesorio de muñeca conectado al teléfono inteligente, es la mejor opción para contabilizar fielmente todos los aspectos del ejercicio. Además podemos llevar a cabo un sinfín de tareas que harán mucho más efectiva, interactiva y social nuestra actividad.</w:t>
      </w:r>
    </w:p>
    <w:p w:rsidR="00033066" w:rsidRPr="005E1103" w:rsidRDefault="00033066" w:rsidP="00033066">
      <w:pPr>
        <w:spacing w:line="355" w:lineRule="auto"/>
        <w:jc w:val="both"/>
        <w:rPr>
          <w:rFonts w:cstheme="minorHAnsi"/>
          <w:sz w:val="28"/>
          <w:szCs w:val="28"/>
        </w:rPr>
      </w:pPr>
    </w:p>
    <w:p w:rsidR="00033066" w:rsidRPr="005E1103" w:rsidRDefault="00033066" w:rsidP="00033066">
      <w:pPr>
        <w:spacing w:line="355" w:lineRule="auto"/>
        <w:ind w:firstLine="708"/>
        <w:jc w:val="both"/>
        <w:rPr>
          <w:rFonts w:cstheme="minorHAnsi"/>
          <w:sz w:val="28"/>
          <w:szCs w:val="28"/>
        </w:rPr>
      </w:pPr>
      <w:r w:rsidRPr="005E1103">
        <w:rPr>
          <w:rFonts w:cstheme="minorHAnsi"/>
          <w:sz w:val="28"/>
          <w:szCs w:val="28"/>
        </w:rPr>
        <w:t xml:space="preserve">Estas situaciones son solo una pequeña muestra de todos los planteamientos que debemos tener en cuenta a la hora de adquirir cualquier dispositivo, en un mercado que cada vez está dejando más de lado las soluciones portátiles o de sobremesa. </w:t>
      </w:r>
      <w:hyperlink r:id="rId195" w:history="1">
        <w:r w:rsidRPr="005E1103">
          <w:rPr>
            <w:rStyle w:val="Hipervnculo"/>
            <w:rFonts w:cstheme="minorHAnsi"/>
            <w:sz w:val="28"/>
            <w:szCs w:val="28"/>
          </w:rPr>
          <w:t>Steve Jobs</w:t>
        </w:r>
      </w:hyperlink>
      <w:r w:rsidRPr="005E1103">
        <w:rPr>
          <w:rFonts w:cstheme="minorHAnsi"/>
          <w:sz w:val="28"/>
          <w:szCs w:val="28"/>
        </w:rPr>
        <w:t xml:space="preserve"> calificó este fenómeno como la “Era Post PC”, una etapa en la que los ordenadores dejan de ser el centro de nuestra vida digital, convirtiéndose en complementos donde almacenamos contenido o en “simples” herramientas de trabajo.</w:t>
      </w:r>
    </w:p>
    <w:p w:rsidR="00033066" w:rsidRPr="005E1103" w:rsidRDefault="00033066" w:rsidP="00033066">
      <w:pPr>
        <w:spacing w:line="355" w:lineRule="auto"/>
        <w:jc w:val="both"/>
        <w:rPr>
          <w:rFonts w:cstheme="minorHAnsi"/>
          <w:sz w:val="28"/>
          <w:szCs w:val="28"/>
        </w:rPr>
      </w:pPr>
    </w:p>
    <w:p w:rsidR="00033066" w:rsidRPr="005E1103" w:rsidRDefault="00033066" w:rsidP="00033066">
      <w:pPr>
        <w:spacing w:line="355" w:lineRule="auto"/>
        <w:ind w:firstLine="708"/>
        <w:jc w:val="both"/>
        <w:rPr>
          <w:rFonts w:cstheme="minorHAnsi"/>
          <w:sz w:val="28"/>
          <w:szCs w:val="28"/>
        </w:rPr>
      </w:pPr>
      <w:r w:rsidRPr="005E1103">
        <w:rPr>
          <w:rFonts w:cstheme="minorHAnsi"/>
          <w:sz w:val="28"/>
          <w:szCs w:val="28"/>
        </w:rPr>
        <w:lastRenderedPageBreak/>
        <w:t>En principio, todos deberíamos tener claro que ninguna persona en sus cabales se compraría un coche sin saber conducirlo. Este mismo planteamiento podemos aplicarlo a la adquisición de cualquier dispositivo tecnológico, porque en ocasiones, tenemos la falsa convicción de que todos son iguales o nos darán al menos el servicio que buscamos. Como veremos en las siguientes páginas, esto no siempre es así.</w:t>
      </w:r>
    </w:p>
    <w:p w:rsidR="00033066" w:rsidRPr="005E1103" w:rsidRDefault="00033066" w:rsidP="00033066">
      <w:pPr>
        <w:spacing w:line="355" w:lineRule="auto"/>
        <w:jc w:val="both"/>
        <w:rPr>
          <w:rFonts w:cstheme="minorHAnsi"/>
          <w:sz w:val="28"/>
          <w:szCs w:val="28"/>
        </w:rPr>
      </w:pPr>
    </w:p>
    <w:p w:rsidR="00033066" w:rsidRPr="005E1103" w:rsidRDefault="00033066" w:rsidP="00033066">
      <w:pPr>
        <w:spacing w:line="355" w:lineRule="auto"/>
        <w:ind w:firstLine="708"/>
        <w:jc w:val="both"/>
        <w:rPr>
          <w:rFonts w:cstheme="minorHAnsi"/>
          <w:sz w:val="28"/>
          <w:szCs w:val="28"/>
        </w:rPr>
      </w:pPr>
      <w:r w:rsidRPr="005E1103">
        <w:rPr>
          <w:rFonts w:cstheme="minorHAnsi"/>
          <w:sz w:val="28"/>
          <w:szCs w:val="28"/>
        </w:rPr>
        <w:t xml:space="preserve">Nosotros por el momento hemos ido con nuestro nuevo compañero (gran aficionado a los automóviles) al concesionario donde le mostramos el coche con el que soñamos. Reflexivo, saca el </w:t>
      </w:r>
      <w:hyperlink r:id="rId196" w:history="1">
        <w:r w:rsidRPr="005E1103">
          <w:rPr>
            <w:rStyle w:val="Hipervnculo"/>
            <w:rFonts w:cstheme="minorHAnsi"/>
            <w:sz w:val="28"/>
            <w:szCs w:val="28"/>
          </w:rPr>
          <w:t>TPV</w:t>
        </w:r>
      </w:hyperlink>
      <w:r w:rsidRPr="005E1103">
        <w:rPr>
          <w:rFonts w:cstheme="minorHAnsi"/>
          <w:sz w:val="28"/>
          <w:szCs w:val="28"/>
        </w:rPr>
        <w:t xml:space="preserve"> imprimiéndonos un cupón del viernes y escogiendo por número la fecha en que nos hicimos amigos. Tras esto, plantea el reto de que jamás perdamos la ilusión y afirma que si nos visita la suerte, debemos hacer un viaje juntos en ese magnífico vehículo de alta gama cuando la fantasía se cumpla.</w:t>
      </w:r>
    </w:p>
    <w:p w:rsidR="00033066" w:rsidRPr="005E1103" w:rsidRDefault="00033066">
      <w:pPr>
        <w:rPr>
          <w:rFonts w:cstheme="minorHAnsi"/>
          <w:sz w:val="28"/>
          <w:szCs w:val="28"/>
        </w:rPr>
      </w:pPr>
      <w:r w:rsidRPr="005E1103">
        <w:rPr>
          <w:rFonts w:cstheme="minorHAnsi"/>
          <w:sz w:val="28"/>
          <w:szCs w:val="28"/>
        </w:rPr>
        <w:br w:type="page"/>
      </w:r>
    </w:p>
    <w:p w:rsidR="00033066" w:rsidRPr="005E1103" w:rsidRDefault="00033066" w:rsidP="00033066">
      <w:pPr>
        <w:spacing w:line="360" w:lineRule="auto"/>
        <w:jc w:val="center"/>
        <w:rPr>
          <w:rFonts w:cstheme="minorHAnsi"/>
          <w:b/>
          <w:sz w:val="28"/>
          <w:szCs w:val="28"/>
        </w:rPr>
      </w:pPr>
      <w:r w:rsidRPr="005E1103">
        <w:rPr>
          <w:rFonts w:cstheme="minorHAnsi"/>
          <w:b/>
          <w:sz w:val="28"/>
          <w:szCs w:val="28"/>
        </w:rPr>
        <w:lastRenderedPageBreak/>
        <w:t>COMUNICACIÓN 11</w:t>
      </w:r>
    </w:p>
    <w:p w:rsidR="00033066" w:rsidRPr="005E1103" w:rsidRDefault="00033066" w:rsidP="00033066">
      <w:pPr>
        <w:spacing w:line="360" w:lineRule="auto"/>
        <w:jc w:val="center"/>
        <w:rPr>
          <w:rFonts w:cstheme="minorHAnsi"/>
          <w:b/>
          <w:sz w:val="28"/>
          <w:szCs w:val="28"/>
        </w:rPr>
      </w:pPr>
    </w:p>
    <w:p w:rsidR="00033066" w:rsidRPr="005E1103" w:rsidRDefault="00033066" w:rsidP="00033066">
      <w:pPr>
        <w:pBdr>
          <w:top w:val="single" w:sz="4" w:space="1" w:color="auto"/>
          <w:left w:val="single" w:sz="4" w:space="4" w:color="auto"/>
          <w:bottom w:val="single" w:sz="4" w:space="1" w:color="auto"/>
          <w:right w:val="single" w:sz="4" w:space="4" w:color="auto"/>
        </w:pBdr>
        <w:jc w:val="center"/>
        <w:rPr>
          <w:rFonts w:cstheme="minorHAnsi"/>
          <w:sz w:val="28"/>
          <w:szCs w:val="28"/>
        </w:rPr>
      </w:pPr>
      <w:r w:rsidRPr="005E1103">
        <w:rPr>
          <w:rFonts w:cstheme="minorHAnsi"/>
          <w:sz w:val="28"/>
          <w:szCs w:val="28"/>
        </w:rPr>
        <w:t>La traducción del lector de pantallas gratuito NVDA al catalán y su difusión en el ámbito catalán</w:t>
      </w:r>
    </w:p>
    <w:p w:rsidR="00033066" w:rsidRPr="005E1103" w:rsidRDefault="00033066" w:rsidP="00033066">
      <w:pPr>
        <w:jc w:val="right"/>
        <w:rPr>
          <w:rFonts w:cstheme="minorHAnsi"/>
          <w:sz w:val="28"/>
          <w:szCs w:val="28"/>
        </w:rPr>
      </w:pPr>
      <w:r w:rsidRPr="005E1103">
        <w:rPr>
          <w:rFonts w:cstheme="minorHAnsi"/>
          <w:sz w:val="28"/>
          <w:szCs w:val="28"/>
        </w:rPr>
        <w:t>Rubén Alcaraz, Mireia Ribera, Marina Salse, Santi Moese</w:t>
      </w:r>
    </w:p>
    <w:p w:rsidR="00033066" w:rsidRPr="005E1103" w:rsidRDefault="00033066" w:rsidP="00033066">
      <w:pPr>
        <w:jc w:val="right"/>
        <w:rPr>
          <w:rFonts w:cstheme="minorHAnsi"/>
          <w:sz w:val="28"/>
          <w:szCs w:val="28"/>
        </w:rPr>
      </w:pPr>
      <w:r w:rsidRPr="005E1103">
        <w:rPr>
          <w:rFonts w:cstheme="minorHAnsi"/>
          <w:sz w:val="28"/>
          <w:szCs w:val="28"/>
        </w:rPr>
        <w:t>Profesor asociado, Profesora agregada, Profesora Titular de Escuela Universitária, Tiflotécnico</w:t>
      </w:r>
    </w:p>
    <w:p w:rsidR="00033066" w:rsidRPr="005E1103" w:rsidRDefault="00033066" w:rsidP="00033066">
      <w:pPr>
        <w:jc w:val="right"/>
        <w:rPr>
          <w:rFonts w:cstheme="minorHAnsi"/>
          <w:sz w:val="28"/>
          <w:szCs w:val="28"/>
        </w:rPr>
        <w:sectPr w:rsidR="00033066" w:rsidRPr="005E1103">
          <w:footerReference w:type="default" r:id="rId197"/>
          <w:footerReference w:type="first" r:id="rId198"/>
          <w:pgSz w:w="11906" w:h="16838"/>
          <w:pgMar w:top="1417" w:right="1701" w:bottom="1417" w:left="1701" w:header="708" w:footer="708" w:gutter="0"/>
          <w:cols w:space="708"/>
          <w:docGrid w:linePitch="360"/>
        </w:sectPr>
      </w:pPr>
      <w:r w:rsidRPr="005E1103">
        <w:rPr>
          <w:rFonts w:cstheme="minorHAnsi"/>
          <w:sz w:val="28"/>
          <w:szCs w:val="28"/>
        </w:rPr>
        <w:t>Universidad de Barcelona, Colaborador externo</w:t>
      </w:r>
    </w:p>
    <w:p w:rsidR="00033066" w:rsidRPr="005E1103" w:rsidRDefault="00033066" w:rsidP="00033066">
      <w:pPr>
        <w:pStyle w:val="Ttulo1"/>
        <w:rPr>
          <w:rFonts w:asciiTheme="minorHAnsi" w:hAnsiTheme="minorHAnsi" w:cstheme="minorHAnsi"/>
        </w:rPr>
      </w:pPr>
      <w:r w:rsidRPr="005E1103">
        <w:rPr>
          <w:rFonts w:asciiTheme="minorHAnsi" w:hAnsiTheme="minorHAnsi" w:cstheme="minorHAnsi"/>
        </w:rPr>
        <w:lastRenderedPageBreak/>
        <w:t>Resumen</w:t>
      </w:r>
    </w:p>
    <w:p w:rsidR="00033066" w:rsidRPr="005E1103" w:rsidRDefault="00033066" w:rsidP="00033066">
      <w:pPr>
        <w:rPr>
          <w:rFonts w:eastAsia="Times New Roman" w:cstheme="minorHAnsi"/>
          <w:sz w:val="28"/>
          <w:szCs w:val="28"/>
          <w:lang w:eastAsia="es-ES"/>
        </w:rPr>
      </w:pPr>
      <w:r w:rsidRPr="005E1103">
        <w:rPr>
          <w:rFonts w:cstheme="minorHAnsi"/>
          <w:sz w:val="28"/>
          <w:szCs w:val="28"/>
        </w:rPr>
        <w:t>Non-Visual Desktop Access (NVDA) es un lector de pantallas de software libre y gratuito que en los últimos años ha logrado ofrecer funcionalidades similares al resto de lectores de pantalla comerciales disponibles en el mercado. Actualmente, la aplicación se encuentra disponible en 47 idiomas diferentes, entre los cuales el español y el catalán. En esta ponencia, se describen las principales características de esta aplicación, así como el proceso de traducción al catalán y difusión de la herramienta realizada por el Grupo de Investigación Adaptabit de la Universidad de Barcelona</w:t>
      </w:r>
    </w:p>
    <w:p w:rsidR="00033066" w:rsidRPr="005E1103" w:rsidRDefault="00033066" w:rsidP="00033066">
      <w:pPr>
        <w:pStyle w:val="Ttulo1"/>
        <w:rPr>
          <w:rFonts w:asciiTheme="minorHAnsi" w:eastAsia="Times New Roman" w:hAnsiTheme="minorHAnsi" w:cstheme="minorHAnsi"/>
          <w:lang w:eastAsia="es-ES"/>
        </w:rPr>
      </w:pPr>
      <w:r w:rsidRPr="005E1103">
        <w:rPr>
          <w:rFonts w:asciiTheme="minorHAnsi" w:eastAsia="Times New Roman" w:hAnsiTheme="minorHAnsi" w:cstheme="minorHAnsi"/>
          <w:lang w:eastAsia="es-ES"/>
        </w:rPr>
        <w:t>1. Introducción</w:t>
      </w:r>
    </w:p>
    <w:p w:rsidR="00033066" w:rsidRPr="005E1103" w:rsidRDefault="00033066" w:rsidP="00033066">
      <w:pPr>
        <w:rPr>
          <w:rFonts w:cstheme="minorHAnsi"/>
          <w:sz w:val="28"/>
          <w:szCs w:val="28"/>
          <w:lang w:eastAsia="es-ES"/>
        </w:rPr>
      </w:pPr>
      <w:r w:rsidRPr="005E1103">
        <w:rPr>
          <w:rFonts w:cstheme="minorHAnsi"/>
          <w:sz w:val="28"/>
          <w:szCs w:val="28"/>
          <w:lang w:eastAsia="es-ES"/>
        </w:rPr>
        <w:t>Los lectores de pantallas son un tipo de ayuda técnica que permite a las personas con algún tipo de discapacidad visual el uso de ordenadores y de otros tipos de dispositivos informáticos como móviles o tabletas. Su funcionamiento se fundamenta en la transformación del texto disponible en la pantalla en voz sintetizada, de manera que las personas  que los utilizan puedan escuchar el contenido con el que están interactuando. Sin lectores de pantalla, las personas ciegas o con muy poco resto de visión dependerían de terceros para realizar tareas tan cotidianas como acceder a Internet, consultar el correo electrónico o utilizar un procesador de textos, agudizando de esta manera la brecha digital entre personas con y sin discapacidad. Los lectores de pantalla también benefician a otros colectivos como personas con trastornos de lenguaje que se benefician de un refuerzo por voz en la lectura o a personas que están aprendiendo idiomas.</w:t>
      </w:r>
    </w:p>
    <w:p w:rsidR="00033066" w:rsidRPr="005E1103" w:rsidRDefault="00033066" w:rsidP="00033066">
      <w:pPr>
        <w:rPr>
          <w:rFonts w:cstheme="minorHAnsi"/>
          <w:sz w:val="28"/>
          <w:szCs w:val="28"/>
          <w:lang w:eastAsia="es-ES"/>
        </w:rPr>
      </w:pPr>
      <w:r w:rsidRPr="005E1103">
        <w:rPr>
          <w:rFonts w:cstheme="minorHAnsi"/>
          <w:sz w:val="28"/>
          <w:szCs w:val="28"/>
          <w:lang w:eastAsia="es-ES"/>
        </w:rPr>
        <w:t>Pero la discapacidad no es el único tipo de brecha digital. Existen otros factores como el económico, educativo, de género o el más relacionado con el tema que nos ocupa, el idiomático. En este sentido, es de vital importancia que todas las personas, con independencia del idioma que hablen, puedan acceder en igualdad de condiciones a la tecnología. El objetivo del proyecto de traducción del lector de pantallas NVDA al catalán pretende por un lado, fomentar y difundir el uso del que actualmente es el mejor lector de pantallas de software libre y, por el otro, facilitar su acceso a la comunidad lingüística catalana.</w:t>
      </w:r>
    </w:p>
    <w:p w:rsidR="00033066" w:rsidRPr="005E1103" w:rsidRDefault="00033066" w:rsidP="00033066">
      <w:pPr>
        <w:pStyle w:val="Ttulo1"/>
        <w:rPr>
          <w:rFonts w:asciiTheme="minorHAnsi" w:eastAsia="Times New Roman" w:hAnsiTheme="minorHAnsi" w:cstheme="minorHAnsi"/>
          <w:lang w:eastAsia="es-ES"/>
        </w:rPr>
      </w:pPr>
      <w:r w:rsidRPr="005E1103">
        <w:rPr>
          <w:rFonts w:asciiTheme="minorHAnsi" w:eastAsia="Times New Roman" w:hAnsiTheme="minorHAnsi" w:cstheme="minorHAnsi"/>
          <w:lang w:eastAsia="es-ES"/>
        </w:rPr>
        <w:lastRenderedPageBreak/>
        <w:t>2. Qué es NVDA</w:t>
      </w:r>
    </w:p>
    <w:p w:rsidR="00033066" w:rsidRPr="005E1103" w:rsidRDefault="00033066" w:rsidP="00033066">
      <w:pPr>
        <w:rPr>
          <w:rFonts w:cstheme="minorHAnsi"/>
          <w:sz w:val="28"/>
          <w:szCs w:val="28"/>
          <w:lang w:eastAsia="es-ES"/>
        </w:rPr>
      </w:pPr>
      <w:r w:rsidRPr="005E1103">
        <w:rPr>
          <w:rFonts w:cstheme="minorHAnsi"/>
          <w:sz w:val="28"/>
          <w:szCs w:val="28"/>
          <w:lang w:eastAsia="es-ES"/>
        </w:rPr>
        <w:t xml:space="preserve">NVDA (Non-Visual Desktop Access) es un lector de pantallas de software libre para sistemas operativos Windows. El proyecto fue iniciado por Michael Curran en el año 2006. Sólo un año más tarde, Curran creó junto a James Teh una organización sin ánimo de lucro bajo el nombre de NV Access, encargada del desarrollo de este lector de pantallas </w:t>
      </w:r>
      <w:r w:rsidRPr="005E1103">
        <w:rPr>
          <w:rFonts w:cstheme="minorHAnsi"/>
          <w:sz w:val="28"/>
          <w:szCs w:val="28"/>
          <w:lang w:eastAsia="es-ES"/>
        </w:rPr>
        <w:fldChar w:fldCharType="begin" w:fldLock="1"/>
      </w:r>
      <w:r w:rsidRPr="005E1103">
        <w:rPr>
          <w:rFonts w:cstheme="minorHAnsi"/>
          <w:sz w:val="28"/>
          <w:szCs w:val="28"/>
          <w:lang w:eastAsia="es-ES"/>
        </w:rPr>
        <w:instrText>ADDIN CSL_CITATION { "citationItems" : [ { "id" : "ITEM-1", "itemData" : { "author" : [ { "dropping-particle" : "", "family" : "Teh, James; Curran", "given" : "Michael", "non-dropping-particle" : "", "parse-names" : false, "suffix" : "" } ], "container-title" : "Vision Impairment Conference", "id" : "ITEM-1", "issued" : { "date-parts" : [ [ "2014" ] ] }, "publisher-place" : "Brisbane", "title" : "NVDA: free screen reader for Windows", "type" : "paper-conference" }, "uris" : [ "http://www.mendeley.com/documents/?uuid=7d2f88cd-07f4-4594-b852-92feb4499757" ] } ], "mendeley" : { "formattedCitation" : "(Teh, James; Curran 2014)", "plainTextFormattedCitation" : "(Teh, James; Curran 2014)", "previouslyFormattedCitation" : "(Teh, James; Curran 2014)" }, "properties" : { "noteIndex" : 0 }, "schema" : "https://github.com/citation-style-language/schema/raw/master/csl-citation.json" }</w:instrText>
      </w:r>
      <w:r w:rsidRPr="005E1103">
        <w:rPr>
          <w:rFonts w:cstheme="minorHAnsi"/>
          <w:sz w:val="28"/>
          <w:szCs w:val="28"/>
          <w:lang w:eastAsia="es-ES"/>
        </w:rPr>
        <w:fldChar w:fldCharType="separate"/>
      </w:r>
      <w:r w:rsidRPr="005E1103">
        <w:rPr>
          <w:rFonts w:cstheme="minorHAnsi"/>
          <w:noProof/>
          <w:sz w:val="28"/>
          <w:szCs w:val="28"/>
          <w:lang w:eastAsia="es-ES"/>
        </w:rPr>
        <w:t>(Teh, James; Curran, 2014)</w:t>
      </w:r>
      <w:r w:rsidRPr="005E1103">
        <w:rPr>
          <w:rFonts w:cstheme="minorHAnsi"/>
          <w:sz w:val="28"/>
          <w:szCs w:val="28"/>
          <w:lang w:eastAsia="es-ES"/>
        </w:rPr>
        <w:fldChar w:fldCharType="end"/>
      </w:r>
      <w:r w:rsidRPr="005E1103">
        <w:rPr>
          <w:rFonts w:cstheme="minorHAnsi"/>
          <w:sz w:val="28"/>
          <w:szCs w:val="28"/>
          <w:lang w:eastAsia="es-ES"/>
        </w:rPr>
        <w:t>.</w:t>
      </w:r>
    </w:p>
    <w:p w:rsidR="00033066" w:rsidRPr="005E1103" w:rsidRDefault="00033066" w:rsidP="00033066">
      <w:pPr>
        <w:rPr>
          <w:rFonts w:cstheme="minorHAnsi"/>
          <w:sz w:val="28"/>
          <w:szCs w:val="28"/>
          <w:lang w:eastAsia="es-ES"/>
        </w:rPr>
      </w:pPr>
      <w:r w:rsidRPr="005E1103">
        <w:rPr>
          <w:rFonts w:cstheme="minorHAnsi"/>
          <w:sz w:val="28"/>
          <w:szCs w:val="28"/>
          <w:lang w:eastAsia="es-ES"/>
        </w:rPr>
        <w:t>Actualmente, NVDA se utiliza en más de 120 países y ha sido traducido a un total de 47 idiomas, entre los cuales el español, el gallego, el aragonés y el catalán.</w:t>
      </w:r>
    </w:p>
    <w:p w:rsidR="00033066" w:rsidRPr="005E1103" w:rsidRDefault="00033066" w:rsidP="00033066">
      <w:pPr>
        <w:rPr>
          <w:rFonts w:cstheme="minorHAnsi"/>
          <w:sz w:val="28"/>
          <w:szCs w:val="28"/>
          <w:lang w:eastAsia="es-ES"/>
        </w:rPr>
      </w:pPr>
      <w:r w:rsidRPr="005E1103">
        <w:rPr>
          <w:rFonts w:cstheme="minorHAnsi"/>
          <w:sz w:val="28"/>
          <w:szCs w:val="28"/>
          <w:lang w:eastAsia="es-ES"/>
        </w:rPr>
        <w:t xml:space="preserve">NVDA se distribuye bajo licencia GPLv2. El software libre es, según la Free Software Foundation </w:t>
      </w:r>
      <w:r w:rsidRPr="005E1103">
        <w:rPr>
          <w:rFonts w:cstheme="minorHAnsi"/>
          <w:sz w:val="28"/>
          <w:szCs w:val="28"/>
          <w:lang w:eastAsia="es-ES"/>
        </w:rPr>
        <w:fldChar w:fldCharType="begin" w:fldLock="1"/>
      </w:r>
      <w:r w:rsidRPr="005E1103">
        <w:rPr>
          <w:rFonts w:cstheme="minorHAnsi"/>
          <w:sz w:val="28"/>
          <w:szCs w:val="28"/>
          <w:lang w:eastAsia="es-ES"/>
        </w:rPr>
        <w:instrText>ADDIN CSL_CITATION { "citationItems" : [ { "id" : "ITEM-1", "itemData" : { "URL" : "https://www.gnu.org/philosophy/free-sw.es.html", "accessed" : { "date-parts" : [ [ "2016", "9", "20" ] ] }, "id" : "ITEM-1", "issued" : { "date-parts" : [ [ "0" ] ] }, "title" : "Free Software Foundation. \u00bfQu\u00e9 es el software libre?", "type" : "webpage" }, "uris" : [ "http://www.mendeley.com/documents/?uuid=b7192506-4af0-4d2b-a0dc-e01656cb9b23" ] } ], "mendeley" : { "formattedCitation" : "(Anon n.d.)", "plainTextFormattedCitation" : "(Anon n.d.)", "previouslyFormattedCitation" : "(Anon n.d.)" }, "properties" : { "noteIndex" : 0 }, "schema" : "https://github.com/citation-style-language/schema/raw/master/csl-citation.json" }</w:instrText>
      </w:r>
      <w:r w:rsidRPr="005E1103">
        <w:rPr>
          <w:rFonts w:cstheme="minorHAnsi"/>
          <w:sz w:val="28"/>
          <w:szCs w:val="28"/>
          <w:lang w:eastAsia="es-ES"/>
        </w:rPr>
        <w:fldChar w:fldCharType="separate"/>
      </w:r>
      <w:r w:rsidRPr="005E1103">
        <w:rPr>
          <w:rFonts w:cstheme="minorHAnsi"/>
          <w:noProof/>
          <w:sz w:val="28"/>
          <w:szCs w:val="28"/>
          <w:lang w:eastAsia="es-ES"/>
        </w:rPr>
        <w:t>(Free Software Foundation, 2016)</w:t>
      </w:r>
      <w:r w:rsidRPr="005E1103">
        <w:rPr>
          <w:rFonts w:cstheme="minorHAnsi"/>
          <w:sz w:val="28"/>
          <w:szCs w:val="28"/>
          <w:lang w:eastAsia="es-ES"/>
        </w:rPr>
        <w:fldChar w:fldCharType="end"/>
      </w:r>
      <w:r w:rsidRPr="005E1103">
        <w:rPr>
          <w:rFonts w:cstheme="minorHAnsi"/>
          <w:sz w:val="28"/>
          <w:szCs w:val="28"/>
          <w:lang w:eastAsia="es-ES"/>
        </w:rPr>
        <w:t xml:space="preserve"> aquel que “respeta la libertad de los usuarios”, al permitirles, “ejecutar, copiar, distribuir, estudiar, modificar” e incluso mejorar el programa. Sólo se considera totalmente libre aquel software cuya licencia de uso permite a los usuarios del mismo contar con las siguientes cuatro libertades básicas: ejecutar la aplicación con cualquier propósito; acceder al código fuente para editarlo; redistribuir copias; y distribuir copias de sus versiones modificadas a terceros.</w:t>
      </w:r>
    </w:p>
    <w:p w:rsidR="00033066" w:rsidRPr="005E1103" w:rsidRDefault="00033066" w:rsidP="00033066">
      <w:pPr>
        <w:rPr>
          <w:rFonts w:cstheme="minorHAnsi"/>
          <w:sz w:val="28"/>
          <w:szCs w:val="28"/>
          <w:lang w:eastAsia="es-ES"/>
        </w:rPr>
      </w:pPr>
      <w:r w:rsidRPr="005E1103">
        <w:rPr>
          <w:rFonts w:cstheme="minorHAnsi"/>
          <w:sz w:val="28"/>
          <w:szCs w:val="28"/>
          <w:lang w:eastAsia="es-ES"/>
        </w:rPr>
        <w:t>Más allá de consideraciones éticas, desde el punto de vista práctico, la posibilidad de acceder al código fuente de la aplicación abre las puertas a cualquier desarrollador interesado en contribuir a la mejora de la aplicación. Contribuciones que pueden formar parte del núcleo del programa, o distribuirse en forma de complementos que pueden instalarse junto a éste para extender las funcionalidades iniciales del mismo. En el caso de NVDA, esto se traduce en una interesante lista de complementos, como la mantenida por la comunidad de usuarios en el NVDA Community Add-ons website.</w:t>
      </w:r>
    </w:p>
    <w:p w:rsidR="00033066" w:rsidRPr="005E1103" w:rsidRDefault="00033066" w:rsidP="00033066">
      <w:pPr>
        <w:rPr>
          <w:rFonts w:cstheme="minorHAnsi"/>
          <w:sz w:val="28"/>
          <w:szCs w:val="28"/>
          <w:lang w:eastAsia="es-ES"/>
        </w:rPr>
      </w:pPr>
      <w:r w:rsidRPr="005E1103">
        <w:rPr>
          <w:rFonts w:cstheme="minorHAnsi"/>
          <w:sz w:val="28"/>
          <w:szCs w:val="28"/>
          <w:lang w:eastAsia="es-ES"/>
        </w:rPr>
        <w:t xml:space="preserve">Actualmente, tanto en Cataluña, como en el resto de España, el lector de pantalla propietario JAWS domina el mercado con una adopción superior a NVDA. No obstante, en los últimos años el equipo de NV Access ha mejorado mucho la aplicación, hasta el punto que hoy en día se erige como una alternativa robusta para cualquier usuario que no pueda o no quiera realizar una fuerte inversión como la que implica adquirir una licencia de JAWS. En este sentido, el precio es otro de los beneficios del software libre, erigiéndose como la única alternativa, no sólo en muchos </w:t>
      </w:r>
      <w:r w:rsidRPr="005E1103">
        <w:rPr>
          <w:rFonts w:cstheme="minorHAnsi"/>
          <w:sz w:val="28"/>
          <w:szCs w:val="28"/>
          <w:lang w:eastAsia="es-ES"/>
        </w:rPr>
        <w:lastRenderedPageBreak/>
        <w:t>países subdesarrollados o en vías de desarrollo, sino también para todas aquellas personas que no pueden permitirse el elevado coste de la licencia de JAWS en nuestro territorio.</w:t>
      </w:r>
    </w:p>
    <w:p w:rsidR="00033066" w:rsidRPr="005E1103" w:rsidRDefault="00033066" w:rsidP="00033066">
      <w:pPr>
        <w:rPr>
          <w:rFonts w:cstheme="minorHAnsi"/>
          <w:sz w:val="28"/>
          <w:szCs w:val="28"/>
          <w:lang w:eastAsia="es-ES"/>
        </w:rPr>
      </w:pPr>
      <w:r w:rsidRPr="005E1103">
        <w:rPr>
          <w:rFonts w:cstheme="minorHAnsi"/>
          <w:sz w:val="28"/>
          <w:szCs w:val="28"/>
          <w:lang w:eastAsia="es-ES"/>
        </w:rPr>
        <w:t>El modelo de software libre también promueve y permite la traducción a idiomas minoritarios, no necesariamente rentables comercialmente como podría ser el caso del catalán.</w:t>
      </w:r>
    </w:p>
    <w:p w:rsidR="00033066" w:rsidRPr="005E1103" w:rsidRDefault="00033066" w:rsidP="00033066">
      <w:pPr>
        <w:pStyle w:val="Ttulo2"/>
        <w:rPr>
          <w:rFonts w:asciiTheme="minorHAnsi" w:eastAsia="Times New Roman" w:hAnsiTheme="minorHAnsi" w:cstheme="minorHAnsi"/>
          <w:sz w:val="28"/>
          <w:szCs w:val="28"/>
          <w:lang w:eastAsia="es-ES"/>
        </w:rPr>
      </w:pPr>
      <w:r w:rsidRPr="005E1103">
        <w:rPr>
          <w:rFonts w:asciiTheme="minorHAnsi" w:eastAsia="Times New Roman" w:hAnsiTheme="minorHAnsi" w:cstheme="minorHAnsi"/>
          <w:sz w:val="28"/>
          <w:szCs w:val="28"/>
          <w:lang w:eastAsia="es-ES"/>
        </w:rPr>
        <w:t>2.1. Características técnicas de NVDA</w:t>
      </w:r>
    </w:p>
    <w:p w:rsidR="00033066" w:rsidRPr="005E1103" w:rsidRDefault="00033066" w:rsidP="00033066">
      <w:pPr>
        <w:rPr>
          <w:rFonts w:cstheme="minorHAnsi"/>
          <w:sz w:val="28"/>
          <w:szCs w:val="28"/>
          <w:lang w:eastAsia="es-ES"/>
        </w:rPr>
      </w:pPr>
      <w:r w:rsidRPr="005E1103">
        <w:rPr>
          <w:rFonts w:cstheme="minorHAnsi"/>
          <w:sz w:val="28"/>
          <w:szCs w:val="28"/>
          <w:lang w:eastAsia="es-ES"/>
        </w:rPr>
        <w:t xml:space="preserve">NVDA incorpora de serie el sintetizador de software libre eSpeak con soporte para más de 40 idiomas, entre los cuales el español y el catalán. La aplicación también es compatible con otros sintetizadores libres o comerciales que se pueden instalar como complementos del programa. </w:t>
      </w:r>
    </w:p>
    <w:p w:rsidR="00033066" w:rsidRPr="005E1103" w:rsidRDefault="00033066" w:rsidP="00033066">
      <w:pPr>
        <w:rPr>
          <w:rFonts w:cstheme="minorHAnsi"/>
          <w:sz w:val="28"/>
          <w:szCs w:val="28"/>
          <w:lang w:eastAsia="es-ES"/>
        </w:rPr>
      </w:pPr>
      <w:r w:rsidRPr="005E1103">
        <w:rPr>
          <w:rFonts w:cstheme="minorHAnsi"/>
          <w:sz w:val="28"/>
          <w:szCs w:val="28"/>
          <w:lang w:eastAsia="es-ES"/>
        </w:rPr>
        <w:t>También permite el uso de diferentes líneas Braille como la PAC Mate Series de FreedomScientific, la Optelec ALVA BC640/680, las Handy Tech, las Braillex de Papenmeier, las Human Ware Braille Note, o la española EcoBraille.</w:t>
      </w:r>
    </w:p>
    <w:p w:rsidR="00033066" w:rsidRPr="005E1103" w:rsidRDefault="00033066" w:rsidP="00033066">
      <w:pPr>
        <w:rPr>
          <w:rFonts w:cstheme="minorHAnsi"/>
          <w:sz w:val="28"/>
          <w:szCs w:val="28"/>
          <w:lang w:eastAsia="es-ES"/>
        </w:rPr>
      </w:pPr>
      <w:r w:rsidRPr="005E1103">
        <w:rPr>
          <w:rFonts w:cstheme="minorHAnsi"/>
          <w:sz w:val="28"/>
          <w:szCs w:val="28"/>
          <w:lang w:eastAsia="es-ES"/>
        </w:rPr>
        <w:t>Por lo que respecta a navegadores web y software de productividad, NVDA ofrece un buen soporte para Mozilla Firefox e Internet Explorer, algo menos en el caso de Google Chrome. Entre los clientes de correo electrónico, tanto Mozilla Thunderbird como Microsoft Outlook presentan un alto grado de compatibilidad. Finalmente, entre los paquetes de ofimática destaca la compatibilidad con Microsoft Office (Word, Excel y Power Point), aunque también presenta un alto grado de compatibilidad con OpenOffice. NVDA también se ha adaptado a Windows 8, permitiendo su uso en equipos con pantallas táctiles que utilicen este sistema operativo.</w:t>
      </w:r>
    </w:p>
    <w:p w:rsidR="00033066" w:rsidRPr="005E1103" w:rsidRDefault="00033066" w:rsidP="00033066">
      <w:pPr>
        <w:rPr>
          <w:rFonts w:cstheme="minorHAnsi"/>
          <w:sz w:val="28"/>
          <w:szCs w:val="28"/>
          <w:lang w:eastAsia="es-ES"/>
        </w:rPr>
      </w:pPr>
      <w:r w:rsidRPr="005E1103">
        <w:rPr>
          <w:rFonts w:cstheme="minorHAnsi"/>
          <w:sz w:val="28"/>
          <w:szCs w:val="28"/>
          <w:lang w:eastAsia="es-ES"/>
        </w:rPr>
        <w:t xml:space="preserve">NVDA permite guardar perfiles de configuración de la aplicación con las preferencias, por ejemplo, de diferentes usuarios que compartan equipo, o de un mismo usuario para diferentes contextos, como navegar por Internet o trabajar con un paquete ofimático. Una de las características más interesantes de NVDA es la posibilidad de generar una versión portable de la aplicación capaz de conservar la configuración guardada por el usuario en su entorno de trabajo habitual. Esto permite a los usuarios de NVDA guardar la aplicación en una memoria USB que pueden conectar a cualquier equipo para lanzar la aplicación. De esta manera, el usuario no depende del software instalado en ordenadores públicos (bibliotecas </w:t>
      </w:r>
      <w:r w:rsidRPr="005E1103">
        <w:rPr>
          <w:rFonts w:cstheme="minorHAnsi"/>
          <w:sz w:val="28"/>
          <w:szCs w:val="28"/>
          <w:lang w:eastAsia="es-ES"/>
        </w:rPr>
        <w:lastRenderedPageBreak/>
        <w:t>públicas, cibercafés, centros cívicos, etc.) para realizar cualquier tarea o trámite.</w:t>
      </w:r>
    </w:p>
    <w:p w:rsidR="00033066" w:rsidRPr="005E1103" w:rsidRDefault="00033066" w:rsidP="00033066">
      <w:pPr>
        <w:pStyle w:val="Ttulo1"/>
        <w:rPr>
          <w:rFonts w:asciiTheme="minorHAnsi" w:eastAsia="Times New Roman" w:hAnsiTheme="minorHAnsi" w:cstheme="minorHAnsi"/>
          <w:lang w:eastAsia="es-ES"/>
        </w:rPr>
      </w:pPr>
      <w:r w:rsidRPr="005E1103">
        <w:rPr>
          <w:rFonts w:asciiTheme="minorHAnsi" w:eastAsia="Times New Roman" w:hAnsiTheme="minorHAnsi" w:cstheme="minorHAnsi"/>
          <w:lang w:eastAsia="es-ES"/>
        </w:rPr>
        <w:t>3. Desarrollo del proyecto</w:t>
      </w:r>
    </w:p>
    <w:p w:rsidR="00033066" w:rsidRPr="005E1103" w:rsidRDefault="00033066" w:rsidP="00033066">
      <w:pPr>
        <w:rPr>
          <w:rFonts w:cstheme="minorHAnsi"/>
          <w:sz w:val="28"/>
          <w:szCs w:val="28"/>
          <w:lang w:eastAsia="es-ES"/>
        </w:rPr>
      </w:pPr>
      <w:r w:rsidRPr="005E1103">
        <w:rPr>
          <w:rFonts w:cstheme="minorHAnsi"/>
          <w:sz w:val="28"/>
          <w:szCs w:val="28"/>
          <w:lang w:eastAsia="es-ES"/>
        </w:rPr>
        <w:t>Más allá de la disponibilidad de una versión en catalán de una herramienta de software libre tan importante para la comunidad de personas ciegas y con baja visión o con dislexia, el proyecto ha incluido acciones para fomentar el uso de esta herramienta a través de actividades formativas y de difusión sobre la herramienta.</w:t>
      </w:r>
    </w:p>
    <w:p w:rsidR="00033066" w:rsidRPr="005E1103" w:rsidRDefault="00033066" w:rsidP="00033066">
      <w:pPr>
        <w:pStyle w:val="Ttulo2"/>
        <w:rPr>
          <w:rFonts w:asciiTheme="minorHAnsi" w:eastAsia="Times New Roman" w:hAnsiTheme="minorHAnsi" w:cstheme="minorHAnsi"/>
          <w:sz w:val="28"/>
          <w:szCs w:val="28"/>
          <w:lang w:eastAsia="es-ES"/>
        </w:rPr>
      </w:pPr>
      <w:r w:rsidRPr="005E1103">
        <w:rPr>
          <w:rFonts w:asciiTheme="minorHAnsi" w:eastAsia="Times New Roman" w:hAnsiTheme="minorHAnsi" w:cstheme="minorHAnsi"/>
          <w:sz w:val="28"/>
          <w:szCs w:val="28"/>
          <w:lang w:eastAsia="es-ES"/>
        </w:rPr>
        <w:t>3.1. Fase 1: traducción y creación de recursos sobre NVDA</w:t>
      </w:r>
    </w:p>
    <w:p w:rsidR="00033066" w:rsidRPr="005E1103" w:rsidRDefault="00033066" w:rsidP="00033066">
      <w:pPr>
        <w:rPr>
          <w:rFonts w:cstheme="minorHAnsi"/>
          <w:sz w:val="28"/>
          <w:szCs w:val="28"/>
          <w:lang w:eastAsia="es-ES"/>
        </w:rPr>
      </w:pPr>
      <w:r w:rsidRPr="005E1103">
        <w:rPr>
          <w:rFonts w:cstheme="minorHAnsi"/>
          <w:sz w:val="28"/>
          <w:szCs w:val="28"/>
          <w:lang w:eastAsia="es-ES"/>
        </w:rPr>
        <w:t>La primera fase del proyecto se inició en agosto de 2014, con la incorporación del equipo de trabajo Adaptabit a la comunidad de usuarios traductores de NVDA. Hasta el momento, ningún particular o grupo había iniciado ninguna acción en esta línea dentro de la comunidad lingüística catalana.</w:t>
      </w:r>
    </w:p>
    <w:p w:rsidR="00033066" w:rsidRPr="005E1103" w:rsidRDefault="00033066" w:rsidP="00033066">
      <w:pPr>
        <w:rPr>
          <w:rFonts w:cstheme="minorHAnsi"/>
          <w:sz w:val="28"/>
          <w:szCs w:val="28"/>
          <w:lang w:eastAsia="es-ES"/>
        </w:rPr>
      </w:pPr>
      <w:r w:rsidRPr="005E1103">
        <w:rPr>
          <w:rFonts w:cstheme="minorHAnsi"/>
          <w:sz w:val="28"/>
          <w:szCs w:val="28"/>
          <w:lang w:eastAsia="es-ES"/>
        </w:rPr>
        <w:t>Antes de iniciar el proceso de traducción de cualquier programa informático es muy importante estar familiarizado con su funcionamiento, opciones, funciones y mensajes, debido a la descontextualización que implica un proceso de traducción en el que los cambios realizados no se observan inmediatamente sobre la interfaz, sino que, por decirlo de alguna manera, vamos traduciendo a ciegas una lista de cadenas de texto desorganizada que se corresponden a diferentes partes del programa. Por ello, el equipo, realizó diversas pruebas de uso de la herramienta en entornos web y ofimáticos para familiarizarse con ella.</w:t>
      </w:r>
    </w:p>
    <w:p w:rsidR="00033066" w:rsidRPr="005E1103" w:rsidRDefault="00033066" w:rsidP="00033066">
      <w:pPr>
        <w:rPr>
          <w:rFonts w:cstheme="minorHAnsi"/>
          <w:sz w:val="28"/>
          <w:szCs w:val="28"/>
          <w:lang w:eastAsia="es-ES"/>
        </w:rPr>
      </w:pPr>
      <w:r w:rsidRPr="005E1103">
        <w:rPr>
          <w:rFonts w:cstheme="minorHAnsi"/>
          <w:sz w:val="28"/>
          <w:szCs w:val="28"/>
          <w:lang w:eastAsia="es-ES"/>
        </w:rPr>
        <w:t>Muchos programas desarrollados de forma colaborativa integran un sistema de control de versiones que permite gestionar fácilmente los cambios que llevan a cabo diferentes programadores o colaboradores sobre un mismo proyecto. En el caso de NVDA, cada traductor puede ir incorporando sus aportaciones al idioma en el que esté trabajando, y la herramienta se encarga de fusionarlas, avisando sobre posibles conflictos que se hayan podido generar durante el proceso. El sistema también es capaz de recordar cada uno de los cambios que se han ido realizando en el repositorio, tanto en cada uno de los archivos, como en los diferentes directorios implicados, para revisiones y posibles correcciones.</w:t>
      </w:r>
    </w:p>
    <w:p w:rsidR="00033066" w:rsidRPr="005E1103" w:rsidRDefault="00033066" w:rsidP="00033066">
      <w:pPr>
        <w:rPr>
          <w:rFonts w:cstheme="minorHAnsi"/>
          <w:sz w:val="28"/>
          <w:szCs w:val="28"/>
          <w:lang w:eastAsia="es-ES"/>
        </w:rPr>
      </w:pPr>
      <w:r w:rsidRPr="005E1103">
        <w:rPr>
          <w:rFonts w:cstheme="minorHAnsi"/>
          <w:sz w:val="28"/>
          <w:szCs w:val="28"/>
          <w:lang w:eastAsia="es-ES"/>
        </w:rPr>
        <w:lastRenderedPageBreak/>
        <w:t>En el caso de NVDA, el sistema de control de versiones es Subversion (más conocido por las siglas SVN), un sistema centralizado sobre el que trabajan los diferentes traductores del proyecto. El proyecto se encuentra alojado en Assembla, una la plataforma online que ofrece éste servicio. El acceso al repositorio que aloja los archivos de traducción se puede realizar a partir de cualquier cliente SVN, como por ejemplo TortoiseSVN, recomendado por el equipo de NVDA. El uso de este cliente permite trabajar en un entorno Windows sobre los diferentes ficheros de traducción de una manera rápida y sencilla.</w:t>
      </w:r>
    </w:p>
    <w:p w:rsidR="00033066" w:rsidRPr="005E1103" w:rsidRDefault="00033066" w:rsidP="00033066">
      <w:pPr>
        <w:keepNext/>
        <w:rPr>
          <w:rFonts w:cstheme="minorHAnsi"/>
          <w:sz w:val="28"/>
          <w:szCs w:val="28"/>
        </w:rPr>
      </w:pPr>
      <w:r w:rsidRPr="005E1103">
        <w:rPr>
          <w:rFonts w:cstheme="minorHAnsi"/>
          <w:noProof/>
          <w:sz w:val="28"/>
          <w:szCs w:val="28"/>
          <w:lang w:eastAsia="es-ES"/>
        </w:rPr>
        <w:drawing>
          <wp:inline distT="0" distB="0" distL="0" distR="0" wp14:anchorId="319A075F" wp14:editId="7D198806">
            <wp:extent cx="914400" cy="685800"/>
            <wp:effectExtent l="19050" t="0" r="0" b="0"/>
            <wp:docPr id="44" name="Imagen 44" descr="Figura 1. Logo Tortoise S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ortoisesvn.jp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914400" cy="685800"/>
                    </a:xfrm>
                    <a:prstGeom prst="rect">
                      <a:avLst/>
                    </a:prstGeom>
                  </pic:spPr>
                </pic:pic>
              </a:graphicData>
            </a:graphic>
          </wp:inline>
        </w:drawing>
      </w:r>
    </w:p>
    <w:p w:rsidR="00033066" w:rsidRPr="005E1103" w:rsidRDefault="00033066" w:rsidP="00033066">
      <w:pPr>
        <w:pStyle w:val="Epgrafe"/>
        <w:rPr>
          <w:rFonts w:asciiTheme="minorHAnsi" w:hAnsiTheme="minorHAnsi" w:cstheme="minorHAnsi"/>
          <w:sz w:val="28"/>
          <w:szCs w:val="28"/>
          <w:lang w:val="es-ES" w:eastAsia="es-ES"/>
        </w:rPr>
      </w:pPr>
      <w:r w:rsidRPr="005E1103">
        <w:rPr>
          <w:rFonts w:asciiTheme="minorHAnsi" w:hAnsiTheme="minorHAnsi" w:cstheme="minorHAnsi"/>
          <w:sz w:val="28"/>
          <w:szCs w:val="28"/>
          <w:lang w:val="es-ES"/>
        </w:rPr>
        <w:t xml:space="preserve">Figura </w:t>
      </w:r>
      <w:r w:rsidRPr="005E1103">
        <w:rPr>
          <w:rFonts w:asciiTheme="minorHAnsi" w:hAnsiTheme="minorHAnsi" w:cstheme="minorHAnsi"/>
          <w:sz w:val="28"/>
          <w:szCs w:val="28"/>
        </w:rPr>
        <w:fldChar w:fldCharType="begin"/>
      </w:r>
      <w:r w:rsidRPr="005E1103">
        <w:rPr>
          <w:rFonts w:asciiTheme="minorHAnsi" w:hAnsiTheme="minorHAnsi" w:cstheme="minorHAnsi"/>
          <w:sz w:val="28"/>
          <w:szCs w:val="28"/>
          <w:lang w:val="es-ES"/>
        </w:rPr>
        <w:instrText xml:space="preserve"> SEQ Figura \* ARABIC </w:instrText>
      </w:r>
      <w:r w:rsidRPr="005E1103">
        <w:rPr>
          <w:rFonts w:asciiTheme="minorHAnsi" w:hAnsiTheme="minorHAnsi" w:cstheme="minorHAnsi"/>
          <w:sz w:val="28"/>
          <w:szCs w:val="28"/>
        </w:rPr>
        <w:fldChar w:fldCharType="separate"/>
      </w:r>
      <w:r w:rsidR="00C273FC">
        <w:rPr>
          <w:rFonts w:asciiTheme="minorHAnsi" w:hAnsiTheme="minorHAnsi" w:cstheme="minorHAnsi"/>
          <w:noProof/>
          <w:sz w:val="28"/>
          <w:szCs w:val="28"/>
          <w:lang w:val="es-ES"/>
        </w:rPr>
        <w:t>1</w:t>
      </w:r>
      <w:r w:rsidRPr="005E1103">
        <w:rPr>
          <w:rFonts w:asciiTheme="minorHAnsi" w:hAnsiTheme="minorHAnsi" w:cstheme="minorHAnsi"/>
          <w:sz w:val="28"/>
          <w:szCs w:val="28"/>
        </w:rPr>
        <w:fldChar w:fldCharType="end"/>
      </w:r>
      <w:r w:rsidRPr="005E1103">
        <w:rPr>
          <w:rFonts w:asciiTheme="minorHAnsi" w:hAnsiTheme="minorHAnsi" w:cstheme="minorHAnsi"/>
          <w:sz w:val="28"/>
          <w:szCs w:val="28"/>
          <w:lang w:val="es-ES"/>
        </w:rPr>
        <w:t>. Logo Tortoise SVN</w:t>
      </w:r>
    </w:p>
    <w:p w:rsidR="00033066" w:rsidRPr="005E1103" w:rsidRDefault="00033066" w:rsidP="00033066">
      <w:pPr>
        <w:rPr>
          <w:rFonts w:cstheme="minorHAnsi"/>
          <w:sz w:val="28"/>
          <w:szCs w:val="28"/>
          <w:lang w:eastAsia="es-ES"/>
        </w:rPr>
      </w:pPr>
      <w:r w:rsidRPr="005E1103">
        <w:rPr>
          <w:rFonts w:cstheme="minorHAnsi"/>
          <w:sz w:val="28"/>
          <w:szCs w:val="28"/>
          <w:lang w:eastAsia="es-ES"/>
        </w:rPr>
        <w:t>Una vez un traductor ha sido aceptado en el equipo colaborador de NVDA y dado de alta en Assembla, puede descargarse en local una copia de todos los archivos de traducción. Asimismo, recibirá correos electrónicos automatizados en los que se informa al equipo de trabajo de cambios y nuevos elementos pendientes de traducción. La copia local y la copia remota de la traducción deben mantenerse sincronizadas, para trabajar siempre con la copia más reciente de los archivos, lo implica descargar las actualizaciones del repositorio en local, así como publicar los cambios en remoto (hacer un “</w:t>
      </w:r>
      <w:r w:rsidRPr="005E1103">
        <w:rPr>
          <w:rFonts w:cstheme="minorHAnsi"/>
          <w:i/>
          <w:iCs/>
          <w:sz w:val="28"/>
          <w:szCs w:val="28"/>
          <w:lang w:eastAsia="es-ES"/>
        </w:rPr>
        <w:t>commit</w:t>
      </w:r>
      <w:r w:rsidRPr="005E1103">
        <w:rPr>
          <w:rFonts w:cstheme="minorHAnsi"/>
          <w:sz w:val="28"/>
          <w:szCs w:val="28"/>
          <w:lang w:eastAsia="es-ES"/>
        </w:rPr>
        <w:t xml:space="preserve">”) al finalizar nuestras actualizaciones. </w:t>
      </w:r>
    </w:p>
    <w:p w:rsidR="00033066" w:rsidRPr="005E1103" w:rsidRDefault="00033066" w:rsidP="00033066">
      <w:pPr>
        <w:rPr>
          <w:rFonts w:cstheme="minorHAnsi"/>
          <w:sz w:val="28"/>
          <w:szCs w:val="28"/>
          <w:lang w:eastAsia="es-ES"/>
        </w:rPr>
      </w:pPr>
      <w:r w:rsidRPr="005E1103">
        <w:rPr>
          <w:rFonts w:cstheme="minorHAnsi"/>
          <w:sz w:val="28"/>
          <w:szCs w:val="28"/>
          <w:lang w:eastAsia="es-ES"/>
        </w:rPr>
        <w:t xml:space="preserve">NVDA ofrece distintos archivos para su traducción: </w:t>
      </w:r>
    </w:p>
    <w:p w:rsidR="00033066" w:rsidRPr="005E1103" w:rsidRDefault="00033066" w:rsidP="00033066">
      <w:pPr>
        <w:pStyle w:val="Listaconvietas2"/>
        <w:rPr>
          <w:rFonts w:asciiTheme="minorHAnsi" w:hAnsiTheme="minorHAnsi" w:cstheme="minorHAnsi"/>
          <w:sz w:val="28"/>
          <w:szCs w:val="28"/>
          <w:lang w:eastAsia="es-ES"/>
        </w:rPr>
      </w:pPr>
      <w:r w:rsidRPr="005E1103">
        <w:rPr>
          <w:rFonts w:asciiTheme="minorHAnsi" w:hAnsiTheme="minorHAnsi" w:cstheme="minorHAnsi"/>
          <w:sz w:val="28"/>
          <w:szCs w:val="28"/>
          <w:lang w:eastAsia="es-ES"/>
        </w:rPr>
        <w:t xml:space="preserve">“nvda.po”, que se corresponde con la interfaz del programa; </w:t>
      </w:r>
    </w:p>
    <w:p w:rsidR="00033066" w:rsidRPr="005E1103" w:rsidRDefault="00033066" w:rsidP="00033066">
      <w:pPr>
        <w:rPr>
          <w:rFonts w:cstheme="minorHAnsi"/>
          <w:sz w:val="28"/>
          <w:szCs w:val="28"/>
          <w:lang w:eastAsia="es-ES"/>
        </w:rPr>
      </w:pPr>
      <w:r w:rsidRPr="005E1103">
        <w:rPr>
          <w:rFonts w:cstheme="minorHAnsi"/>
          <w:sz w:val="28"/>
          <w:szCs w:val="28"/>
          <w:lang w:eastAsia="es-ES"/>
        </w:rPr>
        <w:t xml:space="preserve">Los ficheros .po derivan del uso de gettext, una de las bibliotecas de internacionalización más utilizadas para el desarrollo de programas que soportan interfaces en varios idiomas. Sobre ellos trabaja el traductor, utilizando para ello un editor de texto plano, o una herramienta de traducción específica como, por ejemplo, poEdit. El fichero contiene, para cada cadena de texto a traducir, el texto original en inglés, una línea vacía donde incluir la traducción y una nota o mensaje de ayuda que facilitan la traducción, minimizando el problema de la descontextualización antes comentado. </w:t>
      </w:r>
    </w:p>
    <w:p w:rsidR="00033066" w:rsidRPr="005E1103" w:rsidRDefault="00033066" w:rsidP="00033066">
      <w:pPr>
        <w:keepNext/>
        <w:rPr>
          <w:rFonts w:cstheme="minorHAnsi"/>
          <w:sz w:val="28"/>
          <w:szCs w:val="28"/>
        </w:rPr>
      </w:pPr>
      <w:r w:rsidRPr="005E1103">
        <w:rPr>
          <w:rFonts w:cstheme="minorHAnsi"/>
          <w:noProof/>
          <w:sz w:val="28"/>
          <w:szCs w:val="28"/>
          <w:lang w:eastAsia="es-ES"/>
        </w:rPr>
        <w:lastRenderedPageBreak/>
        <w:drawing>
          <wp:inline distT="0" distB="0" distL="0" distR="0" wp14:anchorId="53DA6FD8" wp14:editId="7E01A48E">
            <wp:extent cx="3502152" cy="917448"/>
            <wp:effectExtent l="19050" t="0" r="3048" b="0"/>
            <wp:docPr id="46" name="Imagen 46" descr="Figura 2. Detalle de una de las notas para los traductores del fichero .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oEdit.JP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3502152" cy="917448"/>
                    </a:xfrm>
                    <a:prstGeom prst="rect">
                      <a:avLst/>
                    </a:prstGeom>
                  </pic:spPr>
                </pic:pic>
              </a:graphicData>
            </a:graphic>
          </wp:inline>
        </w:drawing>
      </w:r>
    </w:p>
    <w:p w:rsidR="00033066" w:rsidRPr="005E1103" w:rsidRDefault="00033066" w:rsidP="00033066">
      <w:pPr>
        <w:pStyle w:val="Epgrafe"/>
        <w:rPr>
          <w:rFonts w:asciiTheme="minorHAnsi" w:hAnsiTheme="minorHAnsi" w:cstheme="minorHAnsi"/>
          <w:sz w:val="28"/>
          <w:szCs w:val="28"/>
          <w:lang w:val="es-ES" w:eastAsia="es-ES"/>
        </w:rPr>
      </w:pPr>
      <w:r w:rsidRPr="005E1103">
        <w:rPr>
          <w:rFonts w:asciiTheme="minorHAnsi" w:hAnsiTheme="minorHAnsi" w:cstheme="minorHAnsi"/>
          <w:sz w:val="28"/>
          <w:szCs w:val="28"/>
          <w:lang w:val="es-ES"/>
        </w:rPr>
        <w:t xml:space="preserve">Figura </w:t>
      </w:r>
      <w:r w:rsidRPr="005E1103">
        <w:rPr>
          <w:rFonts w:asciiTheme="minorHAnsi" w:hAnsiTheme="minorHAnsi" w:cstheme="minorHAnsi"/>
          <w:sz w:val="28"/>
          <w:szCs w:val="28"/>
        </w:rPr>
        <w:fldChar w:fldCharType="begin"/>
      </w:r>
      <w:r w:rsidRPr="005E1103">
        <w:rPr>
          <w:rFonts w:asciiTheme="minorHAnsi" w:hAnsiTheme="minorHAnsi" w:cstheme="minorHAnsi"/>
          <w:sz w:val="28"/>
          <w:szCs w:val="28"/>
          <w:lang w:val="es-ES"/>
        </w:rPr>
        <w:instrText xml:space="preserve"> SEQ Figura \* ARABIC </w:instrText>
      </w:r>
      <w:r w:rsidRPr="005E1103">
        <w:rPr>
          <w:rFonts w:asciiTheme="minorHAnsi" w:hAnsiTheme="minorHAnsi" w:cstheme="minorHAnsi"/>
          <w:sz w:val="28"/>
          <w:szCs w:val="28"/>
        </w:rPr>
        <w:fldChar w:fldCharType="separate"/>
      </w:r>
      <w:r w:rsidR="00C273FC">
        <w:rPr>
          <w:rFonts w:asciiTheme="minorHAnsi" w:hAnsiTheme="minorHAnsi" w:cstheme="minorHAnsi"/>
          <w:noProof/>
          <w:sz w:val="28"/>
          <w:szCs w:val="28"/>
          <w:lang w:val="es-ES"/>
        </w:rPr>
        <w:t>2</w:t>
      </w:r>
      <w:r w:rsidRPr="005E1103">
        <w:rPr>
          <w:rFonts w:asciiTheme="minorHAnsi" w:hAnsiTheme="minorHAnsi" w:cstheme="minorHAnsi"/>
          <w:sz w:val="28"/>
          <w:szCs w:val="28"/>
        </w:rPr>
        <w:fldChar w:fldCharType="end"/>
      </w:r>
      <w:r w:rsidRPr="005E1103">
        <w:rPr>
          <w:rFonts w:asciiTheme="minorHAnsi" w:hAnsiTheme="minorHAnsi" w:cstheme="minorHAnsi"/>
          <w:sz w:val="28"/>
          <w:szCs w:val="28"/>
          <w:lang w:val="es-ES"/>
        </w:rPr>
        <w:t>. Detalle de una de las notas para los traductores del fichero .po</w:t>
      </w:r>
    </w:p>
    <w:p w:rsidR="00033066" w:rsidRPr="005E1103" w:rsidRDefault="00033066" w:rsidP="00033066">
      <w:pPr>
        <w:rPr>
          <w:rFonts w:cstheme="minorHAnsi"/>
          <w:sz w:val="28"/>
          <w:szCs w:val="28"/>
          <w:lang w:eastAsia="es-ES"/>
        </w:rPr>
      </w:pPr>
      <w:r w:rsidRPr="005E1103">
        <w:rPr>
          <w:rFonts w:cstheme="minorHAnsi"/>
          <w:sz w:val="28"/>
          <w:szCs w:val="28"/>
          <w:lang w:eastAsia="es-ES"/>
        </w:rPr>
        <w:t>A partir del fichero .po se genera un fichero binario con extensión .mo que será el utilizado junto a la distribución con el paquete de software.</w:t>
      </w:r>
    </w:p>
    <w:p w:rsidR="00033066" w:rsidRPr="005E1103" w:rsidRDefault="00033066" w:rsidP="00033066">
      <w:pPr>
        <w:pStyle w:val="Listaconvietas2"/>
        <w:rPr>
          <w:rFonts w:asciiTheme="minorHAnsi" w:hAnsiTheme="minorHAnsi" w:cstheme="minorHAnsi"/>
          <w:sz w:val="28"/>
          <w:szCs w:val="28"/>
          <w:lang w:eastAsia="es-ES"/>
        </w:rPr>
      </w:pPr>
      <w:r w:rsidRPr="005E1103">
        <w:rPr>
          <w:rFonts w:asciiTheme="minorHAnsi" w:hAnsiTheme="minorHAnsi" w:cstheme="minorHAnsi"/>
          <w:sz w:val="28"/>
          <w:szCs w:val="28"/>
          <w:lang w:eastAsia="es-ES"/>
        </w:rPr>
        <w:t xml:space="preserve">“characterDescriptions.dic”, con los nombres de los diferentes caracteres en el idioma en cuestión; </w:t>
      </w:r>
    </w:p>
    <w:p w:rsidR="00033066" w:rsidRPr="005E1103" w:rsidRDefault="00033066" w:rsidP="00033066">
      <w:pPr>
        <w:pStyle w:val="Listaconvietas2"/>
        <w:rPr>
          <w:rFonts w:asciiTheme="minorHAnsi" w:hAnsiTheme="minorHAnsi" w:cstheme="minorHAnsi"/>
          <w:sz w:val="28"/>
          <w:szCs w:val="28"/>
          <w:lang w:eastAsia="es-ES"/>
        </w:rPr>
      </w:pPr>
      <w:r w:rsidRPr="005E1103">
        <w:rPr>
          <w:rFonts w:asciiTheme="minorHAnsi" w:hAnsiTheme="minorHAnsi" w:cstheme="minorHAnsi"/>
          <w:sz w:val="28"/>
          <w:szCs w:val="28"/>
          <w:lang w:eastAsia="es-ES"/>
        </w:rPr>
        <w:t xml:space="preserve">“symbols.dic”, que incluye los nombres de los símbolos y signos de puntuación del idioma; </w:t>
      </w:r>
    </w:p>
    <w:p w:rsidR="00033066" w:rsidRPr="005E1103" w:rsidRDefault="00033066" w:rsidP="00033066">
      <w:pPr>
        <w:rPr>
          <w:rFonts w:cstheme="minorHAnsi"/>
          <w:sz w:val="28"/>
          <w:szCs w:val="28"/>
          <w:lang w:eastAsia="es-ES"/>
        </w:rPr>
      </w:pPr>
      <w:r w:rsidRPr="005E1103">
        <w:rPr>
          <w:rFonts w:cstheme="minorHAnsi"/>
          <w:sz w:val="28"/>
          <w:szCs w:val="28"/>
          <w:lang w:eastAsia="es-ES"/>
        </w:rPr>
        <w:t>Estos dos ficheros son simples archivos de texto con información de los caracteres o símbolos y su deletreado en el idioma correspondiente. Para traducirlos se necesita una aplicación tan simple como el bloc de notas.</w:t>
      </w:r>
    </w:p>
    <w:p w:rsidR="00033066" w:rsidRPr="005E1103" w:rsidRDefault="00033066" w:rsidP="00033066">
      <w:pPr>
        <w:pStyle w:val="Listaconvietas2"/>
        <w:rPr>
          <w:rFonts w:asciiTheme="minorHAnsi" w:hAnsiTheme="minorHAnsi" w:cstheme="minorHAnsi"/>
          <w:sz w:val="28"/>
          <w:szCs w:val="28"/>
          <w:lang w:eastAsia="es-ES"/>
        </w:rPr>
      </w:pPr>
      <w:r w:rsidRPr="005E1103">
        <w:rPr>
          <w:rFonts w:asciiTheme="minorHAnsi" w:hAnsiTheme="minorHAnsi" w:cstheme="minorHAnsi"/>
          <w:sz w:val="28"/>
          <w:szCs w:val="28"/>
          <w:lang w:eastAsia="es-ES"/>
        </w:rPr>
        <w:t xml:space="preserve">“userGuide.t2t”, que contiene la guía oficial de usuario. </w:t>
      </w:r>
    </w:p>
    <w:p w:rsidR="00033066" w:rsidRPr="005E1103" w:rsidRDefault="00033066" w:rsidP="00033066">
      <w:pPr>
        <w:pStyle w:val="Listaconvietas2"/>
        <w:rPr>
          <w:rFonts w:asciiTheme="minorHAnsi" w:hAnsiTheme="minorHAnsi" w:cstheme="minorHAnsi"/>
          <w:sz w:val="28"/>
          <w:szCs w:val="28"/>
          <w:lang w:eastAsia="es-ES"/>
        </w:rPr>
      </w:pPr>
      <w:r w:rsidRPr="005E1103">
        <w:rPr>
          <w:rFonts w:asciiTheme="minorHAnsi" w:hAnsiTheme="minorHAnsi" w:cstheme="minorHAnsi"/>
          <w:sz w:val="28"/>
          <w:szCs w:val="28"/>
          <w:lang w:eastAsia="es-ES"/>
        </w:rPr>
        <w:t>“changes.t2t”, de traducción opcional, con la lista de cambios y novedades disponibles para cada una de las versiones de NVDA.</w:t>
      </w:r>
    </w:p>
    <w:p w:rsidR="00033066" w:rsidRPr="005E1103" w:rsidRDefault="00033066" w:rsidP="00033066">
      <w:pPr>
        <w:pStyle w:val="Listaconvietas2"/>
        <w:numPr>
          <w:ilvl w:val="0"/>
          <w:numId w:val="0"/>
        </w:numPr>
        <w:rPr>
          <w:rFonts w:asciiTheme="minorHAnsi" w:hAnsiTheme="minorHAnsi" w:cstheme="minorHAnsi"/>
          <w:sz w:val="28"/>
          <w:szCs w:val="28"/>
          <w:lang w:eastAsia="es-ES"/>
        </w:rPr>
      </w:pPr>
      <w:r w:rsidRPr="005E1103">
        <w:rPr>
          <w:rFonts w:asciiTheme="minorHAnsi" w:hAnsiTheme="minorHAnsi" w:cstheme="minorHAnsi"/>
          <w:sz w:val="28"/>
          <w:szCs w:val="28"/>
          <w:lang w:eastAsia="es-ES"/>
        </w:rPr>
        <w:t>La extensión .t2t se corresponde al formato txt2tags. A partir de éste se generan las versiones en formato HTML de la guía de usuario y el archivo con la lista de cambios. Txt2tags es un generador de documentos que, a partir de un sencillo sistema de marcado, permite generar versiones en múltiples formatos como HTML, LaTeX o versiones compatibles con las principales tecnologías wiki. El proceso es totalmente transparente para el traductor, que solamente tiene que preocuparse por actualizar el archivo .t2t de acuerdo a su sintaxis.</w:t>
      </w:r>
    </w:p>
    <w:p w:rsidR="00033066" w:rsidRPr="005E1103" w:rsidRDefault="00033066" w:rsidP="00033066">
      <w:pPr>
        <w:rPr>
          <w:rFonts w:cstheme="minorHAnsi"/>
          <w:sz w:val="28"/>
          <w:szCs w:val="28"/>
          <w:lang w:eastAsia="es-ES"/>
        </w:rPr>
      </w:pPr>
      <w:r w:rsidRPr="005E1103">
        <w:rPr>
          <w:rFonts w:cstheme="minorHAnsi"/>
          <w:sz w:val="28"/>
          <w:szCs w:val="28"/>
          <w:lang w:eastAsia="es-ES"/>
        </w:rPr>
        <w:t>Para cada una de las revisiones de la guía de usuario y el historial de cambios, se generan en el repositorio diferentes archivos con las diferencias entre la revisión en curso y la inmediatamente anterior para facilitar la tarea de traducción.</w:t>
      </w:r>
    </w:p>
    <w:p w:rsidR="00033066" w:rsidRPr="005E1103" w:rsidRDefault="00033066" w:rsidP="00033066">
      <w:pPr>
        <w:rPr>
          <w:rFonts w:cstheme="minorHAnsi"/>
          <w:sz w:val="28"/>
          <w:szCs w:val="28"/>
          <w:lang w:eastAsia="es-ES"/>
        </w:rPr>
      </w:pPr>
      <w:r w:rsidRPr="005E1103">
        <w:rPr>
          <w:rFonts w:cstheme="minorHAnsi"/>
          <w:sz w:val="28"/>
          <w:szCs w:val="28"/>
          <w:lang w:eastAsia="es-ES"/>
        </w:rPr>
        <w:lastRenderedPageBreak/>
        <w:t>Finalmente, se puede traducir el fichero “Add-ons”, correspondiente a los complementos de NVDA.</w:t>
      </w:r>
    </w:p>
    <w:p w:rsidR="00033066" w:rsidRPr="005E1103" w:rsidRDefault="00033066" w:rsidP="00033066">
      <w:pPr>
        <w:rPr>
          <w:rFonts w:cstheme="minorHAnsi"/>
          <w:sz w:val="28"/>
          <w:szCs w:val="28"/>
          <w:lang w:eastAsia="es-ES"/>
        </w:rPr>
      </w:pPr>
      <w:r w:rsidRPr="005E1103">
        <w:rPr>
          <w:rFonts w:cstheme="minorHAnsi"/>
          <w:sz w:val="28"/>
          <w:szCs w:val="28"/>
          <w:lang w:eastAsia="es-ES"/>
        </w:rPr>
        <w:t>El trabajo inicial de puesta al día, supuso la traducción de alrededor de 24000 palabras entre las contenidas en los ficheros de localización de la aplicación (interfaz de usuario), la guía oficial de usuario y los dos diccionarios (el de caracteres y el de símbolos).</w:t>
      </w:r>
    </w:p>
    <w:p w:rsidR="00033066" w:rsidRPr="005E1103" w:rsidRDefault="00033066" w:rsidP="00033066">
      <w:pPr>
        <w:rPr>
          <w:rFonts w:cstheme="minorHAnsi"/>
          <w:sz w:val="28"/>
          <w:szCs w:val="28"/>
          <w:lang w:eastAsia="es-ES"/>
        </w:rPr>
      </w:pPr>
      <w:r w:rsidRPr="005E1103">
        <w:rPr>
          <w:rFonts w:cstheme="minorHAnsi"/>
          <w:sz w:val="28"/>
          <w:szCs w:val="28"/>
          <w:lang w:eastAsia="es-ES"/>
        </w:rPr>
        <w:t>Adicionalmente, y en respuesta a una petición de la empresa ACapela, responsable de la creación de voces comerciales de alta calidad, y que ya dispone de una voz en catalán que deseaba adaptar a NVDA, el grupo Adaptabit decidió colaborar también en la traducción de su interfaz, para facilitar que aquellos usuarios que deseen disponer de una voz de máxima calidad, eso sí con un coste asociado, también pudiesen utilizarla en su lengua. ACapela promueve el uso de NVDA y colabora con el proyecto, y su voz para este lector de pantallas ya ha sido traducida a múltiples idiomas.</w:t>
      </w:r>
    </w:p>
    <w:p w:rsidR="00033066" w:rsidRPr="005E1103" w:rsidRDefault="00033066" w:rsidP="00033066">
      <w:pPr>
        <w:pStyle w:val="Ttulo2"/>
        <w:rPr>
          <w:rFonts w:asciiTheme="minorHAnsi" w:eastAsia="Times New Roman" w:hAnsiTheme="minorHAnsi" w:cstheme="minorHAnsi"/>
          <w:sz w:val="28"/>
          <w:szCs w:val="28"/>
          <w:lang w:eastAsia="es-ES"/>
        </w:rPr>
      </w:pPr>
      <w:r w:rsidRPr="005E1103">
        <w:rPr>
          <w:rFonts w:asciiTheme="minorHAnsi" w:eastAsia="Times New Roman" w:hAnsiTheme="minorHAnsi" w:cstheme="minorHAnsi"/>
          <w:sz w:val="28"/>
          <w:szCs w:val="28"/>
          <w:lang w:eastAsia="es-ES"/>
        </w:rPr>
        <w:t>3.2. Fase 2: Difusión y acción formativa</w:t>
      </w:r>
    </w:p>
    <w:p w:rsidR="00033066" w:rsidRPr="005E1103" w:rsidRDefault="00033066" w:rsidP="00033066">
      <w:pPr>
        <w:rPr>
          <w:rFonts w:cstheme="minorHAnsi"/>
          <w:sz w:val="28"/>
          <w:szCs w:val="28"/>
          <w:lang w:eastAsia="es-ES"/>
        </w:rPr>
      </w:pPr>
      <w:r w:rsidRPr="005E1103">
        <w:rPr>
          <w:rFonts w:cstheme="minorHAnsi"/>
          <w:sz w:val="28"/>
          <w:szCs w:val="28"/>
          <w:lang w:eastAsia="es-ES"/>
        </w:rPr>
        <w:t xml:space="preserve">Paralelamente al proceso de traducción, se creó un manual sobre NVDA dirigido a </w:t>
      </w:r>
      <w:r w:rsidRPr="005E1103">
        <w:rPr>
          <w:rFonts w:cstheme="minorHAnsi"/>
          <w:i/>
          <w:sz w:val="28"/>
          <w:szCs w:val="28"/>
          <w:lang w:eastAsia="es-ES"/>
        </w:rPr>
        <w:t>webmasters</w:t>
      </w:r>
      <w:r w:rsidRPr="005E1103">
        <w:rPr>
          <w:rFonts w:cstheme="minorHAnsi"/>
          <w:sz w:val="28"/>
          <w:szCs w:val="28"/>
          <w:lang w:eastAsia="es-ES"/>
        </w:rPr>
        <w:t xml:space="preserve"> y consultores de accesibilidad, un perfil de usuario clave para la creación de recursos web y que utiliza lectores de pantalla reales para garantizar que sus contenidos son compatibles con estas tecnologías y ofrecen, por tanto, un nivel de accesibilidad adecuado. Se trata de un documento eminentemente práctico, que resume las principales características y funciones del lector de pantalla, y que se complementa con una serie de ejercicios prácticos pensados para poner en práctica las principales órdenes y comandos de la aplicación.</w:t>
      </w:r>
    </w:p>
    <w:p w:rsidR="00033066" w:rsidRPr="005E1103" w:rsidRDefault="00033066" w:rsidP="00033066">
      <w:pPr>
        <w:rPr>
          <w:rFonts w:cstheme="minorHAnsi"/>
          <w:sz w:val="28"/>
          <w:szCs w:val="28"/>
          <w:lang w:eastAsia="es-ES"/>
        </w:rPr>
      </w:pPr>
      <w:r w:rsidRPr="005E1103">
        <w:rPr>
          <w:rFonts w:cstheme="minorHAnsi"/>
          <w:sz w:val="28"/>
          <w:szCs w:val="28"/>
          <w:lang w:eastAsia="es-ES"/>
        </w:rPr>
        <w:t>También se preparó una recopilación de recursos disponibles en Internet sobre NVDA, como seminarios en línea o noticias de interés, entre otros.</w:t>
      </w:r>
    </w:p>
    <w:p w:rsidR="00033066" w:rsidRPr="005E1103" w:rsidRDefault="00033066" w:rsidP="00033066">
      <w:pPr>
        <w:rPr>
          <w:rFonts w:cstheme="minorHAnsi"/>
          <w:sz w:val="28"/>
          <w:szCs w:val="28"/>
          <w:lang w:eastAsia="es-ES"/>
        </w:rPr>
      </w:pPr>
      <w:r w:rsidRPr="005E1103">
        <w:rPr>
          <w:rFonts w:cstheme="minorHAnsi"/>
          <w:sz w:val="28"/>
          <w:szCs w:val="28"/>
          <w:lang w:eastAsia="es-ES"/>
        </w:rPr>
        <w:t xml:space="preserve">Finalmente, para facilitar una experiencia de usuario de NVDA de calidad, entre los recursos compartidos en el sitio web del Grupo Adaptabit se incluyó la versión gratuita de un paquete de voces de la empresa Vocalizer Express para NVDA, así como el controlador necesario para su integración en la aplicación. El proceso de instalación del controlador y el paquete de voces también se explica en el sitio web del Grupo Adaptabit. Como hemos comentado anteriormente, NVDA, por defecto, cuenta con un sintetizador propio y un paquete de voces totalmente funcional. No </w:t>
      </w:r>
      <w:r w:rsidRPr="005E1103">
        <w:rPr>
          <w:rFonts w:cstheme="minorHAnsi"/>
          <w:sz w:val="28"/>
          <w:szCs w:val="28"/>
          <w:lang w:eastAsia="es-ES"/>
        </w:rPr>
        <w:lastRenderedPageBreak/>
        <w:t>obstante, estas voces no presentan una calidad todavía comparable a las voces comerciales disponibles en el mercado.</w:t>
      </w:r>
    </w:p>
    <w:p w:rsidR="00033066" w:rsidRPr="005E1103" w:rsidRDefault="00033066" w:rsidP="00033066">
      <w:pPr>
        <w:rPr>
          <w:rFonts w:cstheme="minorHAnsi"/>
          <w:sz w:val="28"/>
          <w:szCs w:val="28"/>
          <w:lang w:eastAsia="es-ES"/>
        </w:rPr>
      </w:pPr>
      <w:r w:rsidRPr="005E1103">
        <w:rPr>
          <w:rFonts w:cstheme="minorHAnsi"/>
          <w:sz w:val="28"/>
          <w:szCs w:val="28"/>
          <w:lang w:eastAsia="es-ES"/>
        </w:rPr>
        <w:t>Las acciones de difusión se iniciaron en enero de 2015. Una vez finalizada la traducción de NVDA y la creación de los diferentes recursos comentados en el punto anterior, se publicaron diferentes noticias en el sitio web del Grupo, el Boletín de noticias de la Facultad de Biblioteconomía y Documentación, y en el blog del Grupo de Trabajo de Software libre del Colegio Oficial de Bibliotecarios-Documentalistas de Cataluña.</w:t>
      </w:r>
    </w:p>
    <w:p w:rsidR="00033066" w:rsidRPr="005E1103" w:rsidRDefault="00033066" w:rsidP="00033066">
      <w:pPr>
        <w:rPr>
          <w:rFonts w:cstheme="minorHAnsi"/>
          <w:sz w:val="28"/>
          <w:szCs w:val="28"/>
          <w:lang w:eastAsia="es-ES"/>
        </w:rPr>
      </w:pPr>
      <w:r w:rsidRPr="005E1103">
        <w:rPr>
          <w:rFonts w:cstheme="minorHAnsi"/>
          <w:sz w:val="28"/>
          <w:szCs w:val="28"/>
          <w:lang w:eastAsia="es-ES"/>
        </w:rPr>
        <w:t>A raíz de estas noticias y hasta el día de hoy, Adaptabit ha recibido diferentes consultas de usuarios interesados tanto en el uso de la aplicación, como en participar de alguna manera en el proceso de traducción. En este sentido, se elaboraron unas FAQ para ambos casos y se habilitó un formulario de contacto específico.</w:t>
      </w:r>
    </w:p>
    <w:p w:rsidR="00033066" w:rsidRPr="005E1103" w:rsidRDefault="00033066" w:rsidP="00033066">
      <w:pPr>
        <w:rPr>
          <w:rFonts w:cstheme="minorHAnsi"/>
          <w:sz w:val="28"/>
          <w:szCs w:val="28"/>
          <w:lang w:eastAsia="es-ES"/>
        </w:rPr>
      </w:pPr>
      <w:r w:rsidRPr="005E1103">
        <w:rPr>
          <w:rFonts w:cstheme="minorHAnsi"/>
          <w:sz w:val="28"/>
          <w:szCs w:val="28"/>
          <w:lang w:eastAsia="es-ES"/>
        </w:rPr>
        <w:t>En cuanto a las acciones formativas, Adaptabit contactó con la ONCE, con la Asociación Discapacidad Visual Cataluña B1+B2+B3 y la Universidad de Barcelona para ofrecerles sendas sesiones de formación sobre NVDA.</w:t>
      </w:r>
    </w:p>
    <w:p w:rsidR="00033066" w:rsidRPr="005E1103" w:rsidRDefault="00033066" w:rsidP="00033066">
      <w:pPr>
        <w:rPr>
          <w:rFonts w:cstheme="minorHAnsi"/>
          <w:sz w:val="28"/>
          <w:szCs w:val="28"/>
          <w:lang w:eastAsia="es-ES"/>
        </w:rPr>
      </w:pPr>
      <w:r w:rsidRPr="005E1103">
        <w:rPr>
          <w:rFonts w:cstheme="minorHAnsi"/>
          <w:sz w:val="28"/>
          <w:szCs w:val="28"/>
          <w:lang w:eastAsia="es-ES"/>
        </w:rPr>
        <w:t>La sesión de formación realizada para la ONCE, en el marco de las actividades llevadas a cabo con motivo del Día Internacional de Internet, consistió en una presentación de la aplicación, en la que se describieron sus principales características y funcionalidades, y en un taller donde se mostró a los asistentes cómo descargar la aplicación, proceder a su instalación, crear versiones portables, instalar complementos adicionales y, sobre todo, el uso de las principales órdenes de teclado en la navegación web y el uso de paquetes ofimáticos.</w:t>
      </w:r>
    </w:p>
    <w:p w:rsidR="00033066" w:rsidRPr="005E1103" w:rsidRDefault="00033066" w:rsidP="00033066">
      <w:pPr>
        <w:rPr>
          <w:rFonts w:cstheme="minorHAnsi"/>
          <w:sz w:val="28"/>
          <w:szCs w:val="28"/>
          <w:lang w:eastAsia="es-ES"/>
        </w:rPr>
      </w:pPr>
      <w:r w:rsidRPr="005E1103">
        <w:rPr>
          <w:rFonts w:cstheme="minorHAnsi"/>
          <w:sz w:val="28"/>
          <w:szCs w:val="28"/>
          <w:lang w:eastAsia="es-ES"/>
        </w:rPr>
        <w:t>Gracias a la sesión de formación, los asociados de la ONCE Cataluña conocieron las posibilidades de este lector de pantallas y su disponibilidad en catalán.</w:t>
      </w:r>
    </w:p>
    <w:p w:rsidR="00033066" w:rsidRPr="005E1103" w:rsidRDefault="00033066" w:rsidP="00033066">
      <w:pPr>
        <w:rPr>
          <w:rFonts w:cstheme="minorHAnsi"/>
          <w:sz w:val="28"/>
          <w:szCs w:val="28"/>
          <w:lang w:eastAsia="es-ES"/>
        </w:rPr>
      </w:pPr>
      <w:r w:rsidRPr="005E1103">
        <w:rPr>
          <w:rFonts w:cstheme="minorHAnsi"/>
          <w:sz w:val="28"/>
          <w:szCs w:val="28"/>
          <w:lang w:eastAsia="es-ES"/>
        </w:rPr>
        <w:t>En la misma línea, se realizó una sesión en la sede de la asociación B1+B2+B3 de Barcelona, que acoge personas con discapacidad visual que no cumplen los requisitos para afiliarse a la ONCE.</w:t>
      </w:r>
    </w:p>
    <w:p w:rsidR="00033066" w:rsidRPr="005E1103" w:rsidRDefault="00033066" w:rsidP="00033066">
      <w:pPr>
        <w:rPr>
          <w:rFonts w:cstheme="minorHAnsi"/>
          <w:sz w:val="28"/>
          <w:szCs w:val="28"/>
          <w:lang w:eastAsia="es-ES"/>
        </w:rPr>
      </w:pPr>
      <w:r w:rsidRPr="005E1103">
        <w:rPr>
          <w:rFonts w:cstheme="minorHAnsi"/>
          <w:sz w:val="28"/>
          <w:szCs w:val="28"/>
          <w:lang w:eastAsia="es-ES"/>
        </w:rPr>
        <w:t xml:space="preserve">También se realizó una sesión de formación en la Universidad de Barcelona, concretamente al Servicio de Atención al Estudiante, encargado de asesorar al alumnado con necesidades especiales, y al </w:t>
      </w:r>
      <w:r w:rsidRPr="005E1103">
        <w:rPr>
          <w:rFonts w:cstheme="minorHAnsi"/>
          <w:sz w:val="28"/>
          <w:szCs w:val="28"/>
          <w:lang w:eastAsia="es-ES"/>
        </w:rPr>
        <w:lastRenderedPageBreak/>
        <w:t>profesorado que le atiende. Así como una difusión del programa en el marco de la Jornada Unidiscat de 2015.</w:t>
      </w:r>
    </w:p>
    <w:p w:rsidR="00033066" w:rsidRPr="005E1103" w:rsidRDefault="00033066" w:rsidP="00033066">
      <w:pPr>
        <w:rPr>
          <w:rFonts w:cstheme="minorHAnsi"/>
          <w:sz w:val="28"/>
          <w:szCs w:val="28"/>
          <w:lang w:eastAsia="es-ES"/>
        </w:rPr>
      </w:pPr>
      <w:r w:rsidRPr="005E1103">
        <w:rPr>
          <w:rFonts w:cstheme="minorHAnsi"/>
          <w:sz w:val="28"/>
          <w:szCs w:val="28"/>
          <w:lang w:eastAsia="es-ES"/>
        </w:rPr>
        <w:t xml:space="preserve">Finalmente, NVDA se ha incorporado en acciones de docencia para el profesorado novel de la Universidad de Barcelona, dentro del marco del Máster de Docencia Universitaria para el Profesorado Novel, en el marco de asignaturas relacionadas con la accesibilidad digital dentro de los grados de Ingeniería Informática y del Máster en Gestión de Contenidos Digitales. </w:t>
      </w:r>
    </w:p>
    <w:p w:rsidR="00033066" w:rsidRPr="005E1103" w:rsidRDefault="00033066" w:rsidP="00033066">
      <w:pPr>
        <w:rPr>
          <w:rFonts w:cstheme="minorHAnsi"/>
          <w:sz w:val="28"/>
          <w:szCs w:val="28"/>
          <w:lang w:eastAsia="es-ES"/>
        </w:rPr>
      </w:pPr>
      <w:r w:rsidRPr="005E1103">
        <w:rPr>
          <w:rFonts w:cstheme="minorHAnsi"/>
          <w:sz w:val="28"/>
          <w:szCs w:val="28"/>
          <w:lang w:eastAsia="es-ES"/>
        </w:rPr>
        <w:t xml:space="preserve">En estos títulos se forma a profesionales de la enseñanza, a futuros creadores de software y a futuros consultores, que deben incluir la accesibilidad entre sus responsabilidades. Conseguir que los estudiantes sean conscientes de los problemas con los que se enfrentan a diario los usuarios con discapacidad es imprescindible para lograr comprender la importancia de ofrecer productos y servicios accesibles. Unos problemas que, de acuerdo a algunos estudios </w:t>
      </w:r>
      <w:r w:rsidRPr="005E1103">
        <w:rPr>
          <w:rFonts w:cstheme="minorHAnsi"/>
          <w:sz w:val="28"/>
          <w:szCs w:val="28"/>
          <w:lang w:eastAsia="es-ES"/>
        </w:rPr>
        <w:fldChar w:fldCharType="begin" w:fldLock="1"/>
      </w:r>
      <w:r w:rsidRPr="005E1103">
        <w:rPr>
          <w:rFonts w:cstheme="minorHAnsi"/>
          <w:sz w:val="28"/>
          <w:szCs w:val="28"/>
          <w:lang w:eastAsia="es-ES"/>
        </w:rPr>
        <w:instrText>ADDIN CSL_CITATION { "citationItems" : [ { "id" : "ITEM-1", "itemData" : { "author" : [ { "dropping-particle" : "", "family" : "Freire", "given" : "Andr\u00e9 Pimenta", "non-dropping-particle" : "", "parse-names" : false, "suffix" : "" } ], "container-title" : "12th annual SIGCSE conference on Innovation and technology in computer science education", "id" : "ITEM-1", "issued" : { "date-parts" : [ [ "2007" ] ] }, "page" : "82-86", "publisher" : "ACM", "publisher-place" : "Dundee", "title" : "Using screen readers to reinforce web accessibility education", "type" : "paper-conference" }, "uris" : [ "http://www.mendeley.com/documents/?uuid=49734866-94b8-45c2-a751-4b4f248a768d" ] } ], "mendeley" : { "formattedCitation" : "(Freire 2007)", "plainTextFormattedCitation" : "(Freire 2007)", "previouslyFormattedCitation" : "(Freire 2007)" }, "properties" : { "noteIndex" : 0 }, "schema" : "https://github.com/citation-style-language/schema/raw/master/csl-citation.json" }</w:instrText>
      </w:r>
      <w:r w:rsidRPr="005E1103">
        <w:rPr>
          <w:rFonts w:cstheme="minorHAnsi"/>
          <w:sz w:val="28"/>
          <w:szCs w:val="28"/>
          <w:lang w:eastAsia="es-ES"/>
        </w:rPr>
        <w:fldChar w:fldCharType="separate"/>
      </w:r>
      <w:r w:rsidRPr="005E1103">
        <w:rPr>
          <w:rFonts w:cstheme="minorHAnsi"/>
          <w:noProof/>
          <w:sz w:val="28"/>
          <w:szCs w:val="28"/>
          <w:lang w:eastAsia="es-ES"/>
        </w:rPr>
        <w:t>(Freire, 2007)</w:t>
      </w:r>
      <w:r w:rsidRPr="005E1103">
        <w:rPr>
          <w:rFonts w:cstheme="minorHAnsi"/>
          <w:sz w:val="28"/>
          <w:szCs w:val="28"/>
          <w:lang w:eastAsia="es-ES"/>
        </w:rPr>
        <w:fldChar w:fldCharType="end"/>
      </w:r>
      <w:r w:rsidRPr="005E1103">
        <w:rPr>
          <w:rFonts w:cstheme="minorHAnsi"/>
          <w:sz w:val="28"/>
          <w:szCs w:val="28"/>
          <w:lang w:eastAsia="es-ES"/>
        </w:rPr>
        <w:t>, resulta mucho más fácil percibir al utilizar este tipo de ayudas técnicas y empatizar con los usuarios finales.</w:t>
      </w:r>
    </w:p>
    <w:p w:rsidR="00033066" w:rsidRPr="005E1103" w:rsidRDefault="00033066" w:rsidP="00033066">
      <w:pPr>
        <w:pStyle w:val="Ttulo2"/>
        <w:rPr>
          <w:rFonts w:asciiTheme="minorHAnsi" w:eastAsia="Times New Roman" w:hAnsiTheme="minorHAnsi" w:cstheme="minorHAnsi"/>
          <w:sz w:val="28"/>
          <w:szCs w:val="28"/>
          <w:lang w:eastAsia="es-ES"/>
        </w:rPr>
      </w:pPr>
      <w:r w:rsidRPr="005E1103">
        <w:rPr>
          <w:rFonts w:asciiTheme="minorHAnsi" w:eastAsia="Times New Roman" w:hAnsiTheme="minorHAnsi" w:cstheme="minorHAnsi"/>
          <w:sz w:val="28"/>
          <w:szCs w:val="28"/>
          <w:lang w:eastAsia="es-ES"/>
        </w:rPr>
        <w:t>4.3. Fase 3: Mantenimiento</w:t>
      </w:r>
    </w:p>
    <w:p w:rsidR="00033066" w:rsidRPr="005E1103" w:rsidRDefault="00033066" w:rsidP="00033066">
      <w:pPr>
        <w:rPr>
          <w:rFonts w:cstheme="minorHAnsi"/>
          <w:sz w:val="28"/>
          <w:szCs w:val="28"/>
          <w:lang w:eastAsia="es-ES"/>
        </w:rPr>
      </w:pPr>
      <w:r w:rsidRPr="005E1103">
        <w:rPr>
          <w:rFonts w:cstheme="minorHAnsi"/>
          <w:sz w:val="28"/>
          <w:szCs w:val="28"/>
          <w:lang w:eastAsia="es-ES"/>
        </w:rPr>
        <w:t>Desde la finalización de la primera traducción, correspondiente a la versión 2014.3, han aparecido ocho nuevas versiones, todas ellas disponibles en catalán en el momento de su lanzamiento, de acuerdo con el calendario definido por el equipo de trabajo de desarrolladores de NVDA. Actualmente, el Grupo Adaptabit continúa con el mantenimiento de la traducción.</w:t>
      </w:r>
    </w:p>
    <w:p w:rsidR="00033066" w:rsidRPr="005E1103" w:rsidRDefault="00033066" w:rsidP="00033066">
      <w:pPr>
        <w:pStyle w:val="Ttulo1"/>
        <w:rPr>
          <w:rFonts w:asciiTheme="minorHAnsi" w:eastAsia="Times New Roman" w:hAnsiTheme="minorHAnsi" w:cstheme="minorHAnsi"/>
          <w:lang w:eastAsia="es-ES"/>
        </w:rPr>
      </w:pPr>
      <w:r w:rsidRPr="005E1103">
        <w:rPr>
          <w:rFonts w:asciiTheme="minorHAnsi" w:eastAsia="Times New Roman" w:hAnsiTheme="minorHAnsi" w:cstheme="minorHAnsi"/>
          <w:lang w:eastAsia="es-ES"/>
        </w:rPr>
        <w:t>5. Conclusiones</w:t>
      </w:r>
    </w:p>
    <w:p w:rsidR="00033066" w:rsidRPr="005E1103" w:rsidRDefault="00033066" w:rsidP="00033066">
      <w:pPr>
        <w:rPr>
          <w:rFonts w:cstheme="minorHAnsi"/>
          <w:sz w:val="28"/>
          <w:szCs w:val="28"/>
          <w:lang w:eastAsia="es-ES"/>
        </w:rPr>
      </w:pPr>
      <w:r w:rsidRPr="005E1103">
        <w:rPr>
          <w:rFonts w:cstheme="minorHAnsi"/>
          <w:sz w:val="28"/>
          <w:szCs w:val="28"/>
          <w:lang w:eastAsia="es-ES"/>
        </w:rPr>
        <w:t>Con la traducción del lector de pantallas NVDA al catalán, se ha conseguido dotar a esta lengua de una herramienta actual, gratuita y de libre acceso que ayudará, sin duda, a romper las barreras para el acceso a la tecnología de las personas con discapacidad visual.</w:t>
      </w:r>
    </w:p>
    <w:p w:rsidR="00033066" w:rsidRPr="005E1103" w:rsidRDefault="00033066" w:rsidP="00033066">
      <w:pPr>
        <w:pStyle w:val="Ttulo1"/>
        <w:rPr>
          <w:rFonts w:asciiTheme="minorHAnsi" w:eastAsia="Times New Roman" w:hAnsiTheme="minorHAnsi" w:cstheme="minorHAnsi"/>
          <w:lang w:eastAsia="es-ES"/>
        </w:rPr>
      </w:pPr>
      <w:r w:rsidRPr="005E1103">
        <w:rPr>
          <w:rFonts w:asciiTheme="minorHAnsi" w:eastAsia="Times New Roman" w:hAnsiTheme="minorHAnsi" w:cstheme="minorHAnsi"/>
          <w:lang w:eastAsia="es-ES"/>
        </w:rPr>
        <w:t>6. Agradecimientos</w:t>
      </w:r>
    </w:p>
    <w:p w:rsidR="00033066" w:rsidRPr="005E1103" w:rsidRDefault="00033066" w:rsidP="00033066">
      <w:pPr>
        <w:rPr>
          <w:rFonts w:cstheme="minorHAnsi"/>
          <w:sz w:val="28"/>
          <w:szCs w:val="28"/>
          <w:lang w:eastAsia="es-ES"/>
        </w:rPr>
      </w:pPr>
      <w:r w:rsidRPr="005E1103">
        <w:rPr>
          <w:rFonts w:cstheme="minorHAnsi"/>
          <w:sz w:val="28"/>
          <w:szCs w:val="28"/>
          <w:lang w:eastAsia="es-ES"/>
        </w:rPr>
        <w:t xml:space="preserve">La versión catalana de NVDA ha sido creada por el Grupo de trabajo Adaptabit con el apoyo financiero de la Diputación de Barcelona. </w:t>
      </w:r>
    </w:p>
    <w:p w:rsidR="00033066" w:rsidRPr="005E1103" w:rsidRDefault="00033066" w:rsidP="00033066">
      <w:pPr>
        <w:rPr>
          <w:rFonts w:cstheme="minorHAnsi"/>
          <w:sz w:val="28"/>
          <w:szCs w:val="28"/>
          <w:lang w:eastAsia="es-ES"/>
        </w:rPr>
      </w:pPr>
      <w:r w:rsidRPr="005E1103">
        <w:rPr>
          <w:rFonts w:cstheme="minorHAnsi"/>
          <w:color w:val="000000"/>
          <w:sz w:val="28"/>
          <w:szCs w:val="28"/>
          <w:shd w:val="clear" w:color="auto" w:fill="FFFFFF"/>
        </w:rPr>
        <w:lastRenderedPageBreak/>
        <w:t xml:space="preserve">La participación en esta conferencia cuenta con el apoyo financiero del grupo de investigación </w:t>
      </w:r>
      <w:r w:rsidRPr="005E1103">
        <w:rPr>
          <w:rFonts w:cstheme="minorHAnsi"/>
          <w:sz w:val="28"/>
          <w:szCs w:val="28"/>
          <w:shd w:val="clear" w:color="auto" w:fill="FFFFFF"/>
        </w:rPr>
        <w:t>SGR “Cultura i continguts digitals” 2014 SGR 760</w:t>
      </w:r>
      <w:r w:rsidRPr="005E1103">
        <w:rPr>
          <w:rFonts w:cstheme="minorHAnsi"/>
          <w:sz w:val="28"/>
          <w:szCs w:val="28"/>
          <w:shd w:val="clear" w:color="auto" w:fill="FBFBF3"/>
        </w:rPr>
        <w:t>.</w:t>
      </w:r>
      <w:r w:rsidRPr="005E1103">
        <w:rPr>
          <w:rFonts w:ascii="MS Gothic" w:eastAsia="MS Gothic" w:hAnsi="MS Gothic" w:cs="MS Gothic" w:hint="eastAsia"/>
          <w:sz w:val="28"/>
          <w:szCs w:val="28"/>
          <w:shd w:val="clear" w:color="auto" w:fill="FBFBF3"/>
        </w:rPr>
        <w:t> </w:t>
      </w:r>
    </w:p>
    <w:p w:rsidR="00033066" w:rsidRPr="005E1103" w:rsidRDefault="00033066" w:rsidP="00033066">
      <w:pPr>
        <w:pStyle w:val="Ttulo1"/>
        <w:rPr>
          <w:rFonts w:asciiTheme="minorHAnsi" w:eastAsia="Times New Roman" w:hAnsiTheme="minorHAnsi" w:cstheme="minorHAnsi"/>
          <w:lang w:eastAsia="es-ES"/>
        </w:rPr>
      </w:pPr>
      <w:r w:rsidRPr="005E1103">
        <w:rPr>
          <w:rFonts w:asciiTheme="minorHAnsi" w:eastAsia="Times New Roman" w:hAnsiTheme="minorHAnsi" w:cstheme="minorHAnsi"/>
          <w:lang w:eastAsia="es-ES"/>
        </w:rPr>
        <w:t>7. Bibliografía</w:t>
      </w:r>
    </w:p>
    <w:p w:rsidR="00033066" w:rsidRPr="005E1103" w:rsidRDefault="00033066" w:rsidP="00033066">
      <w:pPr>
        <w:widowControl w:val="0"/>
        <w:autoSpaceDE w:val="0"/>
        <w:autoSpaceDN w:val="0"/>
        <w:adjustRightInd w:val="0"/>
        <w:ind w:left="480" w:hanging="480"/>
        <w:rPr>
          <w:rFonts w:cstheme="minorHAnsi"/>
          <w:noProof/>
          <w:sz w:val="28"/>
          <w:szCs w:val="28"/>
          <w:lang w:val="fr-FR"/>
        </w:rPr>
      </w:pPr>
      <w:r w:rsidRPr="005E1103">
        <w:rPr>
          <w:rFonts w:cstheme="minorHAnsi"/>
          <w:sz w:val="28"/>
          <w:szCs w:val="28"/>
          <w:lang w:eastAsia="es-ES"/>
        </w:rPr>
        <w:fldChar w:fldCharType="begin" w:fldLock="1"/>
      </w:r>
      <w:r w:rsidRPr="005E1103">
        <w:rPr>
          <w:rFonts w:cstheme="minorHAnsi"/>
          <w:sz w:val="28"/>
          <w:szCs w:val="28"/>
          <w:lang w:eastAsia="es-ES"/>
        </w:rPr>
        <w:instrText xml:space="preserve">ADDIN Mendeley Bibliography CSL_BIBLIOGRAPHY </w:instrText>
      </w:r>
      <w:r w:rsidRPr="005E1103">
        <w:rPr>
          <w:rFonts w:cstheme="minorHAnsi"/>
          <w:sz w:val="28"/>
          <w:szCs w:val="28"/>
          <w:lang w:eastAsia="es-ES"/>
        </w:rPr>
        <w:fldChar w:fldCharType="separate"/>
      </w:r>
      <w:r w:rsidRPr="005E1103">
        <w:rPr>
          <w:rFonts w:cstheme="minorHAnsi"/>
          <w:noProof/>
          <w:sz w:val="28"/>
          <w:szCs w:val="28"/>
        </w:rPr>
        <w:t xml:space="preserve">Free Software Foundation. </w:t>
      </w:r>
      <w:r w:rsidRPr="005E1103">
        <w:rPr>
          <w:rFonts w:cstheme="minorHAnsi"/>
          <w:i/>
          <w:noProof/>
          <w:sz w:val="28"/>
          <w:szCs w:val="28"/>
        </w:rPr>
        <w:t>¿Qué es el software libre?</w:t>
      </w:r>
      <w:r w:rsidRPr="005E1103">
        <w:rPr>
          <w:rFonts w:cstheme="minorHAnsi"/>
          <w:noProof/>
          <w:sz w:val="28"/>
          <w:szCs w:val="28"/>
        </w:rPr>
        <w:t xml:space="preserve"> </w:t>
      </w:r>
      <w:r w:rsidRPr="005E1103">
        <w:rPr>
          <w:rFonts w:cstheme="minorHAnsi"/>
          <w:noProof/>
          <w:sz w:val="28"/>
          <w:szCs w:val="28"/>
          <w:lang w:val="fr-FR"/>
        </w:rPr>
        <w:t>Disponible en: https://www.gnu.org/philosophy/free-sw.es.html [Consulta: 20/09/2016].</w:t>
      </w:r>
    </w:p>
    <w:p w:rsidR="00033066" w:rsidRPr="005E1103" w:rsidRDefault="00033066" w:rsidP="00033066">
      <w:pPr>
        <w:widowControl w:val="0"/>
        <w:autoSpaceDE w:val="0"/>
        <w:autoSpaceDN w:val="0"/>
        <w:adjustRightInd w:val="0"/>
        <w:ind w:left="480" w:hanging="480"/>
        <w:rPr>
          <w:rFonts w:cstheme="minorHAnsi"/>
          <w:noProof/>
          <w:sz w:val="28"/>
          <w:szCs w:val="28"/>
          <w:lang w:val="en-US"/>
        </w:rPr>
      </w:pPr>
      <w:r w:rsidRPr="005E1103">
        <w:rPr>
          <w:rFonts w:cstheme="minorHAnsi"/>
          <w:noProof/>
          <w:sz w:val="28"/>
          <w:szCs w:val="28"/>
          <w:lang w:val="en-US"/>
        </w:rPr>
        <w:t xml:space="preserve">Freire, A.P., 2007. Using screen readers to reinforce web accessibility education. En </w:t>
      </w:r>
      <w:r w:rsidRPr="005E1103">
        <w:rPr>
          <w:rFonts w:cstheme="minorHAnsi"/>
          <w:i/>
          <w:iCs/>
          <w:noProof/>
          <w:sz w:val="28"/>
          <w:szCs w:val="28"/>
          <w:lang w:val="en-US"/>
        </w:rPr>
        <w:t>12th annual SIGCSE conference on Innovation and technology in computer science education</w:t>
      </w:r>
      <w:r w:rsidRPr="005E1103">
        <w:rPr>
          <w:rFonts w:cstheme="minorHAnsi"/>
          <w:noProof/>
          <w:sz w:val="28"/>
          <w:szCs w:val="28"/>
          <w:lang w:val="en-US"/>
        </w:rPr>
        <w:t>. Dundee: ACM, p. 82–86.</w:t>
      </w:r>
    </w:p>
    <w:p w:rsidR="00033066" w:rsidRPr="005E1103" w:rsidRDefault="00033066" w:rsidP="00033066">
      <w:pPr>
        <w:widowControl w:val="0"/>
        <w:autoSpaceDE w:val="0"/>
        <w:autoSpaceDN w:val="0"/>
        <w:adjustRightInd w:val="0"/>
        <w:ind w:left="480" w:hanging="480"/>
        <w:rPr>
          <w:rFonts w:cstheme="minorHAnsi"/>
          <w:noProof/>
          <w:sz w:val="28"/>
          <w:szCs w:val="28"/>
          <w:lang w:val="en-US"/>
        </w:rPr>
      </w:pPr>
      <w:r w:rsidRPr="005E1103">
        <w:rPr>
          <w:rFonts w:cstheme="minorHAnsi"/>
          <w:noProof/>
          <w:sz w:val="28"/>
          <w:szCs w:val="28"/>
          <w:lang w:val="en-US"/>
        </w:rPr>
        <w:t xml:space="preserve">Teh, James; Curran, M., 2014. NVDA: free screen reader for Windows. En </w:t>
      </w:r>
      <w:r w:rsidRPr="005E1103">
        <w:rPr>
          <w:rFonts w:cstheme="minorHAnsi"/>
          <w:i/>
          <w:iCs/>
          <w:noProof/>
          <w:sz w:val="28"/>
          <w:szCs w:val="28"/>
          <w:lang w:val="en-US"/>
        </w:rPr>
        <w:t>Vision Impairment Conference</w:t>
      </w:r>
      <w:r w:rsidRPr="005E1103">
        <w:rPr>
          <w:rFonts w:cstheme="minorHAnsi"/>
          <w:noProof/>
          <w:sz w:val="28"/>
          <w:szCs w:val="28"/>
          <w:lang w:val="en-US"/>
        </w:rPr>
        <w:t xml:space="preserve">. Brisbane. Disponible en: https://narbethongspecs.eq.edu.au/Supportandresources/Formsanddocuments/Documents/VI Conference/NVDA-presentation.pdf. </w:t>
      </w:r>
      <w:r w:rsidRPr="005E1103">
        <w:rPr>
          <w:rFonts w:cstheme="minorHAnsi"/>
          <w:noProof/>
          <w:sz w:val="28"/>
          <w:szCs w:val="28"/>
          <w:lang w:val="fr-FR"/>
        </w:rPr>
        <w:t>[Consulta: 20/09/2016].</w:t>
      </w:r>
    </w:p>
    <w:p w:rsidR="00033066" w:rsidRPr="00BF6455" w:rsidRDefault="00033066" w:rsidP="00033066">
      <w:pPr>
        <w:spacing w:line="355" w:lineRule="auto"/>
        <w:ind w:firstLine="708"/>
        <w:jc w:val="both"/>
        <w:rPr>
          <w:rFonts w:cstheme="minorHAnsi"/>
          <w:sz w:val="28"/>
          <w:szCs w:val="28"/>
          <w:lang w:val="en-US" w:eastAsia="es-ES"/>
        </w:rPr>
      </w:pPr>
      <w:r w:rsidRPr="005E1103">
        <w:rPr>
          <w:rFonts w:cstheme="minorHAnsi"/>
          <w:sz w:val="28"/>
          <w:szCs w:val="28"/>
          <w:lang w:eastAsia="es-ES"/>
        </w:rPr>
        <w:fldChar w:fldCharType="end"/>
      </w:r>
    </w:p>
    <w:p w:rsidR="00033066" w:rsidRPr="00BF6455" w:rsidRDefault="00033066">
      <w:pPr>
        <w:rPr>
          <w:rFonts w:cstheme="minorHAnsi"/>
          <w:sz w:val="28"/>
          <w:szCs w:val="28"/>
          <w:lang w:val="en-US" w:eastAsia="es-ES"/>
        </w:rPr>
      </w:pPr>
      <w:r w:rsidRPr="00BF6455">
        <w:rPr>
          <w:rFonts w:cstheme="minorHAnsi"/>
          <w:sz w:val="28"/>
          <w:szCs w:val="28"/>
          <w:lang w:val="en-US" w:eastAsia="es-ES"/>
        </w:rPr>
        <w:br w:type="page"/>
      </w:r>
    </w:p>
    <w:p w:rsidR="00033066" w:rsidRPr="005E1103" w:rsidRDefault="00033066" w:rsidP="00033066">
      <w:pPr>
        <w:spacing w:line="360" w:lineRule="auto"/>
        <w:jc w:val="center"/>
        <w:rPr>
          <w:rFonts w:cstheme="minorHAnsi"/>
          <w:b/>
          <w:sz w:val="28"/>
          <w:szCs w:val="28"/>
        </w:rPr>
      </w:pPr>
      <w:r w:rsidRPr="005E1103">
        <w:rPr>
          <w:rFonts w:cstheme="minorHAnsi"/>
          <w:b/>
          <w:sz w:val="28"/>
          <w:szCs w:val="28"/>
        </w:rPr>
        <w:lastRenderedPageBreak/>
        <w:t>COMUNICACIÓN 12</w:t>
      </w:r>
    </w:p>
    <w:p w:rsidR="00033066" w:rsidRPr="005E1103" w:rsidRDefault="00033066" w:rsidP="00033066">
      <w:pPr>
        <w:pBdr>
          <w:top w:val="single" w:sz="4" w:space="1" w:color="auto"/>
          <w:left w:val="single" w:sz="4" w:space="4" w:color="auto"/>
          <w:bottom w:val="single" w:sz="4" w:space="1" w:color="auto"/>
          <w:right w:val="single" w:sz="4" w:space="4" w:color="auto"/>
        </w:pBdr>
        <w:spacing w:line="360" w:lineRule="auto"/>
        <w:jc w:val="center"/>
        <w:rPr>
          <w:rFonts w:cstheme="minorHAnsi"/>
          <w:caps/>
          <w:sz w:val="28"/>
          <w:szCs w:val="28"/>
        </w:rPr>
      </w:pPr>
      <w:r w:rsidRPr="005E1103">
        <w:rPr>
          <w:rFonts w:cstheme="minorHAnsi"/>
          <w:sz w:val="28"/>
          <w:szCs w:val="28"/>
        </w:rPr>
        <w:t xml:space="preserve">MUSACCES: </w:t>
      </w:r>
      <w:r w:rsidRPr="005E1103">
        <w:rPr>
          <w:rFonts w:cstheme="minorHAnsi"/>
          <w:caps/>
          <w:sz w:val="28"/>
          <w:szCs w:val="28"/>
        </w:rPr>
        <w:t>Un proyecto inclusivo de arte y formación en el Museo del Prado</w:t>
      </w:r>
    </w:p>
    <w:p w:rsidR="00033066" w:rsidRPr="005E1103" w:rsidRDefault="00033066" w:rsidP="00033066">
      <w:pPr>
        <w:pStyle w:val="Textoindependiente"/>
        <w:spacing w:line="360" w:lineRule="auto"/>
        <w:ind w:left="102" w:right="99" w:firstLine="707"/>
        <w:jc w:val="both"/>
        <w:rPr>
          <w:rFonts w:asciiTheme="minorHAnsi" w:hAnsiTheme="minorHAnsi" w:cstheme="minorHAnsi"/>
          <w:sz w:val="28"/>
          <w:szCs w:val="28"/>
        </w:rPr>
      </w:pPr>
    </w:p>
    <w:p w:rsidR="00033066" w:rsidRPr="005E1103" w:rsidRDefault="00033066" w:rsidP="00033066">
      <w:pPr>
        <w:pStyle w:val="author"/>
        <w:spacing w:line="360" w:lineRule="auto"/>
        <w:jc w:val="right"/>
        <w:rPr>
          <w:rFonts w:asciiTheme="minorHAnsi" w:hAnsiTheme="minorHAnsi" w:cstheme="minorHAnsi"/>
          <w:sz w:val="28"/>
          <w:szCs w:val="28"/>
          <w:lang w:val="es-ES"/>
        </w:rPr>
      </w:pPr>
      <w:r w:rsidRPr="005E1103">
        <w:rPr>
          <w:rFonts w:asciiTheme="minorHAnsi" w:hAnsiTheme="minorHAnsi" w:cstheme="minorHAnsi"/>
          <w:sz w:val="28"/>
          <w:szCs w:val="28"/>
          <w:lang w:val="es-ES"/>
        </w:rPr>
        <w:t>Covadonga Rodrigo</w:t>
      </w:r>
    </w:p>
    <w:p w:rsidR="00033066" w:rsidRPr="005E1103" w:rsidRDefault="00033066" w:rsidP="00033066">
      <w:pPr>
        <w:pStyle w:val="address"/>
        <w:spacing w:line="360" w:lineRule="auto"/>
        <w:jc w:val="right"/>
        <w:rPr>
          <w:rFonts w:asciiTheme="minorHAnsi" w:hAnsiTheme="minorHAnsi" w:cstheme="minorHAnsi"/>
          <w:i/>
          <w:sz w:val="28"/>
          <w:szCs w:val="28"/>
          <w:lang w:val="es-ES"/>
        </w:rPr>
      </w:pPr>
      <w:r w:rsidRPr="005E1103">
        <w:rPr>
          <w:rFonts w:asciiTheme="minorHAnsi" w:hAnsiTheme="minorHAnsi" w:cstheme="minorHAnsi"/>
          <w:i/>
          <w:sz w:val="28"/>
          <w:szCs w:val="28"/>
          <w:lang w:val="es-ES"/>
        </w:rPr>
        <w:t>Directora Cátedra “Tecnología y Accesibilidad”</w:t>
      </w:r>
    </w:p>
    <w:p w:rsidR="00033066" w:rsidRPr="005E1103" w:rsidRDefault="00033066" w:rsidP="00033066">
      <w:pPr>
        <w:pStyle w:val="address"/>
        <w:spacing w:line="360" w:lineRule="auto"/>
        <w:jc w:val="right"/>
        <w:rPr>
          <w:rFonts w:asciiTheme="minorHAnsi" w:hAnsiTheme="minorHAnsi" w:cstheme="minorHAnsi"/>
          <w:i/>
          <w:sz w:val="28"/>
          <w:szCs w:val="28"/>
          <w:lang w:val="es-ES"/>
        </w:rPr>
      </w:pPr>
      <w:r w:rsidRPr="005E1103">
        <w:rPr>
          <w:rFonts w:asciiTheme="minorHAnsi" w:hAnsiTheme="minorHAnsi" w:cstheme="minorHAnsi"/>
          <w:i/>
          <w:sz w:val="28"/>
          <w:szCs w:val="28"/>
          <w:lang w:val="es-ES"/>
        </w:rPr>
        <w:t>UNED – Fundación Vodafone España</w:t>
      </w:r>
    </w:p>
    <w:p w:rsidR="00033066" w:rsidRPr="005E1103" w:rsidRDefault="00033066" w:rsidP="00033066">
      <w:pPr>
        <w:pStyle w:val="author"/>
        <w:spacing w:before="120" w:line="360" w:lineRule="auto"/>
        <w:jc w:val="right"/>
        <w:rPr>
          <w:rFonts w:asciiTheme="minorHAnsi" w:hAnsiTheme="minorHAnsi" w:cstheme="minorHAnsi"/>
          <w:sz w:val="28"/>
          <w:szCs w:val="28"/>
          <w:lang w:val="es-ES"/>
        </w:rPr>
      </w:pPr>
      <w:r w:rsidRPr="005E1103">
        <w:rPr>
          <w:rFonts w:asciiTheme="minorHAnsi" w:hAnsiTheme="minorHAnsi" w:cstheme="minorHAnsi"/>
          <w:sz w:val="28"/>
          <w:szCs w:val="28"/>
          <w:lang w:val="es-ES"/>
        </w:rPr>
        <w:t>Ana García-Serrano</w:t>
      </w:r>
    </w:p>
    <w:p w:rsidR="00033066" w:rsidRPr="005E1103" w:rsidRDefault="00033066" w:rsidP="00033066">
      <w:pPr>
        <w:pStyle w:val="address"/>
        <w:spacing w:line="360" w:lineRule="auto"/>
        <w:jc w:val="right"/>
        <w:rPr>
          <w:rFonts w:asciiTheme="minorHAnsi" w:hAnsiTheme="minorHAnsi" w:cstheme="minorHAnsi"/>
          <w:i/>
          <w:sz w:val="28"/>
          <w:szCs w:val="28"/>
          <w:lang w:val="es-ES"/>
        </w:rPr>
      </w:pPr>
      <w:r w:rsidRPr="005E1103">
        <w:rPr>
          <w:rFonts w:asciiTheme="minorHAnsi" w:hAnsiTheme="minorHAnsi" w:cstheme="minorHAnsi"/>
          <w:i/>
          <w:sz w:val="28"/>
          <w:szCs w:val="28"/>
          <w:lang w:val="es-ES"/>
        </w:rPr>
        <w:t>Dpto. Lenguajes y Sistemas Informáticos</w:t>
      </w:r>
    </w:p>
    <w:p w:rsidR="00033066" w:rsidRPr="005E1103" w:rsidRDefault="00033066" w:rsidP="00033066">
      <w:pPr>
        <w:pStyle w:val="address"/>
        <w:spacing w:line="360" w:lineRule="auto"/>
        <w:jc w:val="right"/>
        <w:rPr>
          <w:rFonts w:asciiTheme="minorHAnsi" w:hAnsiTheme="minorHAnsi" w:cstheme="minorHAnsi"/>
          <w:i/>
          <w:sz w:val="28"/>
          <w:szCs w:val="28"/>
          <w:lang w:val="es-ES"/>
        </w:rPr>
      </w:pPr>
      <w:r w:rsidRPr="005E1103">
        <w:rPr>
          <w:rFonts w:asciiTheme="minorHAnsi" w:hAnsiTheme="minorHAnsi" w:cstheme="minorHAnsi"/>
          <w:i/>
          <w:sz w:val="28"/>
          <w:szCs w:val="28"/>
          <w:lang w:val="es-ES"/>
        </w:rPr>
        <w:t xml:space="preserve">UNED </w:t>
      </w:r>
    </w:p>
    <w:p w:rsidR="00033066" w:rsidRPr="005E1103" w:rsidRDefault="00033066" w:rsidP="00033066">
      <w:pPr>
        <w:pStyle w:val="email"/>
        <w:rPr>
          <w:rFonts w:asciiTheme="minorHAnsi" w:hAnsiTheme="minorHAnsi" w:cstheme="minorHAnsi"/>
          <w:sz w:val="28"/>
          <w:szCs w:val="28"/>
          <w:lang w:val="es-ES"/>
        </w:rPr>
      </w:pPr>
    </w:p>
    <w:p w:rsidR="00033066" w:rsidRPr="005E1103" w:rsidRDefault="00033066" w:rsidP="00033066">
      <w:pPr>
        <w:pStyle w:val="author"/>
        <w:spacing w:before="120" w:line="360" w:lineRule="auto"/>
        <w:jc w:val="right"/>
        <w:rPr>
          <w:rFonts w:asciiTheme="minorHAnsi" w:hAnsiTheme="minorHAnsi" w:cstheme="minorHAnsi"/>
          <w:sz w:val="28"/>
          <w:szCs w:val="28"/>
          <w:lang w:val="es-ES"/>
        </w:rPr>
      </w:pPr>
      <w:r w:rsidRPr="005E1103">
        <w:rPr>
          <w:rFonts w:asciiTheme="minorHAnsi" w:hAnsiTheme="minorHAnsi" w:cstheme="minorHAnsi"/>
          <w:sz w:val="28"/>
          <w:szCs w:val="28"/>
          <w:lang w:val="es-ES"/>
        </w:rPr>
        <w:t>Miguel Ángel Marqueta</w:t>
      </w:r>
    </w:p>
    <w:p w:rsidR="00033066" w:rsidRPr="005E1103" w:rsidRDefault="00033066" w:rsidP="00033066">
      <w:pPr>
        <w:pStyle w:val="address"/>
        <w:spacing w:line="360" w:lineRule="auto"/>
        <w:jc w:val="right"/>
        <w:rPr>
          <w:rFonts w:asciiTheme="minorHAnsi" w:hAnsiTheme="minorHAnsi" w:cstheme="minorHAnsi"/>
          <w:i/>
          <w:sz w:val="28"/>
          <w:szCs w:val="28"/>
          <w:lang w:val="es-ES"/>
        </w:rPr>
      </w:pPr>
      <w:r w:rsidRPr="005E1103">
        <w:rPr>
          <w:rFonts w:asciiTheme="minorHAnsi" w:hAnsiTheme="minorHAnsi" w:cstheme="minorHAnsi"/>
          <w:i/>
          <w:sz w:val="28"/>
          <w:szCs w:val="28"/>
          <w:lang w:val="es-ES"/>
        </w:rPr>
        <w:t>Cátedra “Tecnología y Accesibilidad”</w:t>
      </w:r>
    </w:p>
    <w:p w:rsidR="00033066" w:rsidRPr="005E1103" w:rsidRDefault="00033066" w:rsidP="00033066">
      <w:pPr>
        <w:pStyle w:val="address"/>
        <w:spacing w:line="360" w:lineRule="auto"/>
        <w:jc w:val="right"/>
        <w:rPr>
          <w:rFonts w:asciiTheme="minorHAnsi" w:hAnsiTheme="minorHAnsi" w:cstheme="minorHAnsi"/>
          <w:i/>
          <w:sz w:val="28"/>
          <w:szCs w:val="28"/>
          <w:lang w:val="es-ES"/>
        </w:rPr>
      </w:pPr>
      <w:r w:rsidRPr="005E1103">
        <w:rPr>
          <w:rFonts w:asciiTheme="minorHAnsi" w:hAnsiTheme="minorHAnsi" w:cstheme="minorHAnsi"/>
          <w:i/>
          <w:sz w:val="28"/>
          <w:szCs w:val="28"/>
          <w:lang w:val="es-ES"/>
        </w:rPr>
        <w:t>UNED – Fundación Vodafone España</w:t>
      </w:r>
    </w:p>
    <w:p w:rsidR="00033066" w:rsidRPr="005E1103" w:rsidRDefault="00033066" w:rsidP="00033066">
      <w:pPr>
        <w:pStyle w:val="email"/>
        <w:rPr>
          <w:rFonts w:asciiTheme="minorHAnsi" w:hAnsiTheme="minorHAnsi" w:cstheme="minorHAnsi"/>
          <w:sz w:val="28"/>
          <w:szCs w:val="28"/>
          <w:lang w:val="es-ES"/>
        </w:rPr>
      </w:pPr>
    </w:p>
    <w:p w:rsidR="00033066" w:rsidRPr="005E1103" w:rsidRDefault="00033066" w:rsidP="00033066">
      <w:pPr>
        <w:pStyle w:val="author"/>
        <w:spacing w:before="120" w:line="360" w:lineRule="auto"/>
        <w:jc w:val="right"/>
        <w:rPr>
          <w:rFonts w:asciiTheme="minorHAnsi" w:hAnsiTheme="minorHAnsi" w:cstheme="minorHAnsi"/>
          <w:sz w:val="28"/>
          <w:szCs w:val="28"/>
          <w:lang w:val="es-ES"/>
        </w:rPr>
      </w:pPr>
      <w:r w:rsidRPr="005E1103">
        <w:rPr>
          <w:rFonts w:asciiTheme="minorHAnsi" w:hAnsiTheme="minorHAnsi" w:cstheme="minorHAnsi"/>
          <w:sz w:val="28"/>
          <w:szCs w:val="28"/>
          <w:lang w:val="es-ES"/>
        </w:rPr>
        <w:t>Ángeles Sánchez-Elvira Paniagua</w:t>
      </w:r>
    </w:p>
    <w:p w:rsidR="00033066" w:rsidRPr="005E1103" w:rsidRDefault="00033066" w:rsidP="00033066">
      <w:pPr>
        <w:jc w:val="right"/>
        <w:rPr>
          <w:rFonts w:cstheme="minorHAnsi"/>
          <w:i/>
          <w:sz w:val="28"/>
          <w:szCs w:val="28"/>
        </w:rPr>
      </w:pPr>
      <w:r w:rsidRPr="005E1103">
        <w:rPr>
          <w:rFonts w:eastAsia="Times New Roman" w:cstheme="minorHAnsi"/>
          <w:i/>
          <w:sz w:val="28"/>
          <w:szCs w:val="28"/>
          <w:lang w:eastAsia="es-ES"/>
        </w:rPr>
        <w:t xml:space="preserve">Departamento de Psicología de la Personalidad, Evaluación y Tratamiento Psicológicos. </w:t>
      </w:r>
      <w:r w:rsidRPr="005E1103">
        <w:rPr>
          <w:rFonts w:cstheme="minorHAnsi"/>
          <w:i/>
          <w:sz w:val="28"/>
          <w:szCs w:val="28"/>
        </w:rPr>
        <w:t xml:space="preserve">UNED </w:t>
      </w:r>
    </w:p>
    <w:p w:rsidR="00033066" w:rsidRPr="005E1103" w:rsidRDefault="00033066" w:rsidP="00033066">
      <w:pPr>
        <w:pStyle w:val="email"/>
        <w:rPr>
          <w:rFonts w:asciiTheme="minorHAnsi" w:hAnsiTheme="minorHAnsi" w:cstheme="minorHAnsi"/>
          <w:sz w:val="28"/>
          <w:szCs w:val="28"/>
          <w:lang w:val="es-ES"/>
        </w:rPr>
      </w:pPr>
    </w:p>
    <w:p w:rsidR="00033066" w:rsidRPr="005E1103" w:rsidRDefault="00033066" w:rsidP="00033066">
      <w:pPr>
        <w:pStyle w:val="author"/>
        <w:spacing w:before="120" w:line="360" w:lineRule="auto"/>
        <w:jc w:val="right"/>
        <w:rPr>
          <w:rFonts w:asciiTheme="minorHAnsi" w:hAnsiTheme="minorHAnsi" w:cstheme="minorHAnsi"/>
          <w:sz w:val="28"/>
          <w:szCs w:val="28"/>
          <w:lang w:val="es-ES"/>
        </w:rPr>
      </w:pPr>
      <w:r w:rsidRPr="005E1103">
        <w:rPr>
          <w:rFonts w:asciiTheme="minorHAnsi" w:hAnsiTheme="minorHAnsi" w:cstheme="minorHAnsi"/>
          <w:sz w:val="28"/>
          <w:szCs w:val="28"/>
          <w:lang w:val="es-ES"/>
        </w:rPr>
        <w:t>Miguel Santamaria Lancho</w:t>
      </w:r>
    </w:p>
    <w:p w:rsidR="00033066" w:rsidRPr="005E1103" w:rsidRDefault="00033066" w:rsidP="00033066">
      <w:pPr>
        <w:pStyle w:val="address"/>
        <w:spacing w:line="360" w:lineRule="auto"/>
        <w:jc w:val="right"/>
        <w:rPr>
          <w:rFonts w:asciiTheme="minorHAnsi" w:hAnsiTheme="minorHAnsi" w:cstheme="minorHAnsi"/>
          <w:i/>
          <w:sz w:val="28"/>
          <w:szCs w:val="28"/>
          <w:lang w:val="es-ES"/>
        </w:rPr>
      </w:pPr>
      <w:r w:rsidRPr="005E1103">
        <w:rPr>
          <w:rFonts w:asciiTheme="minorHAnsi" w:hAnsiTheme="minorHAnsi" w:cstheme="minorHAnsi"/>
          <w:i/>
          <w:sz w:val="28"/>
          <w:szCs w:val="28"/>
          <w:lang w:val="es-ES"/>
        </w:rPr>
        <w:t>Dpto. de Economía Aplicada e Historia Económica</w:t>
      </w:r>
    </w:p>
    <w:p w:rsidR="00033066" w:rsidRPr="005E1103" w:rsidRDefault="00033066" w:rsidP="00033066">
      <w:pPr>
        <w:pStyle w:val="address"/>
        <w:spacing w:line="360" w:lineRule="auto"/>
        <w:jc w:val="right"/>
        <w:rPr>
          <w:rFonts w:asciiTheme="minorHAnsi" w:hAnsiTheme="minorHAnsi" w:cstheme="minorHAnsi"/>
          <w:i/>
          <w:sz w:val="28"/>
          <w:szCs w:val="28"/>
          <w:lang w:val="es-ES"/>
        </w:rPr>
      </w:pPr>
      <w:r w:rsidRPr="005E1103">
        <w:rPr>
          <w:rFonts w:asciiTheme="minorHAnsi" w:hAnsiTheme="minorHAnsi" w:cstheme="minorHAnsi"/>
          <w:i/>
          <w:sz w:val="28"/>
          <w:szCs w:val="28"/>
          <w:lang w:val="es-ES"/>
        </w:rPr>
        <w:t xml:space="preserve">UNED </w:t>
      </w:r>
    </w:p>
    <w:p w:rsidR="00033066" w:rsidRPr="005E1103" w:rsidRDefault="00033066" w:rsidP="00033066">
      <w:pPr>
        <w:rPr>
          <w:rFonts w:cstheme="minorHAnsi"/>
          <w:sz w:val="28"/>
          <w:szCs w:val="28"/>
          <w:lang w:eastAsia="es-ES"/>
        </w:rPr>
      </w:pPr>
    </w:p>
    <w:p w:rsidR="00033066" w:rsidRPr="005E1103" w:rsidRDefault="00033066" w:rsidP="00033066">
      <w:pPr>
        <w:pStyle w:val="email"/>
        <w:spacing w:line="360" w:lineRule="auto"/>
        <w:rPr>
          <w:rFonts w:asciiTheme="minorHAnsi" w:hAnsiTheme="minorHAnsi" w:cstheme="minorHAnsi"/>
          <w:sz w:val="28"/>
          <w:szCs w:val="28"/>
          <w:lang w:val="es-ES"/>
        </w:rPr>
      </w:pPr>
    </w:p>
    <w:p w:rsidR="00033066" w:rsidRPr="005E1103" w:rsidRDefault="00033066" w:rsidP="00033066">
      <w:pPr>
        <w:pStyle w:val="Ttulo1"/>
        <w:jc w:val="both"/>
        <w:rPr>
          <w:rFonts w:asciiTheme="minorHAnsi" w:hAnsiTheme="minorHAnsi" w:cstheme="minorHAnsi"/>
        </w:rPr>
      </w:pPr>
      <w:r w:rsidRPr="005E1103">
        <w:rPr>
          <w:rFonts w:asciiTheme="minorHAnsi" w:hAnsiTheme="minorHAnsi" w:cstheme="minorHAnsi"/>
        </w:rPr>
        <w:lastRenderedPageBreak/>
        <w:t>1 Introducción</w:t>
      </w:r>
    </w:p>
    <w:p w:rsidR="00033066" w:rsidRPr="005E1103" w:rsidRDefault="00033066" w:rsidP="00033066">
      <w:pPr>
        <w:spacing w:line="360" w:lineRule="auto"/>
        <w:jc w:val="both"/>
        <w:rPr>
          <w:rFonts w:cstheme="minorHAnsi"/>
          <w:sz w:val="28"/>
          <w:szCs w:val="28"/>
        </w:rPr>
      </w:pPr>
      <w:r w:rsidRPr="005E1103">
        <w:rPr>
          <w:rFonts w:cstheme="minorHAnsi"/>
          <w:sz w:val="28"/>
          <w:szCs w:val="28"/>
        </w:rPr>
        <w:t xml:space="preserve">La problemática de las limitaciones de algunos colectivos en materia de accesibilidad al patrimonio artístico responde a un contexto global. Las políticas en materia de discapacidad llevadas a cabo por el Ministerio de Sanidad, Política Social e Igualdad del Gobierno de España son coherentes con el propósito de la Convención de Naciones Unidas sobre los derechos de las personas con discapacidad de 2006, ratificada por España en 2007, que es el de promover, proteger y asegurar el goce pleno y en condiciones de igualdad de todos los derechos humanos y libertades fundamentales por todas las personas con discapacidad, y promover el respeto de su dignidad. Consustancial al reconocimiento de estos derechos es la promoción de la accesibilidad en todos sus ámbitos, siendo el disfrute del Patrimonio Cultural y Artístico parte indiscutible de estos derechos. </w:t>
      </w:r>
    </w:p>
    <w:p w:rsidR="00033066" w:rsidRPr="005E1103" w:rsidRDefault="00033066" w:rsidP="00033066">
      <w:pPr>
        <w:spacing w:line="360" w:lineRule="auto"/>
        <w:jc w:val="both"/>
        <w:rPr>
          <w:rFonts w:cstheme="minorHAnsi"/>
          <w:color w:val="000000" w:themeColor="text1"/>
          <w:sz w:val="28"/>
          <w:szCs w:val="28"/>
        </w:rPr>
      </w:pPr>
      <w:r w:rsidRPr="005E1103">
        <w:rPr>
          <w:rFonts w:cstheme="minorHAnsi"/>
          <w:sz w:val="28"/>
          <w:szCs w:val="28"/>
        </w:rPr>
        <w:t xml:space="preserve">En España, la Ley de Igualdad de Oportunidades, no Discriminación y Accesibilidad Universal (LIONDAU), en vigor desde el año 2003, sustenta en los principios de normalización y vida independiente. Un estudio que aplica estos derechos al disfrute del patrimonio cultural es el estudio titulado “Accesibilidad Universal al Patrimonio Cultural. Fundamentos, Criterios y Pautas” (2011) publicado por el Real Patronato sobre Discapacidad. Es </w:t>
      </w:r>
      <w:r w:rsidRPr="005E1103">
        <w:rPr>
          <w:rFonts w:cstheme="minorHAnsi"/>
          <w:color w:val="000000" w:themeColor="text1"/>
          <w:sz w:val="28"/>
          <w:szCs w:val="28"/>
        </w:rPr>
        <w:t xml:space="preserve">éste un documento destinado a las </w:t>
      </w:r>
      <w:r w:rsidRPr="005E1103">
        <w:rPr>
          <w:rFonts w:cstheme="minorHAnsi"/>
          <w:sz w:val="28"/>
          <w:szCs w:val="28"/>
        </w:rPr>
        <w:t>instituciones que velan por el patrimonio, para ayudarles a considerar la cuestión de la accesibilidad como algo muy relevante para la revitalización de los monumentos que, siendo accesibles para todas las personas al margen de sus capacidades diferenciadas, sean más perdurables y refuercen su carácter de patrimonio de toda la sociedad.</w:t>
      </w:r>
    </w:p>
    <w:p w:rsidR="00033066" w:rsidRPr="005E1103" w:rsidRDefault="00033066" w:rsidP="00033066">
      <w:pPr>
        <w:spacing w:line="360" w:lineRule="auto"/>
        <w:jc w:val="both"/>
        <w:rPr>
          <w:rFonts w:cstheme="minorHAnsi"/>
          <w:sz w:val="28"/>
          <w:szCs w:val="28"/>
        </w:rPr>
      </w:pPr>
      <w:r w:rsidRPr="005E1103">
        <w:rPr>
          <w:rFonts w:cstheme="minorHAnsi"/>
          <w:sz w:val="28"/>
          <w:szCs w:val="28"/>
        </w:rPr>
        <w:t xml:space="preserve">En este mismo sentido, el documento sobre “Estrategia integral española de cultura para todos. Accesibilidad a la cultura para las personas con </w:t>
      </w:r>
      <w:r w:rsidRPr="005E1103">
        <w:rPr>
          <w:rFonts w:cstheme="minorHAnsi"/>
          <w:sz w:val="28"/>
          <w:szCs w:val="28"/>
        </w:rPr>
        <w:lastRenderedPageBreak/>
        <w:t>discapacidad” (2011) promueve iniciativas de «Accesibilidad y cultura para todos» en perfecta coherencia con las políticas canalizadas a través del Ministerio de Sanidad Política Social e Igualdad y el Ministerio de Cultura de España. Este documento ministerial pretende fomentar y normalizar la ejecución de accesibilidad en todas las iniciativas en el universo cultural, de forma que se cumplan las más altas exigencias de calidad, tecnología y adaptabilidad.</w:t>
      </w:r>
    </w:p>
    <w:p w:rsidR="00033066" w:rsidRPr="005E1103" w:rsidRDefault="00033066" w:rsidP="00033066">
      <w:pPr>
        <w:spacing w:line="360" w:lineRule="auto"/>
        <w:jc w:val="both"/>
        <w:rPr>
          <w:rFonts w:cstheme="minorHAnsi"/>
          <w:sz w:val="28"/>
          <w:szCs w:val="28"/>
        </w:rPr>
      </w:pPr>
      <w:r w:rsidRPr="005E1103">
        <w:rPr>
          <w:rFonts w:cstheme="minorHAnsi"/>
          <w:sz w:val="28"/>
          <w:szCs w:val="28"/>
        </w:rPr>
        <w:t>La realidad es que la sociedad española es cada vez más consciente de que la inclusión de las personas con discapacidad en los diversos ámbitos de la vida social supone una exigencia del pleno respeto a los derechos humanos, lo cual implica poner en marcha los medios necesarios para que todos los ciudadanos, independientemente de los obstáculos y las limitaciones que les afecten, vean cubiertas sus necesidades en condiciones de igualdad. Según la Encuesta de Discapacidad, Autonomía Personal y Situaciones de Dependencia (INE-EDAD 2008) en España unos cuatro millones de personas (el 9% de la población nacional) puede encontrarse en esta situación de accesibilidad especial, estando así en riesgo de exclusión, ante la imposibilidad de participar plenamente en la sociedad, o ante el riesgo de encontrar dificultades para ello.</w:t>
      </w:r>
    </w:p>
    <w:p w:rsidR="00033066" w:rsidRPr="005E1103" w:rsidRDefault="00033066" w:rsidP="00033066">
      <w:pPr>
        <w:spacing w:line="360" w:lineRule="auto"/>
        <w:jc w:val="both"/>
        <w:rPr>
          <w:rFonts w:cstheme="minorHAnsi"/>
          <w:sz w:val="28"/>
          <w:szCs w:val="28"/>
        </w:rPr>
      </w:pPr>
      <w:r w:rsidRPr="005E1103">
        <w:rPr>
          <w:rFonts w:cstheme="minorHAnsi"/>
          <w:sz w:val="28"/>
          <w:szCs w:val="28"/>
        </w:rPr>
        <w:t>Ahora bien, la accesibilidad es un derecho esencial y una herramienta primordial para apoyar la inclusión social, la no discriminación y la igualdad de oportunidades y de trato, en especial, tras garantizar la accesibilidad a los entornos físicos, a la información y a la comunicación, a los procesos, a los productos y a los servicios. Al fin y al cabo, la accesibilidad universal, como variable fundamental para lograr la igualdad de oportunidades, es un criterio básico en la gestión de la acción pública.</w:t>
      </w:r>
    </w:p>
    <w:p w:rsidR="00033066" w:rsidRPr="005E1103" w:rsidRDefault="00033066" w:rsidP="00033066">
      <w:pPr>
        <w:pStyle w:val="Ttulo1"/>
        <w:jc w:val="both"/>
        <w:rPr>
          <w:rFonts w:asciiTheme="minorHAnsi" w:hAnsiTheme="minorHAnsi" w:cstheme="minorHAnsi"/>
        </w:rPr>
      </w:pPr>
    </w:p>
    <w:p w:rsidR="00033066" w:rsidRPr="005E1103" w:rsidRDefault="00033066" w:rsidP="00033066">
      <w:pPr>
        <w:pStyle w:val="Ttulo1"/>
        <w:jc w:val="both"/>
        <w:rPr>
          <w:rFonts w:asciiTheme="minorHAnsi" w:hAnsiTheme="minorHAnsi" w:cstheme="minorHAnsi"/>
        </w:rPr>
      </w:pPr>
      <w:r w:rsidRPr="005E1103">
        <w:rPr>
          <w:rFonts w:asciiTheme="minorHAnsi" w:hAnsiTheme="minorHAnsi" w:cstheme="minorHAnsi"/>
        </w:rPr>
        <w:t xml:space="preserve">2 Museología e Integración Social </w:t>
      </w:r>
    </w:p>
    <w:p w:rsidR="00033066" w:rsidRPr="005E1103" w:rsidRDefault="00033066" w:rsidP="00033066">
      <w:pPr>
        <w:spacing w:line="360" w:lineRule="auto"/>
        <w:jc w:val="both"/>
        <w:rPr>
          <w:rFonts w:cstheme="minorHAnsi"/>
          <w:sz w:val="28"/>
          <w:szCs w:val="28"/>
        </w:rPr>
      </w:pPr>
      <w:r w:rsidRPr="005E1103">
        <w:rPr>
          <w:rFonts w:cstheme="minorHAnsi"/>
          <w:sz w:val="28"/>
          <w:szCs w:val="28"/>
        </w:rPr>
        <w:t>Uno de los grandes retos de la Museología del Siglo XXI es la atención e integración de los sectores sociales más desfavorecidos y desvinculados con los museos. La Museología moderna, sin abandonar sus fundamentos de custodia, estudio, investigación, exhibición y contemplación de colecciones de valor artístico, histórico, científico, técnico o de cualquier otra naturaleza, se ha convertido en una realidad dinámica al servicio de un público cada vez mayor y más variado. Las instituciones museísticas son espacios vivos cuyos gestores intentan aportar una participación social más dinámica y abierta. El interés por educar y socializar la cultura ha dotado a los museos de un mayor equipamiento técnico, medios audiovisuales, laboratorios, talleres, recursos humanos, etc., y diversas estrategias de captación del público. Sin embargo, pese a todos los esfuerzos, los cambios introducidos en la sociedad por fenómenos como la multiculturalidad, la inmigración, la crisis económica, la pérdida de motivación en una parte importante de la juventud, pueden generar exclusión social en segmentos de la población que quedarían al margen del contexto museístico y de sus ventajas.</w:t>
      </w:r>
    </w:p>
    <w:p w:rsidR="00033066" w:rsidRPr="005E1103" w:rsidRDefault="00033066" w:rsidP="00033066">
      <w:pPr>
        <w:spacing w:line="360" w:lineRule="auto"/>
        <w:jc w:val="both"/>
        <w:rPr>
          <w:rFonts w:cstheme="minorHAnsi"/>
          <w:sz w:val="28"/>
          <w:szCs w:val="28"/>
        </w:rPr>
      </w:pPr>
      <w:r w:rsidRPr="005E1103">
        <w:rPr>
          <w:rFonts w:cstheme="minorHAnsi"/>
          <w:sz w:val="28"/>
          <w:szCs w:val="28"/>
        </w:rPr>
        <w:t xml:space="preserve">En España ya se han realizado experiencias pioneras en los últimos años. El Museo de Bellas Artes de Murcia (MuBAM) y la Fundación AlzheimUr llevaron a cabo, durante los años 2009 y 2010, los Talleres de Arte y Cultura como Terapia, con grupos de personas con Alzhéimer. En el Museo Nacional de Arte de Cataluña, el Departamento de Educación lanzó el programa denominado “El Museo Espacio Común de Integración” dirigido a las personas o a los colectivos que sufren algún tipo de exclusión </w:t>
      </w:r>
      <w:r w:rsidRPr="005E1103">
        <w:rPr>
          <w:rFonts w:cstheme="minorHAnsi"/>
          <w:sz w:val="28"/>
          <w:szCs w:val="28"/>
        </w:rPr>
        <w:lastRenderedPageBreak/>
        <w:t>por razones sociales, físicas o psicológicas y que difícilmente consideran el museo como un referente personal. En Málaga el programa de Transformación del Museo Joaquín Peinado (Ronda, Málaga) tuvo entre sus principales objetivos desarrollar las destrezas, habilidades y capacidades sociales en personas con discapacidad intelectual a través de la expresión plástica. El propio Museo del Prado lanzó en 2011 la actividad “El Prado para todos”, que trataba de integrar y favorecer el acceso a la cultura a públicos que tienen algún tipo de discapacidad física, sensorial, intelectual y/o enfermedades neurodegenerativas. Las actividades fueron planteadas desde un enfoque didáctico, artístico y creativo.</w:t>
      </w:r>
    </w:p>
    <w:p w:rsidR="00033066" w:rsidRPr="005E1103" w:rsidRDefault="00033066" w:rsidP="00033066">
      <w:pPr>
        <w:spacing w:line="360" w:lineRule="auto"/>
        <w:jc w:val="both"/>
        <w:rPr>
          <w:rFonts w:cstheme="minorHAnsi"/>
          <w:sz w:val="28"/>
          <w:szCs w:val="28"/>
        </w:rPr>
      </w:pPr>
    </w:p>
    <w:p w:rsidR="00033066" w:rsidRPr="005E1103" w:rsidRDefault="00033066" w:rsidP="00033066">
      <w:pPr>
        <w:pStyle w:val="Ttulo1"/>
        <w:jc w:val="both"/>
        <w:rPr>
          <w:rFonts w:asciiTheme="minorHAnsi" w:hAnsiTheme="minorHAnsi" w:cstheme="minorHAnsi"/>
        </w:rPr>
      </w:pPr>
      <w:r w:rsidRPr="005E1103">
        <w:rPr>
          <w:rFonts w:asciiTheme="minorHAnsi" w:hAnsiTheme="minorHAnsi" w:cstheme="minorHAnsi"/>
        </w:rPr>
        <w:t xml:space="preserve">3 El Consorcio MUSACCES </w:t>
      </w:r>
    </w:p>
    <w:p w:rsidR="00033066" w:rsidRPr="005E1103" w:rsidRDefault="00033066" w:rsidP="00033066">
      <w:pPr>
        <w:spacing w:line="360" w:lineRule="auto"/>
        <w:jc w:val="both"/>
        <w:rPr>
          <w:rFonts w:cstheme="minorHAnsi"/>
          <w:sz w:val="28"/>
          <w:szCs w:val="28"/>
        </w:rPr>
      </w:pPr>
      <w:r w:rsidRPr="005E1103">
        <w:rPr>
          <w:rFonts w:cstheme="minorHAnsi"/>
          <w:sz w:val="28"/>
          <w:szCs w:val="28"/>
        </w:rPr>
        <w:t>El proyecto MUSACCES - S2015/HUM-3494 ha comenzado su andadura en el mes de Enero 2016 con la consolidación de un Consorcio que opera en la Comunidad de Madrid y que propone acciones de museología e integración social en un entorno de trabajo interdisciplinar, buscando acercar el Museo del Prado a colectivos de especial accesibilidad (invidentes, personas sordas y reclusos) con apoyo de las Tecnologías de la Información y la Comunicación.</w:t>
      </w:r>
    </w:p>
    <w:p w:rsidR="00033066" w:rsidRPr="005E1103" w:rsidRDefault="00033066" w:rsidP="00033066">
      <w:pPr>
        <w:spacing w:line="360" w:lineRule="auto"/>
        <w:jc w:val="both"/>
        <w:rPr>
          <w:rFonts w:cstheme="minorHAnsi"/>
          <w:sz w:val="28"/>
          <w:szCs w:val="28"/>
        </w:rPr>
      </w:pPr>
      <w:r w:rsidRPr="005E1103">
        <w:rPr>
          <w:rFonts w:cstheme="minorHAnsi"/>
          <w:sz w:val="28"/>
          <w:szCs w:val="28"/>
        </w:rPr>
        <w:t xml:space="preserve">Los trabajos de investigación han comenzado con participantes de ámbitos muy dispares, humanistas y tecnológicos, pertenecientes a grupos de investigación de la Universidad Complutense de Madrid, de la Universidad Nacional de Educación a Distancia (UNED) y de la Universidad Autónoma de Madrid (UAM), con la colaboración del Museo del Prado y otras empresas e instituciones. </w:t>
      </w:r>
    </w:p>
    <w:p w:rsidR="00033066" w:rsidRPr="005E1103" w:rsidRDefault="00033066" w:rsidP="00033066">
      <w:pPr>
        <w:spacing w:line="360" w:lineRule="auto"/>
        <w:jc w:val="both"/>
        <w:rPr>
          <w:rFonts w:cstheme="minorHAnsi"/>
          <w:sz w:val="28"/>
          <w:szCs w:val="28"/>
        </w:rPr>
      </w:pPr>
      <w:r w:rsidRPr="005E1103">
        <w:rPr>
          <w:rFonts w:cstheme="minorHAnsi"/>
          <w:sz w:val="28"/>
          <w:szCs w:val="28"/>
        </w:rPr>
        <w:t>Los grupos de investigación participantes en el proyecto son:</w:t>
      </w:r>
    </w:p>
    <w:p w:rsidR="00033066" w:rsidRPr="005E1103" w:rsidRDefault="00033066" w:rsidP="00033066">
      <w:pPr>
        <w:pStyle w:val="Prrafodelista"/>
        <w:numPr>
          <w:ilvl w:val="0"/>
          <w:numId w:val="140"/>
        </w:numPr>
        <w:spacing w:before="100" w:beforeAutospacing="1" w:after="100" w:afterAutospacing="1" w:line="360" w:lineRule="auto"/>
        <w:jc w:val="both"/>
        <w:rPr>
          <w:rFonts w:asciiTheme="minorHAnsi" w:eastAsia="Times New Roman" w:hAnsiTheme="minorHAnsi" w:cstheme="minorHAnsi"/>
          <w:sz w:val="28"/>
          <w:szCs w:val="28"/>
          <w:lang w:eastAsia="es-ES"/>
        </w:rPr>
      </w:pPr>
      <w:r w:rsidRPr="005E1103">
        <w:rPr>
          <w:rFonts w:asciiTheme="minorHAnsi" w:hAnsiTheme="minorHAnsi" w:cstheme="minorHAnsi"/>
          <w:noProof/>
          <w:sz w:val="28"/>
          <w:szCs w:val="28"/>
          <w:lang w:eastAsia="es-ES"/>
        </w:rPr>
        <w:lastRenderedPageBreak/>
        <w:drawing>
          <wp:inline distT="0" distB="0" distL="0" distR="0" wp14:anchorId="631FD14C" wp14:editId="56AD30F7">
            <wp:extent cx="6350" cy="6350"/>
            <wp:effectExtent l="0" t="0" r="0" b="0"/>
            <wp:docPr id="48" name="Imagen 48" descr="http://www.musacces.es/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usacces.es/wp-content/plugins/advanced-wp-columns/assets/js/plugins/views/img/1x1-pixel.pn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6350" cy="6350"/>
                    </a:xfrm>
                    <a:prstGeom prst="rect">
                      <a:avLst/>
                    </a:prstGeom>
                    <a:noFill/>
                    <a:ln>
                      <a:noFill/>
                    </a:ln>
                  </pic:spPr>
                </pic:pic>
              </a:graphicData>
            </a:graphic>
          </wp:inline>
        </w:drawing>
      </w:r>
      <w:r w:rsidRPr="005E1103">
        <w:rPr>
          <w:rFonts w:asciiTheme="minorHAnsi" w:eastAsia="Times New Roman" w:hAnsiTheme="minorHAnsi" w:cstheme="minorHAnsi"/>
          <w:sz w:val="28"/>
          <w:szCs w:val="28"/>
          <w:lang w:eastAsia="es-ES"/>
        </w:rPr>
        <w:t xml:space="preserve">El Grupo de Investigación </w:t>
      </w:r>
      <w:r w:rsidRPr="005E1103">
        <w:rPr>
          <w:rFonts w:asciiTheme="minorHAnsi" w:eastAsia="Times New Roman" w:hAnsiTheme="minorHAnsi" w:cstheme="minorHAnsi"/>
          <w:bCs/>
          <w:sz w:val="28"/>
          <w:szCs w:val="28"/>
          <w:lang w:eastAsia="es-ES"/>
        </w:rPr>
        <w:t>CAPIRE+A (Patrimonio Cultural)</w:t>
      </w:r>
      <w:r w:rsidRPr="005E1103">
        <w:rPr>
          <w:rFonts w:asciiTheme="minorHAnsi" w:eastAsia="Times New Roman" w:hAnsiTheme="minorHAnsi" w:cstheme="minorHAnsi"/>
          <w:sz w:val="28"/>
          <w:szCs w:val="28"/>
          <w:lang w:eastAsia="es-ES"/>
        </w:rPr>
        <w:t xml:space="preserve"> reúne investigadores expertos en historia del arte, iconografía, historia y documentación que trabajan temas relacionados con el patrimonio, la museología, la historia y la cultura en las Edades Media y Moderna. Tiene su sede en el Departamento de Historia del Arte I (Medieval) de la Facultad de Geografía e Historia de la Universidad Complutense de Madrid. En el marco del Consorcio MUSACCES, CAPIRE+A (Patrimonio Cultural) es el Grupo de Investigación Coordinador, cuya responsabilidad directa es el desarrollo científico del programa de actividades. Además de esto, los investigadores que lo forman se ocupan de desarrollar contenidos histórico-artísticos para los productos que se realicen en el Consorcio.</w:t>
      </w:r>
    </w:p>
    <w:p w:rsidR="00033066" w:rsidRPr="005E1103" w:rsidRDefault="00033066" w:rsidP="00033066">
      <w:pPr>
        <w:pStyle w:val="Prrafodelista"/>
        <w:numPr>
          <w:ilvl w:val="0"/>
          <w:numId w:val="140"/>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El Grupo de Investigación CAPIRE+B (Imagen, iconografía e iconología) está formado por investigadores -expertos y en formación- en el campo de la historia del arte, y especialmente  en el ámbito de la iconografía. Además, trabajan temas relacionados con el patrimonio, la museología, la historia y la cultura en las Edades Media y Moderna. Tiene su sede en el Departamento de Historia del Arte I (Medieval) de la Facultad de Geografía e Historia de la Universidad Complutense de Madrid. En el Consorcio su labor se centra en el estudio histórico-artístico de las obras escogidas para los productos y su trabajo a partir del análisis de significados, contextualización y estudio de las fuentes.</w:t>
      </w:r>
    </w:p>
    <w:p w:rsidR="00033066" w:rsidRPr="005E1103" w:rsidRDefault="00033066" w:rsidP="00033066">
      <w:pPr>
        <w:pStyle w:val="Prrafodelista"/>
        <w:numPr>
          <w:ilvl w:val="0"/>
          <w:numId w:val="140"/>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 xml:space="preserve">Museum I+D+C. Laboratorio de Cultura Digital y Museografía Hipermedia está compuesto por profesores-investigadores de la Facultad de Ciencias de la Información de la Universidad Complutense de Madrid apoyados por personalidades del mundo de los museos y de otras universidades de España y del mundo. Sus siglas I+D+C significan </w:t>
      </w:r>
      <w:r w:rsidRPr="005E1103">
        <w:rPr>
          <w:rFonts w:asciiTheme="minorHAnsi" w:hAnsiTheme="minorHAnsi" w:cstheme="minorHAnsi"/>
          <w:sz w:val="28"/>
          <w:szCs w:val="28"/>
        </w:rPr>
        <w:lastRenderedPageBreak/>
        <w:t>Investigación + Desarrollo + Creación. El grupo Museum I+D+C aporta al consorcio su experiencia en estudio de públicos y en desarrollos museológicos y museográficos hipermedia y transmedia, siempre teniendo muy en cuenta la accesibilidad.</w:t>
      </w:r>
    </w:p>
    <w:p w:rsidR="00033066" w:rsidRPr="005E1103" w:rsidRDefault="00033066" w:rsidP="00033066">
      <w:pPr>
        <w:pStyle w:val="Prrafodelista"/>
        <w:numPr>
          <w:ilvl w:val="0"/>
          <w:numId w:val="140"/>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El Grupo EARTDI (Aplicaciones del Arte para la Inclusión Social) trabaja a partir de una orientación constructivista y centrada en la mejora psicosocial, y enfoca en las prácticas artísticas desde una mirada arteterapéutica su trabajo sobre colectivos en riesgo de exclusión y en el trabajo por la igualdad de género. Se encarga en el Consorcio MUSACCES de la detección de buenas prácticas, definición de necesidades e indicadores y adaptación e idoneidad de contenidos para los colectivos de referencia.</w:t>
      </w:r>
    </w:p>
    <w:p w:rsidR="00033066" w:rsidRPr="005E1103" w:rsidRDefault="00033066" w:rsidP="00033066">
      <w:pPr>
        <w:pStyle w:val="Prrafodelista"/>
        <w:numPr>
          <w:ilvl w:val="0"/>
          <w:numId w:val="140"/>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El Grupo de investigación ICONO-MUS tiene como objeto de trabajo la Iconografía Musical (el análisis de las escenas de música y danza descritas visualmente en cualquier tipo de soporte). Tiene su sede en el Departamento de Musicología de la Facultad de Geografía e Historia de la UCM. Cuenta con el soporte de un I+D+i financiado por el Ministerio de Economía y Competitividad. Las principales aportaciones al Consorcio se basan en la experiencia del Grupo en la catalogación de las obras con iconografía  musical del Museo Nacional del Prado, algunas de las cuales pueden verse en la propia web del Museo y en la de su grupo (</w:t>
      </w:r>
      <w:hyperlink r:id="rId202" w:history="1">
        <w:r w:rsidRPr="005E1103">
          <w:rPr>
            <w:rStyle w:val="Hipervnculo"/>
            <w:rFonts w:asciiTheme="minorHAnsi" w:hAnsiTheme="minorHAnsi" w:cstheme="minorHAnsi"/>
            <w:sz w:val="28"/>
            <w:szCs w:val="28"/>
          </w:rPr>
          <w:t>www.imagenesmusica.es</w:t>
        </w:r>
      </w:hyperlink>
      <w:r w:rsidRPr="005E1103">
        <w:rPr>
          <w:rFonts w:asciiTheme="minorHAnsi" w:hAnsiTheme="minorHAnsi" w:cstheme="minorHAnsi"/>
          <w:sz w:val="28"/>
          <w:szCs w:val="28"/>
        </w:rPr>
        <w:t>).</w:t>
      </w:r>
    </w:p>
    <w:p w:rsidR="00033066" w:rsidRPr="005E1103" w:rsidRDefault="00033066" w:rsidP="00033066">
      <w:pPr>
        <w:pStyle w:val="Prrafodelista"/>
        <w:numPr>
          <w:ilvl w:val="0"/>
          <w:numId w:val="140"/>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 xml:space="preserve">El grupo INADOC (Innovative User INteraction to Accesible Digital Objetcs and Collections) de la UNED, es un grupo multidisciplinar de reciente creación que incorpora profesores investigadores expertos en modelos de accesibilidad y usabilidad y tecnologías de gestión de grandes repositorios de información, procesamiento automático del </w:t>
      </w:r>
      <w:r w:rsidRPr="005E1103">
        <w:rPr>
          <w:rFonts w:asciiTheme="minorHAnsi" w:hAnsiTheme="minorHAnsi" w:cstheme="minorHAnsi"/>
          <w:sz w:val="28"/>
          <w:szCs w:val="28"/>
        </w:rPr>
        <w:lastRenderedPageBreak/>
        <w:t>lenguaje natural y acceso a la información multimedia, y expertos en el diseño y seguimiento del uso de nuevas tecnologías en educación y medida de su calidad. Trabaja en estrecha colaboración con la Cátedra de “Tecnología y Accesibilidad” UNED – Fundación Vodafone España, a la que varios de sus miembros pertenecen. En el Consorcio su labor se centra en producir un modelo de recorrido accesible aplicado a cada temática seleccionada y en adaptar los contenidos desarrollados por los grupos humanistas al perfil destinatario de cada unidad didáctica. Por ello, se encarga de identificar unidades didácticas accesibles para cada grupo específico de usuarios con diversidad que contengan elementos multimedia asociados a cada modelo de recorrido accesible.</w:t>
      </w:r>
    </w:p>
    <w:p w:rsidR="00033066" w:rsidRPr="005E1103" w:rsidRDefault="00033066" w:rsidP="00033066">
      <w:pPr>
        <w:pStyle w:val="Prrafodelista"/>
        <w:numPr>
          <w:ilvl w:val="0"/>
          <w:numId w:val="140"/>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El Grupo de Investigación SICTO (Signum imaginem caeli terraeque observare) pertenece a la Facultad de Geografía e Historia de la Universidad Nacional de Educacion a Distancia (UNED). Se dedica a la investigación de determinados aspectos del mundo clásico a través de la documentación iconográfica como la interpretación de las expresiones y simbología del poder, el análisis de la sociedad (vestuario, ornamentación, objetos…), o el estudio de la ideología y la expresión religiosa. En su trabajo dentro del Consorcio MUSACCES, se ocupa de la selección y análisis de las Colecciones del Arte Clásico del Museo del Prado, la interpretación de su manifestación iconográfica como testimonio de la historia, sociedad y la vida de su tiempo, la adecuación de la comprensión y accesibilidad de este contexto histórico a colectivos con discapacidad y necesidades específicas (invidentes, sordomudos y reclusos).</w:t>
      </w:r>
    </w:p>
    <w:p w:rsidR="00033066" w:rsidRPr="005E1103" w:rsidRDefault="00033066" w:rsidP="00033066">
      <w:pPr>
        <w:pStyle w:val="Prrafodelista"/>
        <w:numPr>
          <w:ilvl w:val="0"/>
          <w:numId w:val="140"/>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 xml:space="preserve">El Grupo GREIGA, grupo para el Estudio de la Imagen en la Grecia Antigua, reúne a una serie de investigadores que trabajan en el ámbito </w:t>
      </w:r>
      <w:r w:rsidRPr="005E1103">
        <w:rPr>
          <w:rFonts w:asciiTheme="minorHAnsi" w:hAnsiTheme="minorHAnsi" w:cstheme="minorHAnsi"/>
          <w:sz w:val="28"/>
          <w:szCs w:val="28"/>
        </w:rPr>
        <w:lastRenderedPageBreak/>
        <w:t>del estudio de la imagen y de la iconografía en el mundo griego antiguo. Tiene como sede el Departamento de Historia del Arte de la Universidad Autónoma de Madrid y está vinculado al ICCA, Instituto de Ciencias de la Antigüedad de dicha universidad. Las aportaciones al Consorcio MUSACCES son la responsabilidad del trabajo científico en lo relacionado con el estudio de las imágenes y del arte griego y el desarrollo de contenidos  en el análisis y difusión de la cultura visual de la Grecia antigua.</w:t>
      </w:r>
    </w:p>
    <w:p w:rsidR="00033066" w:rsidRPr="005E1103" w:rsidRDefault="00033066" w:rsidP="00033066">
      <w:pPr>
        <w:spacing w:line="360" w:lineRule="auto"/>
        <w:jc w:val="both"/>
        <w:rPr>
          <w:rFonts w:cstheme="minorHAnsi"/>
          <w:sz w:val="28"/>
          <w:szCs w:val="28"/>
        </w:rPr>
      </w:pPr>
      <w:r w:rsidRPr="005E1103">
        <w:rPr>
          <w:rFonts w:cstheme="minorHAnsi"/>
          <w:sz w:val="28"/>
          <w:szCs w:val="28"/>
        </w:rPr>
        <w:t>Para garantizar el cumplimiento de los objetivos establecidos, así como para asegurar una administración eficiente de los recursos existe un Plan de Gestión que permite desarrollar con total transparencia y optimizar las acciones estratégicas en materia de funcionamiento y organización. Asimismo, se han designado una serie de órganos unipersonales y comisiones con funciones específicas que permiten la adecuada coordinación de un elevado número de profesionales (cerca de 80 investigadores en total):</w:t>
      </w:r>
    </w:p>
    <w:p w:rsidR="00033066" w:rsidRPr="005E1103" w:rsidRDefault="00033066" w:rsidP="00033066">
      <w:pPr>
        <w:pStyle w:val="Prrafodelista"/>
        <w:numPr>
          <w:ilvl w:val="0"/>
          <w:numId w:val="139"/>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Coordinación y Secretaría Científicas</w:t>
      </w:r>
    </w:p>
    <w:p w:rsidR="00033066" w:rsidRPr="005E1103" w:rsidRDefault="00033066" w:rsidP="00033066">
      <w:pPr>
        <w:pStyle w:val="Prrafodelista"/>
        <w:numPr>
          <w:ilvl w:val="0"/>
          <w:numId w:val="139"/>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Comisiones de Funcionamiento: formado por los 8 grupos de investigación consorciados y el comité de gestión que supervisa su trabajo</w:t>
      </w:r>
    </w:p>
    <w:p w:rsidR="00033066" w:rsidRPr="005E1103" w:rsidRDefault="00033066" w:rsidP="00033066">
      <w:pPr>
        <w:pStyle w:val="Prrafodelista"/>
        <w:numPr>
          <w:ilvl w:val="0"/>
          <w:numId w:val="139"/>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Comisiones de Organización: la Comisión Permanente que vela por la coordinación de las líneas estratégicas de actuación del Consorcio y las Comisiones Delegadas de Calidad, Asuntos Económicos y Relaciones Institucionales.</w:t>
      </w:r>
    </w:p>
    <w:p w:rsidR="00033066" w:rsidRPr="005E1103" w:rsidRDefault="00033066" w:rsidP="00033066">
      <w:pPr>
        <w:spacing w:line="360" w:lineRule="auto"/>
        <w:jc w:val="both"/>
        <w:rPr>
          <w:rFonts w:cstheme="minorHAnsi"/>
          <w:sz w:val="28"/>
          <w:szCs w:val="28"/>
        </w:rPr>
      </w:pPr>
      <w:r w:rsidRPr="005E1103">
        <w:rPr>
          <w:rFonts w:cstheme="minorHAnsi"/>
          <w:sz w:val="28"/>
          <w:szCs w:val="28"/>
        </w:rPr>
        <w:t>En el plan trienal de actividades (2016-2018) se han fijado 8 objetivos concretos, que son:</w:t>
      </w:r>
    </w:p>
    <w:p w:rsidR="00033066" w:rsidRPr="005E1103" w:rsidRDefault="00033066" w:rsidP="00033066">
      <w:pPr>
        <w:pStyle w:val="Prrafodelista"/>
        <w:numPr>
          <w:ilvl w:val="0"/>
          <w:numId w:val="138"/>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lastRenderedPageBreak/>
        <w:t>Plantear un estado de la cuestión de la investigación en «cultura y turismo accesible», así como las distintas iniciativas de su aplicación al mundo de los museos a nivel nacional e internacional.</w:t>
      </w:r>
    </w:p>
    <w:p w:rsidR="00033066" w:rsidRPr="005E1103" w:rsidRDefault="00033066" w:rsidP="00033066">
      <w:pPr>
        <w:pStyle w:val="Prrafodelista"/>
        <w:numPr>
          <w:ilvl w:val="0"/>
          <w:numId w:val="138"/>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Recopilar y analizar los intereses y las necesidades de cada uno de los tres colectivos con especial accesibilidad respecto al patrimonio artístico del Museo del Prado.</w:t>
      </w:r>
    </w:p>
    <w:p w:rsidR="00033066" w:rsidRPr="005E1103" w:rsidRDefault="00033066" w:rsidP="00033066">
      <w:pPr>
        <w:pStyle w:val="Prrafodelista"/>
        <w:numPr>
          <w:ilvl w:val="0"/>
          <w:numId w:val="138"/>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Organizar las líneas temáticas, los recorridos interactivos y las aplicaciones tecnológicas con los contenidos artísticos del Museo que se estudiarán para adaptarlos a los productos de cada uno de los tres colectivos en función de sus intereses y necesidades.</w:t>
      </w:r>
    </w:p>
    <w:p w:rsidR="00033066" w:rsidRPr="005E1103" w:rsidRDefault="00033066" w:rsidP="00033066">
      <w:pPr>
        <w:pStyle w:val="Prrafodelista"/>
        <w:numPr>
          <w:ilvl w:val="0"/>
          <w:numId w:val="138"/>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Investigar los contenidos temáticos, adaptar las unidades didácticas y programar los sistemas tecnológicos necesarios para los tres grupos de accesibilidad especial.</w:t>
      </w:r>
    </w:p>
    <w:p w:rsidR="00033066" w:rsidRPr="005E1103" w:rsidRDefault="00033066" w:rsidP="00033066">
      <w:pPr>
        <w:pStyle w:val="Prrafodelista"/>
        <w:numPr>
          <w:ilvl w:val="0"/>
          <w:numId w:val="138"/>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Producir, revisar y probar los prototipos de aplicaciones, sistemas y exposiciones finales que plasmen los recorridos virtuales adaptados a los usuarios invidentes, personas sordas y reclusos.</w:t>
      </w:r>
    </w:p>
    <w:p w:rsidR="00033066" w:rsidRPr="005E1103" w:rsidRDefault="00033066" w:rsidP="00033066">
      <w:pPr>
        <w:pStyle w:val="Prrafodelista"/>
        <w:numPr>
          <w:ilvl w:val="0"/>
          <w:numId w:val="138"/>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Difundir los resultados entre los principales foros de los colectivos destinatarios de las propuestas en particular, y entre los agentes sociales en general.</w:t>
      </w:r>
    </w:p>
    <w:p w:rsidR="00033066" w:rsidRPr="005E1103" w:rsidRDefault="00033066" w:rsidP="00033066">
      <w:pPr>
        <w:pStyle w:val="Prrafodelista"/>
        <w:numPr>
          <w:ilvl w:val="0"/>
          <w:numId w:val="138"/>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Hacer un seguimiento y efectuar una evaluación cuantitativa y cualitativa del impacto y del grado de satisfacción que en cada grupo de los tres colectivos con accesibilidad especial han tenido las aplicaciones y visitas virtuales producidas.</w:t>
      </w:r>
    </w:p>
    <w:p w:rsidR="00033066" w:rsidRPr="005E1103" w:rsidRDefault="00033066" w:rsidP="00033066">
      <w:pPr>
        <w:pStyle w:val="Prrafodelista"/>
        <w:numPr>
          <w:ilvl w:val="0"/>
          <w:numId w:val="138"/>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 xml:space="preserve">Transferir los resultados e innovaciones de la investigación a otros organismos e instituciones museográficas nacionales y extranjeras a partir de la organización de un Congreso internacional sobre </w:t>
      </w:r>
      <w:r w:rsidRPr="005E1103">
        <w:rPr>
          <w:rFonts w:asciiTheme="minorHAnsi" w:hAnsiTheme="minorHAnsi" w:cstheme="minorHAnsi"/>
          <w:sz w:val="28"/>
          <w:szCs w:val="28"/>
        </w:rPr>
        <w:lastRenderedPageBreak/>
        <w:t>«Museografía e integración social» y la publicación de un libro monográfico sobre dicho tema.</w:t>
      </w:r>
    </w:p>
    <w:p w:rsidR="00033066" w:rsidRPr="005E1103" w:rsidRDefault="00033066" w:rsidP="00033066">
      <w:pPr>
        <w:spacing w:line="360" w:lineRule="auto"/>
        <w:jc w:val="both"/>
        <w:rPr>
          <w:rFonts w:cstheme="minorHAnsi"/>
          <w:sz w:val="28"/>
          <w:szCs w:val="28"/>
        </w:rPr>
      </w:pPr>
      <w:r w:rsidRPr="005E1103">
        <w:rPr>
          <w:rFonts w:cstheme="minorHAnsi"/>
          <w:sz w:val="28"/>
          <w:szCs w:val="28"/>
        </w:rPr>
        <w:t>En los primeros seis meses de proyecto, las actividades planificadas se han centrado en el desarrollo de los dos primeros objetivos y la realización de acciones formativas. Así, para el objetivo 1 se ha elaborado una recopilación muy extensa de referencias bibliográficas para conformar el estado del arte actualizado y se ha pasado una encuesta a nivel mundial a museos en cinco idiomas (alemán, español, francés, inglés y portugués). Para el objetivo 2 se está finalizando el diseño de un cuestionario para analizar los intereses de las personas con discapacidad en relación al contenido artístico del Museo del Prado. Este cuestionario incluye una serie de preguntas específicas acerca del uso de la tecnología en este contexto conforme al modelo TAM (Technology Acceptance Model) porque el uso óptimo de las tecnologías de la información y comunicaciones dentro es una necesidad, además de que influyan en la producción de bienes y servicios de calidad. Este modelo fue originalmente desarrollado por Davis (1989) y Davis, et al.(1989) y se usa para predecir el uso de las TIC, basándose en dos características principales:</w:t>
      </w:r>
    </w:p>
    <w:p w:rsidR="00033066" w:rsidRPr="005E1103" w:rsidRDefault="00033066" w:rsidP="00033066">
      <w:pPr>
        <w:pStyle w:val="Prrafodelista"/>
        <w:numPr>
          <w:ilvl w:val="0"/>
          <w:numId w:val="142"/>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La Utilidad Percibida (Perceived Usefulness, PU) se refiere al grado en que una persona cree, que usando un sistema tecnológico en particular, mejorará su desempeño</w:t>
      </w:r>
    </w:p>
    <w:p w:rsidR="00033066" w:rsidRPr="005E1103" w:rsidRDefault="00033066" w:rsidP="00033066">
      <w:pPr>
        <w:pStyle w:val="Prrafodelista"/>
        <w:numPr>
          <w:ilvl w:val="0"/>
          <w:numId w:val="142"/>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La Facilidad de Uso Percibida (Perceived Ease of Use, PEOU) señala hasta qué grado una persona cree, que usando un sistema en particular, realizará  menos  esfuerzo  para  desempeñar  sus  tareas.</w:t>
      </w:r>
    </w:p>
    <w:p w:rsidR="00033066" w:rsidRPr="005E1103" w:rsidRDefault="00033066" w:rsidP="00033066">
      <w:pPr>
        <w:spacing w:line="360" w:lineRule="auto"/>
        <w:jc w:val="both"/>
        <w:rPr>
          <w:rFonts w:cstheme="minorHAnsi"/>
          <w:sz w:val="28"/>
          <w:szCs w:val="28"/>
        </w:rPr>
      </w:pPr>
      <w:r w:rsidRPr="005E1103">
        <w:rPr>
          <w:rFonts w:cstheme="minorHAnsi"/>
          <w:sz w:val="28"/>
          <w:szCs w:val="28"/>
        </w:rPr>
        <w:t>En cuanto a las acciones formativas, se han llevado a cabo las siguientes:</w:t>
      </w:r>
    </w:p>
    <w:p w:rsidR="00033066" w:rsidRPr="005E1103" w:rsidRDefault="00033066" w:rsidP="00033066">
      <w:pPr>
        <w:pStyle w:val="Prrafodelista"/>
        <w:numPr>
          <w:ilvl w:val="0"/>
          <w:numId w:val="141"/>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lastRenderedPageBreak/>
        <w:t xml:space="preserve">Introducción al Museo del Prado para comunicadores, educadores y tecnólogos (Abril 2016) </w:t>
      </w:r>
    </w:p>
    <w:p w:rsidR="00033066" w:rsidRPr="005E1103" w:rsidRDefault="00033066" w:rsidP="00033066">
      <w:pPr>
        <w:pStyle w:val="Prrafodelista"/>
        <w:numPr>
          <w:ilvl w:val="0"/>
          <w:numId w:val="141"/>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La muerte inmortal. Imágenes funerarias en el mundo clásico (Mayo 2016)</w:t>
      </w:r>
    </w:p>
    <w:p w:rsidR="00033066" w:rsidRPr="005E1103" w:rsidRDefault="00033066" w:rsidP="00033066">
      <w:pPr>
        <w:pStyle w:val="Prrafodelista"/>
        <w:numPr>
          <w:ilvl w:val="0"/>
          <w:numId w:val="141"/>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Taller “El Museo del Prado a través de los 5 sentidos” (Sept-Oct 2016)</w:t>
      </w:r>
    </w:p>
    <w:p w:rsidR="00033066" w:rsidRPr="005E1103" w:rsidRDefault="00033066" w:rsidP="00033066">
      <w:pPr>
        <w:spacing w:line="360" w:lineRule="auto"/>
        <w:jc w:val="both"/>
        <w:rPr>
          <w:rFonts w:cstheme="minorHAnsi"/>
          <w:sz w:val="28"/>
          <w:szCs w:val="28"/>
        </w:rPr>
      </w:pPr>
    </w:p>
    <w:p w:rsidR="00033066" w:rsidRPr="005E1103" w:rsidRDefault="00033066" w:rsidP="00033066">
      <w:pPr>
        <w:pStyle w:val="Ttulo1"/>
        <w:jc w:val="both"/>
        <w:rPr>
          <w:rFonts w:asciiTheme="minorHAnsi" w:hAnsiTheme="minorHAnsi" w:cstheme="minorHAnsi"/>
        </w:rPr>
      </w:pPr>
      <w:r w:rsidRPr="005E1103">
        <w:rPr>
          <w:rFonts w:asciiTheme="minorHAnsi" w:hAnsiTheme="minorHAnsi" w:cstheme="minorHAnsi"/>
        </w:rPr>
        <w:t>4 Líneas de integración imitaciones en materia de accesibilidad al patrimonio artístico</w:t>
      </w:r>
    </w:p>
    <w:p w:rsidR="00033066" w:rsidRPr="005E1103" w:rsidRDefault="00033066" w:rsidP="00033066">
      <w:pPr>
        <w:pStyle w:val="Ttulo1"/>
        <w:jc w:val="both"/>
        <w:rPr>
          <w:rFonts w:asciiTheme="minorHAnsi" w:hAnsiTheme="minorHAnsi" w:cstheme="minorHAnsi"/>
          <w:b w:val="0"/>
        </w:rPr>
      </w:pPr>
      <w:r w:rsidRPr="005E1103">
        <w:rPr>
          <w:rFonts w:asciiTheme="minorHAnsi" w:hAnsiTheme="minorHAnsi" w:cstheme="minorHAnsi"/>
          <w:b w:val="0"/>
        </w:rPr>
        <w:t>Para trabajar en las líneas de la integración y la «cultura para todos», numerosas organizaciones nacionales e internacionales han diseñado programas y propuestas de gran riqueza con resultados pioneros que han sido puestos a disposición de nuevos proyectos para facilitar y potenciar su desarrollo. Desde el Consorcio MUSACCES se ha decidido aceptar la validez e importancia de todas estas investigaciones, continuando la trayectoria de otras iniciativas paralelas y realizando proyectos propios adaptados a las particularidades de contextos más especializados, centrándose en el objetivo de lograr la multisensorialidad artística.</w:t>
      </w:r>
    </w:p>
    <w:p w:rsidR="00033066" w:rsidRPr="005E1103" w:rsidRDefault="00033066" w:rsidP="00033066">
      <w:pPr>
        <w:spacing w:line="360" w:lineRule="auto"/>
        <w:jc w:val="both"/>
        <w:rPr>
          <w:rFonts w:cstheme="minorHAnsi"/>
          <w:sz w:val="28"/>
          <w:szCs w:val="28"/>
        </w:rPr>
      </w:pPr>
    </w:p>
    <w:p w:rsidR="00033066" w:rsidRPr="005E1103" w:rsidRDefault="00033066" w:rsidP="00033066">
      <w:pPr>
        <w:pStyle w:val="Ttulo1"/>
        <w:jc w:val="both"/>
        <w:rPr>
          <w:rFonts w:asciiTheme="minorHAnsi" w:hAnsiTheme="minorHAnsi" w:cstheme="minorHAnsi"/>
        </w:rPr>
      </w:pPr>
      <w:r w:rsidRPr="005E1103">
        <w:rPr>
          <w:rFonts w:asciiTheme="minorHAnsi" w:hAnsiTheme="minorHAnsi" w:cstheme="minorHAnsi"/>
        </w:rPr>
        <w:t>4.1 Líneas de accesibilidad para personas ciegas</w:t>
      </w:r>
    </w:p>
    <w:p w:rsidR="00033066" w:rsidRPr="005E1103" w:rsidRDefault="00033066" w:rsidP="00033066">
      <w:pPr>
        <w:spacing w:line="360" w:lineRule="auto"/>
        <w:jc w:val="both"/>
        <w:rPr>
          <w:rFonts w:cstheme="minorHAnsi"/>
          <w:sz w:val="28"/>
          <w:szCs w:val="28"/>
        </w:rPr>
      </w:pPr>
      <w:r w:rsidRPr="005E1103">
        <w:rPr>
          <w:rFonts w:cstheme="minorHAnsi"/>
          <w:sz w:val="28"/>
          <w:szCs w:val="28"/>
        </w:rPr>
        <w:t xml:space="preserve">Las personas que no pueden percibir imágenes con la vista tienen serias dificultades para disfrutar de la experiencia artística visual. En algunos casos, cuando la ceguera se produce al cabo de algunos años de vida normal, la mente de estas personas puede reconstruir lo que ya no perciben a partir de las imágenes del pasado. Sin embargo, muchos invidentes lo son de nacimiento, por lo cual carecen de referencias visuales previas sobre las que construir sus imágenes mentales. La percepción visual puede ser sustituida con la participación activa de la </w:t>
      </w:r>
      <w:r w:rsidRPr="005E1103">
        <w:rPr>
          <w:rFonts w:cstheme="minorHAnsi"/>
          <w:sz w:val="28"/>
          <w:szCs w:val="28"/>
        </w:rPr>
        <w:lastRenderedPageBreak/>
        <w:t>experiencia artística mediante los sentidos del tacto (tocando representaciones volumétricas de obras de arte y leyendo textos escritos en braille), del oído (escuchando pasajes de melodías o sonidos de instrumentos musicales), del gusto (experimentando sabores relacionados con las obras pictóricas) y del olfato (oliendo aromas que evoquen lo plasmado en los cuadros). Experimentar las obras de arte mediante otros sentidos diferentes a la visión permite a los invidentes disfrutar de experiencias estéticas equivalentes a las de las personas sin problemas de visión, y les facilita el acceso al patrimonio artístico desde una museología integradora.</w:t>
      </w:r>
    </w:p>
    <w:p w:rsidR="00033066" w:rsidRPr="005E1103" w:rsidRDefault="00033066" w:rsidP="00033066">
      <w:pPr>
        <w:pStyle w:val="Ttulo1"/>
        <w:jc w:val="both"/>
        <w:rPr>
          <w:rFonts w:asciiTheme="minorHAnsi" w:hAnsiTheme="minorHAnsi" w:cstheme="minorHAnsi"/>
        </w:rPr>
      </w:pPr>
      <w:r w:rsidRPr="005E1103">
        <w:rPr>
          <w:rFonts w:asciiTheme="minorHAnsi" w:hAnsiTheme="minorHAnsi" w:cstheme="minorHAnsi"/>
        </w:rPr>
        <w:t>4.2 Líneas de accesibilidad para personas sordas</w:t>
      </w:r>
    </w:p>
    <w:p w:rsidR="00033066" w:rsidRPr="005E1103" w:rsidRDefault="00033066" w:rsidP="00033066">
      <w:pPr>
        <w:spacing w:line="360" w:lineRule="auto"/>
        <w:jc w:val="both"/>
        <w:rPr>
          <w:rFonts w:cstheme="minorHAnsi"/>
          <w:sz w:val="28"/>
          <w:szCs w:val="28"/>
        </w:rPr>
      </w:pPr>
      <w:r w:rsidRPr="005E1103">
        <w:rPr>
          <w:rFonts w:cstheme="minorHAnsi"/>
          <w:sz w:val="28"/>
          <w:szCs w:val="28"/>
        </w:rPr>
        <w:t>Las personas que no pueden escuchar sonidos con claridad presentan dificultades para recibir en forma adecuada explicaciones acústicas sobre las obras artísticas de un museo, aunque no por ello tienen dificultades para verlas. Aun sin tener problemas de accesibilidad a la contemplación directa de las obras pictóricas o escultóricas, este colectivo puede aprovechar recursos didácticos no sonoros que ayuden a apreciar con mayor detalle la relevancia de dichas obras en su ambiente cultural. El Consorcio intenta mejorar la experiencia de este potencial visitante con el uso de audioguías como elemento de ayuda en la visita, y creando otros tipos de soportes interactivos que acompañen a las personas sordas durante sus recorridos por el Museo del Prado.</w:t>
      </w:r>
    </w:p>
    <w:p w:rsidR="00033066" w:rsidRPr="005E1103" w:rsidRDefault="00033066" w:rsidP="00033066">
      <w:pPr>
        <w:pStyle w:val="Ttulo1"/>
        <w:jc w:val="both"/>
        <w:rPr>
          <w:rFonts w:asciiTheme="minorHAnsi" w:hAnsiTheme="minorHAnsi" w:cstheme="minorHAnsi"/>
        </w:rPr>
      </w:pPr>
      <w:r w:rsidRPr="005E1103">
        <w:rPr>
          <w:rFonts w:asciiTheme="minorHAnsi" w:hAnsiTheme="minorHAnsi" w:cstheme="minorHAnsi"/>
        </w:rPr>
        <w:t>4.3 Líneas de accesibilidad para personas en centros penitenciarios</w:t>
      </w:r>
    </w:p>
    <w:p w:rsidR="00033066" w:rsidRPr="005E1103" w:rsidRDefault="00033066" w:rsidP="00033066">
      <w:pPr>
        <w:spacing w:line="360" w:lineRule="auto"/>
        <w:jc w:val="both"/>
        <w:rPr>
          <w:rFonts w:cstheme="minorHAnsi"/>
          <w:sz w:val="28"/>
          <w:szCs w:val="28"/>
        </w:rPr>
      </w:pPr>
      <w:r w:rsidRPr="005E1103">
        <w:rPr>
          <w:rFonts w:cstheme="minorHAnsi"/>
          <w:sz w:val="28"/>
          <w:szCs w:val="28"/>
        </w:rPr>
        <w:t xml:space="preserve">Las personas privadas de libertad de movimiento por estar recluidas en instituciones penitenciarias no pueden acudir en persona al Museo del Prado para apreciar in situ su patrimonio histórico-artístico, salvo que su </w:t>
      </w:r>
      <w:r w:rsidRPr="005E1103">
        <w:rPr>
          <w:rFonts w:cstheme="minorHAnsi"/>
          <w:sz w:val="28"/>
          <w:szCs w:val="28"/>
        </w:rPr>
        <w:lastRenderedPageBreak/>
        <w:t>cuyo régimen de internamiento lo permita. Asimismo, los reclusos carecen de libre acceso a internet, o lo tienen muy restringido y controlado, por lo cual tampoco pueden acceder con facilidad a los recursos ofrecidos por el Museo mediante su página web ni a otros servicios disponibles en la nube. En este orden de ideas, el Consorcio MUSACCES se centra en dos objetivos fundamentales: por una parte, llevar el Museo a los centros de internamiento, enriqueciendo actividades programadas de Arteterapia; por otra, acercar las instituciones penitenciarias al Museo del Prado. Los investigadores buscarán formas novedosas de trasladar experiencias artísticas prácticas e interactivas a las instalaciones penitenciarias mediante conferencias, cursos, jornadas de formación, talleres expresivos y creativos y/o exposiciones de obras de arte producidas por los propios reclusos.</w:t>
      </w:r>
    </w:p>
    <w:p w:rsidR="00033066" w:rsidRPr="005E1103" w:rsidRDefault="00033066" w:rsidP="00033066">
      <w:pPr>
        <w:spacing w:line="360" w:lineRule="auto"/>
        <w:jc w:val="both"/>
        <w:rPr>
          <w:rFonts w:cstheme="minorHAnsi"/>
          <w:sz w:val="28"/>
          <w:szCs w:val="28"/>
        </w:rPr>
      </w:pPr>
      <w:r w:rsidRPr="005E1103">
        <w:rPr>
          <w:rFonts w:cstheme="minorHAnsi"/>
          <w:sz w:val="28"/>
          <w:szCs w:val="28"/>
        </w:rPr>
        <w:t>El Arteterapia se sitúa dentro de las llamadas Terapias Creativas (Martínez, 2011) siendo una modalidad de intervención terapéutica cuya aplicación está enfocada a la producción de imágenes y objetos a través de los medios artísticos, (pintura, dibujo, escultura, fotografía, video, instalación, etc.), con la finalidad de que los participantes puedan tomar conciencia, actualizar o resolver sus propios problemas psicológicos. La esencia del Arteterapia reside en la posibilidad de proyectar, durante el proceso creativo y la obra realizada, aquellas sensaciones, pensamientos, emociones, recuerdos, etc., que con el lenguaje verbal, resulta más complicado expresar. En definitiva, permite abrir un canal de comunicación donde la persona pueda expresar con libertad sus procesos internos con la intención de integrarlos en su vida, más que con un fin estético.</w:t>
      </w:r>
    </w:p>
    <w:p w:rsidR="00033066" w:rsidRPr="005E1103" w:rsidRDefault="00033066" w:rsidP="00033066">
      <w:pPr>
        <w:spacing w:line="360" w:lineRule="auto"/>
        <w:jc w:val="both"/>
        <w:rPr>
          <w:rFonts w:cstheme="minorHAnsi"/>
          <w:sz w:val="28"/>
          <w:szCs w:val="28"/>
        </w:rPr>
      </w:pPr>
      <w:r w:rsidRPr="005E1103">
        <w:rPr>
          <w:rFonts w:cstheme="minorHAnsi"/>
          <w:sz w:val="28"/>
          <w:szCs w:val="28"/>
        </w:rPr>
        <w:lastRenderedPageBreak/>
        <w:t>La Arteterapia recurre principalmente a procesos de comunicación no verbal (artes plásticas, música y expresión corporal) dejando abierta así la puerta a procesos simbólicos más espontáneos que las palabras, favorecedores tanto de la expresión de sentimientos personales, con lo que conlleva una primera base de autoestima, como de la lectura y reconocimiento en los procesos expresivos de los otros, lo que favorecerá intercambios sociales positivos. (Rodríguez, 2007: 276-277)</w:t>
      </w:r>
    </w:p>
    <w:p w:rsidR="00033066" w:rsidRPr="005E1103" w:rsidRDefault="00033066" w:rsidP="00033066">
      <w:pPr>
        <w:pStyle w:val="Ttulo1"/>
        <w:rPr>
          <w:rFonts w:asciiTheme="minorHAnsi" w:hAnsiTheme="minorHAnsi" w:cstheme="minorHAnsi"/>
        </w:rPr>
      </w:pPr>
    </w:p>
    <w:p w:rsidR="00033066" w:rsidRPr="005E1103" w:rsidRDefault="00033066" w:rsidP="00033066">
      <w:pPr>
        <w:pStyle w:val="Ttulo1"/>
        <w:jc w:val="both"/>
        <w:rPr>
          <w:rFonts w:asciiTheme="minorHAnsi" w:hAnsiTheme="minorHAnsi" w:cstheme="minorHAnsi"/>
        </w:rPr>
      </w:pPr>
      <w:r w:rsidRPr="005E1103">
        <w:rPr>
          <w:rFonts w:asciiTheme="minorHAnsi" w:hAnsiTheme="minorHAnsi" w:cstheme="minorHAnsi"/>
        </w:rPr>
        <w:t>5 Conclusiones</w:t>
      </w:r>
    </w:p>
    <w:p w:rsidR="00033066" w:rsidRPr="005E1103" w:rsidRDefault="00033066" w:rsidP="00033066">
      <w:pPr>
        <w:spacing w:line="360" w:lineRule="auto"/>
        <w:jc w:val="both"/>
        <w:rPr>
          <w:rFonts w:cstheme="minorHAnsi"/>
          <w:sz w:val="28"/>
          <w:szCs w:val="28"/>
        </w:rPr>
      </w:pPr>
      <w:r w:rsidRPr="005E1103">
        <w:rPr>
          <w:rFonts w:cstheme="minorHAnsi"/>
          <w:sz w:val="28"/>
          <w:szCs w:val="28"/>
        </w:rPr>
        <w:t>El proyecto MUSACCES surge con la finalidad primordial de reunir investigadores universitarios de varias disciplinas para contribuir a mejorar la accesibilidad de algunos colectivos especiales a la cultura. Los ocho Grupos de Investigación que forman el Consorcio integran a especialistas multidisciplinares en historia, arte y tecnología que permite una visión más completa de los problemas de accesibilidad al Museo del Prado y ayuda en forma sustancial a enriquecer mutuamente el panorama de la investigación con aportes desde distintos campos de conocimiento.</w:t>
      </w:r>
    </w:p>
    <w:p w:rsidR="00033066" w:rsidRPr="005E1103" w:rsidRDefault="00033066" w:rsidP="00033066">
      <w:pPr>
        <w:spacing w:line="360" w:lineRule="auto"/>
        <w:jc w:val="both"/>
        <w:rPr>
          <w:rFonts w:cstheme="minorHAnsi"/>
          <w:sz w:val="28"/>
          <w:szCs w:val="28"/>
        </w:rPr>
      </w:pPr>
      <w:r w:rsidRPr="005E1103">
        <w:rPr>
          <w:rFonts w:cstheme="minorHAnsi"/>
          <w:sz w:val="28"/>
          <w:szCs w:val="28"/>
        </w:rPr>
        <w:t xml:space="preserve">Los trabajos iniciados están centrados en tres colectivos con características especiales y en los beneficios que el uso de las TIC puedan aportar para su acercamiento al patrimonio artístico. En el caso de la atención a personas con discapacidad visual y auditiva, el enfoque escogido ha sido el de activación multi-sensorial, de forma que cada persona pueda disfrutar del arte con los sentidos que les sean más favorables. En cuanto a los centros penitenciarios, parece evidente que los intercambios entre profesionales de Museología y la Arteterapia pueden </w:t>
      </w:r>
      <w:r w:rsidRPr="005E1103">
        <w:rPr>
          <w:rFonts w:cstheme="minorHAnsi"/>
          <w:sz w:val="28"/>
          <w:szCs w:val="28"/>
        </w:rPr>
        <w:lastRenderedPageBreak/>
        <w:t>enriquecer enormemente su práctica, posibilitando nuevos enfoques metodológicos que impliquen la colaboración de un público más amplio y una mejora social a través del arte.</w:t>
      </w:r>
    </w:p>
    <w:p w:rsidR="00033066" w:rsidRPr="005E1103" w:rsidRDefault="00033066" w:rsidP="00033066">
      <w:pPr>
        <w:spacing w:line="360" w:lineRule="auto"/>
        <w:jc w:val="both"/>
        <w:rPr>
          <w:rFonts w:cstheme="minorHAnsi"/>
          <w:sz w:val="28"/>
          <w:szCs w:val="28"/>
        </w:rPr>
      </w:pPr>
      <w:r w:rsidRPr="005E1103">
        <w:rPr>
          <w:rFonts w:cstheme="minorHAnsi"/>
          <w:sz w:val="28"/>
          <w:szCs w:val="28"/>
        </w:rPr>
        <w:t>El Consorcio MUSACCES tiene como destinatario de sus programas a la sociedad en general, en especial en el marco de la Comunidad de Madrid, pero también todos aquellos territorios e instituciones nacionales e internacionales que puedan exportar el modelo.</w:t>
      </w:r>
    </w:p>
    <w:p w:rsidR="00033066" w:rsidRPr="005E1103" w:rsidRDefault="00033066" w:rsidP="00033066">
      <w:pPr>
        <w:pStyle w:val="Ttulo1"/>
        <w:jc w:val="both"/>
        <w:rPr>
          <w:rFonts w:asciiTheme="minorHAnsi" w:hAnsiTheme="minorHAnsi" w:cstheme="minorHAnsi"/>
        </w:rPr>
      </w:pPr>
      <w:r w:rsidRPr="005E1103">
        <w:rPr>
          <w:rFonts w:asciiTheme="minorHAnsi" w:hAnsiTheme="minorHAnsi" w:cstheme="minorHAnsi"/>
        </w:rPr>
        <w:t>6 Agradecimientos</w:t>
      </w:r>
    </w:p>
    <w:p w:rsidR="00033066" w:rsidRPr="005E1103" w:rsidRDefault="00033066" w:rsidP="00033066">
      <w:pPr>
        <w:pStyle w:val="p1a"/>
        <w:spacing w:line="360" w:lineRule="auto"/>
        <w:rPr>
          <w:rFonts w:asciiTheme="minorHAnsi" w:hAnsiTheme="minorHAnsi" w:cstheme="minorHAnsi"/>
          <w:sz w:val="28"/>
          <w:szCs w:val="28"/>
          <w:lang w:val="es-ES"/>
        </w:rPr>
      </w:pPr>
      <w:r w:rsidRPr="005E1103">
        <w:rPr>
          <w:rFonts w:asciiTheme="minorHAnsi" w:hAnsiTheme="minorHAnsi" w:cstheme="minorHAnsi"/>
          <w:sz w:val="28"/>
          <w:szCs w:val="28"/>
          <w:lang w:val="es-ES"/>
        </w:rPr>
        <w:t>Se agradece la financiación recibida S2015/HUM-3494 del Programa de Actividades de I+D. Convocatoria Ciencias Sociales y Humanidades de la Comunidad de Madrid y el apoyo de la Cátedra de Tecnología y Accesibilidad UNED - Fundación Vodafone España.</w:t>
      </w:r>
    </w:p>
    <w:p w:rsidR="00033066" w:rsidRPr="005E1103" w:rsidRDefault="00033066" w:rsidP="00033066">
      <w:pPr>
        <w:spacing w:line="360" w:lineRule="auto"/>
        <w:rPr>
          <w:rFonts w:cstheme="minorHAnsi"/>
          <w:sz w:val="28"/>
          <w:szCs w:val="28"/>
        </w:rPr>
      </w:pPr>
    </w:p>
    <w:p w:rsidR="00033066" w:rsidRPr="005E1103" w:rsidRDefault="00033066" w:rsidP="00033066">
      <w:pPr>
        <w:pStyle w:val="Ttulo1"/>
        <w:rPr>
          <w:rFonts w:asciiTheme="minorHAnsi" w:hAnsiTheme="minorHAnsi" w:cstheme="minorHAnsi"/>
          <w:lang w:val="en-US"/>
        </w:rPr>
      </w:pPr>
      <w:r w:rsidRPr="005E1103">
        <w:rPr>
          <w:rFonts w:asciiTheme="minorHAnsi" w:hAnsiTheme="minorHAnsi" w:cstheme="minorHAnsi"/>
          <w:lang w:val="en-US"/>
        </w:rPr>
        <w:t>Referencias bibliográficas</w:t>
      </w:r>
    </w:p>
    <w:p w:rsidR="00033066" w:rsidRPr="005E1103" w:rsidRDefault="00033066" w:rsidP="00033066">
      <w:pPr>
        <w:jc w:val="both"/>
        <w:rPr>
          <w:rFonts w:cstheme="minorHAnsi"/>
          <w:sz w:val="28"/>
          <w:szCs w:val="28"/>
          <w:lang w:val="en-US"/>
        </w:rPr>
      </w:pPr>
      <w:r w:rsidRPr="005E1103">
        <w:rPr>
          <w:rFonts w:cstheme="minorHAnsi"/>
          <w:sz w:val="28"/>
          <w:szCs w:val="28"/>
          <w:lang w:val="en-US"/>
        </w:rPr>
        <w:t>Davis, F.D.; Bagozzi, R.P. y Warsaw, P.R. (1989) "User acceptance  of  computer  technology:  A  comparison  of two theoretical models", Management Sciences, 35 (8).</w:t>
      </w:r>
    </w:p>
    <w:p w:rsidR="00033066" w:rsidRPr="005E1103" w:rsidRDefault="00033066" w:rsidP="00033066">
      <w:pPr>
        <w:jc w:val="both"/>
        <w:rPr>
          <w:rFonts w:cstheme="minorHAnsi"/>
          <w:sz w:val="28"/>
          <w:szCs w:val="28"/>
          <w:lang w:val="en-US"/>
        </w:rPr>
      </w:pPr>
      <w:r w:rsidRPr="005E1103">
        <w:rPr>
          <w:rFonts w:cstheme="minorHAnsi"/>
          <w:sz w:val="28"/>
          <w:szCs w:val="28"/>
          <w:lang w:val="en-US"/>
        </w:rPr>
        <w:t xml:space="preserve">Davis, F.D. (1989) Perceived usefulness, perceived ease of use, and user acceptance of information technology, MIS Quarterly, 13 (3). </w:t>
      </w:r>
    </w:p>
    <w:p w:rsidR="00033066" w:rsidRPr="005E1103" w:rsidRDefault="00033066" w:rsidP="00033066">
      <w:pPr>
        <w:jc w:val="both"/>
        <w:rPr>
          <w:rFonts w:cstheme="minorHAnsi"/>
          <w:sz w:val="28"/>
          <w:szCs w:val="28"/>
        </w:rPr>
      </w:pPr>
      <w:r w:rsidRPr="005E1103">
        <w:rPr>
          <w:rFonts w:cstheme="minorHAnsi"/>
          <w:sz w:val="28"/>
          <w:szCs w:val="28"/>
        </w:rPr>
        <w:t>“Accesibilidad Universal al Patrimonio Cultural. Fundamentos, Criterios y Pautas” Real Patronato sobre Discapacidad (2011)</w:t>
      </w:r>
    </w:p>
    <w:p w:rsidR="00033066" w:rsidRPr="005E1103" w:rsidRDefault="00033066" w:rsidP="00033066">
      <w:pPr>
        <w:jc w:val="both"/>
        <w:rPr>
          <w:rFonts w:cstheme="minorHAnsi"/>
          <w:sz w:val="28"/>
          <w:szCs w:val="28"/>
        </w:rPr>
      </w:pPr>
      <w:r w:rsidRPr="005E1103">
        <w:rPr>
          <w:rFonts w:cstheme="minorHAnsi"/>
          <w:sz w:val="28"/>
          <w:szCs w:val="28"/>
        </w:rPr>
        <w:t>Martínez, M. D. L. (2011). Arteterapia y Museos: Puntos de encuentro. Arte y políticas de identidad, 4, 127-136.</w:t>
      </w:r>
    </w:p>
    <w:p w:rsidR="003B20DC" w:rsidRPr="005E1103" w:rsidRDefault="00033066" w:rsidP="00033066">
      <w:pPr>
        <w:jc w:val="both"/>
        <w:rPr>
          <w:rFonts w:cstheme="minorHAnsi"/>
          <w:sz w:val="28"/>
          <w:szCs w:val="28"/>
        </w:rPr>
      </w:pPr>
      <w:r w:rsidRPr="005E1103">
        <w:rPr>
          <w:rFonts w:cstheme="minorHAnsi"/>
          <w:sz w:val="28"/>
          <w:szCs w:val="28"/>
        </w:rPr>
        <w:t>Rodríguez Fernández, E. (2007). Me siento vivo y convivo. Arteterapia. Papeles de arteterapia y educación artística para la inclusión social, 2, 275-291</w:t>
      </w:r>
    </w:p>
    <w:p w:rsidR="003B20DC" w:rsidRPr="005E1103" w:rsidRDefault="003B20DC">
      <w:pPr>
        <w:rPr>
          <w:rFonts w:cstheme="minorHAnsi"/>
          <w:sz w:val="28"/>
          <w:szCs w:val="28"/>
        </w:rPr>
      </w:pPr>
      <w:r w:rsidRPr="005E1103">
        <w:rPr>
          <w:rFonts w:cstheme="minorHAnsi"/>
          <w:sz w:val="28"/>
          <w:szCs w:val="28"/>
        </w:rPr>
        <w:br w:type="page"/>
      </w:r>
    </w:p>
    <w:p w:rsidR="003B20DC" w:rsidRPr="005E1103" w:rsidRDefault="003B20DC" w:rsidP="003B20DC">
      <w:pPr>
        <w:spacing w:line="360" w:lineRule="auto"/>
        <w:jc w:val="center"/>
        <w:rPr>
          <w:rFonts w:cstheme="minorHAnsi"/>
          <w:b/>
          <w:sz w:val="28"/>
          <w:szCs w:val="28"/>
        </w:rPr>
      </w:pPr>
      <w:r w:rsidRPr="005E1103">
        <w:rPr>
          <w:rFonts w:cstheme="minorHAnsi"/>
          <w:b/>
          <w:sz w:val="28"/>
          <w:szCs w:val="28"/>
        </w:rPr>
        <w:lastRenderedPageBreak/>
        <w:t>COMUNICACIÓN 13</w:t>
      </w:r>
    </w:p>
    <w:p w:rsidR="003B20DC" w:rsidRPr="005E1103" w:rsidRDefault="003B20DC" w:rsidP="003B20DC">
      <w:pPr>
        <w:pBdr>
          <w:top w:val="single" w:sz="4" w:space="1" w:color="auto"/>
          <w:left w:val="single" w:sz="4" w:space="4" w:color="auto"/>
          <w:bottom w:val="single" w:sz="4" w:space="1" w:color="auto"/>
          <w:right w:val="single" w:sz="4" w:space="4" w:color="auto"/>
        </w:pBdr>
        <w:spacing w:line="240" w:lineRule="auto"/>
        <w:jc w:val="center"/>
        <w:rPr>
          <w:rFonts w:cstheme="minorHAnsi"/>
          <w:noProof/>
          <w:sz w:val="28"/>
          <w:szCs w:val="28"/>
          <w:lang w:eastAsia="es-ES"/>
        </w:rPr>
      </w:pPr>
      <w:r w:rsidRPr="005E1103">
        <w:rPr>
          <w:rFonts w:cstheme="minorHAnsi"/>
          <w:noProof/>
          <w:sz w:val="28"/>
          <w:szCs w:val="28"/>
          <w:lang w:eastAsia="es-ES"/>
        </w:rPr>
        <w:t>MOVISTAR + 5S</w:t>
      </w:r>
    </w:p>
    <w:p w:rsidR="003B20DC" w:rsidRPr="005E1103" w:rsidRDefault="003B20DC" w:rsidP="003B20DC">
      <w:pPr>
        <w:pBdr>
          <w:top w:val="single" w:sz="4" w:space="1" w:color="auto"/>
          <w:left w:val="single" w:sz="4" w:space="4" w:color="auto"/>
          <w:bottom w:val="single" w:sz="4" w:space="1" w:color="auto"/>
          <w:right w:val="single" w:sz="4" w:space="4" w:color="auto"/>
        </w:pBdr>
        <w:spacing w:line="240" w:lineRule="auto"/>
        <w:jc w:val="center"/>
        <w:rPr>
          <w:rFonts w:cstheme="minorHAnsi"/>
          <w:sz w:val="28"/>
          <w:szCs w:val="28"/>
        </w:rPr>
      </w:pPr>
      <w:r w:rsidRPr="005E1103">
        <w:rPr>
          <w:rFonts w:cstheme="minorHAnsi"/>
          <w:sz w:val="28"/>
          <w:szCs w:val="28"/>
        </w:rPr>
        <w:t>ENTRETENIMIENTO EN TODOS LOS SENTIDOS</w:t>
      </w:r>
    </w:p>
    <w:p w:rsidR="003B20DC" w:rsidRPr="005E1103" w:rsidRDefault="003B20DC" w:rsidP="003B20DC">
      <w:pPr>
        <w:spacing w:line="360" w:lineRule="auto"/>
        <w:jc w:val="center"/>
        <w:rPr>
          <w:rFonts w:cstheme="minorHAnsi"/>
          <w:b/>
          <w:sz w:val="28"/>
          <w:szCs w:val="28"/>
        </w:rPr>
      </w:pPr>
    </w:p>
    <w:p w:rsidR="003B20DC" w:rsidRPr="005E1103" w:rsidRDefault="003B20DC" w:rsidP="003B20DC">
      <w:pPr>
        <w:pStyle w:val="Ttulo3"/>
        <w:jc w:val="right"/>
        <w:rPr>
          <w:rFonts w:asciiTheme="minorHAnsi" w:hAnsiTheme="minorHAnsi" w:cstheme="minorHAnsi"/>
          <w:b/>
          <w:sz w:val="28"/>
          <w:szCs w:val="28"/>
        </w:rPr>
      </w:pPr>
      <w:r w:rsidRPr="005E1103">
        <w:rPr>
          <w:rFonts w:asciiTheme="minorHAnsi" w:hAnsiTheme="minorHAnsi" w:cstheme="minorHAnsi"/>
          <w:sz w:val="28"/>
          <w:szCs w:val="28"/>
        </w:rPr>
        <w:t>Arancha Díaz-LLadó, Directora de Innovación Sostenible</w:t>
      </w:r>
    </w:p>
    <w:p w:rsidR="003B20DC" w:rsidRPr="005E1103" w:rsidRDefault="003B20DC" w:rsidP="003B20DC">
      <w:pPr>
        <w:pStyle w:val="Ttulo3"/>
        <w:jc w:val="right"/>
        <w:rPr>
          <w:rFonts w:asciiTheme="minorHAnsi" w:hAnsiTheme="minorHAnsi" w:cstheme="minorHAnsi"/>
          <w:b/>
          <w:sz w:val="28"/>
          <w:szCs w:val="28"/>
        </w:rPr>
      </w:pPr>
      <w:r w:rsidRPr="005E1103">
        <w:rPr>
          <w:rFonts w:asciiTheme="minorHAnsi" w:hAnsiTheme="minorHAnsi" w:cstheme="minorHAnsi"/>
          <w:sz w:val="28"/>
          <w:szCs w:val="28"/>
        </w:rPr>
        <w:t>Telefónica, S.A.</w:t>
      </w:r>
    </w:p>
    <w:p w:rsidR="003B20DC" w:rsidRPr="005E1103" w:rsidRDefault="003B20DC" w:rsidP="003B20DC">
      <w:pPr>
        <w:tabs>
          <w:tab w:val="left" w:pos="2901"/>
        </w:tabs>
        <w:spacing w:line="360" w:lineRule="auto"/>
        <w:rPr>
          <w:rFonts w:cstheme="minorHAnsi"/>
          <w:sz w:val="28"/>
          <w:szCs w:val="28"/>
        </w:rPr>
      </w:pPr>
    </w:p>
    <w:p w:rsidR="003B20DC" w:rsidRPr="005E1103" w:rsidRDefault="003B20DC" w:rsidP="003B20DC">
      <w:pPr>
        <w:pStyle w:val="Citadestacada"/>
        <w:spacing w:line="360" w:lineRule="auto"/>
        <w:rPr>
          <w:rStyle w:val="Referenciaintensa"/>
          <w:rFonts w:asciiTheme="minorHAnsi" w:hAnsiTheme="minorHAnsi" w:cstheme="minorHAnsi"/>
          <w:i w:val="0"/>
          <w:sz w:val="28"/>
          <w:szCs w:val="28"/>
        </w:rPr>
      </w:pPr>
      <w:r w:rsidRPr="005E1103">
        <w:rPr>
          <w:rStyle w:val="Referenciaintensa"/>
          <w:rFonts w:asciiTheme="minorHAnsi" w:hAnsiTheme="minorHAnsi" w:cstheme="minorHAnsi"/>
          <w:i w:val="0"/>
          <w:sz w:val="28"/>
          <w:szCs w:val="28"/>
        </w:rPr>
        <w:t>introducción</w:t>
      </w:r>
    </w:p>
    <w:p w:rsidR="003B20DC" w:rsidRPr="005E1103" w:rsidRDefault="003B20DC" w:rsidP="003B20DC">
      <w:pPr>
        <w:spacing w:line="360" w:lineRule="auto"/>
        <w:jc w:val="both"/>
        <w:rPr>
          <w:rFonts w:cstheme="minorHAnsi"/>
          <w:sz w:val="28"/>
          <w:szCs w:val="28"/>
        </w:rPr>
      </w:pPr>
    </w:p>
    <w:p w:rsidR="003B20DC" w:rsidRPr="005E1103" w:rsidRDefault="003B20DC" w:rsidP="003B20DC">
      <w:pPr>
        <w:spacing w:line="360" w:lineRule="auto"/>
        <w:jc w:val="both"/>
        <w:rPr>
          <w:rFonts w:cstheme="minorHAnsi"/>
          <w:sz w:val="28"/>
          <w:szCs w:val="28"/>
        </w:rPr>
      </w:pPr>
      <w:r w:rsidRPr="005E1103">
        <w:rPr>
          <w:rFonts w:cstheme="minorHAnsi"/>
          <w:sz w:val="28"/>
          <w:szCs w:val="28"/>
        </w:rPr>
        <w:t>En España hay más de 2 millones de personas con discapacidad sensorial que son demandantes de ocio adaptado a sus necesidades y requerimientos. A veces para estas personas, disfrutar de una película en compañía significa que se la estén contando o interpretando en lengua de signos. Esto, hace que disfrutar del entretenimiento se pueda volver tedioso para ellos, para sus acompañantes y para las personas que están alrededor.</w:t>
      </w:r>
    </w:p>
    <w:p w:rsidR="003B20DC" w:rsidRPr="005E1103" w:rsidRDefault="003B20DC" w:rsidP="003B20DC">
      <w:pPr>
        <w:spacing w:line="360" w:lineRule="auto"/>
        <w:jc w:val="both"/>
        <w:rPr>
          <w:rFonts w:cstheme="minorHAnsi"/>
          <w:sz w:val="28"/>
          <w:szCs w:val="28"/>
        </w:rPr>
      </w:pPr>
      <w:r w:rsidRPr="005E1103">
        <w:rPr>
          <w:rFonts w:cstheme="minorHAnsi"/>
          <w:sz w:val="28"/>
          <w:szCs w:val="28"/>
        </w:rPr>
        <w:t>Según la legislación española, Ley 7/2010, de 31 de Marzo, General de la Comunicación Audiovisual, que regula la cobertura estatal, se establecen unas normas básicas en materia audiovisual sin perjuicio de las competencias reservadas a las Comunidades Autónomas y a los Entes Locales en sus respectivos ámbitos.</w:t>
      </w:r>
    </w:p>
    <w:p w:rsidR="003B20DC" w:rsidRPr="005E1103" w:rsidRDefault="003B20DC" w:rsidP="003B20DC">
      <w:pPr>
        <w:spacing w:line="360" w:lineRule="auto"/>
        <w:jc w:val="both"/>
        <w:rPr>
          <w:rFonts w:cstheme="minorHAnsi"/>
          <w:sz w:val="28"/>
          <w:szCs w:val="28"/>
        </w:rPr>
      </w:pPr>
      <w:r w:rsidRPr="005E1103">
        <w:rPr>
          <w:rFonts w:cstheme="minorHAnsi"/>
          <w:sz w:val="28"/>
          <w:szCs w:val="28"/>
        </w:rPr>
        <w:t>En concreto, en el artículo 8 se estipula que:</w:t>
      </w:r>
    </w:p>
    <w:p w:rsidR="003B20DC" w:rsidRPr="005E1103" w:rsidRDefault="003B20DC" w:rsidP="003B20DC">
      <w:pPr>
        <w:pStyle w:val="Prrafodelista"/>
        <w:numPr>
          <w:ilvl w:val="0"/>
          <w:numId w:val="143"/>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lastRenderedPageBreak/>
        <w:t>Las personas con discapacidad auditiva tienen el derecho a que la comunicación audiovisual televisiva, en abierto y cobertura estatal o autonómica, subtitule el 75% de los programas y cuente al menos con dos horas a la semana de interpretación con lengua de signos.</w:t>
      </w:r>
    </w:p>
    <w:p w:rsidR="003B20DC" w:rsidRPr="005E1103" w:rsidRDefault="003B20DC" w:rsidP="003B20DC">
      <w:pPr>
        <w:pStyle w:val="Prrafodelista"/>
        <w:numPr>
          <w:ilvl w:val="0"/>
          <w:numId w:val="143"/>
        </w:numPr>
        <w:spacing w:before="0" w:after="200" w:line="360" w:lineRule="auto"/>
        <w:jc w:val="both"/>
        <w:rPr>
          <w:rFonts w:asciiTheme="minorHAnsi" w:hAnsiTheme="minorHAnsi" w:cstheme="minorHAnsi"/>
          <w:sz w:val="28"/>
          <w:szCs w:val="28"/>
        </w:rPr>
      </w:pPr>
      <w:r w:rsidRPr="005E1103">
        <w:rPr>
          <w:rFonts w:asciiTheme="minorHAnsi" w:hAnsiTheme="minorHAnsi" w:cstheme="minorHAnsi"/>
          <w:sz w:val="28"/>
          <w:szCs w:val="28"/>
        </w:rPr>
        <w:t>Las personas con discapacidad visual tienen el derecho a que la comunicación audiovisual televisiva, en abierto y cobertura estatal o autonómica, cuente al menos con dos horas audio descritas a la semana.</w:t>
      </w:r>
    </w:p>
    <w:p w:rsidR="003B20DC" w:rsidRPr="005E1103" w:rsidRDefault="003B20DC" w:rsidP="003B20DC">
      <w:pPr>
        <w:spacing w:line="360" w:lineRule="auto"/>
        <w:jc w:val="both"/>
        <w:rPr>
          <w:rFonts w:cstheme="minorHAnsi"/>
          <w:sz w:val="28"/>
          <w:szCs w:val="28"/>
        </w:rPr>
      </w:pPr>
      <w:r w:rsidRPr="005E1103">
        <w:rPr>
          <w:rFonts w:cstheme="minorHAnsi"/>
          <w:sz w:val="28"/>
          <w:szCs w:val="28"/>
        </w:rPr>
        <w:t>Esta normativa que, a la vez que se nos antoja insuficiente, es tremendamente intrusiva en el entorno de las personas con discapacidad. Activar las accesibilidades descritas implica que las personas con las que se comparte la televisión vean también los subtítulos o la lengua de signos o escuchen la audiodescripción, aún sin ser necesario para ellos.</w:t>
      </w:r>
    </w:p>
    <w:p w:rsidR="003B20DC" w:rsidRPr="005E1103" w:rsidRDefault="003B20DC" w:rsidP="003B20DC">
      <w:pPr>
        <w:spacing w:line="360" w:lineRule="auto"/>
        <w:rPr>
          <w:rFonts w:cstheme="minorHAnsi"/>
          <w:sz w:val="28"/>
          <w:szCs w:val="28"/>
        </w:rPr>
      </w:pPr>
    </w:p>
    <w:p w:rsidR="003B20DC" w:rsidRPr="005E1103" w:rsidRDefault="003B20DC" w:rsidP="003B20DC">
      <w:pPr>
        <w:spacing w:line="360" w:lineRule="auto"/>
        <w:rPr>
          <w:rFonts w:cstheme="minorHAnsi"/>
          <w:sz w:val="28"/>
          <w:szCs w:val="28"/>
        </w:rPr>
      </w:pPr>
    </w:p>
    <w:p w:rsidR="003B20DC" w:rsidRPr="005E1103" w:rsidRDefault="003B20DC" w:rsidP="003B20DC">
      <w:pPr>
        <w:spacing w:line="360" w:lineRule="auto"/>
        <w:rPr>
          <w:rFonts w:cstheme="minorHAnsi"/>
          <w:sz w:val="28"/>
          <w:szCs w:val="28"/>
        </w:rPr>
      </w:pPr>
    </w:p>
    <w:p w:rsidR="003B20DC" w:rsidRPr="005E1103" w:rsidRDefault="003B20DC" w:rsidP="003B20DC">
      <w:pPr>
        <w:pStyle w:val="Citadestacada"/>
        <w:spacing w:line="360" w:lineRule="auto"/>
        <w:rPr>
          <w:rStyle w:val="Referenciaintensa"/>
          <w:rFonts w:asciiTheme="minorHAnsi" w:hAnsiTheme="minorHAnsi" w:cstheme="minorHAnsi"/>
          <w:i w:val="0"/>
          <w:sz w:val="28"/>
          <w:szCs w:val="28"/>
        </w:rPr>
      </w:pPr>
      <w:r w:rsidRPr="005E1103">
        <w:rPr>
          <w:rStyle w:val="Referenciaintensa"/>
          <w:rFonts w:asciiTheme="minorHAnsi" w:hAnsiTheme="minorHAnsi" w:cstheme="minorHAnsi"/>
          <w:i w:val="0"/>
          <w:sz w:val="28"/>
          <w:szCs w:val="28"/>
        </w:rPr>
        <w:t xml:space="preserve">Posicionamiento de Telefónica </w:t>
      </w:r>
    </w:p>
    <w:p w:rsidR="003B20DC" w:rsidRPr="005E1103" w:rsidRDefault="003B20DC" w:rsidP="003B20DC">
      <w:pPr>
        <w:spacing w:line="360" w:lineRule="auto"/>
        <w:jc w:val="both"/>
        <w:rPr>
          <w:rFonts w:cstheme="minorHAnsi"/>
          <w:sz w:val="28"/>
          <w:szCs w:val="28"/>
        </w:rPr>
      </w:pPr>
    </w:p>
    <w:p w:rsidR="003B20DC" w:rsidRPr="005E1103" w:rsidRDefault="003B20DC" w:rsidP="003B20DC">
      <w:pPr>
        <w:spacing w:line="360" w:lineRule="auto"/>
        <w:jc w:val="both"/>
        <w:rPr>
          <w:rFonts w:cstheme="minorHAnsi"/>
          <w:sz w:val="28"/>
          <w:szCs w:val="28"/>
        </w:rPr>
      </w:pPr>
      <w:r w:rsidRPr="005E1103">
        <w:rPr>
          <w:rFonts w:cstheme="minorHAnsi"/>
          <w:sz w:val="28"/>
          <w:szCs w:val="28"/>
        </w:rPr>
        <w:t>Las nuevas tecnologías digitales son en la actualidad el principal motor de transformación social y económica. Esta premisa es la base sobre la que construimos la visión de Telefónica como Compañía: queremos garantizar el acceso a la vida digital, con la mejor tecnología y sin dejar a nadie atrás.</w:t>
      </w:r>
    </w:p>
    <w:p w:rsidR="003B20DC" w:rsidRPr="005E1103" w:rsidRDefault="003B20DC" w:rsidP="003B20DC">
      <w:pPr>
        <w:spacing w:line="360" w:lineRule="auto"/>
        <w:jc w:val="both"/>
        <w:rPr>
          <w:rFonts w:cstheme="minorHAnsi"/>
          <w:sz w:val="28"/>
          <w:szCs w:val="28"/>
        </w:rPr>
      </w:pPr>
      <w:r w:rsidRPr="005E1103">
        <w:rPr>
          <w:rFonts w:cstheme="minorHAnsi"/>
          <w:sz w:val="28"/>
          <w:szCs w:val="28"/>
        </w:rPr>
        <w:lastRenderedPageBreak/>
        <w:t>Por esto, impulsamos los valores de innovación sostenible, de forma que sea una constante a lo largo del ciclo de vida de las soluciones que ofrecemos. El objetivo principal que perseguimos es abordar retos sociales o medioambientales, tanto interno a nuestra empresa como externo, generando a su vez valor o, lo que es lo mismo, crear soluciones que, además de crear valor económico, tengan un impacto positivo en la sociedad y el planeta.</w:t>
      </w:r>
    </w:p>
    <w:p w:rsidR="003B20DC" w:rsidRPr="005E1103" w:rsidRDefault="003B20DC" w:rsidP="003B20DC">
      <w:pPr>
        <w:spacing w:line="360" w:lineRule="auto"/>
        <w:jc w:val="both"/>
        <w:rPr>
          <w:rFonts w:cstheme="minorHAnsi"/>
          <w:sz w:val="28"/>
          <w:szCs w:val="28"/>
        </w:rPr>
      </w:pPr>
      <w:r w:rsidRPr="005E1103">
        <w:rPr>
          <w:rFonts w:cstheme="minorHAnsi"/>
          <w:sz w:val="28"/>
          <w:szCs w:val="28"/>
        </w:rPr>
        <w:t xml:space="preserve">De esta forma, la tecnología también ha sido un actor importante en los últimos años en el mundo de la discapacidad, dando lugar a una revolución que puede contribuir a mejorar extraordinariamente las condiciones de vida de millones de personas.  </w:t>
      </w:r>
    </w:p>
    <w:p w:rsidR="003B20DC" w:rsidRPr="005E1103" w:rsidRDefault="003B20DC" w:rsidP="003B20DC">
      <w:pPr>
        <w:spacing w:line="360" w:lineRule="auto"/>
        <w:jc w:val="both"/>
        <w:rPr>
          <w:rFonts w:cstheme="minorHAnsi"/>
          <w:sz w:val="28"/>
          <w:szCs w:val="28"/>
        </w:rPr>
      </w:pPr>
      <w:r w:rsidRPr="005E1103">
        <w:rPr>
          <w:rFonts w:cstheme="minorHAnsi"/>
          <w:sz w:val="28"/>
          <w:szCs w:val="28"/>
        </w:rPr>
        <w:t xml:space="preserve">Desde Telefónica hemos incorporado el concepto de “Diseño para Todos” en los distintos eslabones de la cadena de valor de la Compañía y fomentamos la innovación destinada a este colectivo.  Las necesidades y experiencia de las personas con discapacidad se convierten así en la base sobre la que, gracias a los procesos internos y externos de innovación, potenciamos el desarrollo de nuevas soluciones y servicios que aseguren la incorporación de este colectivo a los beneficios de la sociedad digital. </w:t>
      </w:r>
    </w:p>
    <w:p w:rsidR="003B20DC" w:rsidRPr="005E1103" w:rsidRDefault="003B20DC" w:rsidP="003B20DC">
      <w:pPr>
        <w:spacing w:line="360" w:lineRule="auto"/>
        <w:jc w:val="both"/>
        <w:rPr>
          <w:rFonts w:cstheme="minorHAnsi"/>
          <w:sz w:val="28"/>
          <w:szCs w:val="28"/>
        </w:rPr>
      </w:pPr>
      <w:r w:rsidRPr="005E1103">
        <w:rPr>
          <w:rFonts w:cstheme="minorHAnsi"/>
          <w:sz w:val="28"/>
          <w:szCs w:val="28"/>
        </w:rPr>
        <w:t xml:space="preserve">Un buen ejemplo de esta línea de trabajo es el lanzamiento de Movistar+ 5S, un nuevo servicio que permite a personas con discapacidad sensorial acceder a contenidos de Movistar + (películas y series).    </w:t>
      </w:r>
    </w:p>
    <w:p w:rsidR="003B20DC" w:rsidRPr="005E1103" w:rsidRDefault="003B20DC" w:rsidP="003B20DC">
      <w:pPr>
        <w:spacing w:line="360" w:lineRule="auto"/>
        <w:jc w:val="both"/>
        <w:rPr>
          <w:rFonts w:cstheme="minorHAnsi"/>
          <w:sz w:val="28"/>
          <w:szCs w:val="28"/>
        </w:rPr>
      </w:pPr>
      <w:r w:rsidRPr="005E1103">
        <w:rPr>
          <w:rFonts w:cstheme="minorHAnsi"/>
          <w:sz w:val="28"/>
          <w:szCs w:val="28"/>
        </w:rPr>
        <w:t xml:space="preserve">A diferencia de otras soluciones, Movistar+ 5S ofrece los tres sistemas de accesibilidad (audiodescripción, subtitulado y lengua de signos), lo que nos convierte en la primera TV de pago cien por cien accesible del mundo.  </w:t>
      </w:r>
    </w:p>
    <w:p w:rsidR="003B20DC" w:rsidRPr="005E1103" w:rsidRDefault="003B20DC" w:rsidP="003B20DC">
      <w:pPr>
        <w:spacing w:line="360" w:lineRule="auto"/>
        <w:rPr>
          <w:rFonts w:cstheme="minorHAnsi"/>
          <w:sz w:val="28"/>
          <w:szCs w:val="28"/>
        </w:rPr>
      </w:pPr>
    </w:p>
    <w:p w:rsidR="003B20DC" w:rsidRPr="005E1103" w:rsidRDefault="003B20DC" w:rsidP="003B20DC">
      <w:pPr>
        <w:pStyle w:val="Citadestacada"/>
        <w:spacing w:line="360" w:lineRule="auto"/>
        <w:rPr>
          <w:rStyle w:val="Referenciaintensa"/>
          <w:rFonts w:asciiTheme="minorHAnsi" w:hAnsiTheme="minorHAnsi" w:cstheme="minorHAnsi"/>
          <w:i w:val="0"/>
          <w:sz w:val="28"/>
          <w:szCs w:val="28"/>
        </w:rPr>
      </w:pPr>
      <w:r w:rsidRPr="005E1103">
        <w:rPr>
          <w:rStyle w:val="Referenciaintensa"/>
          <w:rFonts w:asciiTheme="minorHAnsi" w:hAnsiTheme="minorHAnsi" w:cstheme="minorHAnsi"/>
          <w:i w:val="0"/>
          <w:sz w:val="28"/>
          <w:szCs w:val="28"/>
        </w:rPr>
        <w:lastRenderedPageBreak/>
        <w:t>Desarrollo del Proyecto</w:t>
      </w:r>
    </w:p>
    <w:p w:rsidR="003B20DC" w:rsidRPr="005E1103" w:rsidRDefault="003B20DC" w:rsidP="003B20DC">
      <w:pPr>
        <w:spacing w:line="360" w:lineRule="auto"/>
        <w:jc w:val="both"/>
        <w:rPr>
          <w:rFonts w:cstheme="minorHAnsi"/>
          <w:sz w:val="28"/>
          <w:szCs w:val="28"/>
        </w:rPr>
      </w:pPr>
    </w:p>
    <w:p w:rsidR="003B20DC" w:rsidRPr="005E1103" w:rsidRDefault="003B20DC" w:rsidP="003B20DC">
      <w:pPr>
        <w:spacing w:line="360" w:lineRule="auto"/>
        <w:jc w:val="both"/>
        <w:rPr>
          <w:rFonts w:cstheme="minorHAnsi"/>
          <w:sz w:val="28"/>
          <w:szCs w:val="28"/>
        </w:rPr>
      </w:pPr>
      <w:r w:rsidRPr="005E1103">
        <w:rPr>
          <w:rFonts w:cstheme="minorHAnsi"/>
          <w:sz w:val="28"/>
          <w:szCs w:val="28"/>
        </w:rPr>
        <w:t>El servicio se instrumenta a través de la aplicación móvil WhatsCine (Premio Reina Letizia 2015 de Tecnologías de la Accesibilidad) desarrollada por la Universidad Carlos III de Madrid.</w:t>
      </w:r>
    </w:p>
    <w:p w:rsidR="003B20DC" w:rsidRPr="005E1103" w:rsidRDefault="003B20DC" w:rsidP="003B20DC">
      <w:pPr>
        <w:spacing w:line="360" w:lineRule="auto"/>
        <w:jc w:val="both"/>
        <w:rPr>
          <w:rFonts w:cstheme="minorHAnsi"/>
          <w:sz w:val="28"/>
          <w:szCs w:val="28"/>
        </w:rPr>
      </w:pPr>
      <w:r w:rsidRPr="005E1103">
        <w:rPr>
          <w:rFonts w:cstheme="minorHAnsi"/>
          <w:sz w:val="28"/>
          <w:szCs w:val="28"/>
        </w:rPr>
        <w:t xml:space="preserve">En Junio de 2015, Telefónica en colaboración con la empresa WhatsCine, la Universidad Carlos III y las principales asociaciones y organismos de la discapacidad (fundamentalmente CNSE, ONCE y FIAPAS) lanzó un piloto para testar la viabilidad y comprobar la aceptación por parte del colectivo de personas con discapacidad sensorial de un servicio de accesibilidad a contenidos de entretenimiento a través de sus dispositivos móviles.  </w:t>
      </w:r>
    </w:p>
    <w:p w:rsidR="003B20DC" w:rsidRPr="005E1103" w:rsidRDefault="003B20DC" w:rsidP="003B20DC">
      <w:pPr>
        <w:spacing w:line="360" w:lineRule="auto"/>
        <w:jc w:val="both"/>
        <w:rPr>
          <w:rFonts w:cstheme="minorHAnsi"/>
          <w:sz w:val="28"/>
          <w:szCs w:val="28"/>
        </w:rPr>
      </w:pPr>
      <w:r w:rsidRPr="005E1103">
        <w:rPr>
          <w:rFonts w:cstheme="minorHAnsi"/>
          <w:sz w:val="28"/>
          <w:szCs w:val="28"/>
        </w:rPr>
        <w:t xml:space="preserve">Este piloto demostró que el servicio, además de tener una amplia aceptación, podía contribuir de forma eficaz a resolver un problema social que afectaba a un colectivo muy amplio. Gracias a los resultados, en 2016 Telefónica de España decidió incorporar masivamente y sin coste adicional para el usuario la funcionalidad de accesibilidad al portfolio de contenidos de Movistar+, completando así la oferta de contenidos subtitulados que ya estaba disponible en la plataforma.  </w:t>
      </w:r>
    </w:p>
    <w:p w:rsidR="003B20DC" w:rsidRPr="005E1103" w:rsidRDefault="003B20DC" w:rsidP="003B20DC">
      <w:pPr>
        <w:spacing w:line="360" w:lineRule="auto"/>
        <w:jc w:val="both"/>
        <w:rPr>
          <w:rFonts w:cstheme="minorHAnsi"/>
          <w:sz w:val="28"/>
          <w:szCs w:val="28"/>
        </w:rPr>
      </w:pPr>
      <w:r w:rsidRPr="005E1103">
        <w:rPr>
          <w:rFonts w:cstheme="minorHAnsi"/>
          <w:sz w:val="28"/>
          <w:szCs w:val="28"/>
        </w:rPr>
        <w:t>La plataforma de televisión de Telefónica se ha convertido así en la primera en ofrecer esta facilidad, derribando barreras de exclusión y haciendo llegar la cultura, el cine y las emociones a todo el mundo.</w:t>
      </w:r>
    </w:p>
    <w:p w:rsidR="003B20DC" w:rsidRPr="005E1103" w:rsidRDefault="003B20DC" w:rsidP="003B20DC">
      <w:pPr>
        <w:keepNext/>
        <w:spacing w:line="360" w:lineRule="auto"/>
        <w:jc w:val="center"/>
        <w:rPr>
          <w:rFonts w:cstheme="minorHAnsi"/>
          <w:sz w:val="28"/>
          <w:szCs w:val="28"/>
        </w:rPr>
      </w:pPr>
      <w:r w:rsidRPr="005E1103">
        <w:rPr>
          <w:rFonts w:cstheme="minorHAnsi"/>
          <w:noProof/>
          <w:sz w:val="28"/>
          <w:szCs w:val="28"/>
          <w:lang w:eastAsia="es-ES"/>
        </w:rPr>
        <w:lastRenderedPageBreak/>
        <w:drawing>
          <wp:inline distT="0" distB="0" distL="0" distR="0" wp14:anchorId="450B45EE" wp14:editId="5C868EA1">
            <wp:extent cx="3771900" cy="2428875"/>
            <wp:effectExtent l="0" t="0" r="0" b="952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771900" cy="2428875"/>
                    </a:xfrm>
                    <a:prstGeom prst="rect">
                      <a:avLst/>
                    </a:prstGeom>
                    <a:noFill/>
                    <a:ln>
                      <a:noFill/>
                    </a:ln>
                  </pic:spPr>
                </pic:pic>
              </a:graphicData>
            </a:graphic>
          </wp:inline>
        </w:drawing>
      </w:r>
    </w:p>
    <w:p w:rsidR="003B20DC" w:rsidRPr="005E1103" w:rsidRDefault="003B20DC" w:rsidP="003B20DC">
      <w:pPr>
        <w:jc w:val="center"/>
        <w:rPr>
          <w:rFonts w:cstheme="minorHAnsi"/>
          <w:sz w:val="28"/>
          <w:szCs w:val="28"/>
        </w:rPr>
      </w:pPr>
      <w:r w:rsidRPr="005E1103">
        <w:rPr>
          <w:rFonts w:cstheme="minorHAnsi"/>
          <w:sz w:val="28"/>
          <w:szCs w:val="28"/>
        </w:rPr>
        <w:t xml:space="preserve">Contenidos accesibles de Movistar+ 5S </w:t>
      </w:r>
    </w:p>
    <w:p w:rsidR="003B20DC" w:rsidRPr="005E1103" w:rsidRDefault="003B20DC" w:rsidP="003B20DC">
      <w:pPr>
        <w:pStyle w:val="Citadestacada"/>
        <w:spacing w:line="360" w:lineRule="auto"/>
        <w:rPr>
          <w:rStyle w:val="Referenciaintensa"/>
          <w:rFonts w:asciiTheme="minorHAnsi" w:hAnsiTheme="minorHAnsi" w:cstheme="minorHAnsi"/>
          <w:i w:val="0"/>
          <w:sz w:val="28"/>
          <w:szCs w:val="28"/>
        </w:rPr>
      </w:pPr>
      <w:r w:rsidRPr="005E1103">
        <w:rPr>
          <w:rStyle w:val="Referenciaintensa"/>
          <w:rFonts w:asciiTheme="minorHAnsi" w:hAnsiTheme="minorHAnsi" w:cstheme="minorHAnsi"/>
          <w:i w:val="0"/>
          <w:sz w:val="28"/>
          <w:szCs w:val="28"/>
        </w:rPr>
        <w:t>Funcionamiento de la Aplicación</w:t>
      </w:r>
    </w:p>
    <w:p w:rsidR="003B20DC" w:rsidRPr="005E1103" w:rsidRDefault="003B20DC" w:rsidP="003B20DC">
      <w:pPr>
        <w:spacing w:line="360" w:lineRule="auto"/>
        <w:jc w:val="both"/>
        <w:rPr>
          <w:rFonts w:cstheme="minorHAnsi"/>
          <w:sz w:val="28"/>
          <w:szCs w:val="28"/>
        </w:rPr>
      </w:pPr>
    </w:p>
    <w:p w:rsidR="003B20DC" w:rsidRPr="005E1103" w:rsidRDefault="003B20DC" w:rsidP="003B20DC">
      <w:pPr>
        <w:spacing w:line="360" w:lineRule="auto"/>
        <w:jc w:val="both"/>
        <w:rPr>
          <w:rFonts w:cstheme="minorHAnsi"/>
          <w:sz w:val="28"/>
          <w:szCs w:val="28"/>
        </w:rPr>
      </w:pPr>
      <w:r w:rsidRPr="005E1103">
        <w:rPr>
          <w:rFonts w:cstheme="minorHAnsi"/>
          <w:sz w:val="28"/>
          <w:szCs w:val="28"/>
        </w:rPr>
        <w:t xml:space="preserve">Una de las principales características del servicio es la sencillez de utilización.  Sólo hay que descargarse previamente la App gratuita (que está disponible para </w:t>
      </w:r>
      <w:hyperlink r:id="rId204" w:history="1">
        <w:r w:rsidRPr="005E1103">
          <w:rPr>
            <w:rStyle w:val="Hipervnculo"/>
            <w:rFonts w:cstheme="minorHAnsi"/>
            <w:sz w:val="28"/>
            <w:szCs w:val="28"/>
          </w:rPr>
          <w:t>iOS</w:t>
        </w:r>
      </w:hyperlink>
      <w:r w:rsidRPr="005E1103">
        <w:rPr>
          <w:rFonts w:cstheme="minorHAnsi"/>
          <w:sz w:val="28"/>
          <w:szCs w:val="28"/>
        </w:rPr>
        <w:t xml:space="preserve"> y </w:t>
      </w:r>
      <w:hyperlink r:id="rId205" w:history="1">
        <w:r w:rsidRPr="005E1103">
          <w:rPr>
            <w:rStyle w:val="Hipervnculo"/>
            <w:rFonts w:cstheme="minorHAnsi"/>
            <w:sz w:val="28"/>
            <w:szCs w:val="28"/>
          </w:rPr>
          <w:t>Android</w:t>
        </w:r>
      </w:hyperlink>
      <w:r w:rsidRPr="005E1103">
        <w:rPr>
          <w:rFonts w:cstheme="minorHAnsi"/>
          <w:sz w:val="28"/>
          <w:szCs w:val="28"/>
        </w:rPr>
        <w:t>) y proceder a la sincronización de los contenidos al comenzar la emisión en televisión.</w:t>
      </w:r>
    </w:p>
    <w:p w:rsidR="003B20DC" w:rsidRPr="005E1103" w:rsidRDefault="003B20DC" w:rsidP="003B20DC">
      <w:pPr>
        <w:spacing w:line="360" w:lineRule="auto"/>
        <w:jc w:val="both"/>
        <w:rPr>
          <w:rFonts w:cstheme="minorHAnsi"/>
          <w:sz w:val="28"/>
          <w:szCs w:val="28"/>
        </w:rPr>
      </w:pPr>
      <w:r w:rsidRPr="005E1103">
        <w:rPr>
          <w:rFonts w:cstheme="minorHAnsi"/>
          <w:sz w:val="28"/>
          <w:szCs w:val="28"/>
        </w:rPr>
        <w:t>El usuario, dependiendo de su discapacidad sensorial, elegirá la modalidad de lengua de signos, subtítulo o audiodescripción. Es, por tanto, una experiencia compartida con el resto de la familia y complementaria, porque el usuario puede disfrutar del contenido sin interferir en la experiencia audiovisual del resto de los espectadores.</w:t>
      </w:r>
    </w:p>
    <w:p w:rsidR="003B20DC" w:rsidRPr="005E1103" w:rsidRDefault="003B20DC" w:rsidP="003B20DC">
      <w:pPr>
        <w:spacing w:line="360" w:lineRule="auto"/>
        <w:jc w:val="both"/>
        <w:rPr>
          <w:rFonts w:cstheme="minorHAnsi"/>
          <w:sz w:val="28"/>
          <w:szCs w:val="28"/>
        </w:rPr>
      </w:pPr>
    </w:p>
    <w:p w:rsidR="003B20DC" w:rsidRPr="005E1103" w:rsidRDefault="003B20DC" w:rsidP="003B20DC">
      <w:pPr>
        <w:keepNext/>
        <w:spacing w:line="360" w:lineRule="auto"/>
        <w:jc w:val="both"/>
        <w:rPr>
          <w:rFonts w:cstheme="minorHAnsi"/>
          <w:sz w:val="28"/>
          <w:szCs w:val="28"/>
        </w:rPr>
      </w:pPr>
      <w:r w:rsidRPr="005E1103">
        <w:rPr>
          <w:rFonts w:cstheme="minorHAnsi"/>
          <w:noProof/>
          <w:sz w:val="28"/>
          <w:szCs w:val="28"/>
          <w:lang w:eastAsia="es-ES"/>
        </w:rPr>
        <w:lastRenderedPageBreak/>
        <w:drawing>
          <wp:inline distT="0" distB="0" distL="0" distR="0" wp14:anchorId="311AA828" wp14:editId="66B1CF0F">
            <wp:extent cx="5848350" cy="1743075"/>
            <wp:effectExtent l="0" t="0" r="0" b="952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848350" cy="1743075"/>
                    </a:xfrm>
                    <a:prstGeom prst="rect">
                      <a:avLst/>
                    </a:prstGeom>
                    <a:noFill/>
                    <a:ln>
                      <a:noFill/>
                    </a:ln>
                  </pic:spPr>
                </pic:pic>
              </a:graphicData>
            </a:graphic>
          </wp:inline>
        </w:drawing>
      </w:r>
    </w:p>
    <w:p w:rsidR="003B20DC" w:rsidRPr="005E1103" w:rsidRDefault="003B20DC" w:rsidP="003B20DC">
      <w:pPr>
        <w:jc w:val="center"/>
        <w:rPr>
          <w:rFonts w:cstheme="minorHAnsi"/>
          <w:sz w:val="28"/>
          <w:szCs w:val="28"/>
        </w:rPr>
      </w:pPr>
      <w:r w:rsidRPr="005E1103">
        <w:rPr>
          <w:rFonts w:cstheme="minorHAnsi"/>
          <w:sz w:val="28"/>
          <w:szCs w:val="28"/>
        </w:rPr>
        <w:t xml:space="preserve">Pasos para la descarga de Movistar + 5S </w:t>
      </w:r>
    </w:p>
    <w:p w:rsidR="003B20DC" w:rsidRPr="005E1103" w:rsidRDefault="003B20DC" w:rsidP="003B20DC">
      <w:pPr>
        <w:spacing w:line="360" w:lineRule="auto"/>
        <w:jc w:val="both"/>
        <w:rPr>
          <w:rFonts w:cstheme="minorHAnsi"/>
          <w:sz w:val="28"/>
          <w:szCs w:val="28"/>
        </w:rPr>
      </w:pPr>
      <w:r w:rsidRPr="005E1103">
        <w:rPr>
          <w:rFonts w:cstheme="minorHAnsi"/>
          <w:sz w:val="28"/>
          <w:szCs w:val="28"/>
        </w:rPr>
        <w:t xml:space="preserve"> </w:t>
      </w:r>
    </w:p>
    <w:p w:rsidR="003B20DC" w:rsidRPr="005E1103" w:rsidRDefault="003B20DC" w:rsidP="003B20DC">
      <w:pPr>
        <w:spacing w:line="360" w:lineRule="auto"/>
        <w:jc w:val="both"/>
        <w:rPr>
          <w:rFonts w:cstheme="minorHAnsi"/>
          <w:sz w:val="28"/>
          <w:szCs w:val="28"/>
        </w:rPr>
      </w:pPr>
      <w:r w:rsidRPr="005E1103">
        <w:rPr>
          <w:rFonts w:cstheme="minorHAnsi"/>
          <w:sz w:val="28"/>
          <w:szCs w:val="28"/>
        </w:rPr>
        <w:t>Telefónica de España ofrece así, en la plataforma de Movistar TV, cada mes 35 nuevas películas y 75 nuevos capítulos de serie en formato accesible a través de la aplicación. Esto supondrá más de 100 títulos nuevos al mes disponibles a través de los tres sistemas de accesibilidad.</w:t>
      </w:r>
    </w:p>
    <w:p w:rsidR="003B20DC" w:rsidRPr="005E1103" w:rsidRDefault="003B20DC" w:rsidP="003B20DC">
      <w:pPr>
        <w:spacing w:line="360" w:lineRule="auto"/>
        <w:rPr>
          <w:rFonts w:cstheme="minorHAnsi"/>
          <w:sz w:val="28"/>
          <w:szCs w:val="28"/>
        </w:rPr>
      </w:pPr>
    </w:p>
    <w:p w:rsidR="003B20DC" w:rsidRPr="005E1103" w:rsidRDefault="003B20DC" w:rsidP="003B20DC">
      <w:pPr>
        <w:spacing w:line="360" w:lineRule="auto"/>
        <w:rPr>
          <w:rFonts w:cstheme="minorHAnsi"/>
          <w:sz w:val="28"/>
          <w:szCs w:val="28"/>
        </w:rPr>
      </w:pPr>
    </w:p>
    <w:p w:rsidR="003B20DC" w:rsidRPr="005E1103" w:rsidRDefault="003B20DC" w:rsidP="003B20DC">
      <w:pPr>
        <w:pStyle w:val="Citadestacada"/>
        <w:spacing w:line="360" w:lineRule="auto"/>
        <w:rPr>
          <w:rStyle w:val="Referenciaintensa"/>
          <w:rFonts w:asciiTheme="minorHAnsi" w:hAnsiTheme="minorHAnsi" w:cstheme="minorHAnsi"/>
          <w:i w:val="0"/>
          <w:sz w:val="28"/>
          <w:szCs w:val="28"/>
        </w:rPr>
      </w:pPr>
      <w:r w:rsidRPr="005E1103">
        <w:rPr>
          <w:rStyle w:val="Referenciaintensa"/>
          <w:rFonts w:asciiTheme="minorHAnsi" w:hAnsiTheme="minorHAnsi" w:cstheme="minorHAnsi"/>
          <w:i w:val="0"/>
          <w:sz w:val="28"/>
          <w:szCs w:val="28"/>
        </w:rPr>
        <w:t>¿Por qué es importante Movistar+ 5S?</w:t>
      </w:r>
    </w:p>
    <w:p w:rsidR="003B20DC" w:rsidRPr="005E1103" w:rsidRDefault="003B20DC" w:rsidP="003B20DC">
      <w:pPr>
        <w:spacing w:line="360" w:lineRule="auto"/>
        <w:jc w:val="both"/>
        <w:rPr>
          <w:rFonts w:cstheme="minorHAnsi"/>
          <w:sz w:val="28"/>
          <w:szCs w:val="28"/>
        </w:rPr>
      </w:pPr>
    </w:p>
    <w:p w:rsidR="003B20DC" w:rsidRPr="005E1103" w:rsidRDefault="003B20DC" w:rsidP="003B20DC">
      <w:pPr>
        <w:spacing w:line="360" w:lineRule="auto"/>
        <w:jc w:val="both"/>
        <w:rPr>
          <w:rFonts w:cstheme="minorHAnsi"/>
          <w:sz w:val="28"/>
          <w:szCs w:val="28"/>
        </w:rPr>
      </w:pPr>
      <w:r w:rsidRPr="005E1103">
        <w:rPr>
          <w:rFonts w:cstheme="minorHAnsi"/>
          <w:sz w:val="28"/>
          <w:szCs w:val="28"/>
        </w:rPr>
        <w:t>El desarrollo de productos y servicios sostenibles está alineado con la estrategia de Negocio Responsable de Telefónica y, en concreto, una iniciativa como WhatsCine cumple con todos los objetivos que nos hemos fijados: cubre un problema real, para el que hay un mercado potencial del 2 millones de españoles con discapacidad audiovisual; es disruptiva y novedosa, al englobar los tres sistemas de accesibilidad en una sola herramienta; y está alineada con el proceso de transformación estratégico que estamos llevando a cabo en la empresa.</w:t>
      </w:r>
    </w:p>
    <w:p w:rsidR="003B20DC" w:rsidRPr="005E1103" w:rsidRDefault="003B20DC" w:rsidP="003B20DC">
      <w:pPr>
        <w:spacing w:line="360" w:lineRule="auto"/>
        <w:jc w:val="both"/>
        <w:rPr>
          <w:rFonts w:cstheme="minorHAnsi"/>
          <w:sz w:val="28"/>
          <w:szCs w:val="28"/>
        </w:rPr>
      </w:pPr>
      <w:r w:rsidRPr="005E1103">
        <w:rPr>
          <w:rFonts w:cstheme="minorHAnsi"/>
          <w:sz w:val="28"/>
          <w:szCs w:val="28"/>
        </w:rPr>
        <w:lastRenderedPageBreak/>
        <w:t>Con este acuerdo, Movistar+ se convierte de esta forma en la primera televisión del mundo en ofrecer, además de manera no invasiva, contenidos accesibles en los tres sistemas existentes: lengua de signos, subtítulos y audiodescripción.</w:t>
      </w:r>
    </w:p>
    <w:p w:rsidR="003B20DC" w:rsidRPr="005E1103" w:rsidRDefault="003B20DC" w:rsidP="003B20DC">
      <w:pPr>
        <w:spacing w:line="360" w:lineRule="auto"/>
        <w:jc w:val="both"/>
        <w:rPr>
          <w:rFonts w:cstheme="minorHAnsi"/>
          <w:sz w:val="28"/>
          <w:szCs w:val="28"/>
        </w:rPr>
      </w:pPr>
      <w:r w:rsidRPr="005E1103">
        <w:rPr>
          <w:rFonts w:cstheme="minorHAnsi"/>
          <w:sz w:val="28"/>
          <w:szCs w:val="28"/>
        </w:rPr>
        <w:t>Además, Movistar+ 5S se enmarca en el proyecto integral de accesibilidad de Telefónica, dirigido a personas con discapacidad y mayores, que pretende que el Grupo se convierta en una Compañía plenamente accesible en todos sus procesos y, además, contribuir activamente a la plena igualdad de oportunidades mediante las nuevas tecnologías.</w:t>
      </w:r>
    </w:p>
    <w:p w:rsidR="003B20DC" w:rsidRPr="005E1103" w:rsidRDefault="003B20DC">
      <w:pPr>
        <w:rPr>
          <w:rFonts w:cstheme="minorHAnsi"/>
          <w:sz w:val="28"/>
          <w:szCs w:val="28"/>
        </w:rPr>
      </w:pPr>
      <w:r w:rsidRPr="005E1103">
        <w:rPr>
          <w:rFonts w:cstheme="minorHAnsi"/>
          <w:sz w:val="28"/>
          <w:szCs w:val="28"/>
        </w:rPr>
        <w:br w:type="page"/>
      </w:r>
    </w:p>
    <w:p w:rsidR="003B20DC" w:rsidRPr="005E1103" w:rsidRDefault="003B20DC" w:rsidP="003B20DC">
      <w:pPr>
        <w:spacing w:line="360" w:lineRule="auto"/>
        <w:jc w:val="center"/>
        <w:rPr>
          <w:rFonts w:cstheme="minorHAnsi"/>
          <w:b/>
          <w:sz w:val="28"/>
          <w:szCs w:val="28"/>
        </w:rPr>
      </w:pPr>
      <w:r w:rsidRPr="005E1103">
        <w:rPr>
          <w:rFonts w:cstheme="minorHAnsi"/>
          <w:b/>
          <w:sz w:val="28"/>
          <w:szCs w:val="28"/>
        </w:rPr>
        <w:lastRenderedPageBreak/>
        <w:t>COMUNICACIÓN 14</w:t>
      </w:r>
    </w:p>
    <w:p w:rsidR="003B20DC" w:rsidRPr="005E1103" w:rsidRDefault="003B20DC" w:rsidP="003B20DC">
      <w:pPr>
        <w:jc w:val="center"/>
        <w:rPr>
          <w:rFonts w:cstheme="minorHAnsi"/>
          <w:sz w:val="28"/>
          <w:szCs w:val="28"/>
        </w:rPr>
      </w:pPr>
    </w:p>
    <w:p w:rsidR="003B20DC" w:rsidRPr="005E1103" w:rsidRDefault="003B20DC" w:rsidP="003B20DC">
      <w:pPr>
        <w:pBdr>
          <w:top w:val="single" w:sz="4" w:space="1" w:color="auto"/>
          <w:left w:val="single" w:sz="4" w:space="4" w:color="auto"/>
          <w:bottom w:val="single" w:sz="4" w:space="1" w:color="auto"/>
          <w:right w:val="single" w:sz="4" w:space="4" w:color="auto"/>
        </w:pBdr>
        <w:jc w:val="center"/>
        <w:rPr>
          <w:rFonts w:cstheme="minorHAnsi"/>
          <w:sz w:val="28"/>
          <w:szCs w:val="28"/>
        </w:rPr>
      </w:pPr>
      <w:r w:rsidRPr="005E1103">
        <w:rPr>
          <w:rFonts w:cstheme="minorHAnsi"/>
          <w:sz w:val="28"/>
          <w:szCs w:val="28"/>
        </w:rPr>
        <w:t>Metadatos en documentos EPUB de creación propia</w:t>
      </w:r>
    </w:p>
    <w:p w:rsidR="003B20DC" w:rsidRPr="005E1103" w:rsidRDefault="003B20DC" w:rsidP="003B20DC">
      <w:pPr>
        <w:spacing w:line="360" w:lineRule="auto"/>
        <w:jc w:val="center"/>
        <w:rPr>
          <w:rFonts w:cstheme="minorHAnsi"/>
          <w:b/>
          <w:sz w:val="28"/>
          <w:szCs w:val="28"/>
        </w:rPr>
      </w:pPr>
    </w:p>
    <w:p w:rsidR="003B20DC" w:rsidRPr="005E1103" w:rsidRDefault="003B20DC" w:rsidP="003B20DC">
      <w:pPr>
        <w:jc w:val="center"/>
        <w:rPr>
          <w:rFonts w:cstheme="minorHAnsi"/>
          <w:color w:val="000000" w:themeColor="text1"/>
          <w:sz w:val="28"/>
          <w:szCs w:val="28"/>
        </w:rPr>
      </w:pPr>
    </w:p>
    <w:p w:rsidR="003B20DC" w:rsidRPr="005E1103" w:rsidRDefault="003B20DC" w:rsidP="003B20DC">
      <w:pPr>
        <w:jc w:val="center"/>
        <w:rPr>
          <w:rFonts w:cstheme="minorHAnsi"/>
          <w:color w:val="000000" w:themeColor="text1"/>
          <w:sz w:val="28"/>
          <w:szCs w:val="28"/>
        </w:rPr>
      </w:pPr>
    </w:p>
    <w:p w:rsidR="003B20DC" w:rsidRPr="005E1103" w:rsidRDefault="003B20DC" w:rsidP="003B20DC">
      <w:pPr>
        <w:jc w:val="center"/>
        <w:rPr>
          <w:rFonts w:cstheme="minorHAnsi"/>
          <w:color w:val="000000" w:themeColor="text1"/>
          <w:sz w:val="28"/>
          <w:szCs w:val="28"/>
        </w:rPr>
      </w:pPr>
    </w:p>
    <w:p w:rsidR="003B20DC" w:rsidRPr="005E1103" w:rsidRDefault="003B20DC" w:rsidP="003B20DC">
      <w:pPr>
        <w:jc w:val="center"/>
        <w:rPr>
          <w:rFonts w:cstheme="minorHAnsi"/>
          <w:color w:val="000000" w:themeColor="text1"/>
          <w:sz w:val="28"/>
          <w:szCs w:val="28"/>
        </w:rPr>
      </w:pPr>
    </w:p>
    <w:p w:rsidR="003B20DC" w:rsidRPr="005E1103" w:rsidRDefault="003B20DC" w:rsidP="003B20DC">
      <w:pPr>
        <w:jc w:val="center"/>
        <w:rPr>
          <w:rFonts w:cstheme="minorHAnsi"/>
          <w:color w:val="000000" w:themeColor="text1"/>
          <w:sz w:val="28"/>
          <w:szCs w:val="28"/>
        </w:rPr>
      </w:pPr>
    </w:p>
    <w:p w:rsidR="003B20DC" w:rsidRPr="005E1103" w:rsidRDefault="003B20DC" w:rsidP="003B20DC">
      <w:pPr>
        <w:jc w:val="center"/>
        <w:rPr>
          <w:rFonts w:cstheme="minorHAnsi"/>
          <w:color w:val="000000" w:themeColor="text1"/>
          <w:sz w:val="28"/>
          <w:szCs w:val="28"/>
        </w:rPr>
      </w:pPr>
    </w:p>
    <w:p w:rsidR="003B20DC" w:rsidRPr="005E1103" w:rsidRDefault="003B20DC" w:rsidP="003B20DC">
      <w:pPr>
        <w:jc w:val="center"/>
        <w:rPr>
          <w:rFonts w:cstheme="minorHAnsi"/>
          <w:color w:val="000000" w:themeColor="text1"/>
          <w:sz w:val="28"/>
          <w:szCs w:val="28"/>
        </w:rPr>
      </w:pPr>
    </w:p>
    <w:p w:rsidR="003B20DC" w:rsidRPr="005E1103" w:rsidRDefault="003B20DC" w:rsidP="003B20DC">
      <w:pPr>
        <w:jc w:val="center"/>
        <w:rPr>
          <w:rFonts w:cstheme="minorHAnsi"/>
          <w:color w:val="000000" w:themeColor="text1"/>
          <w:sz w:val="28"/>
          <w:szCs w:val="28"/>
        </w:rPr>
      </w:pPr>
    </w:p>
    <w:p w:rsidR="003B20DC" w:rsidRPr="005E1103" w:rsidRDefault="003B20DC" w:rsidP="003B20DC">
      <w:pPr>
        <w:jc w:val="center"/>
        <w:rPr>
          <w:rFonts w:cstheme="minorHAnsi"/>
          <w:color w:val="000000" w:themeColor="text1"/>
          <w:sz w:val="28"/>
          <w:szCs w:val="28"/>
        </w:rPr>
      </w:pPr>
      <w:r w:rsidRPr="005E1103">
        <w:rPr>
          <w:rFonts w:cstheme="minorHAnsi"/>
          <w:color w:val="000000" w:themeColor="text1"/>
          <w:sz w:val="28"/>
          <w:szCs w:val="28"/>
        </w:rPr>
        <w:t>Metadatos en documentos EPUB de creación propia</w:t>
      </w:r>
    </w:p>
    <w:p w:rsidR="003B20DC" w:rsidRPr="005E1103" w:rsidRDefault="003B20DC" w:rsidP="003B20DC">
      <w:pPr>
        <w:rPr>
          <w:rFonts w:cstheme="minorHAnsi"/>
          <w:color w:val="000000" w:themeColor="text1"/>
          <w:sz w:val="28"/>
          <w:szCs w:val="28"/>
        </w:rPr>
      </w:pPr>
    </w:p>
    <w:p w:rsidR="003B20DC" w:rsidRPr="005E1103" w:rsidRDefault="003B20DC" w:rsidP="003B20DC">
      <w:pPr>
        <w:jc w:val="right"/>
        <w:rPr>
          <w:rFonts w:cstheme="minorHAnsi"/>
          <w:color w:val="000000" w:themeColor="text1"/>
          <w:sz w:val="28"/>
          <w:szCs w:val="28"/>
        </w:rPr>
      </w:pPr>
    </w:p>
    <w:p w:rsidR="003B20DC" w:rsidRPr="005E1103" w:rsidRDefault="003B20DC" w:rsidP="003B20DC">
      <w:pPr>
        <w:jc w:val="right"/>
        <w:rPr>
          <w:rFonts w:cstheme="minorHAnsi"/>
          <w:color w:val="000000" w:themeColor="text1"/>
          <w:sz w:val="28"/>
          <w:szCs w:val="28"/>
        </w:rPr>
      </w:pPr>
      <w:r w:rsidRPr="005E1103">
        <w:rPr>
          <w:rFonts w:cstheme="minorHAnsi"/>
          <w:color w:val="000000" w:themeColor="text1"/>
          <w:sz w:val="28"/>
          <w:szCs w:val="28"/>
        </w:rPr>
        <w:t>Miquel Centelles, Mireia Ribera</w:t>
      </w:r>
    </w:p>
    <w:p w:rsidR="003B20DC" w:rsidRPr="005E1103" w:rsidRDefault="003B20DC" w:rsidP="003B20DC">
      <w:pPr>
        <w:jc w:val="right"/>
        <w:rPr>
          <w:rFonts w:cstheme="minorHAnsi"/>
          <w:color w:val="000000" w:themeColor="text1"/>
          <w:sz w:val="28"/>
          <w:szCs w:val="28"/>
        </w:rPr>
      </w:pPr>
      <w:r w:rsidRPr="005E1103">
        <w:rPr>
          <w:rFonts w:cstheme="minorHAnsi"/>
          <w:color w:val="000000" w:themeColor="text1"/>
          <w:sz w:val="28"/>
          <w:szCs w:val="28"/>
        </w:rPr>
        <w:t>Profesor titular, Profesora agregada</w:t>
      </w:r>
    </w:p>
    <w:p w:rsidR="003B20DC" w:rsidRPr="005E1103" w:rsidRDefault="003B20DC" w:rsidP="003B20DC">
      <w:pPr>
        <w:jc w:val="right"/>
        <w:rPr>
          <w:rFonts w:cstheme="minorHAnsi"/>
          <w:color w:val="000000" w:themeColor="text1"/>
          <w:sz w:val="28"/>
          <w:szCs w:val="28"/>
        </w:rPr>
        <w:sectPr w:rsidR="003B20DC" w:rsidRPr="005E1103">
          <w:footerReference w:type="default" r:id="rId207"/>
          <w:footerReference w:type="first" r:id="rId208"/>
          <w:pgSz w:w="11906" w:h="16838"/>
          <w:pgMar w:top="1417" w:right="1701" w:bottom="1417" w:left="1701" w:header="708" w:footer="708" w:gutter="0"/>
          <w:cols w:space="708"/>
          <w:docGrid w:linePitch="360"/>
        </w:sectPr>
      </w:pPr>
      <w:r w:rsidRPr="005E1103">
        <w:rPr>
          <w:rFonts w:cstheme="minorHAnsi"/>
          <w:color w:val="000000" w:themeColor="text1"/>
          <w:sz w:val="28"/>
          <w:szCs w:val="28"/>
        </w:rPr>
        <w:t>Universidad de Barcelona</w:t>
      </w:r>
    </w:p>
    <w:p w:rsidR="003B20DC" w:rsidRPr="005E1103" w:rsidRDefault="003B20DC" w:rsidP="003B20DC">
      <w:pPr>
        <w:pStyle w:val="Ttulo1"/>
        <w:rPr>
          <w:rFonts w:asciiTheme="minorHAnsi" w:eastAsia="Times New Roman" w:hAnsiTheme="minorHAnsi" w:cstheme="minorHAnsi"/>
          <w:color w:val="000000" w:themeColor="text1"/>
          <w:lang w:eastAsia="es-ES"/>
        </w:rPr>
      </w:pPr>
      <w:r w:rsidRPr="005E1103">
        <w:rPr>
          <w:rFonts w:asciiTheme="minorHAnsi" w:eastAsia="Times New Roman" w:hAnsiTheme="minorHAnsi" w:cstheme="minorHAnsi"/>
          <w:color w:val="000000" w:themeColor="text1"/>
          <w:lang w:eastAsia="es-ES"/>
        </w:rPr>
        <w:lastRenderedPageBreak/>
        <w:t>1 Introducción</w:t>
      </w:r>
    </w:p>
    <w:p w:rsidR="003B20DC" w:rsidRPr="005E1103" w:rsidRDefault="003B20DC" w:rsidP="003B20DC">
      <w:pPr>
        <w:rPr>
          <w:rFonts w:cstheme="minorHAnsi"/>
          <w:color w:val="000000" w:themeColor="text1"/>
          <w:sz w:val="28"/>
          <w:szCs w:val="28"/>
          <w:lang w:eastAsia="es-ES"/>
        </w:rPr>
      </w:pPr>
      <w:r w:rsidRPr="005E1103">
        <w:rPr>
          <w:rFonts w:cstheme="minorHAnsi"/>
          <w:color w:val="000000" w:themeColor="text1"/>
          <w:sz w:val="28"/>
          <w:szCs w:val="28"/>
          <w:lang w:eastAsia="es-ES"/>
        </w:rPr>
        <w:t>El profesorado universitario es también un creador de recursos docentes. Con los repositorios institucionales y las políticas de acceso abierto, la importancia de unos recursos docentes de calidad y fácilmente localizables se ha incrementado en los últimos años.</w:t>
      </w:r>
    </w:p>
    <w:p w:rsidR="003B20DC" w:rsidRPr="005E1103" w:rsidRDefault="003B20DC" w:rsidP="003B20DC">
      <w:pPr>
        <w:rPr>
          <w:rFonts w:cstheme="minorHAnsi"/>
          <w:color w:val="000000" w:themeColor="text1"/>
          <w:sz w:val="28"/>
          <w:szCs w:val="28"/>
          <w:lang w:eastAsia="es-ES"/>
        </w:rPr>
      </w:pPr>
      <w:r w:rsidRPr="005E1103">
        <w:rPr>
          <w:rFonts w:cstheme="minorHAnsi"/>
          <w:color w:val="000000" w:themeColor="text1"/>
          <w:sz w:val="28"/>
          <w:szCs w:val="28"/>
          <w:lang w:eastAsia="es-ES"/>
        </w:rPr>
        <w:t>En esta ponencia se describen los metadatos estándares en los documentos EPUB3, su gestión en herramientas de publicación de EPUBs, y su identificación en herramientas de consulta. Como conclusión se observa que el seguimiento de los estándares y recomendaciones es bajo en ambos tipos de herramientas y se hacen unas recomendaciones de tipo práctico para los autores.</w:t>
      </w:r>
    </w:p>
    <w:p w:rsidR="003B20DC" w:rsidRPr="005E1103" w:rsidRDefault="003B20DC" w:rsidP="003B20DC">
      <w:pPr>
        <w:pStyle w:val="Ttulo2"/>
        <w:rPr>
          <w:rFonts w:asciiTheme="minorHAnsi" w:eastAsia="Times New Roman" w:hAnsiTheme="minorHAnsi" w:cstheme="minorHAnsi"/>
          <w:color w:val="000000" w:themeColor="text1"/>
          <w:sz w:val="28"/>
          <w:szCs w:val="28"/>
          <w:lang w:eastAsia="es-ES"/>
        </w:rPr>
      </w:pPr>
      <w:r w:rsidRPr="005E1103">
        <w:rPr>
          <w:rFonts w:asciiTheme="minorHAnsi" w:eastAsia="Times New Roman" w:hAnsiTheme="minorHAnsi" w:cstheme="minorHAnsi"/>
          <w:color w:val="000000" w:themeColor="text1"/>
          <w:sz w:val="28"/>
          <w:szCs w:val="28"/>
          <w:lang w:eastAsia="es-ES"/>
        </w:rPr>
        <w:t xml:space="preserve">1.1 El formato EPUB </w:t>
      </w:r>
    </w:p>
    <w:p w:rsidR="003B20DC" w:rsidRPr="005E1103" w:rsidRDefault="003B20DC" w:rsidP="003B20DC">
      <w:pPr>
        <w:tabs>
          <w:tab w:val="left" w:pos="2160"/>
        </w:tabs>
        <w:spacing w:after="0" w:line="240" w:lineRule="auto"/>
        <w:rPr>
          <w:rFonts w:eastAsia="Times New Roman" w:cstheme="minorHAnsi"/>
          <w:color w:val="000000" w:themeColor="text1"/>
          <w:sz w:val="28"/>
          <w:szCs w:val="28"/>
          <w:lang w:eastAsia="es-ES"/>
        </w:rPr>
      </w:pPr>
      <w:r w:rsidRPr="005E1103">
        <w:rPr>
          <w:rFonts w:eastAsia="Times New Roman" w:cstheme="minorHAnsi"/>
          <w:color w:val="000000" w:themeColor="text1"/>
          <w:sz w:val="28"/>
          <w:szCs w:val="28"/>
          <w:lang w:eastAsia="es-ES"/>
        </w:rPr>
        <w:tab/>
      </w:r>
    </w:p>
    <w:p w:rsidR="003B20DC" w:rsidRPr="005E1103" w:rsidRDefault="003B20DC" w:rsidP="003B20DC">
      <w:pPr>
        <w:rPr>
          <w:rFonts w:cstheme="minorHAnsi"/>
          <w:color w:val="000000" w:themeColor="text1"/>
          <w:sz w:val="28"/>
          <w:szCs w:val="28"/>
          <w:lang w:eastAsia="es-ES"/>
        </w:rPr>
      </w:pPr>
      <w:r w:rsidRPr="005E1103">
        <w:rPr>
          <w:rFonts w:cstheme="minorHAnsi"/>
          <w:color w:val="000000" w:themeColor="text1"/>
          <w:sz w:val="28"/>
          <w:szCs w:val="28"/>
          <w:lang w:eastAsia="es-ES"/>
        </w:rPr>
        <w:t>El formato de publicación EPUB está adquiriendo una importancia creciente en la industria editorial, como estándar para los ficheros de contenido digital que constituyen las publicaciones electrónicas. El formato EPUB utiliza sintaxis XML y normas de la web para expresar el contenido —incluyendo los metadatos— y la forma de las publicaciones. La versión actualmente vigente es la tercera; EPUB 3.</w:t>
      </w:r>
    </w:p>
    <w:p w:rsidR="003B20DC" w:rsidRPr="005E1103" w:rsidRDefault="003B20DC" w:rsidP="003B20DC">
      <w:pPr>
        <w:rPr>
          <w:rFonts w:cstheme="minorHAnsi"/>
          <w:color w:val="000000" w:themeColor="text1"/>
          <w:sz w:val="28"/>
          <w:szCs w:val="28"/>
          <w:lang w:eastAsia="es-ES"/>
        </w:rPr>
      </w:pPr>
      <w:r w:rsidRPr="005E1103">
        <w:rPr>
          <w:rFonts w:cstheme="minorHAnsi"/>
          <w:color w:val="000000" w:themeColor="text1"/>
          <w:sz w:val="28"/>
          <w:szCs w:val="28"/>
          <w:lang w:eastAsia="es-ES"/>
        </w:rPr>
        <w:t xml:space="preserve">Una </w:t>
      </w:r>
      <w:r w:rsidRPr="005E1103">
        <w:rPr>
          <w:rFonts w:cstheme="minorHAnsi"/>
          <w:b/>
          <w:bCs/>
          <w:color w:val="000000" w:themeColor="text1"/>
          <w:sz w:val="28"/>
          <w:szCs w:val="28"/>
          <w:lang w:eastAsia="es-ES"/>
        </w:rPr>
        <w:t>publicación EPUB</w:t>
      </w:r>
      <w:r w:rsidRPr="005E1103">
        <w:rPr>
          <w:rFonts w:cstheme="minorHAnsi"/>
          <w:color w:val="000000" w:themeColor="text1"/>
          <w:sz w:val="28"/>
          <w:szCs w:val="28"/>
          <w:lang w:eastAsia="es-ES"/>
        </w:rPr>
        <w:t xml:space="preserve"> es una colección de una o más presentaciones, empaquetadas en un contenedor (</w:t>
      </w:r>
      <w:r w:rsidRPr="005E1103">
        <w:rPr>
          <w:rFonts w:cstheme="minorHAnsi"/>
          <w:i/>
          <w:iCs/>
          <w:color w:val="000000" w:themeColor="text1"/>
          <w:sz w:val="28"/>
          <w:szCs w:val="28"/>
          <w:lang w:eastAsia="es-ES"/>
        </w:rPr>
        <w:t>EPUB Container</w:t>
      </w:r>
      <w:r w:rsidRPr="005E1103">
        <w:rPr>
          <w:rFonts w:cstheme="minorHAnsi"/>
          <w:color w:val="000000" w:themeColor="text1"/>
          <w:sz w:val="28"/>
          <w:szCs w:val="28"/>
          <w:lang w:eastAsia="es-ES"/>
        </w:rPr>
        <w:t xml:space="preserve">) en forma de archivo ZIP, y que, en general, representa una única obra intelectual o artística. Una misma publicación puede tener una o más </w:t>
      </w:r>
      <w:r w:rsidRPr="005E1103">
        <w:rPr>
          <w:rFonts w:cstheme="minorHAnsi"/>
          <w:b/>
          <w:bCs/>
          <w:color w:val="000000" w:themeColor="text1"/>
          <w:sz w:val="28"/>
          <w:szCs w:val="28"/>
          <w:lang w:eastAsia="es-ES"/>
        </w:rPr>
        <w:t>presentaciones</w:t>
      </w:r>
      <w:r w:rsidRPr="005E1103">
        <w:rPr>
          <w:rFonts w:cstheme="minorHAnsi"/>
          <w:color w:val="000000" w:themeColor="text1"/>
          <w:sz w:val="28"/>
          <w:szCs w:val="28"/>
          <w:lang w:eastAsia="es-ES"/>
        </w:rPr>
        <w:t xml:space="preserve">, cada una de las cuales es un conjunto de </w:t>
      </w:r>
      <w:r w:rsidRPr="005E1103">
        <w:rPr>
          <w:rFonts w:cstheme="minorHAnsi"/>
          <w:b/>
          <w:bCs/>
          <w:color w:val="000000" w:themeColor="text1"/>
          <w:sz w:val="28"/>
          <w:szCs w:val="28"/>
          <w:lang w:eastAsia="es-ES"/>
        </w:rPr>
        <w:t>recursos</w:t>
      </w:r>
      <w:r w:rsidRPr="005E1103">
        <w:rPr>
          <w:rFonts w:cstheme="minorHAnsi"/>
          <w:color w:val="000000" w:themeColor="text1"/>
          <w:sz w:val="28"/>
          <w:szCs w:val="28"/>
          <w:lang w:eastAsia="es-ES"/>
        </w:rPr>
        <w:t xml:space="preserve"> interrelacionados que representan una realización de una publicación EPUB </w:t>
      </w:r>
      <w:r w:rsidRPr="005E1103">
        <w:rPr>
          <w:rFonts w:cstheme="minorHAnsi"/>
          <w:color w:val="000000" w:themeColor="text1"/>
          <w:sz w:val="28"/>
          <w:szCs w:val="28"/>
          <w:lang w:eastAsia="es-ES"/>
        </w:rPr>
        <w:fldChar w:fldCharType="begin" w:fldLock="1"/>
      </w:r>
      <w:r w:rsidRPr="005E1103">
        <w:rPr>
          <w:rFonts w:cstheme="minorHAnsi"/>
          <w:color w:val="000000" w:themeColor="text1"/>
          <w:sz w:val="28"/>
          <w:szCs w:val="28"/>
          <w:lang w:eastAsia="es-ES"/>
        </w:rPr>
        <w:instrText>ADDIN CSL_CITATION { "citationItems" : [ { "id" : "ITEM-1", "itemData" : { "ISBN" : "9781449329129", "abstract" : "Title from content provider.", "author" : [ { "dropping-particle" : "", "family" : "Garrish", "given" : "Matt", "non-dropping-particle" : "", "parse-names" : false, "suffix" : "" }, { "dropping-particle" : "", "family" : "Gylling", "given" : "Markus", "non-dropping-particle" : "", "parse-names" : false, "suffix" : "" } ], "id" : "ITEM-1", "issued" : { "date-parts" : [ [ "2013" ] ] }, "publisher" : "O'Reilly Media, Inc", "publisher-place" : "Sebastopol, CA", "title" : "EPUB 3 Best Practices", "type" : "book" }, "uris" : [ "http://www.mendeley.com/documents/?uuid=ee6920eb-35d7-4069-840e-f404b4e785bd" ] } ], "mendeley" : { "formattedCitation" : "(Garrish &amp; Gylling 2013)", "plainTextFormattedCitation" : "(Garrish &amp; Gylling 2013)", "previouslyFormattedCitation" : "(Garrish &amp; Gylling 2013)" }, "properties" : { "noteIndex" : 0 }, "schema" : "https://github.com/citation-style-language/schema/raw/master/csl-citation.json" }</w:instrText>
      </w:r>
      <w:r w:rsidRPr="005E1103">
        <w:rPr>
          <w:rFonts w:cstheme="minorHAnsi"/>
          <w:color w:val="000000" w:themeColor="text1"/>
          <w:sz w:val="28"/>
          <w:szCs w:val="28"/>
          <w:lang w:eastAsia="es-ES"/>
        </w:rPr>
        <w:fldChar w:fldCharType="separate"/>
      </w:r>
      <w:r w:rsidRPr="005E1103">
        <w:rPr>
          <w:rFonts w:cstheme="minorHAnsi"/>
          <w:noProof/>
          <w:color w:val="000000" w:themeColor="text1"/>
          <w:sz w:val="28"/>
          <w:szCs w:val="28"/>
          <w:lang w:eastAsia="es-ES"/>
        </w:rPr>
        <w:t>(Garrish &amp; Gylling 2013)</w:t>
      </w:r>
      <w:r w:rsidRPr="005E1103">
        <w:rPr>
          <w:rFonts w:cstheme="minorHAnsi"/>
          <w:color w:val="000000" w:themeColor="text1"/>
          <w:sz w:val="28"/>
          <w:szCs w:val="28"/>
          <w:lang w:eastAsia="es-ES"/>
        </w:rPr>
        <w:fldChar w:fldCharType="end"/>
      </w:r>
      <w:r w:rsidRPr="005E1103">
        <w:rPr>
          <w:rFonts w:cstheme="minorHAnsi"/>
          <w:color w:val="000000" w:themeColor="text1"/>
          <w:sz w:val="28"/>
          <w:szCs w:val="28"/>
          <w:lang w:eastAsia="es-ES"/>
        </w:rPr>
        <w:t>. Por ejemplo, de una misma publicación EPUB puede existir una presentación visual, una presentación audio, etc. Un recurso puede incluir contenido creativo o instrucciones para definir la lógica de una presentación concreta. Son ejemplos de recursos de publicación los documentos de contenido EPUB (</w:t>
      </w:r>
      <w:r w:rsidRPr="005E1103">
        <w:rPr>
          <w:rFonts w:cstheme="minorHAnsi"/>
          <w:i/>
          <w:iCs/>
          <w:color w:val="000000" w:themeColor="text1"/>
          <w:sz w:val="28"/>
          <w:szCs w:val="28"/>
          <w:lang w:eastAsia="es-ES"/>
        </w:rPr>
        <w:t>EPUB Content Documents</w:t>
      </w:r>
      <w:r w:rsidRPr="005E1103">
        <w:rPr>
          <w:rFonts w:cstheme="minorHAnsi"/>
          <w:color w:val="000000" w:themeColor="text1"/>
          <w:sz w:val="28"/>
          <w:szCs w:val="28"/>
          <w:lang w:eastAsia="es-ES"/>
        </w:rPr>
        <w:t xml:space="preserve">), las hojas de estilo (CSS) de EPUB, grabaciones de audio, grabaciones de vídeo, imágenes, las fuentes incrustadas, los scripts... y también el documento XML "Package”, que es único para cada presentación en una publicación EPUB. Este recurso tiene como finalidad especificar todos los recursos necesarios para realizar una presentación determinada, definir el orden de </w:t>
      </w:r>
      <w:r w:rsidRPr="005E1103">
        <w:rPr>
          <w:rFonts w:cstheme="minorHAnsi"/>
          <w:color w:val="000000" w:themeColor="text1"/>
          <w:sz w:val="28"/>
          <w:szCs w:val="28"/>
          <w:lang w:eastAsia="es-ES"/>
        </w:rPr>
        <w:lastRenderedPageBreak/>
        <w:t xml:space="preserve">lectura de los recursos, y asociar información sobre la navegación por los recursos y los metadatos de la presentación. </w:t>
      </w:r>
    </w:p>
    <w:p w:rsidR="003B20DC" w:rsidRPr="005E1103" w:rsidRDefault="003B20DC" w:rsidP="003B20DC">
      <w:pPr>
        <w:rPr>
          <w:rFonts w:cstheme="minorHAnsi"/>
          <w:color w:val="000000" w:themeColor="text1"/>
          <w:sz w:val="28"/>
          <w:szCs w:val="28"/>
          <w:lang w:eastAsia="es-ES"/>
        </w:rPr>
      </w:pPr>
      <w:r w:rsidRPr="005E1103">
        <w:rPr>
          <w:rFonts w:cstheme="minorHAnsi"/>
          <w:color w:val="000000" w:themeColor="text1"/>
          <w:sz w:val="28"/>
          <w:szCs w:val="28"/>
          <w:lang w:eastAsia="es-ES"/>
        </w:rPr>
        <w:t xml:space="preserve">El elemento raíz de este documento </w:t>
      </w:r>
      <w:r w:rsidRPr="005E1103">
        <w:rPr>
          <w:rFonts w:cstheme="minorHAnsi"/>
          <w:i/>
          <w:iCs/>
          <w:color w:val="000000" w:themeColor="text1"/>
          <w:sz w:val="28"/>
          <w:szCs w:val="28"/>
          <w:lang w:eastAsia="es-ES"/>
        </w:rPr>
        <w:t>&lt;package&gt;</w:t>
      </w:r>
      <w:r w:rsidRPr="005E1103">
        <w:rPr>
          <w:rFonts w:cstheme="minorHAnsi"/>
          <w:color w:val="000000" w:themeColor="text1"/>
          <w:sz w:val="28"/>
          <w:szCs w:val="28"/>
          <w:lang w:eastAsia="es-ES"/>
        </w:rPr>
        <w:t xml:space="preserve">, incorpora tres (sub)elementos obligatorios: un elemento </w:t>
      </w:r>
      <w:r w:rsidRPr="005E1103">
        <w:rPr>
          <w:rFonts w:cstheme="minorHAnsi"/>
          <w:i/>
          <w:iCs/>
          <w:color w:val="000000" w:themeColor="text1"/>
          <w:sz w:val="28"/>
          <w:szCs w:val="28"/>
          <w:lang w:eastAsia="es-ES"/>
        </w:rPr>
        <w:t>&lt;metadata&gt;</w:t>
      </w:r>
      <w:r w:rsidRPr="005E1103">
        <w:rPr>
          <w:rFonts w:cstheme="minorHAnsi"/>
          <w:color w:val="000000" w:themeColor="text1"/>
          <w:sz w:val="28"/>
          <w:szCs w:val="28"/>
          <w:lang w:eastAsia="es-ES"/>
        </w:rPr>
        <w:t xml:space="preserve">, que encapsula la información descriptiva sobre la presentación en cuestión; un elemento </w:t>
      </w:r>
      <w:r w:rsidRPr="005E1103">
        <w:rPr>
          <w:rFonts w:cstheme="minorHAnsi"/>
          <w:i/>
          <w:iCs/>
          <w:color w:val="000000" w:themeColor="text1"/>
          <w:sz w:val="28"/>
          <w:szCs w:val="28"/>
          <w:lang w:eastAsia="es-ES"/>
        </w:rPr>
        <w:t>&lt;manifest&gt;</w:t>
      </w:r>
      <w:r w:rsidRPr="005E1103">
        <w:rPr>
          <w:rFonts w:cstheme="minorHAnsi"/>
          <w:color w:val="000000" w:themeColor="text1"/>
          <w:sz w:val="28"/>
          <w:szCs w:val="28"/>
          <w:lang w:eastAsia="es-ES"/>
        </w:rPr>
        <w:t xml:space="preserve">, que proporciona una lista exhaustiva de los recursos de la publicación que se incluyen en la presentación en cuestión; un elemento </w:t>
      </w:r>
      <w:r w:rsidRPr="005E1103">
        <w:rPr>
          <w:rFonts w:cstheme="minorHAnsi"/>
          <w:i/>
          <w:iCs/>
          <w:color w:val="000000" w:themeColor="text1"/>
          <w:sz w:val="28"/>
          <w:szCs w:val="28"/>
          <w:lang w:eastAsia="es-ES"/>
        </w:rPr>
        <w:t>&lt;spine&gt;</w:t>
      </w:r>
      <w:r w:rsidRPr="005E1103">
        <w:rPr>
          <w:rFonts w:cstheme="minorHAnsi"/>
          <w:color w:val="000000" w:themeColor="text1"/>
          <w:sz w:val="28"/>
          <w:szCs w:val="28"/>
          <w:lang w:eastAsia="es-ES"/>
        </w:rPr>
        <w:t>, que define el orden de lectura de los recursos de la publicación EPUB en la presentación en cuestión.</w:t>
      </w:r>
    </w:p>
    <w:p w:rsidR="003B20DC" w:rsidRPr="005E1103" w:rsidRDefault="003B20DC" w:rsidP="003B20DC">
      <w:pPr>
        <w:rPr>
          <w:rFonts w:cstheme="minorHAnsi"/>
          <w:i/>
          <w:iCs/>
          <w:color w:val="000000" w:themeColor="text1"/>
          <w:sz w:val="28"/>
          <w:szCs w:val="28"/>
          <w:lang w:eastAsia="es-ES"/>
        </w:rPr>
      </w:pPr>
      <w:r w:rsidRPr="005E1103">
        <w:rPr>
          <w:rFonts w:cstheme="minorHAnsi"/>
          <w:color w:val="000000" w:themeColor="text1"/>
          <w:sz w:val="28"/>
          <w:szCs w:val="28"/>
          <w:lang w:eastAsia="es-ES"/>
        </w:rPr>
        <w:t xml:space="preserve">En esta comunicación, nos centramos en el primer componente que hemos indicado, el elemento </w:t>
      </w:r>
      <w:r w:rsidRPr="005E1103">
        <w:rPr>
          <w:rFonts w:cstheme="minorHAnsi"/>
          <w:i/>
          <w:iCs/>
          <w:color w:val="000000" w:themeColor="text1"/>
          <w:sz w:val="28"/>
          <w:szCs w:val="28"/>
          <w:lang w:eastAsia="es-ES"/>
        </w:rPr>
        <w:t>&lt;metadata&gt;</w:t>
      </w:r>
      <w:r w:rsidRPr="005E1103">
        <w:rPr>
          <w:rFonts w:cstheme="minorHAnsi"/>
          <w:color w:val="000000" w:themeColor="text1"/>
          <w:sz w:val="28"/>
          <w:szCs w:val="28"/>
          <w:lang w:eastAsia="es-ES"/>
        </w:rPr>
        <w:t xml:space="preserve">. </w:t>
      </w:r>
    </w:p>
    <w:p w:rsidR="003B20DC" w:rsidRPr="005E1103" w:rsidRDefault="003B20DC" w:rsidP="003B20DC">
      <w:pPr>
        <w:pStyle w:val="Ttulo2"/>
        <w:rPr>
          <w:rFonts w:asciiTheme="minorHAnsi" w:eastAsia="Times New Roman" w:hAnsiTheme="minorHAnsi" w:cstheme="minorHAnsi"/>
          <w:color w:val="000000" w:themeColor="text1"/>
          <w:sz w:val="28"/>
          <w:szCs w:val="28"/>
          <w:lang w:eastAsia="es-ES"/>
        </w:rPr>
      </w:pPr>
      <w:r w:rsidRPr="005E1103">
        <w:rPr>
          <w:rFonts w:asciiTheme="minorHAnsi" w:eastAsia="Times New Roman" w:hAnsiTheme="minorHAnsi" w:cstheme="minorHAnsi"/>
          <w:color w:val="000000" w:themeColor="text1"/>
          <w:sz w:val="28"/>
          <w:szCs w:val="28"/>
          <w:lang w:eastAsia="es-ES"/>
        </w:rPr>
        <w:t>1.2 Los metadatos</w:t>
      </w:r>
    </w:p>
    <w:p w:rsidR="003B20DC" w:rsidRPr="005E1103" w:rsidRDefault="003B20DC" w:rsidP="003B20DC">
      <w:pPr>
        <w:spacing w:after="0" w:line="240" w:lineRule="auto"/>
        <w:rPr>
          <w:rFonts w:eastAsia="Times New Roman" w:cstheme="minorHAnsi"/>
          <w:color w:val="000000" w:themeColor="text1"/>
          <w:sz w:val="28"/>
          <w:szCs w:val="28"/>
          <w:lang w:eastAsia="es-ES"/>
        </w:rPr>
      </w:pPr>
      <w:r w:rsidRPr="005E1103">
        <w:rPr>
          <w:rFonts w:eastAsia="Times New Roman" w:cstheme="minorHAnsi"/>
          <w:color w:val="000000" w:themeColor="text1"/>
          <w:sz w:val="28"/>
          <w:szCs w:val="28"/>
          <w:lang w:eastAsia="es-ES"/>
        </w:rPr>
        <w:t>  1.2.1 Qué son los metadatos</w:t>
      </w:r>
    </w:p>
    <w:p w:rsidR="003B20DC" w:rsidRPr="005E1103" w:rsidRDefault="003B20DC" w:rsidP="003B20DC">
      <w:pPr>
        <w:rPr>
          <w:rFonts w:cstheme="minorHAnsi"/>
          <w:color w:val="000000" w:themeColor="text1"/>
          <w:sz w:val="28"/>
          <w:szCs w:val="28"/>
          <w:lang w:eastAsia="es-ES"/>
        </w:rPr>
      </w:pPr>
      <w:r w:rsidRPr="005E1103">
        <w:rPr>
          <w:rFonts w:cstheme="minorHAnsi"/>
          <w:color w:val="000000" w:themeColor="text1"/>
          <w:sz w:val="28"/>
          <w:szCs w:val="28"/>
          <w:lang w:eastAsia="es-ES"/>
        </w:rPr>
        <w:t>Para entender las características de los metadatos en el formato EPUB 3, definiremos primero qué son los metadatos y para qué sirven. En el marco de esta comunicación, definimos los metadatos como datos estructurados, relativos a las publicaciones, que describen aspectos de su contexto de creación (por ejemplo, quién lo ha creado), de su contenido (por ejemplo, sobre qué trata) y de su estructura (por ejemplo, a qué colección pertenece). La declaración de un metadato incorpora, en su expresión, cuatro componentes diferentes que a continuación definimos.</w:t>
      </w:r>
    </w:p>
    <w:p w:rsidR="003B20DC" w:rsidRPr="005E1103" w:rsidRDefault="003B20DC" w:rsidP="003B20DC">
      <w:pPr>
        <w:pStyle w:val="Listaconnmeros"/>
        <w:spacing w:after="160" w:line="360" w:lineRule="auto"/>
        <w:rPr>
          <w:rFonts w:asciiTheme="minorHAnsi" w:hAnsiTheme="minorHAnsi" w:cstheme="minorHAnsi"/>
          <w:color w:val="000000" w:themeColor="text1"/>
          <w:sz w:val="28"/>
          <w:szCs w:val="28"/>
          <w:lang w:eastAsia="es-ES"/>
        </w:rPr>
      </w:pPr>
      <w:r w:rsidRPr="005E1103">
        <w:rPr>
          <w:rFonts w:asciiTheme="minorHAnsi" w:hAnsiTheme="minorHAnsi" w:cstheme="minorHAnsi"/>
          <w:color w:val="000000" w:themeColor="text1"/>
          <w:sz w:val="28"/>
          <w:szCs w:val="28"/>
          <w:lang w:eastAsia="es-ES"/>
        </w:rPr>
        <w:t xml:space="preserve">El nombre del objeto a describir. Por ejemplo, si queremos describir "¿quién ha escrito la publicación?" usaremos la etiqueta creador. Este primer componente se denomina en EPUB </w:t>
      </w:r>
      <w:r w:rsidRPr="005E1103">
        <w:rPr>
          <w:rFonts w:asciiTheme="minorHAnsi" w:hAnsiTheme="minorHAnsi" w:cstheme="minorHAnsi"/>
          <w:i/>
          <w:iCs/>
          <w:color w:val="000000" w:themeColor="text1"/>
          <w:sz w:val="28"/>
          <w:szCs w:val="28"/>
          <w:lang w:eastAsia="es-ES"/>
        </w:rPr>
        <w:t>elemento</w:t>
      </w:r>
      <w:r w:rsidRPr="005E1103">
        <w:rPr>
          <w:rFonts w:asciiTheme="minorHAnsi" w:hAnsiTheme="minorHAnsi" w:cstheme="minorHAnsi"/>
          <w:color w:val="000000" w:themeColor="text1"/>
          <w:sz w:val="28"/>
          <w:szCs w:val="28"/>
          <w:lang w:eastAsia="es-ES"/>
        </w:rPr>
        <w:t xml:space="preserve"> de metadato.</w:t>
      </w:r>
    </w:p>
    <w:p w:rsidR="003B20DC" w:rsidRPr="005E1103" w:rsidRDefault="003B20DC" w:rsidP="003B20DC">
      <w:pPr>
        <w:pStyle w:val="Listaconnmeros"/>
        <w:spacing w:after="160" w:line="360" w:lineRule="auto"/>
        <w:rPr>
          <w:rFonts w:asciiTheme="minorHAnsi" w:hAnsiTheme="minorHAnsi" w:cstheme="minorHAnsi"/>
          <w:color w:val="000000" w:themeColor="text1"/>
          <w:sz w:val="28"/>
          <w:szCs w:val="28"/>
          <w:lang w:eastAsia="es-ES"/>
        </w:rPr>
      </w:pPr>
      <w:r w:rsidRPr="005E1103">
        <w:rPr>
          <w:rFonts w:asciiTheme="minorHAnsi" w:hAnsiTheme="minorHAnsi" w:cstheme="minorHAnsi"/>
          <w:i/>
          <w:iCs/>
          <w:color w:val="000000" w:themeColor="text1"/>
          <w:sz w:val="28"/>
          <w:szCs w:val="28"/>
          <w:lang w:eastAsia="es-ES"/>
        </w:rPr>
        <w:t>Valor</w:t>
      </w:r>
      <w:r w:rsidRPr="005E1103">
        <w:rPr>
          <w:rFonts w:asciiTheme="minorHAnsi" w:hAnsiTheme="minorHAnsi" w:cstheme="minorHAnsi"/>
          <w:color w:val="000000" w:themeColor="text1"/>
          <w:sz w:val="28"/>
          <w:szCs w:val="28"/>
          <w:lang w:eastAsia="es-ES"/>
        </w:rPr>
        <w:t xml:space="preserve">. La descripción del objeto. Por ejemplo, los valores del elemento creador de esta comunicación serían “Miquel Centelles” y “Mireia Ribera”. Para algunos elementos, es recomendable que los valores sean extraídos de un vocabulario controlado o relación predefinida de valores. Un ejemplo es el </w:t>
      </w:r>
      <w:r w:rsidRPr="005E1103">
        <w:rPr>
          <w:rFonts w:asciiTheme="minorHAnsi" w:hAnsiTheme="minorHAnsi" w:cstheme="minorHAnsi"/>
          <w:i/>
          <w:iCs/>
          <w:color w:val="000000" w:themeColor="text1"/>
          <w:sz w:val="28"/>
          <w:szCs w:val="28"/>
          <w:lang w:eastAsia="es-ES"/>
        </w:rPr>
        <w:t>Thesaurus de la UNESCO</w:t>
      </w:r>
      <w:r w:rsidRPr="005E1103">
        <w:rPr>
          <w:rFonts w:asciiTheme="minorHAnsi" w:hAnsiTheme="minorHAnsi" w:cstheme="minorHAnsi"/>
          <w:color w:val="000000" w:themeColor="text1"/>
          <w:sz w:val="28"/>
          <w:szCs w:val="28"/>
          <w:lang w:eastAsia="es-ES"/>
        </w:rPr>
        <w:t xml:space="preserve"> para los valores de materia de una publicación &lt;http://vocabularies.unesco.org/browser/thesaurus/en/&gt;.</w:t>
      </w:r>
    </w:p>
    <w:p w:rsidR="003B20DC" w:rsidRPr="005E1103" w:rsidRDefault="003B20DC" w:rsidP="003B20DC">
      <w:pPr>
        <w:pStyle w:val="Listaconnmeros"/>
        <w:spacing w:after="160" w:line="360" w:lineRule="auto"/>
        <w:rPr>
          <w:rFonts w:asciiTheme="minorHAnsi" w:hAnsiTheme="minorHAnsi" w:cstheme="minorHAnsi"/>
          <w:color w:val="000000" w:themeColor="text1"/>
          <w:sz w:val="28"/>
          <w:szCs w:val="28"/>
          <w:lang w:eastAsia="es-ES"/>
        </w:rPr>
      </w:pPr>
      <w:r w:rsidRPr="005E1103">
        <w:rPr>
          <w:rFonts w:asciiTheme="minorHAnsi" w:hAnsiTheme="minorHAnsi" w:cstheme="minorHAnsi"/>
          <w:color w:val="000000" w:themeColor="text1"/>
          <w:sz w:val="28"/>
          <w:szCs w:val="28"/>
          <w:lang w:eastAsia="es-ES"/>
        </w:rPr>
        <w:lastRenderedPageBreak/>
        <w:t xml:space="preserve">Expresión del valor. Un valor puede ser expresado de formas diferentes. Por ejemplo, el valor de creador "Miquel Centelles" lo podemos expresar con los dos apellidos (“Miquel Centelles Velilla”), invirtiendo el orden de nombre y apellidos (“Centelles Velilla, Miquel”)... Este componente indica cómo expresamos un valor y se denomina </w:t>
      </w:r>
      <w:r w:rsidRPr="005E1103">
        <w:rPr>
          <w:rFonts w:asciiTheme="minorHAnsi" w:hAnsiTheme="minorHAnsi" w:cstheme="minorHAnsi"/>
          <w:i/>
          <w:iCs/>
          <w:color w:val="000000" w:themeColor="text1"/>
          <w:sz w:val="28"/>
          <w:szCs w:val="28"/>
          <w:lang w:eastAsia="es-ES"/>
        </w:rPr>
        <w:t>reglas de contenido de los datos</w:t>
      </w:r>
      <w:r w:rsidRPr="005E1103">
        <w:rPr>
          <w:rFonts w:asciiTheme="minorHAnsi" w:hAnsiTheme="minorHAnsi" w:cstheme="minorHAnsi"/>
          <w:color w:val="000000" w:themeColor="text1"/>
          <w:sz w:val="28"/>
          <w:szCs w:val="28"/>
          <w:lang w:eastAsia="es-ES"/>
        </w:rPr>
        <w:t>.</w:t>
      </w:r>
    </w:p>
    <w:p w:rsidR="003B20DC" w:rsidRPr="005E1103" w:rsidRDefault="003B20DC" w:rsidP="003B20DC">
      <w:pPr>
        <w:pStyle w:val="Listaconnmeros"/>
        <w:spacing w:after="160" w:line="360" w:lineRule="auto"/>
        <w:rPr>
          <w:rFonts w:asciiTheme="minorHAnsi" w:hAnsiTheme="minorHAnsi" w:cstheme="minorHAnsi"/>
          <w:color w:val="000000" w:themeColor="text1"/>
          <w:sz w:val="28"/>
          <w:szCs w:val="28"/>
          <w:lang w:eastAsia="es-ES"/>
        </w:rPr>
      </w:pPr>
      <w:r w:rsidRPr="005E1103">
        <w:rPr>
          <w:rFonts w:asciiTheme="minorHAnsi" w:hAnsiTheme="minorHAnsi" w:cstheme="minorHAnsi"/>
          <w:color w:val="000000" w:themeColor="text1"/>
          <w:sz w:val="28"/>
          <w:szCs w:val="28"/>
          <w:lang w:eastAsia="es-ES"/>
        </w:rPr>
        <w:t>Formato. Con el cuarto componente de los metadatos indicamos si usaremos XML, JSON, un simple texto plano u otros formatos de datos.</w:t>
      </w:r>
    </w:p>
    <w:p w:rsidR="003B20DC" w:rsidRPr="005E1103" w:rsidRDefault="003B20DC" w:rsidP="003B20DC">
      <w:pPr>
        <w:rPr>
          <w:rFonts w:cstheme="minorHAnsi"/>
          <w:color w:val="000000" w:themeColor="text1"/>
          <w:sz w:val="28"/>
          <w:szCs w:val="28"/>
          <w:lang w:eastAsia="es-ES"/>
        </w:rPr>
      </w:pPr>
      <w:r w:rsidRPr="005E1103">
        <w:rPr>
          <w:rFonts w:cstheme="minorHAnsi"/>
          <w:color w:val="000000" w:themeColor="text1"/>
          <w:sz w:val="28"/>
          <w:szCs w:val="28"/>
          <w:lang w:eastAsia="es-ES"/>
        </w:rPr>
        <w:t xml:space="preserve">La creación de metadatos es una tarea que no se puede improvisar. En general, estos se crean y se mantienen de forma manual, lo que significa un coste adicional a la creación del contenido y edición digital de la publicación. Afortunadamente, existen propuestas normalizadas que delimitan los elementos a describir o los valores aceptables. Estas propuestas son los </w:t>
      </w:r>
      <w:r w:rsidRPr="005E1103">
        <w:rPr>
          <w:rFonts w:cstheme="minorHAnsi"/>
          <w:i/>
          <w:iCs/>
          <w:color w:val="000000" w:themeColor="text1"/>
          <w:sz w:val="28"/>
          <w:szCs w:val="28"/>
          <w:lang w:eastAsia="es-ES"/>
        </w:rPr>
        <w:t>esquemas de metadatos</w:t>
      </w:r>
      <w:r w:rsidRPr="005E1103">
        <w:rPr>
          <w:rFonts w:cstheme="minorHAnsi"/>
          <w:color w:val="000000" w:themeColor="text1"/>
          <w:sz w:val="28"/>
          <w:szCs w:val="28"/>
          <w:lang w:eastAsia="es-ES"/>
        </w:rPr>
        <w:t xml:space="preserve">, y los diseñan organismos que tienen autoridad sobre un sector de actividad determinado. Así, para la descripción de recursos de información en general y, específicamente, de publicaciones digitales, el esquema de metadatos de referencia es </w:t>
      </w:r>
      <w:r w:rsidRPr="005E1103">
        <w:rPr>
          <w:rFonts w:cstheme="minorHAnsi"/>
          <w:color w:val="000000" w:themeColor="text1"/>
          <w:sz w:val="28"/>
          <w:szCs w:val="28"/>
          <w:lang w:eastAsia="es-ES"/>
        </w:rPr>
        <w:fldChar w:fldCharType="begin" w:fldLock="1"/>
      </w:r>
      <w:r w:rsidRPr="005E1103">
        <w:rPr>
          <w:rFonts w:cstheme="minorHAnsi"/>
          <w:color w:val="000000" w:themeColor="text1"/>
          <w:sz w:val="28"/>
          <w:szCs w:val="28"/>
          <w:lang w:eastAsia="es-ES"/>
        </w:rPr>
        <w:instrText>ADDIN CSL_CITATION { "citationItems" : [ { "id" : "ITEM-1", "itemData" : { "URL" : "http://dublincore.org/documents/dces/", "accessed" : { "date-parts" : [ [ "2016", "9", "28" ] ] }, "id" : "ITEM-1", "issued" : { "date-parts" : [ [ "2012" ] ] }, "title" : "Dublin Core metadata element set, version 1.1", "type" : "webpage" }, "uris" : [ "http://www.mendeley.com/documents/?uuid=45937d4f-e2b3-4678-815f-dded19a4fe7c" ] } ], "mendeley" : { "formattedCitation" : "(Anon 2012b)", "plainTextFormattedCitation" : "(Anon 2012b)", "previouslyFormattedCitation" : "(Anon 2012b)" }, "properties" : { "noteIndex" : 0 }, "schema" : "https://github.com/citation-style-language/schema/raw/master/csl-citation.json" }</w:instrText>
      </w:r>
      <w:r w:rsidRPr="005E1103">
        <w:rPr>
          <w:rFonts w:cstheme="minorHAnsi"/>
          <w:color w:val="000000" w:themeColor="text1"/>
          <w:sz w:val="28"/>
          <w:szCs w:val="28"/>
          <w:lang w:eastAsia="es-ES"/>
        </w:rPr>
        <w:fldChar w:fldCharType="separate"/>
      </w:r>
      <w:r w:rsidRPr="005E1103">
        <w:rPr>
          <w:rFonts w:cstheme="minorHAnsi"/>
          <w:noProof/>
          <w:color w:val="000000" w:themeColor="text1"/>
          <w:sz w:val="28"/>
          <w:szCs w:val="28"/>
          <w:lang w:eastAsia="es-ES"/>
        </w:rPr>
        <w:t>(Anon 2012b)</w:t>
      </w:r>
      <w:r w:rsidRPr="005E1103">
        <w:rPr>
          <w:rFonts w:cstheme="minorHAnsi"/>
          <w:color w:val="000000" w:themeColor="text1"/>
          <w:sz w:val="28"/>
          <w:szCs w:val="28"/>
          <w:lang w:eastAsia="es-ES"/>
        </w:rPr>
        <w:fldChar w:fldCharType="end"/>
      </w:r>
      <w:r w:rsidRPr="005E1103">
        <w:rPr>
          <w:rFonts w:cstheme="minorHAnsi"/>
          <w:color w:val="000000" w:themeColor="text1"/>
          <w:sz w:val="28"/>
          <w:szCs w:val="28"/>
          <w:lang w:eastAsia="es-ES"/>
        </w:rPr>
        <w:t xml:space="preserve">, desde ahora </w:t>
      </w:r>
      <w:r w:rsidRPr="005E1103">
        <w:rPr>
          <w:rFonts w:cstheme="minorHAnsi"/>
          <w:i/>
          <w:iCs/>
          <w:color w:val="000000" w:themeColor="text1"/>
          <w:sz w:val="28"/>
          <w:szCs w:val="28"/>
          <w:lang w:eastAsia="es-ES"/>
        </w:rPr>
        <w:t>DCMET</w:t>
      </w:r>
      <w:r w:rsidRPr="005E1103">
        <w:rPr>
          <w:rFonts w:cstheme="minorHAnsi"/>
          <w:color w:val="000000" w:themeColor="text1"/>
          <w:sz w:val="28"/>
          <w:szCs w:val="28"/>
          <w:lang w:eastAsia="es-ES"/>
        </w:rPr>
        <w:t>. Este esquema es el esquema usado en EPUB 3.</w:t>
      </w:r>
    </w:p>
    <w:p w:rsidR="003B20DC" w:rsidRPr="005E1103" w:rsidRDefault="003B20DC" w:rsidP="003B20DC">
      <w:pPr>
        <w:pStyle w:val="Ttulo3"/>
        <w:rPr>
          <w:rFonts w:asciiTheme="minorHAnsi" w:eastAsia="Times New Roman" w:hAnsiTheme="minorHAnsi" w:cstheme="minorHAnsi"/>
          <w:color w:val="000000" w:themeColor="text1"/>
          <w:sz w:val="28"/>
          <w:szCs w:val="28"/>
          <w:lang w:eastAsia="es-ES"/>
        </w:rPr>
      </w:pPr>
      <w:r w:rsidRPr="005E1103">
        <w:rPr>
          <w:rFonts w:asciiTheme="minorHAnsi" w:eastAsia="Times New Roman" w:hAnsiTheme="minorHAnsi" w:cstheme="minorHAnsi"/>
          <w:color w:val="000000" w:themeColor="text1"/>
          <w:sz w:val="28"/>
          <w:szCs w:val="28"/>
          <w:lang w:eastAsia="es-ES"/>
        </w:rPr>
        <w:t>1.2.2 Para qué sirven los metadatos</w:t>
      </w:r>
    </w:p>
    <w:p w:rsidR="003B20DC" w:rsidRPr="005E1103" w:rsidRDefault="003B20DC" w:rsidP="003B20DC">
      <w:pPr>
        <w:rPr>
          <w:rFonts w:cstheme="minorHAnsi"/>
          <w:color w:val="000000" w:themeColor="text1"/>
          <w:sz w:val="28"/>
          <w:szCs w:val="28"/>
          <w:lang w:eastAsia="es-ES"/>
        </w:rPr>
      </w:pPr>
      <w:r w:rsidRPr="005E1103">
        <w:rPr>
          <w:rFonts w:cstheme="minorHAnsi"/>
          <w:color w:val="000000" w:themeColor="text1"/>
          <w:sz w:val="28"/>
          <w:szCs w:val="28"/>
          <w:lang w:eastAsia="es-ES"/>
        </w:rPr>
        <w:t xml:space="preserve">Si una publicación usa metadatos internos, es decir, incluye los metadatos dentro de los propios ficheros digitales de la publicación, diversas herramientas pueden consultarlos y reusarlos a lo largo de la vida de la publicación. En nuestro caso, los metadatos internos juegan un papel determinante en el proceso de validación y actualización de las publicaciones EPUB, pues una publicación no será válida si no incluye los elementos de metadatos marcados como obligatorios en la especificación EPUB. </w:t>
      </w:r>
    </w:p>
    <w:p w:rsidR="003B20DC" w:rsidRPr="005E1103" w:rsidRDefault="003B20DC" w:rsidP="003B20DC">
      <w:pPr>
        <w:rPr>
          <w:rFonts w:cstheme="minorHAnsi"/>
          <w:color w:val="000000" w:themeColor="text1"/>
          <w:sz w:val="28"/>
          <w:szCs w:val="28"/>
          <w:lang w:eastAsia="es-ES"/>
        </w:rPr>
      </w:pPr>
      <w:r w:rsidRPr="005E1103">
        <w:rPr>
          <w:rFonts w:cstheme="minorHAnsi"/>
          <w:color w:val="000000" w:themeColor="text1"/>
          <w:sz w:val="28"/>
          <w:szCs w:val="28"/>
          <w:lang w:eastAsia="es-ES"/>
        </w:rPr>
        <w:t xml:space="preserve">Además, pueden aportar valor añadido a la experiencia de los usuarios de los libros digitales, por un lado, facilitando la búsqueda y selección de libros en las plataformas de distribución; y, por otro, facilitando la organización y búsqueda de libros, en las bibliotecas personales creadas en las aplicaciones de lectura de libros digitales. </w:t>
      </w:r>
    </w:p>
    <w:p w:rsidR="003B20DC" w:rsidRPr="005E1103" w:rsidRDefault="003B20DC" w:rsidP="003B20DC">
      <w:pPr>
        <w:pStyle w:val="Ttulo3"/>
        <w:rPr>
          <w:rFonts w:asciiTheme="minorHAnsi" w:eastAsia="Times New Roman" w:hAnsiTheme="minorHAnsi" w:cstheme="minorHAnsi"/>
          <w:color w:val="000000" w:themeColor="text1"/>
          <w:sz w:val="28"/>
          <w:szCs w:val="28"/>
          <w:lang w:eastAsia="es-ES"/>
        </w:rPr>
      </w:pPr>
      <w:r w:rsidRPr="005E1103">
        <w:rPr>
          <w:rFonts w:asciiTheme="minorHAnsi" w:eastAsia="Times New Roman" w:hAnsiTheme="minorHAnsi" w:cstheme="minorHAnsi"/>
          <w:color w:val="000000" w:themeColor="text1"/>
          <w:sz w:val="28"/>
          <w:szCs w:val="28"/>
          <w:lang w:eastAsia="es-ES"/>
        </w:rPr>
        <w:lastRenderedPageBreak/>
        <w:t>1.2.3 Quién incorpora los metadatos</w:t>
      </w:r>
    </w:p>
    <w:p w:rsidR="003B20DC" w:rsidRPr="005E1103" w:rsidRDefault="003B20DC" w:rsidP="003B20DC">
      <w:pPr>
        <w:rPr>
          <w:rFonts w:eastAsia="Times New Roman" w:cstheme="minorHAnsi"/>
          <w:color w:val="000000" w:themeColor="text1"/>
          <w:sz w:val="28"/>
          <w:szCs w:val="28"/>
          <w:lang w:eastAsia="es-ES"/>
        </w:rPr>
      </w:pPr>
      <w:r w:rsidRPr="005E1103">
        <w:rPr>
          <w:rFonts w:cstheme="minorHAnsi"/>
          <w:color w:val="000000" w:themeColor="text1"/>
          <w:sz w:val="28"/>
          <w:szCs w:val="28"/>
          <w:lang w:eastAsia="es-ES"/>
        </w:rPr>
        <w:t xml:space="preserve">En la cadena de valor de las publicaciones electrónicas intervienen diferentes agentes: el autor, el consumidor final los editores, los agentes revendedores, bibliotecas, etc. Todos ellos pueden generar y (re)utilizar metadatos, que acompañan la vida de las publicaciones. En el caso concreto de los metadatos internos, el agente ideal para su incorporación son los propios autores cuando el documento se autoedita, y los editores, cuando son estos los responsables de la edición. Las herramientas de autor (InDesign, Calibre, etc.) incorporan funcionalidades para la incorporación de metadatos. </w:t>
      </w:r>
      <w:r w:rsidRPr="005E1103">
        <w:rPr>
          <w:rFonts w:eastAsia="Times New Roman" w:cstheme="minorHAnsi"/>
          <w:color w:val="000000" w:themeColor="text1"/>
          <w:sz w:val="28"/>
          <w:szCs w:val="28"/>
          <w:lang w:eastAsia="es-ES"/>
        </w:rPr>
        <w:t>  </w:t>
      </w:r>
    </w:p>
    <w:p w:rsidR="003B20DC" w:rsidRPr="005E1103" w:rsidRDefault="003B20DC" w:rsidP="003B20DC">
      <w:pPr>
        <w:pStyle w:val="Ttulo1"/>
        <w:rPr>
          <w:rFonts w:asciiTheme="minorHAnsi" w:eastAsia="Times New Roman" w:hAnsiTheme="minorHAnsi" w:cstheme="minorHAnsi"/>
          <w:color w:val="000000" w:themeColor="text1"/>
          <w:lang w:eastAsia="es-ES"/>
        </w:rPr>
      </w:pPr>
      <w:r w:rsidRPr="005E1103">
        <w:rPr>
          <w:rFonts w:asciiTheme="minorHAnsi" w:eastAsia="Times New Roman" w:hAnsiTheme="minorHAnsi" w:cstheme="minorHAnsi"/>
          <w:color w:val="000000" w:themeColor="text1"/>
          <w:lang w:eastAsia="es-ES"/>
        </w:rPr>
        <w:t>2 Metadatos según el estándar EPUB 3</w:t>
      </w:r>
    </w:p>
    <w:p w:rsidR="003B20DC" w:rsidRPr="005E1103" w:rsidRDefault="003B20DC" w:rsidP="003B20DC">
      <w:pPr>
        <w:rPr>
          <w:rFonts w:cstheme="minorHAnsi"/>
          <w:color w:val="000000" w:themeColor="text1"/>
          <w:sz w:val="28"/>
          <w:szCs w:val="28"/>
          <w:lang w:eastAsia="es-ES"/>
        </w:rPr>
      </w:pPr>
      <w:r w:rsidRPr="005E1103">
        <w:rPr>
          <w:rFonts w:cstheme="minorHAnsi"/>
          <w:color w:val="000000" w:themeColor="text1"/>
          <w:sz w:val="28"/>
          <w:szCs w:val="28"/>
          <w:lang w:eastAsia="es-ES"/>
        </w:rPr>
        <w:t xml:space="preserve">Dos son las especificaciones de EPUB 3 que se refieren a la incorporación de metadatos </w:t>
      </w:r>
      <w:r w:rsidRPr="005E1103">
        <w:rPr>
          <w:rFonts w:cstheme="minorHAnsi"/>
          <w:color w:val="000000" w:themeColor="text1"/>
          <w:sz w:val="28"/>
          <w:szCs w:val="28"/>
          <w:lang w:eastAsia="es-ES"/>
        </w:rPr>
        <w:fldChar w:fldCharType="begin" w:fldLock="1"/>
      </w:r>
      <w:r w:rsidRPr="005E1103">
        <w:rPr>
          <w:rFonts w:cstheme="minorHAnsi"/>
          <w:color w:val="000000" w:themeColor="text1"/>
          <w:sz w:val="28"/>
          <w:szCs w:val="28"/>
          <w:lang w:eastAsia="es-ES"/>
        </w:rPr>
        <w:instrText>ADDIN CSL_CITATION { "citationItems" : [ { "id" : "ITEM-1", "itemData" : { "URL" : "http://www.idpf.org/epub/301/spec/epub-publications.html", "accessed" : { "date-parts" : [ [ "2016", "9", "28" ] ] }, "container-title" : "International Digital Publishing Forum", "id" : "ITEM-1", "issued" : { "date-parts" : [ [ "2014" ] ] }, "title" : "EPUB publications 3.0.1: recommended specification 26 June 2014", "type" : "webpage" }, "uris" : [ "http://www.mendeley.com/documents/?uuid=7feffeaa-8431-4428-ade2-cf0b891c7bea" ] }, { "id" : "ITEM-2", "itemData" : { "URL" : "http://www.idpf.org/epub/301/spec/epub-mediaoverlays.html", "accessed" : { "date-parts" : [ [ "2016", "9", "28" ] ] }, "id" : "ITEM-2", "issued" : { "date-parts" : [ [ "2014" ] ] }, "title" : "EPUB media overlays 3.0.1: recommended specification 26 June 2014", "type" : "webpage" }, "uris" : [ "http://www.mendeley.com/documents/?uuid=ef15ed08-2d90-4a44-a47c-d91f11773a6c" ] } ], "mendeley" : { "formattedCitation" : "(Anon 2014c; Anon 2014b)", "plainTextFormattedCitation" : "(Anon 2014c; Anon 2014b)", "previouslyFormattedCitation" : "(Anon 2014c; Anon 2014b)" }, "properties" : { "noteIndex" : 0 }, "schema" : "https://github.com/citation-style-language/schema/raw/master/csl-citation.json" }</w:instrText>
      </w:r>
      <w:r w:rsidRPr="005E1103">
        <w:rPr>
          <w:rFonts w:cstheme="minorHAnsi"/>
          <w:color w:val="000000" w:themeColor="text1"/>
          <w:sz w:val="28"/>
          <w:szCs w:val="28"/>
          <w:lang w:eastAsia="es-ES"/>
        </w:rPr>
        <w:fldChar w:fldCharType="separate"/>
      </w:r>
      <w:r w:rsidRPr="005E1103">
        <w:rPr>
          <w:rFonts w:cstheme="minorHAnsi"/>
          <w:noProof/>
          <w:color w:val="000000" w:themeColor="text1"/>
          <w:sz w:val="28"/>
          <w:szCs w:val="28"/>
          <w:lang w:eastAsia="es-ES"/>
        </w:rPr>
        <w:t>(Anon 2014c; Anon 2014b)</w:t>
      </w:r>
      <w:r w:rsidRPr="005E1103">
        <w:rPr>
          <w:rFonts w:cstheme="minorHAnsi"/>
          <w:color w:val="000000" w:themeColor="text1"/>
          <w:sz w:val="28"/>
          <w:szCs w:val="28"/>
          <w:lang w:eastAsia="es-ES"/>
        </w:rPr>
        <w:fldChar w:fldCharType="end"/>
      </w:r>
      <w:r w:rsidRPr="005E1103">
        <w:rPr>
          <w:rFonts w:cstheme="minorHAnsi"/>
          <w:color w:val="000000" w:themeColor="text1"/>
          <w:sz w:val="28"/>
          <w:szCs w:val="28"/>
          <w:lang w:eastAsia="es-ES"/>
        </w:rPr>
        <w:t>. En ellas se define un máximo de cinco elementos de metadatos obligatorios para cada una de las presentaciones de una publicación, y dos mecanismos básicos para la incorporación de otros metadatos opcionales. En el caso de los metadatos opcionales hay una gran flexibilidad sobre el esquema de metadatos a utilizar.</w:t>
      </w:r>
      <w:r w:rsidRPr="005E1103">
        <w:rPr>
          <w:rFonts w:cstheme="minorHAnsi"/>
          <w:color w:val="000000" w:themeColor="text1"/>
          <w:sz w:val="28"/>
          <w:szCs w:val="28"/>
          <w:shd w:val="clear" w:color="auto" w:fill="FFFFFF"/>
          <w:lang w:eastAsia="es-ES"/>
        </w:rPr>
        <w:t xml:space="preserve"> </w:t>
      </w:r>
    </w:p>
    <w:tbl>
      <w:tblPr>
        <w:tblW w:w="9030" w:type="dxa"/>
        <w:tblCellMar>
          <w:top w:w="15" w:type="dxa"/>
          <w:left w:w="15" w:type="dxa"/>
          <w:bottom w:w="15" w:type="dxa"/>
          <w:right w:w="15" w:type="dxa"/>
        </w:tblCellMar>
        <w:tblLook w:val="04A0" w:firstRow="1" w:lastRow="0" w:firstColumn="1" w:lastColumn="0" w:noHBand="0" w:noVBand="1"/>
      </w:tblPr>
      <w:tblGrid>
        <w:gridCol w:w="9030"/>
      </w:tblGrid>
      <w:tr w:rsidR="003B20DC" w:rsidRPr="005E1103" w:rsidTr="005E1103">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3B20DC" w:rsidRPr="005E1103" w:rsidRDefault="003B20DC" w:rsidP="005E1103">
            <w:pPr>
              <w:spacing w:after="0" w:line="240" w:lineRule="auto"/>
              <w:rPr>
                <w:rFonts w:eastAsia="Times New Roman" w:cstheme="minorHAnsi"/>
                <w:color w:val="000000" w:themeColor="text1"/>
                <w:sz w:val="28"/>
                <w:szCs w:val="28"/>
                <w:lang w:val="en-US" w:eastAsia="es-ES"/>
              </w:rPr>
            </w:pPr>
            <w:r w:rsidRPr="005E1103">
              <w:rPr>
                <w:rFonts w:eastAsia="Times New Roman" w:cstheme="minorHAnsi"/>
                <w:color w:val="000000" w:themeColor="text1"/>
                <w:sz w:val="28"/>
                <w:szCs w:val="28"/>
                <w:lang w:val="en-US" w:eastAsia="es-ES"/>
              </w:rPr>
              <w:t>&lt;?xml version="1.0" encoding="utf-8"?&gt;</w:t>
            </w:r>
          </w:p>
          <w:p w:rsidR="003B20DC" w:rsidRPr="005E1103" w:rsidRDefault="003B20DC" w:rsidP="005E1103">
            <w:pPr>
              <w:spacing w:after="0" w:line="240" w:lineRule="auto"/>
              <w:rPr>
                <w:rFonts w:eastAsia="Times New Roman" w:cstheme="minorHAnsi"/>
                <w:color w:val="000000" w:themeColor="text1"/>
                <w:sz w:val="28"/>
                <w:szCs w:val="28"/>
                <w:lang w:val="en-US" w:eastAsia="es-ES"/>
              </w:rPr>
            </w:pPr>
            <w:r w:rsidRPr="005E1103">
              <w:rPr>
                <w:rFonts w:eastAsia="Times New Roman" w:cstheme="minorHAnsi"/>
                <w:color w:val="000000" w:themeColor="text1"/>
                <w:sz w:val="28"/>
                <w:szCs w:val="28"/>
                <w:lang w:val="en-US" w:eastAsia="es-ES"/>
              </w:rPr>
              <w:t>&lt;package (1)xmlns="http://www.idpf.org/2007/opf" (2)version="3.0" (3)unique-identifier="pub-id" (4)prefix="(4a)foaf: (4b)http://xmlns.com/foaf/spec/"&gt;</w:t>
            </w:r>
          </w:p>
          <w:p w:rsidR="003B20DC" w:rsidRPr="005E1103" w:rsidRDefault="003B20DC" w:rsidP="005E1103">
            <w:pPr>
              <w:spacing w:after="0" w:line="240" w:lineRule="auto"/>
              <w:rPr>
                <w:rFonts w:eastAsia="Times New Roman" w:cstheme="minorHAnsi"/>
                <w:color w:val="000000" w:themeColor="text1"/>
                <w:sz w:val="28"/>
                <w:szCs w:val="28"/>
                <w:lang w:eastAsia="es-ES"/>
              </w:rPr>
            </w:pPr>
            <w:r w:rsidRPr="005E1103">
              <w:rPr>
                <w:rFonts w:eastAsia="Times New Roman" w:cstheme="minorHAnsi"/>
                <w:color w:val="000000" w:themeColor="text1"/>
                <w:sz w:val="28"/>
                <w:szCs w:val="28"/>
                <w:lang w:val="en-US" w:eastAsia="es-ES"/>
              </w:rPr>
              <w:t>   </w:t>
            </w:r>
            <w:r w:rsidRPr="005E1103">
              <w:rPr>
                <w:rFonts w:eastAsia="Times New Roman" w:cstheme="minorHAnsi"/>
                <w:color w:val="000000" w:themeColor="text1"/>
                <w:sz w:val="28"/>
                <w:szCs w:val="28"/>
                <w:lang w:eastAsia="es-ES"/>
              </w:rPr>
              <w:t>&lt;metadata (5)xmlns:(5a)dc=(5b)"http://purl.org/dc/elements/1.1/"&gt;</w:t>
            </w:r>
          </w:p>
          <w:p w:rsidR="003B20DC" w:rsidRPr="005E1103" w:rsidRDefault="003B20DC" w:rsidP="005E1103">
            <w:pPr>
              <w:spacing w:after="0" w:line="240" w:lineRule="auto"/>
              <w:rPr>
                <w:rFonts w:eastAsia="Times New Roman" w:cstheme="minorHAnsi"/>
                <w:color w:val="000000" w:themeColor="text1"/>
                <w:sz w:val="28"/>
                <w:szCs w:val="28"/>
                <w:lang w:eastAsia="es-ES"/>
              </w:rPr>
            </w:pPr>
            <w:r w:rsidRPr="005E1103">
              <w:rPr>
                <w:rFonts w:eastAsia="Times New Roman" w:cstheme="minorHAnsi"/>
                <w:color w:val="000000" w:themeColor="text1"/>
                <w:sz w:val="28"/>
                <w:szCs w:val="28"/>
                <w:lang w:eastAsia="es-ES"/>
              </w:rPr>
              <w:t>       (6)&lt;dc:identifier&gt;(6a)45689-11&lt;/dc:identifier&gt;</w:t>
            </w:r>
          </w:p>
          <w:p w:rsidR="003B20DC" w:rsidRPr="005E1103" w:rsidRDefault="003B20DC" w:rsidP="005E1103">
            <w:pPr>
              <w:spacing w:after="0" w:line="240" w:lineRule="auto"/>
              <w:rPr>
                <w:rFonts w:eastAsia="Times New Roman" w:cstheme="minorHAnsi"/>
                <w:color w:val="000000" w:themeColor="text1"/>
                <w:sz w:val="28"/>
                <w:szCs w:val="28"/>
                <w:lang w:eastAsia="es-ES"/>
              </w:rPr>
            </w:pPr>
            <w:r w:rsidRPr="005E1103">
              <w:rPr>
                <w:rFonts w:eastAsia="Times New Roman" w:cstheme="minorHAnsi"/>
                <w:color w:val="000000" w:themeColor="text1"/>
                <w:sz w:val="28"/>
                <w:szCs w:val="28"/>
                <w:lang w:eastAsia="es-ES"/>
              </w:rPr>
              <w:t>       (7)&lt;dc:identifier (7a)id="pub-id"&gt;(7b)ca-20140317123428&lt;/dc:identifier&gt;</w:t>
            </w:r>
          </w:p>
          <w:p w:rsidR="003B20DC" w:rsidRPr="005E1103" w:rsidRDefault="003B20DC" w:rsidP="005E1103">
            <w:pPr>
              <w:spacing w:after="0" w:line="240" w:lineRule="auto"/>
              <w:rPr>
                <w:rFonts w:eastAsia="Times New Roman" w:cstheme="minorHAnsi"/>
                <w:color w:val="000000" w:themeColor="text1"/>
                <w:sz w:val="28"/>
                <w:szCs w:val="28"/>
                <w:lang w:eastAsia="es-ES"/>
              </w:rPr>
            </w:pPr>
            <w:r w:rsidRPr="005E1103">
              <w:rPr>
                <w:rFonts w:eastAsia="Times New Roman" w:cstheme="minorHAnsi"/>
                <w:color w:val="000000" w:themeColor="text1"/>
                <w:sz w:val="28"/>
                <w:szCs w:val="28"/>
                <w:lang w:eastAsia="es-ES"/>
              </w:rPr>
              <w:t>       (8) &lt;dc:title id="t1" xml:lang="es" dir="ltr"&gt;Marco internacional e interno del derecho de la infancia y de la adolescencia&lt;/dc:title&gt;</w:t>
            </w:r>
          </w:p>
          <w:p w:rsidR="003B20DC" w:rsidRPr="005E1103" w:rsidRDefault="003B20DC" w:rsidP="005E1103">
            <w:pPr>
              <w:spacing w:after="0" w:line="240" w:lineRule="auto"/>
              <w:rPr>
                <w:rFonts w:eastAsia="Times New Roman" w:cstheme="minorHAnsi"/>
                <w:color w:val="000000" w:themeColor="text1"/>
                <w:sz w:val="28"/>
                <w:szCs w:val="28"/>
                <w:lang w:val="en-US" w:eastAsia="es-ES"/>
              </w:rPr>
            </w:pPr>
            <w:r w:rsidRPr="005E1103">
              <w:rPr>
                <w:rFonts w:eastAsia="Times New Roman" w:cstheme="minorHAnsi"/>
                <w:color w:val="000000" w:themeColor="text1"/>
                <w:sz w:val="28"/>
                <w:szCs w:val="28"/>
                <w:lang w:eastAsia="es-ES"/>
              </w:rPr>
              <w:t>       </w:t>
            </w:r>
            <w:r w:rsidRPr="005E1103">
              <w:rPr>
                <w:rFonts w:eastAsia="Times New Roman" w:cstheme="minorHAnsi"/>
                <w:color w:val="000000" w:themeColor="text1"/>
                <w:sz w:val="28"/>
                <w:szCs w:val="28"/>
                <w:lang w:val="en-US" w:eastAsia="es-ES"/>
              </w:rPr>
              <w:t>(9)&lt;meta refines="#t1" property=</w:t>
            </w:r>
            <w:r w:rsidRPr="005E1103">
              <w:rPr>
                <w:rFonts w:eastAsia="Times New Roman" w:cstheme="minorHAnsi"/>
                <w:i/>
                <w:iCs/>
                <w:color w:val="000000" w:themeColor="text1"/>
                <w:sz w:val="28"/>
                <w:szCs w:val="28"/>
                <w:lang w:val="en-US" w:eastAsia="es-ES"/>
              </w:rPr>
              <w:t>"title-type"</w:t>
            </w:r>
            <w:r w:rsidRPr="005E1103">
              <w:rPr>
                <w:rFonts w:eastAsia="Times New Roman" w:cstheme="minorHAnsi"/>
                <w:color w:val="000000" w:themeColor="text1"/>
                <w:sz w:val="28"/>
                <w:szCs w:val="28"/>
                <w:lang w:val="en-US" w:eastAsia="es-ES"/>
              </w:rPr>
              <w:t>&gt;(9a)</w:t>
            </w:r>
            <w:r w:rsidRPr="005E1103">
              <w:rPr>
                <w:rFonts w:eastAsia="Times New Roman" w:cstheme="minorHAnsi"/>
                <w:i/>
                <w:iCs/>
                <w:color w:val="000000" w:themeColor="text1"/>
                <w:sz w:val="28"/>
                <w:szCs w:val="28"/>
                <w:lang w:val="en-US" w:eastAsia="es-ES"/>
              </w:rPr>
              <w:t>main</w:t>
            </w:r>
            <w:r w:rsidRPr="005E1103">
              <w:rPr>
                <w:rFonts w:eastAsia="Times New Roman" w:cstheme="minorHAnsi"/>
                <w:color w:val="000000" w:themeColor="text1"/>
                <w:sz w:val="28"/>
                <w:szCs w:val="28"/>
                <w:lang w:val="en-US" w:eastAsia="es-ES"/>
              </w:rPr>
              <w:t>&lt;/meta&gt;</w:t>
            </w:r>
          </w:p>
          <w:p w:rsidR="003B20DC" w:rsidRPr="005E1103" w:rsidRDefault="003B20DC" w:rsidP="005E1103">
            <w:pPr>
              <w:spacing w:after="0" w:line="240" w:lineRule="auto"/>
              <w:rPr>
                <w:rFonts w:eastAsia="Times New Roman" w:cstheme="minorHAnsi"/>
                <w:color w:val="000000" w:themeColor="text1"/>
                <w:sz w:val="28"/>
                <w:szCs w:val="28"/>
                <w:lang w:val="en-US" w:eastAsia="es-ES"/>
              </w:rPr>
            </w:pPr>
            <w:r w:rsidRPr="005E1103">
              <w:rPr>
                <w:rFonts w:eastAsia="Times New Roman" w:cstheme="minorHAnsi"/>
                <w:color w:val="000000" w:themeColor="text1"/>
                <w:sz w:val="28"/>
                <w:szCs w:val="28"/>
                <w:lang w:val="en-US" w:eastAsia="es-ES"/>
              </w:rPr>
              <w:t>       (10)&lt;dc:language&gt;es&lt;/dc:language&gt;</w:t>
            </w:r>
          </w:p>
          <w:p w:rsidR="003B20DC" w:rsidRPr="005E1103" w:rsidRDefault="003B20DC" w:rsidP="005E1103">
            <w:pPr>
              <w:spacing w:after="0" w:line="240" w:lineRule="auto"/>
              <w:rPr>
                <w:rFonts w:eastAsia="Times New Roman" w:cstheme="minorHAnsi"/>
                <w:color w:val="000000" w:themeColor="text1"/>
                <w:sz w:val="28"/>
                <w:szCs w:val="28"/>
                <w:lang w:val="en-US" w:eastAsia="es-ES"/>
              </w:rPr>
            </w:pPr>
            <w:r w:rsidRPr="005E1103">
              <w:rPr>
                <w:rFonts w:eastAsia="Times New Roman" w:cstheme="minorHAnsi"/>
                <w:color w:val="000000" w:themeColor="text1"/>
                <w:sz w:val="28"/>
                <w:szCs w:val="28"/>
                <w:lang w:val="en-US" w:eastAsia="es-ES"/>
              </w:rPr>
              <w:t>       (11)&lt;dc:language&gt;la&lt;/dc:language&gt;</w:t>
            </w:r>
          </w:p>
          <w:p w:rsidR="003B20DC" w:rsidRPr="005E1103" w:rsidRDefault="003B20DC" w:rsidP="005E1103">
            <w:pPr>
              <w:spacing w:after="0" w:line="240" w:lineRule="auto"/>
              <w:rPr>
                <w:rFonts w:eastAsia="Times New Roman" w:cstheme="minorHAnsi"/>
                <w:color w:val="000000" w:themeColor="text1"/>
                <w:sz w:val="28"/>
                <w:szCs w:val="28"/>
                <w:lang w:val="en-US" w:eastAsia="es-ES"/>
              </w:rPr>
            </w:pPr>
            <w:r w:rsidRPr="005E1103">
              <w:rPr>
                <w:rFonts w:eastAsia="Times New Roman" w:cstheme="minorHAnsi"/>
                <w:color w:val="000000" w:themeColor="text1"/>
                <w:sz w:val="28"/>
                <w:szCs w:val="28"/>
                <w:lang w:val="en-US" w:eastAsia="es-ES"/>
              </w:rPr>
              <w:t>       (12)&lt;meta property="dcterms:modified"&gt;2014-03-17T12:10:04Z&lt;/meta&gt;</w:t>
            </w:r>
          </w:p>
          <w:p w:rsidR="003B20DC" w:rsidRPr="005E1103" w:rsidRDefault="003B20DC" w:rsidP="005E1103">
            <w:pPr>
              <w:spacing w:after="0" w:line="240" w:lineRule="auto"/>
              <w:rPr>
                <w:rFonts w:eastAsia="Times New Roman" w:cstheme="minorHAnsi"/>
                <w:color w:val="000000" w:themeColor="text1"/>
                <w:sz w:val="28"/>
                <w:szCs w:val="28"/>
                <w:lang w:eastAsia="es-ES"/>
              </w:rPr>
            </w:pPr>
            <w:r w:rsidRPr="005E1103">
              <w:rPr>
                <w:rFonts w:eastAsia="Times New Roman" w:cstheme="minorHAnsi"/>
                <w:color w:val="000000" w:themeColor="text1"/>
                <w:sz w:val="28"/>
                <w:szCs w:val="28"/>
                <w:lang w:val="en-US" w:eastAsia="es-ES"/>
              </w:rPr>
              <w:t>       </w:t>
            </w:r>
            <w:r w:rsidRPr="005E1103">
              <w:rPr>
                <w:rFonts w:eastAsia="Times New Roman" w:cstheme="minorHAnsi"/>
                <w:color w:val="000000" w:themeColor="text1"/>
                <w:sz w:val="28"/>
                <w:szCs w:val="28"/>
                <w:lang w:eastAsia="es-ES"/>
              </w:rPr>
              <w:t>(13)&lt;meta property="media:duration"&gt;01:53:25.65&lt;/meta&gt;        </w:t>
            </w:r>
          </w:p>
          <w:p w:rsidR="003B20DC" w:rsidRPr="005E1103" w:rsidRDefault="003B20DC" w:rsidP="005E1103">
            <w:pPr>
              <w:spacing w:after="0" w:line="240" w:lineRule="auto"/>
              <w:rPr>
                <w:rFonts w:eastAsia="Times New Roman" w:cstheme="minorHAnsi"/>
                <w:color w:val="000000" w:themeColor="text1"/>
                <w:sz w:val="28"/>
                <w:szCs w:val="28"/>
                <w:lang w:val="en-US" w:eastAsia="es-ES"/>
              </w:rPr>
            </w:pPr>
            <w:r w:rsidRPr="005E1103">
              <w:rPr>
                <w:rFonts w:eastAsia="Times New Roman" w:cstheme="minorHAnsi"/>
                <w:color w:val="000000" w:themeColor="text1"/>
                <w:sz w:val="28"/>
                <w:szCs w:val="28"/>
                <w:lang w:eastAsia="es-ES"/>
              </w:rPr>
              <w:t>       </w:t>
            </w:r>
            <w:r w:rsidRPr="005E1103">
              <w:rPr>
                <w:rFonts w:eastAsia="Times New Roman" w:cstheme="minorHAnsi"/>
                <w:color w:val="000000" w:themeColor="text1"/>
                <w:sz w:val="28"/>
                <w:szCs w:val="28"/>
                <w:lang w:val="en-US" w:eastAsia="es-ES"/>
              </w:rPr>
              <w:t>(15)&lt;meta property="media:duration" refines=(15a)"#item_44"&gt;01:53:25.65&lt;/meta&gt;</w:t>
            </w:r>
          </w:p>
          <w:p w:rsidR="003B20DC" w:rsidRPr="005E1103" w:rsidRDefault="003B20DC" w:rsidP="005E1103">
            <w:pPr>
              <w:spacing w:after="0" w:line="240" w:lineRule="auto"/>
              <w:rPr>
                <w:rFonts w:eastAsia="Times New Roman" w:cstheme="minorHAnsi"/>
                <w:color w:val="000000" w:themeColor="text1"/>
                <w:sz w:val="28"/>
                <w:szCs w:val="28"/>
                <w:lang w:val="en-US" w:eastAsia="es-ES"/>
              </w:rPr>
            </w:pPr>
            <w:r w:rsidRPr="005E1103">
              <w:rPr>
                <w:rFonts w:eastAsia="Times New Roman" w:cstheme="minorHAnsi"/>
                <w:color w:val="000000" w:themeColor="text1"/>
                <w:sz w:val="28"/>
                <w:szCs w:val="28"/>
                <w:lang w:val="en-US" w:eastAsia="es-ES"/>
              </w:rPr>
              <w:t>       (16)&lt;dc:creator id="creator"&gt;Isaac Ravetllat Ballesté&lt;/dc:creator&gt;</w:t>
            </w:r>
          </w:p>
          <w:p w:rsidR="003B20DC" w:rsidRPr="005E1103" w:rsidRDefault="003B20DC" w:rsidP="005E1103">
            <w:pPr>
              <w:spacing w:after="0" w:line="240" w:lineRule="auto"/>
              <w:rPr>
                <w:rFonts w:eastAsia="Times New Roman" w:cstheme="minorHAnsi"/>
                <w:color w:val="000000" w:themeColor="text1"/>
                <w:sz w:val="28"/>
                <w:szCs w:val="28"/>
                <w:lang w:val="en-US" w:eastAsia="es-ES"/>
              </w:rPr>
            </w:pPr>
            <w:r w:rsidRPr="005E1103">
              <w:rPr>
                <w:rFonts w:eastAsia="Times New Roman" w:cstheme="minorHAnsi"/>
                <w:color w:val="000000" w:themeColor="text1"/>
                <w:sz w:val="28"/>
                <w:szCs w:val="28"/>
                <w:lang w:val="en-US" w:eastAsia="es-ES"/>
              </w:rPr>
              <w:t xml:space="preserve">       (17)&lt;meta refines="#creator" property="role" scheme="marc:relators" </w:t>
            </w:r>
            <w:r w:rsidRPr="005E1103">
              <w:rPr>
                <w:rFonts w:eastAsia="Times New Roman" w:cstheme="minorHAnsi"/>
                <w:color w:val="000000" w:themeColor="text1"/>
                <w:sz w:val="28"/>
                <w:szCs w:val="28"/>
                <w:lang w:val="en-US" w:eastAsia="es-ES"/>
              </w:rPr>
              <w:lastRenderedPageBreak/>
              <w:t>id="role"&gt;aut&lt;/meta&gt;</w:t>
            </w:r>
          </w:p>
          <w:p w:rsidR="003B20DC" w:rsidRPr="005E1103" w:rsidRDefault="003B20DC" w:rsidP="005E1103">
            <w:pPr>
              <w:spacing w:after="0" w:line="240" w:lineRule="auto"/>
              <w:rPr>
                <w:rFonts w:eastAsia="Times New Roman" w:cstheme="minorHAnsi"/>
                <w:color w:val="000000" w:themeColor="text1"/>
                <w:sz w:val="28"/>
                <w:szCs w:val="28"/>
                <w:lang w:val="en-US" w:eastAsia="es-ES"/>
              </w:rPr>
            </w:pPr>
            <w:r w:rsidRPr="005E1103">
              <w:rPr>
                <w:rFonts w:eastAsia="Times New Roman" w:cstheme="minorHAnsi"/>
                <w:color w:val="000000" w:themeColor="text1"/>
                <w:sz w:val="28"/>
                <w:szCs w:val="28"/>
                <w:lang w:val="en-US" w:eastAsia="es-ES"/>
              </w:rPr>
              <w:t>       (18)&lt;meta refines="#creator" property="file-as"&gt;Ravetllat Ballesté, Isaac&lt;/meta&gt;</w:t>
            </w:r>
          </w:p>
          <w:p w:rsidR="003B20DC" w:rsidRPr="005E1103" w:rsidRDefault="003B20DC" w:rsidP="005E1103">
            <w:pPr>
              <w:spacing w:after="0" w:line="240" w:lineRule="auto"/>
              <w:rPr>
                <w:rFonts w:eastAsia="Times New Roman" w:cstheme="minorHAnsi"/>
                <w:color w:val="000000" w:themeColor="text1"/>
                <w:sz w:val="28"/>
                <w:szCs w:val="28"/>
                <w:lang w:eastAsia="es-ES"/>
              </w:rPr>
            </w:pPr>
            <w:r w:rsidRPr="005E1103">
              <w:rPr>
                <w:rFonts w:eastAsia="Times New Roman" w:cstheme="minorHAnsi"/>
                <w:color w:val="000000" w:themeColor="text1"/>
                <w:sz w:val="28"/>
                <w:szCs w:val="28"/>
                <w:lang w:eastAsia="es-ES"/>
              </w:rPr>
              <w:t xml:space="preserve">&lt;!--- Muestras de elementos opcionales basados en </w:t>
            </w:r>
            <w:r w:rsidRPr="005E1103">
              <w:rPr>
                <w:rFonts w:eastAsia="Times New Roman" w:cstheme="minorHAnsi"/>
                <w:i/>
                <w:iCs/>
                <w:color w:val="000000" w:themeColor="text1"/>
                <w:sz w:val="28"/>
                <w:szCs w:val="28"/>
                <w:lang w:eastAsia="es-ES"/>
              </w:rPr>
              <w:t xml:space="preserve">DCMETS </w:t>
            </w:r>
            <w:r w:rsidRPr="005E1103">
              <w:rPr>
                <w:rFonts w:eastAsia="Times New Roman" w:cstheme="minorHAnsi"/>
                <w:color w:val="000000" w:themeColor="text1"/>
                <w:sz w:val="28"/>
                <w:szCs w:val="28"/>
                <w:lang w:eastAsia="es-ES"/>
              </w:rPr>
              <w:t>--&gt;</w:t>
            </w:r>
          </w:p>
          <w:p w:rsidR="003B20DC" w:rsidRPr="005E1103" w:rsidRDefault="003B20DC" w:rsidP="005E1103">
            <w:pPr>
              <w:spacing w:after="0" w:line="240" w:lineRule="auto"/>
              <w:rPr>
                <w:rFonts w:eastAsia="Times New Roman" w:cstheme="minorHAnsi"/>
                <w:color w:val="000000" w:themeColor="text1"/>
                <w:sz w:val="28"/>
                <w:szCs w:val="28"/>
                <w:lang w:val="en-US" w:eastAsia="es-ES"/>
              </w:rPr>
            </w:pPr>
            <w:r w:rsidRPr="005E1103">
              <w:rPr>
                <w:rFonts w:eastAsia="Times New Roman" w:cstheme="minorHAnsi"/>
                <w:color w:val="000000" w:themeColor="text1"/>
                <w:sz w:val="28"/>
                <w:szCs w:val="28"/>
                <w:lang w:eastAsia="es-ES"/>
              </w:rPr>
              <w:t>       </w:t>
            </w:r>
            <w:r w:rsidRPr="005E1103">
              <w:rPr>
                <w:rFonts w:eastAsia="Times New Roman" w:cstheme="minorHAnsi"/>
                <w:color w:val="000000" w:themeColor="text1"/>
                <w:sz w:val="28"/>
                <w:szCs w:val="28"/>
                <w:lang w:val="en-US" w:eastAsia="es-ES"/>
              </w:rPr>
              <w:t>&lt;dc:date id="date"&gt;2014-03-17&lt;/dc:date&gt;</w:t>
            </w:r>
          </w:p>
          <w:p w:rsidR="003B20DC" w:rsidRPr="005E1103" w:rsidRDefault="003B20DC" w:rsidP="005E1103">
            <w:pPr>
              <w:spacing w:after="0" w:line="240" w:lineRule="auto"/>
              <w:rPr>
                <w:rFonts w:eastAsia="Times New Roman" w:cstheme="minorHAnsi"/>
                <w:color w:val="000000" w:themeColor="text1"/>
                <w:sz w:val="28"/>
                <w:szCs w:val="28"/>
                <w:lang w:val="en-US" w:eastAsia="es-ES"/>
              </w:rPr>
            </w:pPr>
            <w:r w:rsidRPr="005E1103">
              <w:rPr>
                <w:rFonts w:eastAsia="Times New Roman" w:cstheme="minorHAnsi"/>
                <w:color w:val="000000" w:themeColor="text1"/>
                <w:sz w:val="28"/>
                <w:szCs w:val="28"/>
                <w:lang w:val="en-US" w:eastAsia="es-ES"/>
              </w:rPr>
              <w:t>       &lt;dc:type&gt;text&lt;/dc:type&gt;</w:t>
            </w:r>
          </w:p>
          <w:p w:rsidR="003B20DC" w:rsidRPr="005E1103" w:rsidRDefault="003B20DC" w:rsidP="005E1103">
            <w:pPr>
              <w:spacing w:after="0" w:line="240" w:lineRule="auto"/>
              <w:rPr>
                <w:rFonts w:eastAsia="Times New Roman" w:cstheme="minorHAnsi"/>
                <w:color w:val="000000" w:themeColor="text1"/>
                <w:sz w:val="28"/>
                <w:szCs w:val="28"/>
                <w:lang w:val="en-US" w:eastAsia="es-ES"/>
              </w:rPr>
            </w:pPr>
            <w:r w:rsidRPr="005E1103">
              <w:rPr>
                <w:rFonts w:eastAsia="Times New Roman" w:cstheme="minorHAnsi"/>
                <w:color w:val="000000" w:themeColor="text1"/>
                <w:sz w:val="28"/>
                <w:szCs w:val="28"/>
                <w:lang w:val="en-US" w:eastAsia="es-ES"/>
              </w:rPr>
              <w:t>       &lt;dc:format&gt;EPUB3&lt;/dc:format&gt;</w:t>
            </w:r>
          </w:p>
          <w:p w:rsidR="003B20DC" w:rsidRPr="005E1103" w:rsidRDefault="003B20DC" w:rsidP="005E1103">
            <w:pPr>
              <w:spacing w:after="0" w:line="240" w:lineRule="auto"/>
              <w:rPr>
                <w:rFonts w:eastAsia="Times New Roman" w:cstheme="minorHAnsi"/>
                <w:color w:val="000000" w:themeColor="text1"/>
                <w:sz w:val="28"/>
                <w:szCs w:val="28"/>
                <w:lang w:val="en-US" w:eastAsia="es-ES"/>
              </w:rPr>
            </w:pPr>
            <w:r w:rsidRPr="005E1103">
              <w:rPr>
                <w:rFonts w:eastAsia="Times New Roman" w:cstheme="minorHAnsi"/>
                <w:color w:val="000000" w:themeColor="text1"/>
                <w:sz w:val="28"/>
                <w:szCs w:val="28"/>
                <w:lang w:val="en-US" w:eastAsia="es-ES"/>
              </w:rPr>
              <w:t>       &lt;dc:publisher&gt;Universitat de Barcelona&lt;/dc:publisher&gt;</w:t>
            </w:r>
          </w:p>
          <w:p w:rsidR="003B20DC" w:rsidRPr="005E1103" w:rsidRDefault="003B20DC" w:rsidP="005E1103">
            <w:pPr>
              <w:spacing w:after="0" w:line="240" w:lineRule="auto"/>
              <w:rPr>
                <w:rFonts w:eastAsia="Times New Roman" w:cstheme="minorHAnsi"/>
                <w:color w:val="000000" w:themeColor="text1"/>
                <w:sz w:val="28"/>
                <w:szCs w:val="28"/>
                <w:lang w:val="en-US" w:eastAsia="es-ES"/>
              </w:rPr>
            </w:pPr>
            <w:r w:rsidRPr="005E1103">
              <w:rPr>
                <w:rFonts w:eastAsia="Times New Roman" w:cstheme="minorHAnsi"/>
                <w:color w:val="000000" w:themeColor="text1"/>
                <w:sz w:val="28"/>
                <w:szCs w:val="28"/>
                <w:lang w:val="en-US" w:eastAsia="es-ES"/>
              </w:rPr>
              <w:t>       &lt;meta name="cover" content="cover-image"/&gt;</w:t>
            </w:r>
          </w:p>
          <w:p w:rsidR="003B20DC" w:rsidRPr="005E1103" w:rsidRDefault="003B20DC" w:rsidP="005E1103">
            <w:pPr>
              <w:spacing w:after="0" w:line="240" w:lineRule="auto"/>
              <w:rPr>
                <w:rFonts w:eastAsia="Times New Roman" w:cstheme="minorHAnsi"/>
                <w:color w:val="000000" w:themeColor="text1"/>
                <w:sz w:val="28"/>
                <w:szCs w:val="28"/>
                <w:lang w:eastAsia="es-ES"/>
              </w:rPr>
            </w:pPr>
            <w:r w:rsidRPr="005E1103">
              <w:rPr>
                <w:rFonts w:eastAsia="Times New Roman" w:cstheme="minorHAnsi"/>
                <w:color w:val="000000" w:themeColor="text1"/>
                <w:sz w:val="28"/>
                <w:szCs w:val="28"/>
                <w:lang w:eastAsia="es-ES"/>
              </w:rPr>
              <w:t>&lt;!--- Muestra de un elemento opcional basado en otro esquema de metadatos</w:t>
            </w:r>
            <w:r w:rsidRPr="005E1103">
              <w:rPr>
                <w:rFonts w:eastAsia="Times New Roman" w:cstheme="minorHAnsi"/>
                <w:i/>
                <w:iCs/>
                <w:color w:val="000000" w:themeColor="text1"/>
                <w:sz w:val="28"/>
                <w:szCs w:val="28"/>
                <w:lang w:eastAsia="es-ES"/>
              </w:rPr>
              <w:t xml:space="preserve"> </w:t>
            </w:r>
            <w:r w:rsidRPr="005E1103">
              <w:rPr>
                <w:rFonts w:eastAsia="Times New Roman" w:cstheme="minorHAnsi"/>
                <w:color w:val="000000" w:themeColor="text1"/>
                <w:sz w:val="28"/>
                <w:szCs w:val="28"/>
                <w:lang w:eastAsia="es-ES"/>
              </w:rPr>
              <w:t>--&gt;</w:t>
            </w:r>
          </w:p>
          <w:p w:rsidR="003B20DC" w:rsidRPr="005E1103" w:rsidRDefault="003B20DC" w:rsidP="005E1103">
            <w:pPr>
              <w:spacing w:after="0" w:line="240" w:lineRule="auto"/>
              <w:rPr>
                <w:rFonts w:eastAsia="Times New Roman" w:cstheme="minorHAnsi"/>
                <w:color w:val="000000" w:themeColor="text1"/>
                <w:sz w:val="28"/>
                <w:szCs w:val="28"/>
                <w:lang w:eastAsia="es-ES"/>
              </w:rPr>
            </w:pPr>
            <w:r w:rsidRPr="005E1103">
              <w:rPr>
                <w:rFonts w:eastAsia="Times New Roman" w:cstheme="minorHAnsi"/>
                <w:color w:val="000000" w:themeColor="text1"/>
                <w:sz w:val="28"/>
                <w:szCs w:val="28"/>
                <w:lang w:eastAsia="es-ES"/>
              </w:rPr>
              <w:t>       (19)&lt;meta property="foaf:primaryTopic"&gt;Derecho de familia&lt;/meta&gt;</w:t>
            </w:r>
          </w:p>
          <w:p w:rsidR="003B20DC" w:rsidRPr="005E1103" w:rsidRDefault="003B20DC" w:rsidP="005E1103">
            <w:pPr>
              <w:spacing w:after="0" w:line="240" w:lineRule="auto"/>
              <w:rPr>
                <w:rFonts w:eastAsia="Times New Roman" w:cstheme="minorHAnsi"/>
                <w:color w:val="000000" w:themeColor="text1"/>
                <w:sz w:val="28"/>
                <w:szCs w:val="28"/>
                <w:lang w:eastAsia="es-ES"/>
              </w:rPr>
            </w:pPr>
            <w:r w:rsidRPr="005E1103">
              <w:rPr>
                <w:rFonts w:eastAsia="Times New Roman" w:cstheme="minorHAnsi"/>
                <w:color w:val="000000" w:themeColor="text1"/>
                <w:sz w:val="28"/>
                <w:szCs w:val="28"/>
                <w:lang w:eastAsia="es-ES"/>
              </w:rPr>
              <w:t>&lt;!--- Muestra de la asociación de un registro de metadatos</w:t>
            </w:r>
            <w:r w:rsidRPr="005E1103">
              <w:rPr>
                <w:rFonts w:eastAsia="Times New Roman" w:cstheme="minorHAnsi"/>
                <w:i/>
                <w:iCs/>
                <w:color w:val="000000" w:themeColor="text1"/>
                <w:sz w:val="28"/>
                <w:szCs w:val="28"/>
                <w:lang w:eastAsia="es-ES"/>
              </w:rPr>
              <w:t xml:space="preserve"> </w:t>
            </w:r>
            <w:r w:rsidRPr="005E1103">
              <w:rPr>
                <w:rFonts w:eastAsia="Times New Roman" w:cstheme="minorHAnsi"/>
                <w:color w:val="000000" w:themeColor="text1"/>
                <w:sz w:val="28"/>
                <w:szCs w:val="28"/>
                <w:lang w:eastAsia="es-ES"/>
              </w:rPr>
              <w:t>--&gt;</w:t>
            </w:r>
          </w:p>
          <w:p w:rsidR="003B20DC" w:rsidRPr="005E1103" w:rsidRDefault="003B20DC" w:rsidP="005E1103">
            <w:pPr>
              <w:spacing w:after="0" w:line="240" w:lineRule="auto"/>
              <w:rPr>
                <w:rFonts w:eastAsia="Times New Roman" w:cstheme="minorHAnsi"/>
                <w:color w:val="000000" w:themeColor="text1"/>
                <w:sz w:val="28"/>
                <w:szCs w:val="28"/>
                <w:lang w:val="en-US" w:eastAsia="es-ES"/>
              </w:rPr>
            </w:pPr>
            <w:r w:rsidRPr="005E1103">
              <w:rPr>
                <w:rFonts w:eastAsia="Times New Roman" w:cstheme="minorHAnsi"/>
                <w:color w:val="000000" w:themeColor="text1"/>
                <w:sz w:val="28"/>
                <w:szCs w:val="28"/>
                <w:lang w:eastAsia="es-ES"/>
              </w:rPr>
              <w:t>       </w:t>
            </w:r>
            <w:r w:rsidRPr="005E1103">
              <w:rPr>
                <w:rFonts w:eastAsia="Times New Roman" w:cstheme="minorHAnsi"/>
                <w:color w:val="000000" w:themeColor="text1"/>
                <w:sz w:val="28"/>
                <w:szCs w:val="28"/>
                <w:lang w:val="en-US" w:eastAsia="es-ES"/>
              </w:rPr>
              <w:t>(20)&lt;link (20a)rel="onix-record" (20b)href="http://example.org/onix/12389347"/&gt;</w:t>
            </w:r>
          </w:p>
          <w:p w:rsidR="003B20DC" w:rsidRPr="005E1103" w:rsidRDefault="003B20DC" w:rsidP="005E1103">
            <w:pPr>
              <w:spacing w:after="0" w:line="240" w:lineRule="auto"/>
              <w:rPr>
                <w:rFonts w:eastAsia="Times New Roman" w:cstheme="minorHAnsi"/>
                <w:color w:val="000000" w:themeColor="text1"/>
                <w:sz w:val="28"/>
                <w:szCs w:val="28"/>
                <w:lang w:val="en-US" w:eastAsia="es-ES"/>
              </w:rPr>
            </w:pPr>
            <w:r w:rsidRPr="005E1103">
              <w:rPr>
                <w:rFonts w:eastAsia="Times New Roman" w:cstheme="minorHAnsi"/>
                <w:color w:val="000000" w:themeColor="text1"/>
                <w:sz w:val="28"/>
                <w:szCs w:val="28"/>
                <w:lang w:val="en-US" w:eastAsia="es-ES"/>
              </w:rPr>
              <w:t>   &lt;/metadata&gt;</w:t>
            </w:r>
          </w:p>
          <w:p w:rsidR="003B20DC" w:rsidRPr="005E1103" w:rsidRDefault="003B20DC" w:rsidP="005E1103">
            <w:pPr>
              <w:spacing w:after="0" w:line="240" w:lineRule="auto"/>
              <w:rPr>
                <w:rFonts w:eastAsia="Times New Roman" w:cstheme="minorHAnsi"/>
                <w:color w:val="000000" w:themeColor="text1"/>
                <w:sz w:val="28"/>
                <w:szCs w:val="28"/>
                <w:lang w:val="en-US" w:eastAsia="es-ES"/>
              </w:rPr>
            </w:pPr>
            <w:r w:rsidRPr="005E1103">
              <w:rPr>
                <w:rFonts w:eastAsia="Times New Roman" w:cstheme="minorHAnsi"/>
                <w:color w:val="000000" w:themeColor="text1"/>
                <w:sz w:val="28"/>
                <w:szCs w:val="28"/>
                <w:lang w:val="en-US" w:eastAsia="es-ES"/>
              </w:rPr>
              <w:t>   &lt;manifest&gt;</w:t>
            </w:r>
          </w:p>
          <w:p w:rsidR="003B20DC" w:rsidRPr="005E1103" w:rsidRDefault="003B20DC" w:rsidP="005E1103">
            <w:pPr>
              <w:spacing w:after="0" w:line="240" w:lineRule="auto"/>
              <w:rPr>
                <w:rFonts w:eastAsia="Times New Roman" w:cstheme="minorHAnsi"/>
                <w:color w:val="000000" w:themeColor="text1"/>
                <w:sz w:val="28"/>
                <w:szCs w:val="28"/>
                <w:lang w:val="en-US" w:eastAsia="es-ES"/>
              </w:rPr>
            </w:pPr>
            <w:r w:rsidRPr="005E1103">
              <w:rPr>
                <w:rFonts w:eastAsia="Times New Roman" w:cstheme="minorHAnsi"/>
                <w:color w:val="000000" w:themeColor="text1"/>
                <w:sz w:val="28"/>
                <w:szCs w:val="28"/>
                <w:lang w:val="en-US" w:eastAsia="es-ES"/>
              </w:rPr>
              <w:t>       &lt;item id="cover" media-type="application/xhtml+xml" href="Content/cover.xhtml"/&gt;</w:t>
            </w:r>
          </w:p>
          <w:p w:rsidR="003B20DC" w:rsidRPr="005E1103" w:rsidRDefault="003B20DC" w:rsidP="005E1103">
            <w:pPr>
              <w:spacing w:after="0" w:line="240" w:lineRule="auto"/>
              <w:rPr>
                <w:rFonts w:eastAsia="Times New Roman" w:cstheme="minorHAnsi"/>
                <w:color w:val="000000" w:themeColor="text1"/>
                <w:sz w:val="28"/>
                <w:szCs w:val="28"/>
                <w:lang w:val="en-US" w:eastAsia="es-ES"/>
              </w:rPr>
            </w:pPr>
            <w:r w:rsidRPr="005E1103">
              <w:rPr>
                <w:rFonts w:eastAsia="Times New Roman" w:cstheme="minorHAnsi"/>
                <w:color w:val="000000" w:themeColor="text1"/>
                <w:sz w:val="28"/>
                <w:szCs w:val="28"/>
                <w:lang w:val="en-US" w:eastAsia="es-ES"/>
              </w:rPr>
              <w:t>       &lt;item id="cover-image" media-type="image/jpeg" href="Content/cover.jpg"/&gt;</w:t>
            </w:r>
          </w:p>
          <w:p w:rsidR="003B20DC" w:rsidRPr="005E1103" w:rsidRDefault="003B20DC" w:rsidP="005E1103">
            <w:pPr>
              <w:spacing w:after="0" w:line="240" w:lineRule="auto"/>
              <w:rPr>
                <w:rFonts w:eastAsia="Times New Roman" w:cstheme="minorHAnsi"/>
                <w:color w:val="000000" w:themeColor="text1"/>
                <w:sz w:val="28"/>
                <w:szCs w:val="28"/>
                <w:lang w:val="en-US" w:eastAsia="es-ES"/>
              </w:rPr>
            </w:pPr>
            <w:r w:rsidRPr="005E1103">
              <w:rPr>
                <w:rFonts w:eastAsia="Times New Roman" w:cstheme="minorHAnsi"/>
                <w:color w:val="000000" w:themeColor="text1"/>
                <w:sz w:val="28"/>
                <w:szCs w:val="28"/>
                <w:lang w:val="en-US" w:eastAsia="es-ES"/>
              </w:rPr>
              <w:t>       &lt;item id="item_1" media-type="application/xhtml+xml" href="Content/capitulo1.xhtml"</w:t>
            </w:r>
          </w:p>
          <w:p w:rsidR="003B20DC" w:rsidRPr="005E1103" w:rsidRDefault="003B20DC" w:rsidP="005E1103">
            <w:pPr>
              <w:spacing w:after="0" w:line="240" w:lineRule="auto"/>
              <w:rPr>
                <w:rFonts w:eastAsia="Times New Roman" w:cstheme="minorHAnsi"/>
                <w:color w:val="000000" w:themeColor="text1"/>
                <w:sz w:val="28"/>
                <w:szCs w:val="28"/>
                <w:lang w:val="en-US" w:eastAsia="es-ES"/>
              </w:rPr>
            </w:pPr>
            <w:r w:rsidRPr="005E1103">
              <w:rPr>
                <w:rFonts w:eastAsia="Times New Roman" w:cstheme="minorHAnsi"/>
                <w:color w:val="000000" w:themeColor="text1"/>
                <w:sz w:val="28"/>
                <w:szCs w:val="28"/>
                <w:lang w:val="en-US" w:eastAsia="es-ES"/>
              </w:rPr>
              <w:t>           media-overlay="item_44"/&gt;</w:t>
            </w:r>
          </w:p>
          <w:p w:rsidR="003B20DC" w:rsidRPr="005E1103" w:rsidRDefault="003B20DC" w:rsidP="005E1103">
            <w:pPr>
              <w:spacing w:after="0" w:line="240" w:lineRule="auto"/>
              <w:rPr>
                <w:rFonts w:eastAsia="Times New Roman" w:cstheme="minorHAnsi"/>
                <w:color w:val="000000" w:themeColor="text1"/>
                <w:sz w:val="28"/>
                <w:szCs w:val="28"/>
                <w:lang w:val="en-US" w:eastAsia="es-ES"/>
              </w:rPr>
            </w:pPr>
            <w:r w:rsidRPr="005E1103">
              <w:rPr>
                <w:rFonts w:eastAsia="Times New Roman" w:cstheme="minorHAnsi"/>
                <w:color w:val="000000" w:themeColor="text1"/>
                <w:sz w:val="28"/>
                <w:szCs w:val="28"/>
                <w:lang w:val="en-US" w:eastAsia="es-ES"/>
              </w:rPr>
              <w:t>       … / ….</w:t>
            </w:r>
          </w:p>
          <w:p w:rsidR="003B20DC" w:rsidRPr="005E1103" w:rsidRDefault="003B20DC" w:rsidP="005E1103">
            <w:pPr>
              <w:spacing w:after="0" w:line="240" w:lineRule="auto"/>
              <w:rPr>
                <w:rFonts w:eastAsia="Times New Roman" w:cstheme="minorHAnsi"/>
                <w:color w:val="000000" w:themeColor="text1"/>
                <w:sz w:val="28"/>
                <w:szCs w:val="28"/>
                <w:lang w:val="en-US" w:eastAsia="es-ES"/>
              </w:rPr>
            </w:pPr>
            <w:r w:rsidRPr="005E1103">
              <w:rPr>
                <w:rFonts w:eastAsia="Times New Roman" w:cstheme="minorHAnsi"/>
                <w:color w:val="000000" w:themeColor="text1"/>
                <w:sz w:val="28"/>
                <w:szCs w:val="28"/>
                <w:lang w:val="en-US" w:eastAsia="es-ES"/>
              </w:rPr>
              <w:t>       (14)&lt;item (14a)id="item_44" media-type="application/smil+xml" href="Content/capitulo1.smil"/&gt;</w:t>
            </w:r>
          </w:p>
          <w:p w:rsidR="003B20DC" w:rsidRPr="005E1103" w:rsidRDefault="003B20DC" w:rsidP="005E1103">
            <w:pPr>
              <w:spacing w:after="0" w:line="240" w:lineRule="auto"/>
              <w:rPr>
                <w:rFonts w:eastAsia="Times New Roman" w:cstheme="minorHAnsi"/>
                <w:color w:val="000000" w:themeColor="text1"/>
                <w:sz w:val="28"/>
                <w:szCs w:val="28"/>
                <w:lang w:val="en-US" w:eastAsia="es-ES"/>
              </w:rPr>
            </w:pPr>
            <w:r w:rsidRPr="005E1103">
              <w:rPr>
                <w:rFonts w:eastAsia="Times New Roman" w:cstheme="minorHAnsi"/>
                <w:color w:val="000000" w:themeColor="text1"/>
                <w:sz w:val="28"/>
                <w:szCs w:val="28"/>
                <w:lang w:val="en-US" w:eastAsia="es-ES"/>
              </w:rPr>
              <w:t>   &lt;/manifest&gt;</w:t>
            </w:r>
          </w:p>
          <w:p w:rsidR="003B20DC" w:rsidRPr="005E1103" w:rsidRDefault="003B20DC" w:rsidP="005E1103">
            <w:pPr>
              <w:spacing w:after="0" w:line="240" w:lineRule="auto"/>
              <w:rPr>
                <w:rFonts w:eastAsia="Times New Roman" w:cstheme="minorHAnsi"/>
                <w:color w:val="000000" w:themeColor="text1"/>
                <w:sz w:val="28"/>
                <w:szCs w:val="28"/>
                <w:lang w:val="en-US" w:eastAsia="es-ES"/>
              </w:rPr>
            </w:pPr>
            <w:r w:rsidRPr="005E1103">
              <w:rPr>
                <w:rFonts w:eastAsia="Times New Roman" w:cstheme="minorHAnsi"/>
                <w:color w:val="000000" w:themeColor="text1"/>
                <w:sz w:val="28"/>
                <w:szCs w:val="28"/>
                <w:lang w:val="en-US" w:eastAsia="es-ES"/>
              </w:rPr>
              <w:t>   &lt;spine&gt;</w:t>
            </w:r>
          </w:p>
          <w:p w:rsidR="003B20DC" w:rsidRPr="005E1103" w:rsidRDefault="003B20DC" w:rsidP="005E1103">
            <w:pPr>
              <w:spacing w:after="0" w:line="240" w:lineRule="auto"/>
              <w:rPr>
                <w:rFonts w:eastAsia="Times New Roman" w:cstheme="minorHAnsi"/>
                <w:color w:val="000000" w:themeColor="text1"/>
                <w:sz w:val="28"/>
                <w:szCs w:val="28"/>
                <w:lang w:val="en-US" w:eastAsia="es-ES"/>
              </w:rPr>
            </w:pPr>
            <w:r w:rsidRPr="005E1103">
              <w:rPr>
                <w:rFonts w:eastAsia="Times New Roman" w:cstheme="minorHAnsi"/>
                <w:color w:val="000000" w:themeColor="text1"/>
                <w:sz w:val="28"/>
                <w:szCs w:val="28"/>
                <w:lang w:val="en-US" w:eastAsia="es-ES"/>
              </w:rPr>
              <w:t>       &lt;itemref idref="cover" linear="no"/&gt;</w:t>
            </w:r>
          </w:p>
          <w:p w:rsidR="003B20DC" w:rsidRPr="005E1103" w:rsidRDefault="003B20DC" w:rsidP="005E1103">
            <w:pPr>
              <w:spacing w:after="0" w:line="240" w:lineRule="auto"/>
              <w:rPr>
                <w:rFonts w:eastAsia="Times New Roman" w:cstheme="minorHAnsi"/>
                <w:color w:val="000000" w:themeColor="text1"/>
                <w:sz w:val="28"/>
                <w:szCs w:val="28"/>
                <w:lang w:val="en-US" w:eastAsia="es-ES"/>
              </w:rPr>
            </w:pPr>
            <w:r w:rsidRPr="005E1103">
              <w:rPr>
                <w:rFonts w:eastAsia="Times New Roman" w:cstheme="minorHAnsi"/>
                <w:color w:val="000000" w:themeColor="text1"/>
                <w:sz w:val="28"/>
                <w:szCs w:val="28"/>
                <w:lang w:val="en-US" w:eastAsia="es-ES"/>
              </w:rPr>
              <w:t>       &lt;itemref idref="item_1" id="itemref_1" linear="yes"/&gt;</w:t>
            </w:r>
          </w:p>
          <w:p w:rsidR="003B20DC" w:rsidRPr="005E1103" w:rsidRDefault="003B20DC" w:rsidP="005E1103">
            <w:pPr>
              <w:spacing w:after="0" w:line="240" w:lineRule="auto"/>
              <w:rPr>
                <w:rFonts w:eastAsia="Times New Roman" w:cstheme="minorHAnsi"/>
                <w:color w:val="000000" w:themeColor="text1"/>
                <w:sz w:val="28"/>
                <w:szCs w:val="28"/>
                <w:lang w:val="en-US" w:eastAsia="es-ES"/>
              </w:rPr>
            </w:pPr>
            <w:r w:rsidRPr="005E1103">
              <w:rPr>
                <w:rFonts w:eastAsia="Times New Roman" w:cstheme="minorHAnsi"/>
                <w:color w:val="000000" w:themeColor="text1"/>
                <w:sz w:val="28"/>
                <w:szCs w:val="28"/>
                <w:lang w:val="en-US" w:eastAsia="es-ES"/>
              </w:rPr>
              <w:t>   &lt;/spine&gt;</w:t>
            </w:r>
          </w:p>
          <w:p w:rsidR="003B20DC" w:rsidRPr="005E1103" w:rsidRDefault="003B20DC" w:rsidP="005E1103">
            <w:pPr>
              <w:spacing w:after="0" w:line="240" w:lineRule="auto"/>
              <w:rPr>
                <w:rFonts w:eastAsia="Times New Roman" w:cstheme="minorHAnsi"/>
                <w:color w:val="000000" w:themeColor="text1"/>
                <w:sz w:val="28"/>
                <w:szCs w:val="28"/>
                <w:lang w:val="en-US" w:eastAsia="es-ES"/>
              </w:rPr>
            </w:pPr>
            <w:r w:rsidRPr="005E1103">
              <w:rPr>
                <w:rFonts w:eastAsia="Times New Roman" w:cstheme="minorHAnsi"/>
                <w:color w:val="000000" w:themeColor="text1"/>
                <w:sz w:val="28"/>
                <w:szCs w:val="28"/>
                <w:lang w:val="en-US" w:eastAsia="es-ES"/>
              </w:rPr>
              <w:t>   &lt;guide&gt;</w:t>
            </w:r>
          </w:p>
          <w:p w:rsidR="003B20DC" w:rsidRPr="005E1103" w:rsidRDefault="003B20DC" w:rsidP="005E1103">
            <w:pPr>
              <w:spacing w:after="0" w:line="240" w:lineRule="auto"/>
              <w:rPr>
                <w:rFonts w:eastAsia="Times New Roman" w:cstheme="minorHAnsi"/>
                <w:color w:val="000000" w:themeColor="text1"/>
                <w:sz w:val="28"/>
                <w:szCs w:val="28"/>
                <w:lang w:val="en-US" w:eastAsia="es-ES"/>
              </w:rPr>
            </w:pPr>
            <w:r w:rsidRPr="005E1103">
              <w:rPr>
                <w:rFonts w:eastAsia="Times New Roman" w:cstheme="minorHAnsi"/>
                <w:color w:val="000000" w:themeColor="text1"/>
                <w:sz w:val="28"/>
                <w:szCs w:val="28"/>
                <w:lang w:val="en-US" w:eastAsia="es-ES"/>
              </w:rPr>
              <w:t>       &lt;reference type="cover" title="Cover" href="cover.xhtml"/&gt;</w:t>
            </w:r>
          </w:p>
          <w:p w:rsidR="003B20DC" w:rsidRPr="005E1103" w:rsidRDefault="003B20DC" w:rsidP="005E1103">
            <w:pPr>
              <w:spacing w:after="0" w:line="240" w:lineRule="auto"/>
              <w:rPr>
                <w:rFonts w:eastAsia="Times New Roman" w:cstheme="minorHAnsi"/>
                <w:color w:val="000000" w:themeColor="text1"/>
                <w:sz w:val="28"/>
                <w:szCs w:val="28"/>
                <w:lang w:eastAsia="es-ES"/>
              </w:rPr>
            </w:pPr>
            <w:r w:rsidRPr="005E1103">
              <w:rPr>
                <w:rFonts w:eastAsia="Times New Roman" w:cstheme="minorHAnsi"/>
                <w:color w:val="000000" w:themeColor="text1"/>
                <w:sz w:val="28"/>
                <w:szCs w:val="28"/>
                <w:lang w:val="en-US" w:eastAsia="es-ES"/>
              </w:rPr>
              <w:t>   </w:t>
            </w:r>
            <w:r w:rsidRPr="005E1103">
              <w:rPr>
                <w:rFonts w:eastAsia="Times New Roman" w:cstheme="minorHAnsi"/>
                <w:color w:val="000000" w:themeColor="text1"/>
                <w:sz w:val="28"/>
                <w:szCs w:val="28"/>
                <w:lang w:eastAsia="es-ES"/>
              </w:rPr>
              <w:t>&lt;/guide&gt;</w:t>
            </w:r>
          </w:p>
          <w:p w:rsidR="003B20DC" w:rsidRPr="005E1103" w:rsidRDefault="003B20DC" w:rsidP="005E1103">
            <w:pPr>
              <w:spacing w:after="0" w:line="240" w:lineRule="auto"/>
              <w:rPr>
                <w:rFonts w:eastAsia="Times New Roman" w:cstheme="minorHAnsi"/>
                <w:color w:val="000000" w:themeColor="text1"/>
                <w:sz w:val="28"/>
                <w:szCs w:val="28"/>
                <w:lang w:eastAsia="es-ES"/>
              </w:rPr>
            </w:pPr>
            <w:r w:rsidRPr="005E1103">
              <w:rPr>
                <w:rFonts w:eastAsia="Times New Roman" w:cstheme="minorHAnsi"/>
                <w:color w:val="000000" w:themeColor="text1"/>
                <w:sz w:val="28"/>
                <w:szCs w:val="28"/>
                <w:lang w:eastAsia="es-ES"/>
              </w:rPr>
              <w:t>&lt;/package&gt;</w:t>
            </w:r>
          </w:p>
        </w:tc>
      </w:tr>
    </w:tbl>
    <w:p w:rsidR="003B20DC" w:rsidRPr="005E1103" w:rsidRDefault="003B20DC" w:rsidP="003B20DC">
      <w:pPr>
        <w:spacing w:after="0" w:line="240" w:lineRule="auto"/>
        <w:rPr>
          <w:rFonts w:eastAsia="Times New Roman" w:cstheme="minorHAnsi"/>
          <w:color w:val="000000" w:themeColor="text1"/>
          <w:sz w:val="28"/>
          <w:szCs w:val="28"/>
          <w:lang w:eastAsia="es-ES"/>
        </w:rPr>
      </w:pPr>
      <w:r w:rsidRPr="005E1103">
        <w:rPr>
          <w:rFonts w:eastAsia="Times New Roman" w:cstheme="minorHAnsi"/>
          <w:color w:val="000000" w:themeColor="text1"/>
          <w:sz w:val="28"/>
          <w:szCs w:val="28"/>
          <w:lang w:eastAsia="es-ES"/>
        </w:rPr>
        <w:lastRenderedPageBreak/>
        <w:t>Fragmento de código 1. Ejemplo de documento “</w:t>
      </w:r>
      <w:r w:rsidRPr="005E1103">
        <w:rPr>
          <w:rFonts w:eastAsia="Times New Roman" w:cstheme="minorHAnsi"/>
          <w:i/>
          <w:color w:val="000000" w:themeColor="text1"/>
          <w:sz w:val="28"/>
          <w:szCs w:val="28"/>
          <w:lang w:eastAsia="es-ES"/>
        </w:rPr>
        <w:t>Package</w:t>
      </w:r>
      <w:r w:rsidRPr="005E1103">
        <w:rPr>
          <w:rFonts w:eastAsia="Times New Roman" w:cstheme="minorHAnsi"/>
          <w:color w:val="000000" w:themeColor="text1"/>
          <w:sz w:val="28"/>
          <w:szCs w:val="28"/>
          <w:lang w:eastAsia="es-ES"/>
        </w:rPr>
        <w:t>” con los metadatos de una publicación</w:t>
      </w:r>
    </w:p>
    <w:p w:rsidR="003B20DC" w:rsidRPr="005E1103" w:rsidRDefault="003B20DC" w:rsidP="003B20DC">
      <w:pPr>
        <w:pStyle w:val="Ttulo2"/>
        <w:rPr>
          <w:rFonts w:asciiTheme="minorHAnsi" w:eastAsia="Times New Roman" w:hAnsiTheme="minorHAnsi" w:cstheme="minorHAnsi"/>
          <w:color w:val="000000" w:themeColor="text1"/>
          <w:sz w:val="28"/>
          <w:szCs w:val="28"/>
          <w:lang w:eastAsia="es-ES"/>
        </w:rPr>
      </w:pPr>
      <w:r w:rsidRPr="005E1103">
        <w:rPr>
          <w:rFonts w:asciiTheme="minorHAnsi" w:eastAsia="Times New Roman" w:hAnsiTheme="minorHAnsi" w:cstheme="minorHAnsi"/>
          <w:color w:val="000000" w:themeColor="text1"/>
          <w:sz w:val="28"/>
          <w:szCs w:val="28"/>
          <w:lang w:eastAsia="es-ES"/>
        </w:rPr>
        <w:lastRenderedPageBreak/>
        <w:t>2.1. Declaración de esquemas de metadatos en el documento “Package”</w:t>
      </w:r>
    </w:p>
    <w:p w:rsidR="003B20DC" w:rsidRPr="005E1103" w:rsidRDefault="003B20DC" w:rsidP="003B20DC">
      <w:pPr>
        <w:rPr>
          <w:rFonts w:cstheme="minorHAnsi"/>
          <w:color w:val="000000" w:themeColor="text1"/>
          <w:sz w:val="28"/>
          <w:szCs w:val="28"/>
          <w:lang w:eastAsia="es-ES"/>
        </w:rPr>
      </w:pPr>
      <w:r w:rsidRPr="005E1103">
        <w:rPr>
          <w:rFonts w:cstheme="minorHAnsi"/>
          <w:color w:val="000000" w:themeColor="text1"/>
          <w:sz w:val="28"/>
          <w:szCs w:val="28"/>
          <w:lang w:eastAsia="es-ES"/>
        </w:rPr>
        <w:t xml:space="preserve">El documento “Package”, presenta los requerimientos generales de todo documento XML bien construido. Su elemento raíz es </w:t>
      </w:r>
      <w:r w:rsidRPr="005E1103">
        <w:rPr>
          <w:rFonts w:cstheme="minorHAnsi"/>
          <w:i/>
          <w:iCs/>
          <w:color w:val="000000" w:themeColor="text1"/>
          <w:sz w:val="28"/>
          <w:szCs w:val="28"/>
          <w:lang w:eastAsia="es-ES"/>
        </w:rPr>
        <w:t>&lt;package&gt;</w:t>
      </w:r>
      <w:r w:rsidRPr="005E1103">
        <w:rPr>
          <w:rFonts w:cstheme="minorHAnsi"/>
          <w:color w:val="000000" w:themeColor="text1"/>
          <w:sz w:val="28"/>
          <w:szCs w:val="28"/>
          <w:lang w:eastAsia="es-ES"/>
        </w:rPr>
        <w:t>, y éste ha de incorporar, obligatoriamente, el espacio de nombres de EPUB (1), la versión del formato (2), y la vinculación con el metadato que declara el identificador principal (3).   </w:t>
      </w:r>
    </w:p>
    <w:p w:rsidR="003B20DC" w:rsidRPr="005E1103" w:rsidRDefault="003B20DC" w:rsidP="003B20DC">
      <w:pPr>
        <w:rPr>
          <w:rFonts w:cstheme="minorHAnsi"/>
          <w:color w:val="000000" w:themeColor="text1"/>
          <w:sz w:val="28"/>
          <w:szCs w:val="28"/>
          <w:lang w:eastAsia="es-ES"/>
        </w:rPr>
      </w:pPr>
      <w:r w:rsidRPr="005E1103">
        <w:rPr>
          <w:rFonts w:cstheme="minorHAnsi"/>
          <w:color w:val="000000" w:themeColor="text1"/>
          <w:sz w:val="28"/>
          <w:szCs w:val="28"/>
          <w:lang w:eastAsia="es-ES"/>
        </w:rPr>
        <w:t xml:space="preserve">Para poder usar los elementos </w:t>
      </w:r>
      <w:r w:rsidRPr="005E1103">
        <w:rPr>
          <w:rFonts w:cstheme="minorHAnsi"/>
          <w:i/>
          <w:iCs/>
          <w:color w:val="000000" w:themeColor="text1"/>
          <w:sz w:val="28"/>
          <w:szCs w:val="28"/>
          <w:lang w:eastAsia="es-ES"/>
        </w:rPr>
        <w:t>DCMET</w:t>
      </w:r>
      <w:r w:rsidRPr="005E1103">
        <w:rPr>
          <w:rFonts w:cstheme="minorHAnsi"/>
          <w:color w:val="000000" w:themeColor="text1"/>
          <w:sz w:val="28"/>
          <w:szCs w:val="28"/>
          <w:lang w:eastAsia="es-ES"/>
        </w:rPr>
        <w:t>, debemos declarar el espacio de nombres correspondiente (5) y asignarle un prefijo (</w:t>
      </w:r>
      <w:r w:rsidRPr="005E1103">
        <w:rPr>
          <w:rFonts w:cstheme="minorHAnsi"/>
          <w:i/>
          <w:iCs/>
          <w:color w:val="000000" w:themeColor="text1"/>
          <w:sz w:val="28"/>
          <w:szCs w:val="28"/>
          <w:lang w:eastAsia="es-ES"/>
        </w:rPr>
        <w:t>dc</w:t>
      </w:r>
      <w:r w:rsidRPr="005E1103">
        <w:rPr>
          <w:rFonts w:cstheme="minorHAnsi"/>
          <w:iCs/>
          <w:color w:val="000000" w:themeColor="text1"/>
          <w:sz w:val="28"/>
          <w:szCs w:val="28"/>
          <w:lang w:eastAsia="es-ES"/>
        </w:rPr>
        <w:t>)</w:t>
      </w:r>
      <w:r w:rsidRPr="005E1103">
        <w:rPr>
          <w:rFonts w:cstheme="minorHAnsi"/>
          <w:i/>
          <w:iCs/>
          <w:color w:val="000000" w:themeColor="text1"/>
          <w:sz w:val="28"/>
          <w:szCs w:val="28"/>
          <w:lang w:eastAsia="es-ES"/>
        </w:rPr>
        <w:t xml:space="preserve"> </w:t>
      </w:r>
      <w:r w:rsidRPr="005E1103">
        <w:rPr>
          <w:rFonts w:cstheme="minorHAnsi"/>
          <w:color w:val="000000" w:themeColor="text1"/>
          <w:sz w:val="28"/>
          <w:szCs w:val="28"/>
          <w:lang w:eastAsia="es-ES"/>
        </w:rPr>
        <w:t xml:space="preserve">(5a). Otros espacios de nombres no hay que declararlos pues EPUB 3 ha establecido una serie de </w:t>
      </w:r>
      <w:r w:rsidRPr="005E1103">
        <w:rPr>
          <w:rFonts w:cstheme="minorHAnsi"/>
          <w:b/>
          <w:bCs/>
          <w:color w:val="000000" w:themeColor="text1"/>
          <w:sz w:val="28"/>
          <w:szCs w:val="28"/>
          <w:lang w:eastAsia="es-ES"/>
        </w:rPr>
        <w:t xml:space="preserve">esquemas reservados </w:t>
      </w:r>
      <w:r w:rsidRPr="005E1103">
        <w:rPr>
          <w:rFonts w:cstheme="minorHAnsi"/>
          <w:bCs/>
          <w:color w:val="000000" w:themeColor="text1"/>
          <w:sz w:val="28"/>
          <w:szCs w:val="28"/>
          <w:lang w:eastAsia="es-ES"/>
        </w:rPr>
        <w:t>con unos prefijos normalizados</w:t>
      </w:r>
      <w:r w:rsidRPr="005E1103">
        <w:rPr>
          <w:rFonts w:cstheme="minorHAnsi"/>
          <w:color w:val="000000" w:themeColor="text1"/>
          <w:sz w:val="28"/>
          <w:szCs w:val="28"/>
          <w:lang w:eastAsia="es-ES"/>
        </w:rPr>
        <w:t xml:space="preserve">, como por ejemplo  </w:t>
      </w:r>
      <w:r w:rsidRPr="005E1103">
        <w:rPr>
          <w:rFonts w:cstheme="minorHAnsi"/>
          <w:color w:val="000000" w:themeColor="text1"/>
          <w:sz w:val="28"/>
          <w:szCs w:val="28"/>
          <w:lang w:eastAsia="es-ES"/>
        </w:rPr>
        <w:fldChar w:fldCharType="begin" w:fldLock="1"/>
      </w:r>
      <w:r w:rsidRPr="005E1103">
        <w:rPr>
          <w:rFonts w:cstheme="minorHAnsi"/>
          <w:color w:val="000000" w:themeColor="text1"/>
          <w:sz w:val="28"/>
          <w:szCs w:val="28"/>
          <w:lang w:eastAsia="es-ES"/>
        </w:rPr>
        <w:instrText>ADDIN CSL_CITATION { "citationItems" : [ { "id" : "ITEM-1", "itemData" : { "URL" : "http://dublincore.org/documents/dcmi-terms/", "accessed" : { "date-parts" : [ [ "2016", "9", "28" ] ] }, "id" : "ITEM-1", "issued" : { "date-parts" : [ [ "2012" ] ] }, "title" : "DCMI metadata terms", "type" : "webpage" }, "uris" : [ "http://www.mendeley.com/documents/?uuid=2901bfb7-0b44-4607-8b80-4bf8e99b0a6f" ] } ], "mendeley" : { "formattedCitation" : "(Anon 2012a)", "plainTextFormattedCitation" : "(Anon 2012a)", "previouslyFormattedCitation" : "(Anon 2012a)" }, "properties" : { "noteIndex" : 0 }, "schema" : "https://github.com/citation-style-language/schema/raw/master/csl-citation.json" }</w:instrText>
      </w:r>
      <w:r w:rsidRPr="005E1103">
        <w:rPr>
          <w:rFonts w:cstheme="minorHAnsi"/>
          <w:color w:val="000000" w:themeColor="text1"/>
          <w:sz w:val="28"/>
          <w:szCs w:val="28"/>
          <w:lang w:eastAsia="es-ES"/>
        </w:rPr>
        <w:fldChar w:fldCharType="separate"/>
      </w:r>
      <w:r w:rsidRPr="005E1103">
        <w:rPr>
          <w:rFonts w:cstheme="minorHAnsi"/>
          <w:noProof/>
          <w:color w:val="000000" w:themeColor="text1"/>
          <w:sz w:val="28"/>
          <w:szCs w:val="28"/>
          <w:lang w:eastAsia="es-ES"/>
        </w:rPr>
        <w:t>(Anon 2012a)</w:t>
      </w:r>
      <w:r w:rsidRPr="005E1103">
        <w:rPr>
          <w:rFonts w:cstheme="minorHAnsi"/>
          <w:color w:val="000000" w:themeColor="text1"/>
          <w:sz w:val="28"/>
          <w:szCs w:val="28"/>
          <w:lang w:eastAsia="es-ES"/>
        </w:rPr>
        <w:fldChar w:fldCharType="end"/>
      </w:r>
      <w:r w:rsidRPr="005E1103">
        <w:rPr>
          <w:rFonts w:cstheme="minorHAnsi"/>
          <w:color w:val="000000" w:themeColor="text1"/>
          <w:sz w:val="28"/>
          <w:szCs w:val="28"/>
          <w:lang w:eastAsia="es-ES"/>
        </w:rPr>
        <w:t xml:space="preserve">, desde ahora </w:t>
      </w:r>
      <w:r w:rsidRPr="005E1103">
        <w:rPr>
          <w:rFonts w:cstheme="minorHAnsi"/>
          <w:i/>
          <w:iCs/>
          <w:color w:val="000000" w:themeColor="text1"/>
          <w:sz w:val="28"/>
          <w:szCs w:val="28"/>
          <w:lang w:eastAsia="es-ES"/>
        </w:rPr>
        <w:t>DCTERMS</w:t>
      </w:r>
      <w:r w:rsidRPr="005E1103">
        <w:rPr>
          <w:rFonts w:cstheme="minorHAnsi"/>
          <w:color w:val="000000" w:themeColor="text1"/>
          <w:sz w:val="28"/>
          <w:szCs w:val="28"/>
          <w:lang w:eastAsia="es-ES"/>
        </w:rPr>
        <w:t xml:space="preserve">, cuyo prefijo normalizado es </w:t>
      </w:r>
      <w:r w:rsidRPr="005E1103">
        <w:rPr>
          <w:rFonts w:cstheme="minorHAnsi"/>
          <w:i/>
          <w:iCs/>
          <w:color w:val="000000" w:themeColor="text1"/>
          <w:sz w:val="28"/>
          <w:szCs w:val="28"/>
          <w:lang w:eastAsia="es-ES"/>
        </w:rPr>
        <w:t>dcterms</w:t>
      </w:r>
      <w:r w:rsidRPr="005E1103">
        <w:rPr>
          <w:rFonts w:cstheme="minorHAnsi"/>
          <w:color w:val="000000" w:themeColor="text1"/>
          <w:sz w:val="28"/>
          <w:szCs w:val="28"/>
          <w:lang w:eastAsia="es-ES"/>
        </w:rPr>
        <w:t xml:space="preserve">, y </w:t>
      </w:r>
      <w:r w:rsidRPr="005E1103">
        <w:rPr>
          <w:rFonts w:cstheme="minorHAnsi"/>
          <w:color w:val="000000" w:themeColor="text1"/>
          <w:sz w:val="28"/>
          <w:szCs w:val="28"/>
          <w:lang w:eastAsia="es-ES"/>
        </w:rPr>
        <w:fldChar w:fldCharType="begin" w:fldLock="1"/>
      </w:r>
      <w:r w:rsidRPr="005E1103">
        <w:rPr>
          <w:rFonts w:cstheme="minorHAnsi"/>
          <w:color w:val="000000" w:themeColor="text1"/>
          <w:sz w:val="28"/>
          <w:szCs w:val="28"/>
          <w:lang w:eastAsia="es-ES"/>
        </w:rPr>
        <w:instrText>ADDIN CSL_CITATION { "citationItems" : [ { "id" : "ITEM-1", "itemData" : { "container-title" : "EPUB media overlays 3.0.1: recommended specification 26 June 2014", "id" : "ITEM-1", "issued" : { "date-parts" : [ [ "2014" ] ] }, "title" : "Media overlays metadata vocabulary", "type" : "chapter" }, "uris" : [ "http://www.mendeley.com/documents/?uuid=87404287-67d0-4654-a503-27bfc4c6e133" ] } ], "mendeley" : { "formattedCitation" : "(Anon 2014e)", "plainTextFormattedCitation" : "(Anon 2014e)", "previouslyFormattedCitation" : "(Anon 2014e)" }, "properties" : { "noteIndex" : 0 }, "schema" : "https://github.com/citation-style-language/schema/raw/master/csl-citation.json" }</w:instrText>
      </w:r>
      <w:r w:rsidRPr="005E1103">
        <w:rPr>
          <w:rFonts w:cstheme="minorHAnsi"/>
          <w:color w:val="000000" w:themeColor="text1"/>
          <w:sz w:val="28"/>
          <w:szCs w:val="28"/>
          <w:lang w:eastAsia="es-ES"/>
        </w:rPr>
        <w:fldChar w:fldCharType="separate"/>
      </w:r>
      <w:r w:rsidRPr="005E1103">
        <w:rPr>
          <w:rFonts w:cstheme="minorHAnsi"/>
          <w:noProof/>
          <w:color w:val="000000" w:themeColor="text1"/>
          <w:sz w:val="28"/>
          <w:szCs w:val="28"/>
          <w:lang w:eastAsia="es-ES"/>
        </w:rPr>
        <w:t>(Anon 2014e)</w:t>
      </w:r>
      <w:r w:rsidRPr="005E1103">
        <w:rPr>
          <w:rFonts w:cstheme="minorHAnsi"/>
          <w:color w:val="000000" w:themeColor="text1"/>
          <w:sz w:val="28"/>
          <w:szCs w:val="28"/>
          <w:lang w:eastAsia="es-ES"/>
        </w:rPr>
        <w:fldChar w:fldCharType="end"/>
      </w:r>
      <w:r w:rsidRPr="005E1103">
        <w:rPr>
          <w:rFonts w:cstheme="minorHAnsi"/>
          <w:color w:val="000000" w:themeColor="text1"/>
          <w:sz w:val="28"/>
          <w:szCs w:val="28"/>
          <w:lang w:eastAsia="es-ES"/>
        </w:rPr>
        <w:t xml:space="preserve">. Ver </w:t>
      </w:r>
      <w:r w:rsidRPr="005E1103">
        <w:rPr>
          <w:rFonts w:cstheme="minorHAnsi"/>
          <w:color w:val="000000" w:themeColor="text1"/>
          <w:sz w:val="28"/>
          <w:szCs w:val="28"/>
          <w:lang w:eastAsia="es-ES"/>
        </w:rPr>
        <w:fldChar w:fldCharType="begin" w:fldLock="1"/>
      </w:r>
      <w:r w:rsidRPr="005E1103">
        <w:rPr>
          <w:rFonts w:cstheme="minorHAnsi"/>
          <w:color w:val="000000" w:themeColor="text1"/>
          <w:sz w:val="28"/>
          <w:szCs w:val="28"/>
          <w:lang w:eastAsia="es-ES"/>
        </w:rPr>
        <w:instrText>ADDIN CSL_CITATION { "citationItems" : [ { "id" : "ITEM-1", "itemData" : { "URL" : "http://www.idpf.org/epub/vocab/package/pfx/reserved-20131108.html", "accessed" : { "date-parts" : [ [ "2016", "9", "28" ] ] }, "id" : "ITEM-1", "issued" : { "date-parts" : [ [ "2016" ] ] }, "title" : "EPUB publications reserved prefixes", "type" : "webpage" }, "uris" : [ "http://www.mendeley.com/documents/?uuid=f40dd9ab-7d31-4cf8-8a42-2ee2eaecaf1a" ] } ], "mendeley" : { "formattedCitation" : "(Anon 2016)", "plainTextFormattedCitation" : "(Anon 2016)", "previouslyFormattedCitation" : "(Anon 2016)" }, "properties" : { "noteIndex" : 0 }, "schema" : "https://github.com/citation-style-language/schema/raw/master/csl-citation.json" }</w:instrText>
      </w:r>
      <w:r w:rsidRPr="005E1103">
        <w:rPr>
          <w:rFonts w:cstheme="minorHAnsi"/>
          <w:color w:val="000000" w:themeColor="text1"/>
          <w:sz w:val="28"/>
          <w:szCs w:val="28"/>
          <w:lang w:eastAsia="es-ES"/>
        </w:rPr>
        <w:fldChar w:fldCharType="separate"/>
      </w:r>
      <w:r w:rsidRPr="005E1103">
        <w:rPr>
          <w:rFonts w:cstheme="minorHAnsi"/>
          <w:noProof/>
          <w:color w:val="000000" w:themeColor="text1"/>
          <w:sz w:val="28"/>
          <w:szCs w:val="28"/>
          <w:lang w:eastAsia="es-ES"/>
        </w:rPr>
        <w:t>(Anon 2016)</w:t>
      </w:r>
      <w:r w:rsidRPr="005E1103">
        <w:rPr>
          <w:rFonts w:cstheme="minorHAnsi"/>
          <w:color w:val="000000" w:themeColor="text1"/>
          <w:sz w:val="28"/>
          <w:szCs w:val="28"/>
          <w:lang w:eastAsia="es-ES"/>
        </w:rPr>
        <w:fldChar w:fldCharType="end"/>
      </w:r>
      <w:r w:rsidRPr="005E1103">
        <w:rPr>
          <w:rFonts w:cstheme="minorHAnsi"/>
          <w:color w:val="000000" w:themeColor="text1"/>
          <w:sz w:val="28"/>
          <w:szCs w:val="28"/>
          <w:lang w:eastAsia="es-ES"/>
        </w:rPr>
        <w:t xml:space="preserve"> para una lista completa. En otros casos, podemos usar el atributo </w:t>
      </w:r>
      <w:r w:rsidRPr="005E1103">
        <w:rPr>
          <w:rFonts w:cstheme="minorHAnsi"/>
          <w:i/>
          <w:iCs/>
          <w:color w:val="000000" w:themeColor="text1"/>
          <w:sz w:val="28"/>
          <w:szCs w:val="28"/>
          <w:lang w:eastAsia="es-ES"/>
        </w:rPr>
        <w:t>prefix</w:t>
      </w:r>
      <w:r w:rsidRPr="005E1103">
        <w:rPr>
          <w:rFonts w:cstheme="minorHAnsi"/>
          <w:color w:val="000000" w:themeColor="text1"/>
          <w:sz w:val="28"/>
          <w:szCs w:val="28"/>
          <w:lang w:eastAsia="es-ES"/>
        </w:rPr>
        <w:t xml:space="preserve"> (4)cuyo valor será el prefijo a utilizar por los elementos de metadatos (4a), y, seguido de un espacio, la localización del esquema de metadatos (4b).</w:t>
      </w:r>
    </w:p>
    <w:p w:rsidR="003B20DC" w:rsidRPr="005E1103" w:rsidRDefault="003B20DC" w:rsidP="003B20DC">
      <w:pPr>
        <w:rPr>
          <w:rFonts w:cstheme="minorHAnsi"/>
          <w:color w:val="000000" w:themeColor="text1"/>
          <w:sz w:val="28"/>
          <w:szCs w:val="28"/>
          <w:lang w:eastAsia="es-ES"/>
        </w:rPr>
      </w:pPr>
      <w:r w:rsidRPr="005E1103">
        <w:rPr>
          <w:rFonts w:cstheme="minorHAnsi"/>
          <w:color w:val="000000" w:themeColor="text1"/>
          <w:sz w:val="28"/>
          <w:szCs w:val="28"/>
          <w:lang w:eastAsia="es-ES"/>
        </w:rPr>
        <w:t xml:space="preserve">Finalmente, es importante destacar que EPUB usa las etiquetas HTML </w:t>
      </w:r>
      <w:r w:rsidRPr="005E1103">
        <w:rPr>
          <w:rFonts w:cstheme="minorHAnsi"/>
          <w:i/>
          <w:iCs/>
          <w:color w:val="000000" w:themeColor="text1"/>
          <w:sz w:val="28"/>
          <w:szCs w:val="28"/>
          <w:lang w:eastAsia="es-ES"/>
        </w:rPr>
        <w:t xml:space="preserve">&lt;meta&gt; </w:t>
      </w:r>
      <w:r w:rsidRPr="005E1103">
        <w:rPr>
          <w:rFonts w:cstheme="minorHAnsi"/>
          <w:color w:val="000000" w:themeColor="text1"/>
          <w:sz w:val="28"/>
          <w:szCs w:val="28"/>
          <w:lang w:eastAsia="es-ES"/>
        </w:rPr>
        <w:t xml:space="preserve">para incorporar otros metadatos y </w:t>
      </w:r>
      <w:r w:rsidRPr="005E1103">
        <w:rPr>
          <w:rFonts w:cstheme="minorHAnsi"/>
          <w:i/>
          <w:iCs/>
          <w:color w:val="000000" w:themeColor="text1"/>
          <w:sz w:val="28"/>
          <w:szCs w:val="28"/>
          <w:lang w:eastAsia="es-ES"/>
        </w:rPr>
        <w:t>&lt;link&gt;</w:t>
      </w:r>
      <w:r w:rsidRPr="005E1103">
        <w:rPr>
          <w:rFonts w:cstheme="minorHAnsi"/>
          <w:color w:val="000000" w:themeColor="text1"/>
          <w:sz w:val="28"/>
          <w:szCs w:val="28"/>
          <w:lang w:eastAsia="es-ES"/>
        </w:rPr>
        <w:t xml:space="preserve">, para asociar registros completos de metadatos; finalmente, si un recurso se ha declarado en el elemento </w:t>
      </w:r>
      <w:r w:rsidRPr="005E1103">
        <w:rPr>
          <w:rFonts w:cstheme="minorHAnsi"/>
          <w:i/>
          <w:iCs/>
          <w:color w:val="000000" w:themeColor="text1"/>
          <w:sz w:val="28"/>
          <w:szCs w:val="28"/>
          <w:lang w:eastAsia="es-ES"/>
        </w:rPr>
        <w:t>&lt;manifest&gt;</w:t>
      </w:r>
      <w:r w:rsidRPr="005E1103">
        <w:rPr>
          <w:rFonts w:cstheme="minorHAnsi"/>
          <w:color w:val="000000" w:themeColor="text1"/>
          <w:sz w:val="28"/>
          <w:szCs w:val="28"/>
          <w:lang w:eastAsia="es-ES"/>
        </w:rPr>
        <w:t xml:space="preserve">, sus metadatos se incluirán en </w:t>
      </w:r>
      <w:r w:rsidRPr="005E1103">
        <w:rPr>
          <w:rFonts w:cstheme="minorHAnsi"/>
          <w:i/>
          <w:iCs/>
          <w:color w:val="000000" w:themeColor="text1"/>
          <w:sz w:val="28"/>
          <w:szCs w:val="28"/>
          <w:lang w:eastAsia="es-ES"/>
        </w:rPr>
        <w:t>&lt;item&gt;</w:t>
      </w:r>
      <w:r w:rsidRPr="005E1103">
        <w:rPr>
          <w:rFonts w:cstheme="minorHAnsi"/>
          <w:iCs/>
          <w:color w:val="000000" w:themeColor="text1"/>
          <w:sz w:val="28"/>
          <w:szCs w:val="28"/>
          <w:lang w:eastAsia="es-ES"/>
        </w:rPr>
        <w:t xml:space="preserve">, y si </w:t>
      </w:r>
      <w:r w:rsidRPr="005E1103">
        <w:rPr>
          <w:rFonts w:cstheme="minorHAnsi"/>
          <w:color w:val="000000" w:themeColor="text1"/>
          <w:sz w:val="28"/>
          <w:szCs w:val="28"/>
          <w:lang w:eastAsia="es-ES"/>
        </w:rPr>
        <w:t xml:space="preserve">el recurso se ha declarado en el elemento </w:t>
      </w:r>
      <w:r w:rsidRPr="005E1103">
        <w:rPr>
          <w:rFonts w:cstheme="minorHAnsi"/>
          <w:i/>
          <w:iCs/>
          <w:color w:val="000000" w:themeColor="text1"/>
          <w:sz w:val="28"/>
          <w:szCs w:val="28"/>
          <w:lang w:eastAsia="es-ES"/>
        </w:rPr>
        <w:t>&lt;spine&gt;</w:t>
      </w:r>
      <w:r w:rsidRPr="005E1103">
        <w:rPr>
          <w:rFonts w:cstheme="minorHAnsi"/>
          <w:iCs/>
          <w:color w:val="000000" w:themeColor="text1"/>
          <w:sz w:val="28"/>
          <w:szCs w:val="28"/>
          <w:lang w:eastAsia="es-ES"/>
        </w:rPr>
        <w:t xml:space="preserve"> sus metadatos se incluirán en &lt;</w:t>
      </w:r>
      <w:r w:rsidRPr="005E1103">
        <w:rPr>
          <w:rFonts w:cstheme="minorHAnsi"/>
          <w:i/>
          <w:iCs/>
          <w:color w:val="000000" w:themeColor="text1"/>
          <w:sz w:val="28"/>
          <w:szCs w:val="28"/>
          <w:lang w:eastAsia="es-ES"/>
        </w:rPr>
        <w:t>itemref</w:t>
      </w:r>
      <w:r w:rsidRPr="005E1103">
        <w:rPr>
          <w:rFonts w:cstheme="minorHAnsi"/>
          <w:color w:val="000000" w:themeColor="text1"/>
          <w:sz w:val="28"/>
          <w:szCs w:val="28"/>
          <w:lang w:eastAsia="es-ES"/>
        </w:rPr>
        <w:t xml:space="preserve">. </w:t>
      </w:r>
    </w:p>
    <w:p w:rsidR="003B20DC" w:rsidRPr="005E1103" w:rsidRDefault="003B20DC" w:rsidP="003B20DC">
      <w:pPr>
        <w:pStyle w:val="Ttulo2"/>
        <w:rPr>
          <w:rFonts w:asciiTheme="minorHAnsi" w:eastAsia="Times New Roman" w:hAnsiTheme="minorHAnsi" w:cstheme="minorHAnsi"/>
          <w:color w:val="000000" w:themeColor="text1"/>
          <w:sz w:val="28"/>
          <w:szCs w:val="28"/>
          <w:lang w:eastAsia="es-ES"/>
        </w:rPr>
      </w:pPr>
      <w:r w:rsidRPr="005E1103">
        <w:rPr>
          <w:rFonts w:asciiTheme="minorHAnsi" w:eastAsia="Times New Roman" w:hAnsiTheme="minorHAnsi" w:cstheme="minorHAnsi"/>
          <w:color w:val="000000" w:themeColor="text1"/>
          <w:sz w:val="28"/>
          <w:szCs w:val="28"/>
          <w:lang w:eastAsia="es-ES"/>
        </w:rPr>
        <w:t>2.2. Elementos de metadatos obligatorios</w:t>
      </w:r>
    </w:p>
    <w:p w:rsidR="003B20DC" w:rsidRPr="005E1103" w:rsidRDefault="003B20DC" w:rsidP="003B20DC">
      <w:pPr>
        <w:rPr>
          <w:rFonts w:cstheme="minorHAnsi"/>
          <w:color w:val="000000" w:themeColor="text1"/>
          <w:sz w:val="28"/>
          <w:szCs w:val="28"/>
          <w:lang w:eastAsia="es-ES"/>
        </w:rPr>
      </w:pPr>
      <w:r w:rsidRPr="005E1103">
        <w:rPr>
          <w:rFonts w:cstheme="minorHAnsi"/>
          <w:color w:val="000000" w:themeColor="text1"/>
          <w:sz w:val="28"/>
          <w:szCs w:val="28"/>
          <w:lang w:eastAsia="es-ES"/>
        </w:rPr>
        <w:t>Cuatro son los elementos obligatorios para cada una de las presentaciones de una publicación: los elementos título (</w:t>
      </w:r>
      <w:r w:rsidRPr="005E1103">
        <w:rPr>
          <w:rFonts w:cstheme="minorHAnsi"/>
          <w:i/>
          <w:iCs/>
          <w:color w:val="000000" w:themeColor="text1"/>
          <w:sz w:val="28"/>
          <w:szCs w:val="28"/>
          <w:lang w:eastAsia="es-ES"/>
        </w:rPr>
        <w:t>dc:title</w:t>
      </w:r>
      <w:r w:rsidRPr="005E1103">
        <w:rPr>
          <w:rFonts w:cstheme="minorHAnsi"/>
          <w:color w:val="000000" w:themeColor="text1"/>
          <w:sz w:val="28"/>
          <w:szCs w:val="28"/>
          <w:lang w:eastAsia="es-ES"/>
        </w:rPr>
        <w:t>), identificador (</w:t>
      </w:r>
      <w:r w:rsidRPr="005E1103">
        <w:rPr>
          <w:rFonts w:cstheme="minorHAnsi"/>
          <w:i/>
          <w:iCs/>
          <w:color w:val="000000" w:themeColor="text1"/>
          <w:sz w:val="28"/>
          <w:szCs w:val="28"/>
          <w:lang w:eastAsia="es-ES"/>
        </w:rPr>
        <w:t>dc:identifier</w:t>
      </w:r>
      <w:r w:rsidRPr="005E1103">
        <w:rPr>
          <w:rFonts w:cstheme="minorHAnsi"/>
          <w:color w:val="000000" w:themeColor="text1"/>
          <w:sz w:val="28"/>
          <w:szCs w:val="28"/>
          <w:lang w:eastAsia="es-ES"/>
        </w:rPr>
        <w:t>) y lengua (</w:t>
      </w:r>
      <w:r w:rsidRPr="005E1103">
        <w:rPr>
          <w:rFonts w:cstheme="minorHAnsi"/>
          <w:i/>
          <w:iCs/>
          <w:color w:val="000000" w:themeColor="text1"/>
          <w:sz w:val="28"/>
          <w:szCs w:val="28"/>
          <w:lang w:eastAsia="es-ES"/>
        </w:rPr>
        <w:t>dc:language</w:t>
      </w:r>
      <w:r w:rsidRPr="005E1103">
        <w:rPr>
          <w:rFonts w:cstheme="minorHAnsi"/>
          <w:color w:val="000000" w:themeColor="text1"/>
          <w:sz w:val="28"/>
          <w:szCs w:val="28"/>
          <w:lang w:eastAsia="es-ES"/>
        </w:rPr>
        <w:t xml:space="preserve">) del esquema </w:t>
      </w:r>
      <w:r w:rsidRPr="005E1103">
        <w:rPr>
          <w:rFonts w:cstheme="minorHAnsi"/>
          <w:i/>
          <w:iCs/>
          <w:color w:val="000000" w:themeColor="text1"/>
          <w:sz w:val="28"/>
          <w:szCs w:val="28"/>
          <w:lang w:eastAsia="es-ES"/>
        </w:rPr>
        <w:t>DCMET</w:t>
      </w:r>
      <w:r w:rsidRPr="005E1103">
        <w:rPr>
          <w:rFonts w:cstheme="minorHAnsi"/>
          <w:color w:val="000000" w:themeColor="text1"/>
          <w:sz w:val="28"/>
          <w:szCs w:val="28"/>
          <w:lang w:eastAsia="es-ES"/>
        </w:rPr>
        <w:t>, y el elemento fecha de modificación (</w:t>
      </w:r>
      <w:r w:rsidRPr="005E1103">
        <w:rPr>
          <w:rFonts w:cstheme="minorHAnsi"/>
          <w:i/>
          <w:iCs/>
          <w:color w:val="000000" w:themeColor="text1"/>
          <w:sz w:val="28"/>
          <w:szCs w:val="28"/>
          <w:lang w:eastAsia="es-ES"/>
        </w:rPr>
        <w:t>dcterms:modified</w:t>
      </w:r>
      <w:r w:rsidRPr="005E1103">
        <w:rPr>
          <w:rFonts w:cstheme="minorHAnsi"/>
          <w:color w:val="000000" w:themeColor="text1"/>
          <w:sz w:val="28"/>
          <w:szCs w:val="28"/>
          <w:lang w:eastAsia="es-ES"/>
        </w:rPr>
        <w:t xml:space="preserve">) del esquema reservado </w:t>
      </w:r>
      <w:r w:rsidRPr="005E1103">
        <w:rPr>
          <w:rFonts w:cstheme="minorHAnsi"/>
          <w:i/>
          <w:iCs/>
          <w:color w:val="000000" w:themeColor="text1"/>
          <w:sz w:val="28"/>
          <w:szCs w:val="28"/>
          <w:lang w:eastAsia="es-ES"/>
        </w:rPr>
        <w:t>DCTERMS</w:t>
      </w:r>
      <w:r w:rsidRPr="005E1103">
        <w:rPr>
          <w:rFonts w:cstheme="minorHAnsi"/>
          <w:color w:val="000000" w:themeColor="text1"/>
          <w:sz w:val="28"/>
          <w:szCs w:val="28"/>
          <w:lang w:eastAsia="es-ES"/>
        </w:rPr>
        <w:t xml:space="preserve">. Adicionalmente, en el caso que la publicación incorpore uno o más </w:t>
      </w:r>
      <w:r w:rsidRPr="005E1103">
        <w:rPr>
          <w:rFonts w:cstheme="minorHAnsi"/>
          <w:i/>
          <w:iCs/>
          <w:color w:val="000000" w:themeColor="text1"/>
          <w:sz w:val="28"/>
          <w:szCs w:val="28"/>
          <w:lang w:eastAsia="es-ES"/>
        </w:rPr>
        <w:t>media overlays</w:t>
      </w:r>
      <w:r w:rsidRPr="005E1103">
        <w:rPr>
          <w:rFonts w:cstheme="minorHAnsi"/>
          <w:color w:val="000000" w:themeColor="text1"/>
          <w:sz w:val="28"/>
          <w:szCs w:val="28"/>
          <w:lang w:eastAsia="es-ES"/>
        </w:rPr>
        <w:t>, debe incorporarse un elemento duración (</w:t>
      </w:r>
      <w:r w:rsidRPr="005E1103">
        <w:rPr>
          <w:rFonts w:cstheme="minorHAnsi"/>
          <w:i/>
          <w:iCs/>
          <w:color w:val="000000" w:themeColor="text1"/>
          <w:sz w:val="28"/>
          <w:szCs w:val="28"/>
          <w:lang w:eastAsia="es-ES"/>
        </w:rPr>
        <w:t>media:duration</w:t>
      </w:r>
      <w:r w:rsidRPr="005E1103">
        <w:rPr>
          <w:rFonts w:cstheme="minorHAnsi"/>
          <w:color w:val="000000" w:themeColor="text1"/>
          <w:sz w:val="28"/>
          <w:szCs w:val="28"/>
          <w:lang w:eastAsia="es-ES"/>
        </w:rPr>
        <w:t>) del esquema reservado «Media Overlays Metadata Vocabulary» para la presentación en su conjunto, y un elemento duration para cada una de los media overlays incorporados.</w:t>
      </w:r>
    </w:p>
    <w:p w:rsidR="003B20DC" w:rsidRPr="005E1103" w:rsidRDefault="003B20DC" w:rsidP="003B20DC">
      <w:pPr>
        <w:rPr>
          <w:rFonts w:cstheme="minorHAnsi"/>
          <w:color w:val="000000" w:themeColor="text1"/>
          <w:sz w:val="28"/>
          <w:szCs w:val="28"/>
          <w:lang w:eastAsia="es-ES"/>
        </w:rPr>
      </w:pPr>
      <w:r w:rsidRPr="005E1103">
        <w:rPr>
          <w:rFonts w:cstheme="minorHAnsi"/>
          <w:color w:val="000000" w:themeColor="text1"/>
          <w:sz w:val="28"/>
          <w:szCs w:val="28"/>
          <w:lang w:eastAsia="es-ES"/>
        </w:rPr>
        <w:t>Estos elementos se pueden presentar en cualquier orden y repetir más de una vez.</w:t>
      </w:r>
    </w:p>
    <w:p w:rsidR="003B20DC" w:rsidRPr="005E1103" w:rsidRDefault="003B20DC" w:rsidP="003B20DC">
      <w:pPr>
        <w:rPr>
          <w:rFonts w:cstheme="minorHAnsi"/>
          <w:color w:val="000000" w:themeColor="text1"/>
          <w:sz w:val="28"/>
          <w:szCs w:val="28"/>
          <w:lang w:eastAsia="es-ES"/>
        </w:rPr>
      </w:pPr>
      <w:r w:rsidRPr="005E1103">
        <w:rPr>
          <w:rFonts w:cstheme="minorHAnsi"/>
          <w:b/>
          <w:bCs/>
          <w:color w:val="000000" w:themeColor="text1"/>
          <w:sz w:val="28"/>
          <w:szCs w:val="28"/>
          <w:lang w:eastAsia="es-ES"/>
        </w:rPr>
        <w:t xml:space="preserve">Elemento </w:t>
      </w:r>
      <w:r w:rsidRPr="005E1103">
        <w:rPr>
          <w:rFonts w:cstheme="minorHAnsi"/>
          <w:b/>
          <w:bCs/>
          <w:i/>
          <w:iCs/>
          <w:color w:val="000000" w:themeColor="text1"/>
          <w:sz w:val="28"/>
          <w:szCs w:val="28"/>
          <w:lang w:eastAsia="es-ES"/>
        </w:rPr>
        <w:t xml:space="preserve">dc:identifier </w:t>
      </w:r>
      <w:r w:rsidRPr="005E1103">
        <w:rPr>
          <w:rFonts w:cstheme="minorHAnsi"/>
          <w:color w:val="000000" w:themeColor="text1"/>
          <w:sz w:val="28"/>
          <w:szCs w:val="28"/>
          <w:lang w:eastAsia="es-ES"/>
        </w:rPr>
        <w:t>(6)</w:t>
      </w:r>
      <w:r w:rsidRPr="005E1103">
        <w:rPr>
          <w:rFonts w:cstheme="minorHAnsi"/>
          <w:b/>
          <w:bCs/>
          <w:color w:val="000000" w:themeColor="text1"/>
          <w:sz w:val="28"/>
          <w:szCs w:val="28"/>
          <w:lang w:eastAsia="es-ES"/>
        </w:rPr>
        <w:t>.</w:t>
      </w:r>
      <w:r w:rsidRPr="005E1103">
        <w:rPr>
          <w:rFonts w:cstheme="minorHAnsi"/>
          <w:color w:val="000000" w:themeColor="text1"/>
          <w:sz w:val="28"/>
          <w:szCs w:val="28"/>
          <w:lang w:eastAsia="es-ES"/>
        </w:rPr>
        <w:t xml:space="preserve"> Es un código de identificación generado a partir de un sistema propio del autor o editor (6a) o a partir de un sistema </w:t>
      </w:r>
      <w:r w:rsidRPr="005E1103">
        <w:rPr>
          <w:rFonts w:cstheme="minorHAnsi"/>
          <w:color w:val="000000" w:themeColor="text1"/>
          <w:sz w:val="28"/>
          <w:szCs w:val="28"/>
          <w:lang w:eastAsia="es-ES"/>
        </w:rPr>
        <w:lastRenderedPageBreak/>
        <w:t xml:space="preserve">normalizado, como por ejemplo ISBN o DOI. Toda publicación debe incluir un elemento </w:t>
      </w:r>
      <w:r w:rsidRPr="005E1103">
        <w:rPr>
          <w:rFonts w:cstheme="minorHAnsi"/>
          <w:i/>
          <w:iCs/>
          <w:color w:val="000000" w:themeColor="text1"/>
          <w:sz w:val="28"/>
          <w:szCs w:val="28"/>
          <w:lang w:eastAsia="es-ES"/>
        </w:rPr>
        <w:t>dc:identifier</w:t>
      </w:r>
      <w:r w:rsidRPr="005E1103">
        <w:rPr>
          <w:rFonts w:cstheme="minorHAnsi"/>
          <w:color w:val="000000" w:themeColor="text1"/>
          <w:sz w:val="28"/>
          <w:szCs w:val="28"/>
          <w:lang w:eastAsia="es-ES"/>
        </w:rPr>
        <w:t xml:space="preserve"> cuyo valor sea un </w:t>
      </w:r>
      <w:r w:rsidRPr="005E1103">
        <w:rPr>
          <w:rFonts w:cstheme="minorHAnsi"/>
          <w:b/>
          <w:bCs/>
          <w:color w:val="000000" w:themeColor="text1"/>
          <w:sz w:val="28"/>
          <w:szCs w:val="28"/>
          <w:lang w:eastAsia="es-ES"/>
        </w:rPr>
        <w:t>identificador principal, no ambiguo, de la publicación</w:t>
      </w:r>
      <w:r w:rsidRPr="005E1103">
        <w:rPr>
          <w:rFonts w:cstheme="minorHAnsi"/>
          <w:color w:val="000000" w:themeColor="text1"/>
          <w:sz w:val="28"/>
          <w:szCs w:val="28"/>
          <w:lang w:eastAsia="es-ES"/>
        </w:rPr>
        <w:t xml:space="preserve">; es el </w:t>
      </w:r>
      <w:r w:rsidRPr="005E1103">
        <w:rPr>
          <w:rFonts w:cstheme="minorHAnsi"/>
          <w:i/>
          <w:iCs/>
          <w:color w:val="000000" w:themeColor="text1"/>
          <w:sz w:val="28"/>
          <w:szCs w:val="28"/>
          <w:lang w:eastAsia="es-ES"/>
        </w:rPr>
        <w:t>Unique Identifier</w:t>
      </w:r>
      <w:r w:rsidRPr="005E1103">
        <w:rPr>
          <w:rFonts w:cstheme="minorHAnsi"/>
          <w:color w:val="000000" w:themeColor="text1"/>
          <w:sz w:val="28"/>
          <w:szCs w:val="28"/>
          <w:lang w:eastAsia="es-ES"/>
        </w:rPr>
        <w:t xml:space="preserve">(7) </w:t>
      </w:r>
      <w:r w:rsidRPr="005E1103">
        <w:rPr>
          <w:rFonts w:cstheme="minorHAnsi"/>
          <w:iCs/>
          <w:color w:val="000000" w:themeColor="text1"/>
          <w:sz w:val="28"/>
          <w:szCs w:val="28"/>
          <w:lang w:eastAsia="es-ES"/>
        </w:rPr>
        <w:t xml:space="preserve"> que no se alterará </w:t>
      </w:r>
      <w:r w:rsidRPr="005E1103">
        <w:rPr>
          <w:rFonts w:cstheme="minorHAnsi"/>
          <w:color w:val="000000" w:themeColor="text1"/>
          <w:sz w:val="28"/>
          <w:szCs w:val="28"/>
          <w:lang w:eastAsia="es-ES"/>
        </w:rPr>
        <w:t xml:space="preserve">a pesar de que la publicación experimente revisiones menores en su empaquetado o contenido. Debe incluir, como valor del atributo </w:t>
      </w:r>
      <w:r w:rsidRPr="005E1103">
        <w:rPr>
          <w:rFonts w:cstheme="minorHAnsi"/>
          <w:i/>
          <w:iCs/>
          <w:color w:val="000000" w:themeColor="text1"/>
          <w:sz w:val="28"/>
          <w:szCs w:val="28"/>
          <w:lang w:eastAsia="es-ES"/>
        </w:rPr>
        <w:t>id</w:t>
      </w:r>
      <w:r w:rsidRPr="005E1103">
        <w:rPr>
          <w:rFonts w:cstheme="minorHAnsi"/>
          <w:color w:val="000000" w:themeColor="text1"/>
          <w:sz w:val="28"/>
          <w:szCs w:val="28"/>
          <w:lang w:eastAsia="es-ES"/>
        </w:rPr>
        <w:t xml:space="preserve"> (7a), el mismo valor (7b) del atributo </w:t>
      </w:r>
      <w:r w:rsidRPr="005E1103">
        <w:rPr>
          <w:rFonts w:cstheme="minorHAnsi"/>
          <w:i/>
          <w:color w:val="000000" w:themeColor="text1"/>
          <w:sz w:val="28"/>
          <w:szCs w:val="28"/>
          <w:lang w:eastAsia="es-ES"/>
        </w:rPr>
        <w:t>unique-identifier</w:t>
      </w:r>
      <w:r w:rsidRPr="005E1103">
        <w:rPr>
          <w:rFonts w:cstheme="minorHAnsi"/>
          <w:color w:val="000000" w:themeColor="text1"/>
          <w:sz w:val="28"/>
          <w:szCs w:val="28"/>
          <w:lang w:eastAsia="es-ES"/>
        </w:rPr>
        <w:t xml:space="preserve"> del elemento </w:t>
      </w:r>
      <w:r w:rsidRPr="005E1103">
        <w:rPr>
          <w:rFonts w:cstheme="minorHAnsi"/>
          <w:i/>
          <w:iCs/>
          <w:color w:val="000000" w:themeColor="text1"/>
          <w:sz w:val="28"/>
          <w:szCs w:val="28"/>
          <w:lang w:eastAsia="es-ES"/>
        </w:rPr>
        <w:t>&lt;package&gt;</w:t>
      </w:r>
      <w:r w:rsidRPr="005E1103">
        <w:rPr>
          <w:rFonts w:cstheme="minorHAnsi"/>
          <w:color w:val="000000" w:themeColor="text1"/>
          <w:sz w:val="28"/>
          <w:szCs w:val="28"/>
          <w:lang w:eastAsia="es-ES"/>
        </w:rPr>
        <w:t xml:space="preserve"> (3). </w:t>
      </w:r>
    </w:p>
    <w:p w:rsidR="003B20DC" w:rsidRPr="005E1103" w:rsidRDefault="003B20DC" w:rsidP="003B20DC">
      <w:pPr>
        <w:rPr>
          <w:rFonts w:cstheme="minorHAnsi"/>
          <w:color w:val="000000" w:themeColor="text1"/>
          <w:sz w:val="28"/>
          <w:szCs w:val="28"/>
          <w:shd w:val="clear" w:color="auto" w:fill="FFFFFF"/>
          <w:lang w:eastAsia="es-ES"/>
        </w:rPr>
      </w:pPr>
      <w:r w:rsidRPr="005E1103">
        <w:rPr>
          <w:rFonts w:cstheme="minorHAnsi"/>
          <w:b/>
          <w:bCs/>
          <w:color w:val="000000" w:themeColor="text1"/>
          <w:sz w:val="28"/>
          <w:szCs w:val="28"/>
          <w:lang w:eastAsia="es-ES"/>
        </w:rPr>
        <w:t xml:space="preserve">Elemento </w:t>
      </w:r>
      <w:r w:rsidRPr="005E1103">
        <w:rPr>
          <w:rFonts w:cstheme="minorHAnsi"/>
          <w:b/>
          <w:bCs/>
          <w:i/>
          <w:iCs/>
          <w:color w:val="000000" w:themeColor="text1"/>
          <w:sz w:val="28"/>
          <w:szCs w:val="28"/>
          <w:lang w:eastAsia="es-ES"/>
        </w:rPr>
        <w:t>dc:title</w:t>
      </w:r>
      <w:r w:rsidRPr="005E1103">
        <w:rPr>
          <w:rFonts w:cstheme="minorHAnsi"/>
          <w:b/>
          <w:bCs/>
          <w:color w:val="000000" w:themeColor="text1"/>
          <w:sz w:val="28"/>
          <w:szCs w:val="28"/>
          <w:lang w:eastAsia="es-ES"/>
        </w:rPr>
        <w:t xml:space="preserve">. </w:t>
      </w:r>
      <w:r w:rsidRPr="005E1103">
        <w:rPr>
          <w:rFonts w:cstheme="minorHAnsi"/>
          <w:color w:val="000000" w:themeColor="text1"/>
          <w:sz w:val="28"/>
          <w:szCs w:val="28"/>
          <w:lang w:eastAsia="es-ES"/>
        </w:rPr>
        <w:t xml:space="preserve">Es el nombre con que se conoce la publicación. Puede  repetirse, cada valor se incluirá en un atributo </w:t>
      </w:r>
      <w:r w:rsidRPr="005E1103">
        <w:rPr>
          <w:rFonts w:cstheme="minorHAnsi"/>
          <w:i/>
          <w:iCs/>
          <w:color w:val="000000" w:themeColor="text1"/>
          <w:sz w:val="28"/>
          <w:szCs w:val="28"/>
          <w:lang w:eastAsia="es-ES"/>
        </w:rPr>
        <w:t>id</w:t>
      </w:r>
      <w:r w:rsidRPr="005E1103">
        <w:rPr>
          <w:rFonts w:cstheme="minorHAnsi"/>
          <w:color w:val="000000" w:themeColor="text1"/>
          <w:sz w:val="28"/>
          <w:szCs w:val="28"/>
          <w:lang w:eastAsia="es-ES"/>
        </w:rPr>
        <w:t>. EPUB 3 distingue entre</w:t>
      </w:r>
      <w:r w:rsidRPr="005E1103">
        <w:rPr>
          <w:rFonts w:cstheme="minorHAnsi"/>
          <w:color w:val="000000" w:themeColor="text1"/>
          <w:sz w:val="28"/>
          <w:szCs w:val="28"/>
          <w:shd w:val="clear" w:color="auto" w:fill="FFFFFF"/>
          <w:lang w:eastAsia="es-ES"/>
        </w:rPr>
        <w:t xml:space="preserve"> </w:t>
      </w:r>
      <w:r w:rsidRPr="005E1103">
        <w:rPr>
          <w:rFonts w:cstheme="minorHAnsi"/>
          <w:i/>
          <w:iCs/>
          <w:color w:val="000000" w:themeColor="text1"/>
          <w:sz w:val="28"/>
          <w:szCs w:val="28"/>
          <w:shd w:val="clear" w:color="auto" w:fill="FFFFFF"/>
          <w:lang w:eastAsia="es-ES"/>
        </w:rPr>
        <w:t>main</w:t>
      </w:r>
      <w:r w:rsidRPr="005E1103">
        <w:rPr>
          <w:rFonts w:cstheme="minorHAnsi"/>
          <w:color w:val="000000" w:themeColor="text1"/>
          <w:sz w:val="28"/>
          <w:szCs w:val="28"/>
          <w:shd w:val="clear" w:color="auto" w:fill="FFFFFF"/>
          <w:lang w:eastAsia="es-ES"/>
        </w:rPr>
        <w:t xml:space="preserve">, el título principal que los sistemas de lectura deben mostrar normalmente; </w:t>
      </w:r>
      <w:r w:rsidRPr="005E1103">
        <w:rPr>
          <w:rFonts w:cstheme="minorHAnsi"/>
          <w:i/>
          <w:iCs/>
          <w:color w:val="000000" w:themeColor="text1"/>
          <w:sz w:val="28"/>
          <w:szCs w:val="28"/>
          <w:shd w:val="clear" w:color="auto" w:fill="FFFFFF"/>
          <w:lang w:eastAsia="es-ES"/>
        </w:rPr>
        <w:t>subtitle</w:t>
      </w:r>
      <w:r w:rsidRPr="005E1103">
        <w:rPr>
          <w:rFonts w:cstheme="minorHAnsi"/>
          <w:color w:val="000000" w:themeColor="text1"/>
          <w:sz w:val="28"/>
          <w:szCs w:val="28"/>
          <w:shd w:val="clear" w:color="auto" w:fill="FFFFFF"/>
          <w:lang w:eastAsia="es-ES"/>
        </w:rPr>
        <w:t xml:space="preserve">, un título secundario que complementa el título principal, pero está separado de él; </w:t>
      </w:r>
      <w:r w:rsidRPr="005E1103">
        <w:rPr>
          <w:rFonts w:cstheme="minorHAnsi"/>
          <w:i/>
          <w:iCs/>
          <w:color w:val="000000" w:themeColor="text1"/>
          <w:sz w:val="28"/>
          <w:szCs w:val="28"/>
          <w:shd w:val="clear" w:color="auto" w:fill="FFFFFF"/>
          <w:lang w:eastAsia="es-ES"/>
        </w:rPr>
        <w:t>short</w:t>
      </w:r>
      <w:r w:rsidRPr="005E1103">
        <w:rPr>
          <w:rFonts w:cstheme="minorHAnsi"/>
          <w:color w:val="000000" w:themeColor="text1"/>
          <w:sz w:val="28"/>
          <w:szCs w:val="28"/>
          <w:shd w:val="clear" w:color="auto" w:fill="FFFFFF"/>
          <w:lang w:eastAsia="es-ES"/>
        </w:rPr>
        <w:t xml:space="preserve">, una versión abreviada del título principal; </w:t>
      </w:r>
      <w:r w:rsidRPr="005E1103">
        <w:rPr>
          <w:rFonts w:cstheme="minorHAnsi"/>
          <w:i/>
          <w:color w:val="000000" w:themeColor="text1"/>
          <w:sz w:val="28"/>
          <w:szCs w:val="28"/>
          <w:shd w:val="clear" w:color="auto" w:fill="FFFFFF"/>
          <w:lang w:eastAsia="es-ES"/>
        </w:rPr>
        <w:t>collection</w:t>
      </w:r>
      <w:r w:rsidRPr="005E1103">
        <w:rPr>
          <w:rFonts w:cstheme="minorHAnsi"/>
          <w:color w:val="000000" w:themeColor="text1"/>
          <w:sz w:val="28"/>
          <w:szCs w:val="28"/>
          <w:shd w:val="clear" w:color="auto" w:fill="FFFFFF"/>
          <w:lang w:eastAsia="es-ES"/>
        </w:rPr>
        <w:t xml:space="preserve">, el título de un conjunto de publicaciones del cual una publicación específica forma parte; </w:t>
      </w:r>
      <w:r w:rsidRPr="005E1103">
        <w:rPr>
          <w:rFonts w:cstheme="minorHAnsi"/>
          <w:i/>
          <w:color w:val="000000" w:themeColor="text1"/>
          <w:sz w:val="28"/>
          <w:szCs w:val="28"/>
          <w:shd w:val="clear" w:color="auto" w:fill="FFFFFF"/>
          <w:lang w:eastAsia="es-ES"/>
        </w:rPr>
        <w:t>edition</w:t>
      </w:r>
      <w:r w:rsidRPr="005E1103">
        <w:rPr>
          <w:rFonts w:cstheme="minorHAnsi"/>
          <w:color w:val="000000" w:themeColor="text1"/>
          <w:sz w:val="28"/>
          <w:szCs w:val="28"/>
          <w:shd w:val="clear" w:color="auto" w:fill="FFFFFF"/>
          <w:lang w:eastAsia="es-ES"/>
        </w:rPr>
        <w:t xml:space="preserve">, una designación del número de edición de la publicación; </w:t>
      </w:r>
      <w:r w:rsidRPr="005E1103">
        <w:rPr>
          <w:rFonts w:cstheme="minorHAnsi"/>
          <w:i/>
          <w:iCs/>
          <w:color w:val="000000" w:themeColor="text1"/>
          <w:sz w:val="28"/>
          <w:szCs w:val="28"/>
          <w:shd w:val="clear" w:color="auto" w:fill="FFFFFF"/>
          <w:lang w:eastAsia="es-ES"/>
        </w:rPr>
        <w:t>extended</w:t>
      </w:r>
      <w:r w:rsidRPr="005E1103">
        <w:rPr>
          <w:rFonts w:cstheme="minorHAnsi"/>
          <w:color w:val="000000" w:themeColor="text1"/>
          <w:sz w:val="28"/>
          <w:szCs w:val="28"/>
          <w:shd w:val="clear" w:color="auto" w:fill="FFFFFF"/>
          <w:lang w:eastAsia="es-ES"/>
        </w:rPr>
        <w:t>, combinación de dos o más de los tipos anteriormente indicados (Garrish; Gylling, 2013).</w:t>
      </w:r>
    </w:p>
    <w:p w:rsidR="003B20DC" w:rsidRPr="005E1103" w:rsidRDefault="003B20DC" w:rsidP="003B20DC">
      <w:pPr>
        <w:rPr>
          <w:rFonts w:cstheme="minorHAnsi"/>
          <w:color w:val="000000" w:themeColor="text1"/>
          <w:sz w:val="28"/>
          <w:szCs w:val="28"/>
          <w:lang w:eastAsia="es-ES"/>
        </w:rPr>
      </w:pPr>
      <w:r w:rsidRPr="005E1103">
        <w:rPr>
          <w:rFonts w:cstheme="minorHAnsi"/>
          <w:color w:val="000000" w:themeColor="text1"/>
          <w:sz w:val="28"/>
          <w:szCs w:val="28"/>
          <w:lang w:eastAsia="es-ES"/>
        </w:rPr>
        <w:t xml:space="preserve">En el ejemplo, el elemento </w:t>
      </w:r>
      <w:r w:rsidRPr="005E1103">
        <w:rPr>
          <w:rFonts w:cstheme="minorHAnsi"/>
          <w:i/>
          <w:iCs/>
          <w:color w:val="000000" w:themeColor="text1"/>
          <w:sz w:val="28"/>
          <w:szCs w:val="28"/>
          <w:lang w:eastAsia="es-ES"/>
        </w:rPr>
        <w:t>dc:title</w:t>
      </w:r>
      <w:r w:rsidRPr="005E1103">
        <w:rPr>
          <w:rFonts w:cstheme="minorHAnsi"/>
          <w:color w:val="000000" w:themeColor="text1"/>
          <w:sz w:val="28"/>
          <w:szCs w:val="28"/>
          <w:lang w:eastAsia="es-ES"/>
        </w:rPr>
        <w:t xml:space="preserve">(8) declara el título principal de la publicación. En (9) indicamos que es de tipo </w:t>
      </w:r>
      <w:r w:rsidRPr="005E1103">
        <w:rPr>
          <w:rFonts w:cstheme="minorHAnsi"/>
          <w:i/>
          <w:iCs/>
          <w:color w:val="000000" w:themeColor="text1"/>
          <w:sz w:val="28"/>
          <w:szCs w:val="28"/>
          <w:lang w:eastAsia="es-ES"/>
        </w:rPr>
        <w:t>main</w:t>
      </w:r>
      <w:r w:rsidRPr="005E1103">
        <w:rPr>
          <w:rFonts w:cstheme="minorHAnsi"/>
          <w:color w:val="000000" w:themeColor="text1"/>
          <w:sz w:val="28"/>
          <w:szCs w:val="28"/>
          <w:lang w:eastAsia="es-ES"/>
        </w:rPr>
        <w:t xml:space="preserve"> (9a), título principal</w:t>
      </w:r>
    </w:p>
    <w:p w:rsidR="003B20DC" w:rsidRPr="005E1103" w:rsidRDefault="003B20DC" w:rsidP="003B20DC">
      <w:pPr>
        <w:rPr>
          <w:rFonts w:cstheme="minorHAnsi"/>
          <w:color w:val="000000" w:themeColor="text1"/>
          <w:sz w:val="28"/>
          <w:szCs w:val="28"/>
          <w:lang w:eastAsia="es-ES"/>
        </w:rPr>
      </w:pPr>
      <w:r w:rsidRPr="005E1103">
        <w:rPr>
          <w:rFonts w:cstheme="minorHAnsi"/>
          <w:b/>
          <w:bCs/>
          <w:color w:val="000000" w:themeColor="text1"/>
          <w:sz w:val="28"/>
          <w:szCs w:val="28"/>
          <w:lang w:eastAsia="es-ES"/>
        </w:rPr>
        <w:t xml:space="preserve">Elemento </w:t>
      </w:r>
      <w:r w:rsidRPr="005E1103">
        <w:rPr>
          <w:rFonts w:cstheme="minorHAnsi"/>
          <w:b/>
          <w:bCs/>
          <w:i/>
          <w:iCs/>
          <w:color w:val="000000" w:themeColor="text1"/>
          <w:sz w:val="28"/>
          <w:szCs w:val="28"/>
          <w:lang w:eastAsia="es-ES"/>
        </w:rPr>
        <w:t>dc:language</w:t>
      </w:r>
      <w:r w:rsidRPr="005E1103">
        <w:rPr>
          <w:rFonts w:cstheme="minorHAnsi"/>
          <w:color w:val="000000" w:themeColor="text1"/>
          <w:sz w:val="28"/>
          <w:szCs w:val="28"/>
          <w:lang w:eastAsia="es-ES"/>
        </w:rPr>
        <w:t>. Especifica la lengua del contenido de una presentación de una publicación EPUB. Se incorporarán tantas instancias del elemento como lenguas se utilicen en el contenido. En todos los casos, los valores de identificación de las lenguas deben ser conformes a la norma Phillips; Davis (2009).</w:t>
      </w:r>
    </w:p>
    <w:p w:rsidR="003B20DC" w:rsidRPr="005E1103" w:rsidRDefault="003B20DC" w:rsidP="003B20DC">
      <w:pPr>
        <w:rPr>
          <w:rFonts w:cstheme="minorHAnsi"/>
          <w:color w:val="000000" w:themeColor="text1"/>
          <w:sz w:val="28"/>
          <w:szCs w:val="28"/>
          <w:lang w:eastAsia="es-ES"/>
        </w:rPr>
      </w:pPr>
      <w:r w:rsidRPr="005E1103">
        <w:rPr>
          <w:rFonts w:cstheme="minorHAnsi"/>
          <w:color w:val="000000" w:themeColor="text1"/>
          <w:sz w:val="28"/>
          <w:szCs w:val="28"/>
          <w:lang w:eastAsia="es-ES"/>
        </w:rPr>
        <w:t>En el ejemplo, indicamos que el contenido está escrito en castellano (10) y en latín (11). El hecho que la extensión en castellano es superior al latín no puede expresarse.  </w:t>
      </w:r>
    </w:p>
    <w:p w:rsidR="003B20DC" w:rsidRPr="005E1103" w:rsidRDefault="003B20DC" w:rsidP="003B20DC">
      <w:pPr>
        <w:rPr>
          <w:rFonts w:cstheme="minorHAnsi"/>
          <w:color w:val="000000" w:themeColor="text1"/>
          <w:sz w:val="28"/>
          <w:szCs w:val="28"/>
          <w:lang w:eastAsia="es-ES"/>
        </w:rPr>
      </w:pPr>
      <w:r w:rsidRPr="005E1103">
        <w:rPr>
          <w:rFonts w:cstheme="minorHAnsi"/>
          <w:b/>
          <w:bCs/>
          <w:color w:val="000000" w:themeColor="text1"/>
          <w:sz w:val="28"/>
          <w:szCs w:val="28"/>
          <w:lang w:eastAsia="es-ES"/>
        </w:rPr>
        <w:t xml:space="preserve">Elemento </w:t>
      </w:r>
      <w:r w:rsidRPr="005E1103">
        <w:rPr>
          <w:rFonts w:cstheme="minorHAnsi"/>
          <w:b/>
          <w:bCs/>
          <w:i/>
          <w:iCs/>
          <w:color w:val="000000" w:themeColor="text1"/>
          <w:sz w:val="28"/>
          <w:szCs w:val="28"/>
          <w:lang w:eastAsia="es-ES"/>
        </w:rPr>
        <w:t>dcterms:modified</w:t>
      </w:r>
      <w:r w:rsidRPr="005E1103">
        <w:rPr>
          <w:rFonts w:cstheme="minorHAnsi"/>
          <w:color w:val="000000" w:themeColor="text1"/>
          <w:sz w:val="28"/>
          <w:szCs w:val="28"/>
          <w:lang w:eastAsia="es-ES"/>
        </w:rPr>
        <w:t xml:space="preserve">. Declara la fecha de la última modificación del contenido conforme con el tipo </w:t>
      </w:r>
      <w:r w:rsidRPr="005E1103">
        <w:rPr>
          <w:rFonts w:cstheme="minorHAnsi"/>
          <w:i/>
          <w:iCs/>
          <w:color w:val="000000" w:themeColor="text1"/>
          <w:sz w:val="28"/>
          <w:szCs w:val="28"/>
          <w:lang w:eastAsia="es-ES"/>
        </w:rPr>
        <w:t>dateTime</w:t>
      </w:r>
      <w:r w:rsidRPr="005E1103">
        <w:rPr>
          <w:rFonts w:cstheme="minorHAnsi"/>
          <w:color w:val="000000" w:themeColor="text1"/>
          <w:sz w:val="28"/>
          <w:szCs w:val="28"/>
          <w:lang w:eastAsia="es-ES"/>
        </w:rPr>
        <w:t xml:space="preserve"> de XML Schema (</w:t>
      </w:r>
      <w:r w:rsidRPr="005E1103">
        <w:rPr>
          <w:rFonts w:cstheme="minorHAnsi"/>
          <w:i/>
          <w:iCs/>
          <w:color w:val="000000" w:themeColor="text1"/>
          <w:sz w:val="28"/>
          <w:szCs w:val="28"/>
          <w:lang w:eastAsia="es-ES"/>
        </w:rPr>
        <w:t>XML Schema Part 2: Datatypes Second Edition</w:t>
      </w:r>
      <w:r w:rsidRPr="005E1103">
        <w:rPr>
          <w:rFonts w:cstheme="minorHAnsi"/>
          <w:color w:val="000000" w:themeColor="text1"/>
          <w:sz w:val="28"/>
          <w:szCs w:val="28"/>
          <w:lang w:eastAsia="es-ES"/>
        </w:rPr>
        <w:t xml:space="preserve">). En nuestro ejemplo se muestra en (12). No debe confundirse con el elemento opcional </w:t>
      </w:r>
      <w:r w:rsidRPr="005E1103">
        <w:rPr>
          <w:rFonts w:cstheme="minorHAnsi"/>
          <w:i/>
          <w:iCs/>
          <w:color w:val="000000" w:themeColor="text1"/>
          <w:sz w:val="28"/>
          <w:szCs w:val="28"/>
          <w:lang w:eastAsia="es-ES"/>
        </w:rPr>
        <w:t xml:space="preserve">dc:date </w:t>
      </w:r>
      <w:r w:rsidRPr="005E1103">
        <w:rPr>
          <w:rFonts w:cstheme="minorHAnsi"/>
          <w:color w:val="000000" w:themeColor="text1"/>
          <w:sz w:val="28"/>
          <w:szCs w:val="28"/>
          <w:lang w:eastAsia="es-ES"/>
        </w:rPr>
        <w:t xml:space="preserve">para incorporar la fecha de publicación. </w:t>
      </w:r>
    </w:p>
    <w:p w:rsidR="003B20DC" w:rsidRPr="005E1103" w:rsidRDefault="003B20DC" w:rsidP="003B20DC">
      <w:pPr>
        <w:rPr>
          <w:rFonts w:cstheme="minorHAnsi"/>
          <w:color w:val="000000" w:themeColor="text1"/>
          <w:sz w:val="28"/>
          <w:szCs w:val="28"/>
          <w:lang w:eastAsia="es-ES"/>
        </w:rPr>
      </w:pPr>
      <w:r w:rsidRPr="005E1103">
        <w:rPr>
          <w:rFonts w:cstheme="minorHAnsi"/>
          <w:b/>
          <w:bCs/>
          <w:color w:val="000000" w:themeColor="text1"/>
          <w:sz w:val="28"/>
          <w:szCs w:val="28"/>
          <w:lang w:eastAsia="es-ES"/>
        </w:rPr>
        <w:t xml:space="preserve">Elemento </w:t>
      </w:r>
      <w:r w:rsidRPr="005E1103">
        <w:rPr>
          <w:rFonts w:cstheme="minorHAnsi"/>
          <w:b/>
          <w:bCs/>
          <w:i/>
          <w:iCs/>
          <w:color w:val="000000" w:themeColor="text1"/>
          <w:sz w:val="28"/>
          <w:szCs w:val="28"/>
          <w:lang w:eastAsia="es-ES"/>
        </w:rPr>
        <w:t>media:duration</w:t>
      </w:r>
      <w:r w:rsidRPr="005E1103">
        <w:rPr>
          <w:rFonts w:cstheme="minorHAnsi"/>
          <w:color w:val="000000" w:themeColor="text1"/>
          <w:sz w:val="28"/>
          <w:szCs w:val="28"/>
          <w:lang w:eastAsia="es-ES"/>
        </w:rPr>
        <w:t xml:space="preserve">. Cada uno de los </w:t>
      </w:r>
      <w:r w:rsidRPr="005E1103">
        <w:rPr>
          <w:rFonts w:cstheme="minorHAnsi"/>
          <w:i/>
          <w:iCs/>
          <w:color w:val="000000" w:themeColor="text1"/>
          <w:sz w:val="28"/>
          <w:szCs w:val="28"/>
          <w:lang w:eastAsia="es-ES"/>
        </w:rPr>
        <w:t xml:space="preserve">media overlays </w:t>
      </w:r>
      <w:r w:rsidRPr="005E1103">
        <w:rPr>
          <w:rFonts w:cstheme="minorHAnsi"/>
          <w:color w:val="000000" w:themeColor="text1"/>
          <w:sz w:val="28"/>
          <w:szCs w:val="28"/>
          <w:lang w:eastAsia="es-ES"/>
        </w:rPr>
        <w:t>debe expresar los valores de la duración como valor de reloj (</w:t>
      </w:r>
      <w:r w:rsidRPr="005E1103">
        <w:rPr>
          <w:rFonts w:cstheme="minorHAnsi"/>
          <w:i/>
          <w:iCs/>
          <w:color w:val="000000" w:themeColor="text1"/>
          <w:sz w:val="28"/>
          <w:szCs w:val="28"/>
          <w:lang w:eastAsia="es-ES"/>
        </w:rPr>
        <w:t>clock value</w:t>
      </w:r>
      <w:r w:rsidRPr="005E1103">
        <w:rPr>
          <w:rFonts w:cstheme="minorHAnsi"/>
          <w:color w:val="000000" w:themeColor="text1"/>
          <w:sz w:val="28"/>
          <w:szCs w:val="28"/>
          <w:lang w:eastAsia="es-ES"/>
        </w:rPr>
        <w:t xml:space="preserve">) según Synchronized Multimedia Integration Language (SMIL) </w:t>
      </w:r>
      <w:r w:rsidRPr="005E1103">
        <w:rPr>
          <w:rFonts w:cstheme="minorHAnsi"/>
          <w:color w:val="000000" w:themeColor="text1"/>
          <w:sz w:val="28"/>
          <w:szCs w:val="28"/>
          <w:lang w:eastAsia="es-ES"/>
        </w:rPr>
        <w:fldChar w:fldCharType="begin" w:fldLock="1"/>
      </w:r>
      <w:r w:rsidRPr="005E1103">
        <w:rPr>
          <w:rFonts w:cstheme="minorHAnsi"/>
          <w:color w:val="000000" w:themeColor="text1"/>
          <w:sz w:val="28"/>
          <w:szCs w:val="28"/>
          <w:lang w:eastAsia="es-ES"/>
        </w:rPr>
        <w:instrText>ADDIN CSL_CITATION { "citationItems" : [ { "id" : "ITEM-1", "itemData" : { "container-title" : "Synchronized Multimedia Integration Language (SMIL 3.0): W3C recommendation 01 December 2008", "id" : "ITEM-1", "issued" : { "date-parts" : [ [ "2008" ] ] }, "title" : "SMIL 3.0 timing and synchronization", "type" : "chapter" }, "uris" : [ "http://www.mendeley.com/documents/?uuid=aae4b13f-26e2-4cfb-a8a8-35946874cc65" ] } ], "mendeley" : { "formattedCitation" : "(Anon 2008)", "plainTextFormattedCitation" : "(Anon 2008)", "previouslyFormattedCitation" : "(Anon 2008)" }, "properties" : { "noteIndex" : 0 }, "schema" : "https://github.com/citation-style-language/schema/raw/master/csl-citation.json" }</w:instrText>
      </w:r>
      <w:r w:rsidRPr="005E1103">
        <w:rPr>
          <w:rFonts w:cstheme="minorHAnsi"/>
          <w:color w:val="000000" w:themeColor="text1"/>
          <w:sz w:val="28"/>
          <w:szCs w:val="28"/>
          <w:lang w:eastAsia="es-ES"/>
        </w:rPr>
        <w:fldChar w:fldCharType="separate"/>
      </w:r>
      <w:r w:rsidRPr="005E1103">
        <w:rPr>
          <w:rFonts w:cstheme="minorHAnsi"/>
          <w:noProof/>
          <w:color w:val="000000" w:themeColor="text1"/>
          <w:sz w:val="28"/>
          <w:szCs w:val="28"/>
          <w:lang w:eastAsia="es-ES"/>
        </w:rPr>
        <w:t>(Anon 2008)</w:t>
      </w:r>
      <w:r w:rsidRPr="005E1103">
        <w:rPr>
          <w:rFonts w:cstheme="minorHAnsi"/>
          <w:color w:val="000000" w:themeColor="text1"/>
          <w:sz w:val="28"/>
          <w:szCs w:val="28"/>
          <w:lang w:eastAsia="es-ES"/>
        </w:rPr>
        <w:fldChar w:fldCharType="end"/>
      </w:r>
      <w:r w:rsidRPr="005E1103">
        <w:rPr>
          <w:rFonts w:cstheme="minorHAnsi"/>
          <w:color w:val="000000" w:themeColor="text1"/>
          <w:sz w:val="28"/>
          <w:szCs w:val="28"/>
          <w:lang w:eastAsia="es-ES"/>
        </w:rPr>
        <w:t xml:space="preserve">.  En nuestro ejemplo, puede verse en (13). </w:t>
      </w:r>
    </w:p>
    <w:p w:rsidR="003B20DC" w:rsidRPr="005E1103" w:rsidRDefault="003B20DC" w:rsidP="003B20DC">
      <w:pPr>
        <w:pStyle w:val="Ttulo2"/>
        <w:rPr>
          <w:rFonts w:asciiTheme="minorHAnsi" w:hAnsiTheme="minorHAnsi" w:cstheme="minorHAnsi"/>
          <w:color w:val="000000" w:themeColor="text1"/>
          <w:sz w:val="28"/>
          <w:szCs w:val="28"/>
          <w:lang w:eastAsia="es-ES"/>
        </w:rPr>
      </w:pPr>
      <w:r w:rsidRPr="005E1103">
        <w:rPr>
          <w:rFonts w:asciiTheme="minorHAnsi" w:hAnsiTheme="minorHAnsi" w:cstheme="minorHAnsi"/>
          <w:color w:val="000000" w:themeColor="text1"/>
          <w:sz w:val="28"/>
          <w:szCs w:val="28"/>
          <w:lang w:eastAsia="es-ES"/>
        </w:rPr>
        <w:lastRenderedPageBreak/>
        <w:t>2.3 Elementos opcionales</w:t>
      </w:r>
    </w:p>
    <w:p w:rsidR="003B20DC" w:rsidRPr="005E1103" w:rsidRDefault="003B20DC" w:rsidP="003B20DC">
      <w:pPr>
        <w:rPr>
          <w:rFonts w:cstheme="minorHAnsi"/>
          <w:color w:val="000000" w:themeColor="text1"/>
          <w:sz w:val="28"/>
          <w:szCs w:val="28"/>
          <w:lang w:eastAsia="es-ES"/>
        </w:rPr>
      </w:pPr>
      <w:r w:rsidRPr="005E1103">
        <w:rPr>
          <w:rFonts w:cstheme="minorHAnsi"/>
          <w:color w:val="000000" w:themeColor="text1"/>
          <w:sz w:val="28"/>
          <w:szCs w:val="28"/>
          <w:lang w:eastAsia="es-ES"/>
        </w:rPr>
        <w:t xml:space="preserve">EPUB3 permite además incorporar el resto de elementos del esquema </w:t>
      </w:r>
      <w:r w:rsidRPr="005E1103">
        <w:rPr>
          <w:rFonts w:cstheme="minorHAnsi"/>
          <w:i/>
          <w:iCs/>
          <w:color w:val="000000" w:themeColor="text1"/>
          <w:sz w:val="28"/>
          <w:szCs w:val="28"/>
          <w:lang w:eastAsia="es-ES"/>
        </w:rPr>
        <w:t>DCMET</w:t>
      </w:r>
      <w:r w:rsidRPr="005E1103">
        <w:rPr>
          <w:rFonts w:cstheme="minorHAnsi"/>
          <w:color w:val="000000" w:themeColor="text1"/>
          <w:sz w:val="28"/>
          <w:szCs w:val="28"/>
          <w:lang w:eastAsia="es-ES"/>
        </w:rPr>
        <w:t xml:space="preserve">. Los más relevantes para autores y editores son </w:t>
      </w:r>
      <w:r w:rsidRPr="005E1103">
        <w:rPr>
          <w:rFonts w:cstheme="minorHAnsi"/>
          <w:i/>
          <w:iCs/>
          <w:color w:val="000000" w:themeColor="text1"/>
          <w:sz w:val="28"/>
          <w:szCs w:val="28"/>
          <w:lang w:eastAsia="es-ES"/>
        </w:rPr>
        <w:t>dc:contributor</w:t>
      </w:r>
      <w:r w:rsidRPr="005E1103">
        <w:rPr>
          <w:rFonts w:cstheme="minorHAnsi"/>
          <w:color w:val="000000" w:themeColor="text1"/>
          <w:sz w:val="28"/>
          <w:szCs w:val="28"/>
          <w:lang w:eastAsia="es-ES"/>
        </w:rPr>
        <w:t xml:space="preserve">, </w:t>
      </w:r>
      <w:r w:rsidRPr="005E1103">
        <w:rPr>
          <w:rFonts w:cstheme="minorHAnsi"/>
          <w:i/>
          <w:iCs/>
          <w:color w:val="000000" w:themeColor="text1"/>
          <w:sz w:val="28"/>
          <w:szCs w:val="28"/>
          <w:lang w:eastAsia="es-ES"/>
        </w:rPr>
        <w:t>dc:creator</w:t>
      </w:r>
      <w:r w:rsidRPr="005E1103">
        <w:rPr>
          <w:rFonts w:cstheme="minorHAnsi"/>
          <w:color w:val="000000" w:themeColor="text1"/>
          <w:sz w:val="28"/>
          <w:szCs w:val="28"/>
          <w:lang w:eastAsia="es-ES"/>
        </w:rPr>
        <w:t xml:space="preserve">, </w:t>
      </w:r>
      <w:r w:rsidRPr="005E1103">
        <w:rPr>
          <w:rFonts w:cstheme="minorHAnsi"/>
          <w:i/>
          <w:iCs/>
          <w:color w:val="000000" w:themeColor="text1"/>
          <w:sz w:val="28"/>
          <w:szCs w:val="28"/>
          <w:lang w:eastAsia="es-ES"/>
        </w:rPr>
        <w:t>dc:date</w:t>
      </w:r>
      <w:r w:rsidRPr="005E1103">
        <w:rPr>
          <w:rFonts w:cstheme="minorHAnsi"/>
          <w:color w:val="000000" w:themeColor="text1"/>
          <w:sz w:val="28"/>
          <w:szCs w:val="28"/>
          <w:lang w:eastAsia="es-ES"/>
        </w:rPr>
        <w:t xml:space="preserve">, </w:t>
      </w:r>
      <w:r w:rsidRPr="005E1103">
        <w:rPr>
          <w:rFonts w:cstheme="minorHAnsi"/>
          <w:i/>
          <w:iCs/>
          <w:color w:val="000000" w:themeColor="text1"/>
          <w:sz w:val="28"/>
          <w:szCs w:val="28"/>
          <w:lang w:eastAsia="es-ES"/>
        </w:rPr>
        <w:t>dc:source y</w:t>
      </w:r>
      <w:r w:rsidRPr="005E1103">
        <w:rPr>
          <w:rFonts w:cstheme="minorHAnsi"/>
          <w:color w:val="000000" w:themeColor="text1"/>
          <w:sz w:val="28"/>
          <w:szCs w:val="28"/>
          <w:lang w:eastAsia="es-ES"/>
        </w:rPr>
        <w:t xml:space="preserve"> </w:t>
      </w:r>
      <w:r w:rsidRPr="005E1103">
        <w:rPr>
          <w:rFonts w:cstheme="minorHAnsi"/>
          <w:i/>
          <w:iCs/>
          <w:color w:val="000000" w:themeColor="text1"/>
          <w:sz w:val="28"/>
          <w:szCs w:val="28"/>
          <w:lang w:eastAsia="es-ES"/>
        </w:rPr>
        <w:t>dc:type</w:t>
      </w:r>
      <w:r w:rsidRPr="005E1103">
        <w:rPr>
          <w:rFonts w:cstheme="minorHAnsi"/>
          <w:color w:val="000000" w:themeColor="text1"/>
          <w:sz w:val="28"/>
          <w:szCs w:val="28"/>
          <w:lang w:eastAsia="es-ES"/>
        </w:rPr>
        <w:t xml:space="preserve">. </w:t>
      </w:r>
    </w:p>
    <w:p w:rsidR="003B20DC" w:rsidRPr="005E1103" w:rsidRDefault="003B20DC" w:rsidP="003B20DC">
      <w:pPr>
        <w:rPr>
          <w:rFonts w:cstheme="minorHAnsi"/>
          <w:color w:val="000000" w:themeColor="text1"/>
          <w:sz w:val="28"/>
          <w:szCs w:val="28"/>
          <w:lang w:eastAsia="es-ES"/>
        </w:rPr>
      </w:pPr>
      <w:r w:rsidRPr="005E1103">
        <w:rPr>
          <w:rFonts w:cstheme="minorHAnsi"/>
          <w:color w:val="000000" w:themeColor="text1"/>
          <w:sz w:val="28"/>
          <w:szCs w:val="28"/>
          <w:lang w:eastAsia="es-ES"/>
        </w:rPr>
        <w:t xml:space="preserve">También datos del esquema </w:t>
      </w:r>
      <w:r w:rsidRPr="005E1103">
        <w:rPr>
          <w:rFonts w:cstheme="minorHAnsi"/>
          <w:i/>
          <w:iCs/>
          <w:color w:val="000000" w:themeColor="text1"/>
          <w:sz w:val="28"/>
          <w:szCs w:val="28"/>
          <w:lang w:eastAsia="es-ES"/>
        </w:rPr>
        <w:t>ONIX for books 3.0</w:t>
      </w:r>
      <w:r w:rsidRPr="005E1103">
        <w:rPr>
          <w:rFonts w:cstheme="minorHAnsi"/>
          <w:color w:val="000000" w:themeColor="text1"/>
          <w:sz w:val="28"/>
          <w:szCs w:val="28"/>
          <w:lang w:eastAsia="es-ES"/>
        </w:rPr>
        <w:t xml:space="preserve"> &lt;http://www.editeur.org/93/Release-3.0-Downloads/#Specification&gt; (con prefijo normalizado </w:t>
      </w:r>
      <w:r w:rsidRPr="005E1103">
        <w:rPr>
          <w:rFonts w:cstheme="minorHAnsi"/>
          <w:i/>
          <w:iCs/>
          <w:color w:val="000000" w:themeColor="text1"/>
          <w:sz w:val="28"/>
          <w:szCs w:val="28"/>
          <w:lang w:eastAsia="es-ES"/>
        </w:rPr>
        <w:t>onix:</w:t>
      </w:r>
      <w:r w:rsidRPr="005E1103">
        <w:rPr>
          <w:rFonts w:cstheme="minorHAnsi"/>
          <w:color w:val="000000" w:themeColor="text1"/>
          <w:sz w:val="28"/>
          <w:szCs w:val="28"/>
          <w:lang w:eastAsia="es-ES"/>
        </w:rPr>
        <w:t xml:space="preserve">), orientado al marketing de las publicaciones por parte de agentes de distribución y comercialización, etc., y el conjunto de esquemas y vocabularios controlados vinculados a MARC (con prefijo normalizado </w:t>
      </w:r>
      <w:r w:rsidRPr="005E1103">
        <w:rPr>
          <w:rFonts w:cstheme="minorHAnsi"/>
          <w:i/>
          <w:iCs/>
          <w:color w:val="000000" w:themeColor="text1"/>
          <w:sz w:val="28"/>
          <w:szCs w:val="28"/>
          <w:lang w:eastAsia="es-ES"/>
        </w:rPr>
        <w:t>marc:</w:t>
      </w:r>
      <w:r w:rsidRPr="005E1103">
        <w:rPr>
          <w:rFonts w:cstheme="minorHAnsi"/>
          <w:color w:val="000000" w:themeColor="text1"/>
          <w:sz w:val="28"/>
          <w:szCs w:val="28"/>
          <w:lang w:eastAsia="es-ES"/>
        </w:rPr>
        <w:t xml:space="preserve">), utilizado para la descripción de documentos en catálogos bibliográficos. Además, es importante destacar el esquema </w:t>
      </w:r>
      <w:r w:rsidRPr="005E1103">
        <w:rPr>
          <w:rFonts w:cstheme="minorHAnsi"/>
          <w:i/>
          <w:iCs/>
          <w:color w:val="000000" w:themeColor="text1"/>
          <w:sz w:val="28"/>
          <w:szCs w:val="28"/>
          <w:lang w:eastAsia="es-ES"/>
        </w:rPr>
        <w:t>Schema.org accessibility metadata</w:t>
      </w:r>
      <w:r w:rsidRPr="005E1103">
        <w:rPr>
          <w:rFonts w:cstheme="minorHAnsi"/>
          <w:color w:val="000000" w:themeColor="text1"/>
          <w:sz w:val="28"/>
          <w:szCs w:val="28"/>
          <w:lang w:eastAsia="es-ES"/>
        </w:rPr>
        <w:t xml:space="preserve"> &lt;https://idpf.github.io/a11y-guidelines/content/meta/schema.org.html&gt; no reservado por EPUB, cuya finalidad es describir los aspectos de accesibilidad de las publicaciones electrónicas, para facilitar el uso y acceso a su contenido por parte de todo tipo de usuarios, y, en especial, de los lectores con discapacidades.  </w:t>
      </w:r>
    </w:p>
    <w:p w:rsidR="003B20DC" w:rsidRPr="005E1103" w:rsidRDefault="003B20DC" w:rsidP="003B20DC">
      <w:pPr>
        <w:pStyle w:val="Ttulo1"/>
        <w:rPr>
          <w:rFonts w:asciiTheme="minorHAnsi" w:eastAsia="Times New Roman" w:hAnsiTheme="minorHAnsi" w:cstheme="minorHAnsi"/>
          <w:color w:val="000000" w:themeColor="text1"/>
          <w:lang w:eastAsia="es-ES"/>
        </w:rPr>
      </w:pPr>
      <w:r w:rsidRPr="005E1103">
        <w:rPr>
          <w:rFonts w:asciiTheme="minorHAnsi" w:eastAsia="Times New Roman" w:hAnsiTheme="minorHAnsi" w:cstheme="minorHAnsi"/>
          <w:color w:val="000000" w:themeColor="text1"/>
          <w:lang w:eastAsia="es-ES"/>
        </w:rPr>
        <w:t>3 Uso y explotación de los metadatos de EPUB 3</w:t>
      </w:r>
    </w:p>
    <w:p w:rsidR="003B20DC" w:rsidRPr="005E1103" w:rsidRDefault="003B20DC" w:rsidP="003B20DC">
      <w:pPr>
        <w:rPr>
          <w:rFonts w:cstheme="minorHAnsi"/>
          <w:color w:val="000000" w:themeColor="text1"/>
          <w:sz w:val="28"/>
          <w:szCs w:val="28"/>
          <w:lang w:eastAsia="es-ES"/>
        </w:rPr>
      </w:pPr>
      <w:r w:rsidRPr="005E1103">
        <w:rPr>
          <w:rFonts w:cstheme="minorHAnsi"/>
          <w:color w:val="000000" w:themeColor="text1"/>
          <w:sz w:val="28"/>
          <w:szCs w:val="28"/>
          <w:lang w:eastAsia="es-ES"/>
        </w:rPr>
        <w:t xml:space="preserve">A continuación, se exponen las posibilidades y limitaciones en el uso y explotación de los metadatos internos para dos agentes fundamentales en la cadena de valor de estos productos: las plataformas de distribución y las aplicaciones de lectura de libros digitales. </w:t>
      </w:r>
    </w:p>
    <w:p w:rsidR="003B20DC" w:rsidRPr="005E1103" w:rsidRDefault="003B20DC" w:rsidP="003B20DC">
      <w:pPr>
        <w:rPr>
          <w:rFonts w:cstheme="minorHAnsi"/>
          <w:color w:val="000000" w:themeColor="text1"/>
          <w:sz w:val="28"/>
          <w:szCs w:val="28"/>
          <w:lang w:eastAsia="es-ES"/>
        </w:rPr>
      </w:pPr>
      <w:r w:rsidRPr="005E1103">
        <w:rPr>
          <w:rFonts w:cstheme="minorHAnsi"/>
          <w:color w:val="000000" w:themeColor="text1"/>
          <w:sz w:val="28"/>
          <w:szCs w:val="28"/>
          <w:lang w:eastAsia="es-ES"/>
        </w:rPr>
        <w:t xml:space="preserve">Las plataformas de distribución conectan los autores y editores de los libros digitales con los consumidores e integran los procesos de envío de originales por parte de los autores así como los procesos de búsqueda de libros por parte de los consumidores. Estas plataformas aprovechan los metadatos para facilitar la búsqueda, la selección y la adquisición de libros digitales.  </w:t>
      </w:r>
    </w:p>
    <w:p w:rsidR="003B20DC" w:rsidRPr="005E1103" w:rsidRDefault="003B20DC" w:rsidP="003B20DC">
      <w:pPr>
        <w:rPr>
          <w:rFonts w:cstheme="minorHAnsi"/>
          <w:color w:val="000000" w:themeColor="text1"/>
          <w:sz w:val="28"/>
          <w:szCs w:val="28"/>
          <w:lang w:eastAsia="es-ES"/>
        </w:rPr>
      </w:pPr>
      <w:r w:rsidRPr="005E1103">
        <w:rPr>
          <w:rFonts w:cstheme="minorHAnsi"/>
          <w:color w:val="000000" w:themeColor="text1"/>
          <w:sz w:val="28"/>
          <w:szCs w:val="28"/>
          <w:lang w:eastAsia="es-ES"/>
        </w:rPr>
        <w:t xml:space="preserve">Algunos ejemplos de plataformas de distribución significativos son </w:t>
      </w:r>
      <w:r w:rsidRPr="005E1103">
        <w:rPr>
          <w:rFonts w:cstheme="minorHAnsi"/>
          <w:i/>
          <w:iCs/>
          <w:color w:val="000000" w:themeColor="text1"/>
          <w:sz w:val="28"/>
          <w:szCs w:val="28"/>
          <w:lang w:eastAsia="es-ES"/>
        </w:rPr>
        <w:t xml:space="preserve">Kindle eBooks, iTunes Store </w:t>
      </w:r>
      <w:r w:rsidRPr="005E1103">
        <w:rPr>
          <w:rFonts w:cstheme="minorHAnsi"/>
          <w:color w:val="000000" w:themeColor="text1"/>
          <w:sz w:val="28"/>
          <w:szCs w:val="28"/>
          <w:lang w:eastAsia="es-ES"/>
        </w:rPr>
        <w:t xml:space="preserve">y </w:t>
      </w:r>
      <w:r w:rsidRPr="005E1103">
        <w:rPr>
          <w:rFonts w:cstheme="minorHAnsi"/>
          <w:i/>
          <w:iCs/>
          <w:color w:val="000000" w:themeColor="text1"/>
          <w:sz w:val="28"/>
          <w:szCs w:val="28"/>
          <w:lang w:eastAsia="es-ES"/>
        </w:rPr>
        <w:t>Project Gutenberg</w:t>
      </w:r>
      <w:r w:rsidRPr="005E1103">
        <w:rPr>
          <w:rFonts w:cstheme="minorHAnsi"/>
          <w:color w:val="000000" w:themeColor="text1"/>
          <w:sz w:val="28"/>
          <w:szCs w:val="28"/>
          <w:lang w:eastAsia="es-ES"/>
        </w:rPr>
        <w:t xml:space="preserve">.  Tras un análisis de estás se ha comprobado que ninguna de ellas tiene en cuenta los metadatos incorporados en el documento "Package" en el proceso de publicación, ni (en consecuencia) en los sistemas de búsqueda, selección y adquisición de libros. Los metadatos usados se proporcionan en paralelo a los ficheros que constituyen el contenido de los libros, mediante formularios específicos para cada plataforma., según los intereses particulares de </w:t>
      </w:r>
      <w:r w:rsidRPr="005E1103">
        <w:rPr>
          <w:rFonts w:cstheme="minorHAnsi"/>
          <w:color w:val="000000" w:themeColor="text1"/>
          <w:sz w:val="28"/>
          <w:szCs w:val="28"/>
          <w:lang w:eastAsia="es-ES"/>
        </w:rPr>
        <w:lastRenderedPageBreak/>
        <w:t xml:space="preserve">difusión de sus productos editoriales, y no siempre de forma coherente con los metadatos propios del estándar EPUB3. </w:t>
      </w:r>
    </w:p>
    <w:p w:rsidR="003B20DC" w:rsidRPr="005E1103" w:rsidRDefault="003B20DC" w:rsidP="003B20DC">
      <w:pPr>
        <w:rPr>
          <w:rFonts w:cstheme="minorHAnsi"/>
          <w:color w:val="000000" w:themeColor="text1"/>
          <w:sz w:val="28"/>
          <w:szCs w:val="28"/>
          <w:lang w:eastAsia="es-ES"/>
        </w:rPr>
      </w:pPr>
      <w:r w:rsidRPr="005E1103">
        <w:rPr>
          <w:rFonts w:cstheme="minorHAnsi"/>
          <w:color w:val="000000" w:themeColor="text1"/>
          <w:sz w:val="28"/>
          <w:szCs w:val="28"/>
          <w:lang w:eastAsia="es-ES"/>
        </w:rPr>
        <w:t>Las aplicaciones de lectura de libros digitales, por su parte, se han convertido en vehículos de integración de todos los procesos de construcción de bibliotecas personales, abiertas a diferentes plataformas y canales de distribución de libros digitales. Estas aplicaciones permiten leer y navegar por los libros digitales, obtener libros desde plataformas en línea o fuentes propias de los lectores y la creación y organización de bibliotecas personales. Los metadatos internos de las publicaciones EPUB pueden jugar un papel clave en el desarrollo de estas funcionalidades para mejorar su eficacia y efectividad cuando las bibliotecas a gestionar son voluminosas y multidisciplinares.</w:t>
      </w:r>
    </w:p>
    <w:p w:rsidR="003B20DC" w:rsidRPr="005E1103" w:rsidRDefault="003B20DC" w:rsidP="003B20DC">
      <w:pPr>
        <w:rPr>
          <w:rFonts w:cstheme="minorHAnsi"/>
          <w:color w:val="000000" w:themeColor="text1"/>
          <w:sz w:val="28"/>
          <w:szCs w:val="28"/>
          <w:lang w:eastAsia="es-ES"/>
        </w:rPr>
      </w:pPr>
      <w:r w:rsidRPr="005E1103">
        <w:rPr>
          <w:rFonts w:cstheme="minorHAnsi"/>
          <w:color w:val="000000" w:themeColor="text1"/>
          <w:sz w:val="28"/>
          <w:szCs w:val="28"/>
          <w:lang w:eastAsia="es-ES"/>
        </w:rPr>
        <w:t xml:space="preserve">Tras un análisis pormenorizado de cinco aplicaciones de lectura de libros (Adobe Digital Editions, Apple iBooks, Azardi, Calibre, y Readium), hemos observado que: </w:t>
      </w:r>
    </w:p>
    <w:p w:rsidR="003B20DC" w:rsidRPr="005E1103" w:rsidRDefault="003B20DC" w:rsidP="003B20DC">
      <w:pPr>
        <w:pStyle w:val="Listaconvietas2"/>
        <w:rPr>
          <w:rFonts w:asciiTheme="minorHAnsi" w:hAnsiTheme="minorHAnsi" w:cstheme="minorHAnsi"/>
          <w:color w:val="000000" w:themeColor="text1"/>
          <w:sz w:val="28"/>
          <w:szCs w:val="28"/>
          <w:lang w:eastAsia="es-ES"/>
        </w:rPr>
      </w:pPr>
      <w:r w:rsidRPr="005E1103">
        <w:rPr>
          <w:rFonts w:asciiTheme="minorHAnsi" w:hAnsiTheme="minorHAnsi" w:cstheme="minorHAnsi"/>
          <w:color w:val="000000" w:themeColor="text1"/>
          <w:sz w:val="28"/>
          <w:szCs w:val="28"/>
          <w:lang w:eastAsia="es-ES"/>
        </w:rPr>
        <w:t>Readium extrae 7 de las 9 metadatos expuestas del archivo EPUB (77%); Azardi 6 de 11 (54%); y Calibre 7 de 16 (43%). En la importación a menudo se descuidan los diferentes mecanismos de enriquecimiento de los metadatos originales.</w:t>
      </w:r>
    </w:p>
    <w:p w:rsidR="003B20DC" w:rsidRPr="005E1103" w:rsidRDefault="003B20DC" w:rsidP="003B20DC">
      <w:pPr>
        <w:pStyle w:val="Listaconvietas2"/>
        <w:rPr>
          <w:rFonts w:asciiTheme="minorHAnsi" w:hAnsiTheme="minorHAnsi" w:cstheme="minorHAnsi"/>
          <w:color w:val="000000" w:themeColor="text1"/>
          <w:sz w:val="28"/>
          <w:szCs w:val="28"/>
          <w:lang w:eastAsia="es-ES"/>
        </w:rPr>
      </w:pPr>
      <w:r w:rsidRPr="005E1103">
        <w:rPr>
          <w:rFonts w:asciiTheme="minorHAnsi" w:hAnsiTheme="minorHAnsi" w:cstheme="minorHAnsi"/>
          <w:color w:val="000000" w:themeColor="text1"/>
          <w:sz w:val="28"/>
          <w:szCs w:val="28"/>
          <w:lang w:val="en-US" w:eastAsia="es-ES"/>
        </w:rPr>
        <w:t xml:space="preserve">Readium: no utiliza </w:t>
      </w:r>
      <w:r w:rsidRPr="005E1103">
        <w:rPr>
          <w:rFonts w:asciiTheme="minorHAnsi" w:hAnsiTheme="minorHAnsi" w:cstheme="minorHAnsi"/>
          <w:i/>
          <w:iCs/>
          <w:color w:val="000000" w:themeColor="text1"/>
          <w:sz w:val="28"/>
          <w:szCs w:val="28"/>
          <w:lang w:val="en-US" w:eastAsia="es-ES"/>
        </w:rPr>
        <w:t>dcterms:modified</w:t>
      </w:r>
      <w:r w:rsidRPr="005E1103">
        <w:rPr>
          <w:rFonts w:asciiTheme="minorHAnsi" w:hAnsiTheme="minorHAnsi" w:cstheme="minorHAnsi"/>
          <w:color w:val="000000" w:themeColor="text1"/>
          <w:sz w:val="28"/>
          <w:szCs w:val="28"/>
          <w:lang w:val="en-US" w:eastAsia="es-ES"/>
        </w:rPr>
        <w:t xml:space="preserve">, </w:t>
      </w:r>
      <w:r w:rsidRPr="005E1103">
        <w:rPr>
          <w:rFonts w:asciiTheme="minorHAnsi" w:hAnsiTheme="minorHAnsi" w:cstheme="minorHAnsi"/>
          <w:i/>
          <w:iCs/>
          <w:color w:val="000000" w:themeColor="text1"/>
          <w:sz w:val="28"/>
          <w:szCs w:val="28"/>
          <w:lang w:val="en-US" w:eastAsia="es-ES"/>
        </w:rPr>
        <w:t>dc:date</w:t>
      </w:r>
      <w:r w:rsidRPr="005E1103">
        <w:rPr>
          <w:rFonts w:asciiTheme="minorHAnsi" w:hAnsiTheme="minorHAnsi" w:cstheme="minorHAnsi"/>
          <w:color w:val="000000" w:themeColor="text1"/>
          <w:sz w:val="28"/>
          <w:szCs w:val="28"/>
          <w:lang w:val="en-US" w:eastAsia="es-ES"/>
        </w:rPr>
        <w:t xml:space="preserve"> ni </w:t>
      </w:r>
      <w:r w:rsidRPr="005E1103">
        <w:rPr>
          <w:rFonts w:asciiTheme="minorHAnsi" w:hAnsiTheme="minorHAnsi" w:cstheme="minorHAnsi"/>
          <w:i/>
          <w:iCs/>
          <w:color w:val="000000" w:themeColor="text1"/>
          <w:sz w:val="28"/>
          <w:szCs w:val="28"/>
          <w:lang w:val="en-US" w:eastAsia="es-ES"/>
        </w:rPr>
        <w:t>dc:publisher</w:t>
      </w:r>
      <w:r w:rsidRPr="005E1103">
        <w:rPr>
          <w:rFonts w:asciiTheme="minorHAnsi" w:hAnsiTheme="minorHAnsi" w:cstheme="minorHAnsi"/>
          <w:color w:val="000000" w:themeColor="text1"/>
          <w:sz w:val="28"/>
          <w:szCs w:val="28"/>
          <w:lang w:val="en-US" w:eastAsia="es-ES"/>
        </w:rPr>
        <w:t xml:space="preserve">. </w:t>
      </w:r>
      <w:r w:rsidRPr="005E1103">
        <w:rPr>
          <w:rFonts w:asciiTheme="minorHAnsi" w:hAnsiTheme="minorHAnsi" w:cstheme="minorHAnsi"/>
          <w:color w:val="000000" w:themeColor="text1"/>
          <w:sz w:val="28"/>
          <w:szCs w:val="28"/>
          <w:lang w:eastAsia="es-ES"/>
        </w:rPr>
        <w:t xml:space="preserve">Azardi excluye el elemento </w:t>
      </w:r>
      <w:r w:rsidRPr="005E1103">
        <w:rPr>
          <w:rFonts w:asciiTheme="minorHAnsi" w:hAnsiTheme="minorHAnsi" w:cstheme="minorHAnsi"/>
          <w:i/>
          <w:iCs/>
          <w:color w:val="000000" w:themeColor="text1"/>
          <w:sz w:val="28"/>
          <w:szCs w:val="28"/>
          <w:lang w:eastAsia="es-ES"/>
        </w:rPr>
        <w:t>dc:publisher</w:t>
      </w:r>
      <w:r w:rsidRPr="005E1103">
        <w:rPr>
          <w:rFonts w:asciiTheme="minorHAnsi" w:hAnsiTheme="minorHAnsi" w:cstheme="minorHAnsi"/>
          <w:color w:val="000000" w:themeColor="text1"/>
          <w:sz w:val="28"/>
          <w:szCs w:val="28"/>
          <w:lang w:eastAsia="es-ES"/>
        </w:rPr>
        <w:t xml:space="preserve">, y Calibre excluye </w:t>
      </w:r>
      <w:r w:rsidRPr="005E1103">
        <w:rPr>
          <w:rFonts w:asciiTheme="minorHAnsi" w:hAnsiTheme="minorHAnsi" w:cstheme="minorHAnsi"/>
          <w:i/>
          <w:iCs/>
          <w:color w:val="000000" w:themeColor="text1"/>
          <w:sz w:val="28"/>
          <w:szCs w:val="28"/>
          <w:lang w:eastAsia="es-ES"/>
        </w:rPr>
        <w:t>dc:title</w:t>
      </w:r>
      <w:r w:rsidRPr="005E1103">
        <w:rPr>
          <w:rFonts w:asciiTheme="minorHAnsi" w:hAnsiTheme="minorHAnsi" w:cstheme="minorHAnsi"/>
          <w:color w:val="000000" w:themeColor="text1"/>
          <w:sz w:val="28"/>
          <w:szCs w:val="28"/>
          <w:lang w:eastAsia="es-ES"/>
        </w:rPr>
        <w:t xml:space="preserve">. </w:t>
      </w:r>
    </w:p>
    <w:p w:rsidR="003B20DC" w:rsidRPr="005E1103" w:rsidRDefault="003B20DC" w:rsidP="003B20DC">
      <w:pPr>
        <w:pStyle w:val="Listaconvietas2"/>
        <w:rPr>
          <w:rFonts w:asciiTheme="minorHAnsi" w:hAnsiTheme="minorHAnsi" w:cstheme="minorHAnsi"/>
          <w:color w:val="000000" w:themeColor="text1"/>
          <w:sz w:val="28"/>
          <w:szCs w:val="28"/>
          <w:lang w:eastAsia="es-ES"/>
        </w:rPr>
      </w:pPr>
      <w:r w:rsidRPr="005E1103">
        <w:rPr>
          <w:rFonts w:asciiTheme="minorHAnsi" w:hAnsiTheme="minorHAnsi" w:cstheme="minorHAnsi"/>
          <w:color w:val="000000" w:themeColor="text1"/>
          <w:sz w:val="28"/>
          <w:szCs w:val="28"/>
          <w:lang w:eastAsia="es-ES"/>
        </w:rPr>
        <w:t>Sólo Azardi y Calibre permiten buscar libros por palabras clave. Azardi ofrece un buscador que únicamente permite consultas por términos libres, sin limitación en campos concretos, en cambio Calibre sí permite delimitar la búsqueda en ciertos campos.</w:t>
      </w:r>
    </w:p>
    <w:p w:rsidR="003B20DC" w:rsidRPr="005E1103" w:rsidRDefault="003B20DC" w:rsidP="003B20DC">
      <w:pPr>
        <w:pStyle w:val="Listaconvietas2"/>
        <w:rPr>
          <w:rFonts w:asciiTheme="minorHAnsi" w:hAnsiTheme="minorHAnsi" w:cstheme="minorHAnsi"/>
          <w:color w:val="000000" w:themeColor="text1"/>
          <w:sz w:val="28"/>
          <w:szCs w:val="28"/>
          <w:lang w:eastAsia="es-ES"/>
        </w:rPr>
      </w:pPr>
      <w:r w:rsidRPr="005E1103">
        <w:rPr>
          <w:rFonts w:asciiTheme="minorHAnsi" w:hAnsiTheme="minorHAnsi" w:cstheme="minorHAnsi"/>
          <w:color w:val="000000" w:themeColor="text1"/>
          <w:sz w:val="28"/>
          <w:szCs w:val="28"/>
          <w:lang w:eastAsia="es-ES"/>
        </w:rPr>
        <w:t xml:space="preserve">Tanto Readium como Azardi muestran la cubierta correspondiente al elemento </w:t>
      </w:r>
      <w:r w:rsidRPr="005E1103">
        <w:rPr>
          <w:rFonts w:asciiTheme="minorHAnsi" w:hAnsiTheme="minorHAnsi" w:cstheme="minorHAnsi"/>
          <w:i/>
          <w:iCs/>
          <w:color w:val="000000" w:themeColor="text1"/>
          <w:sz w:val="28"/>
          <w:szCs w:val="28"/>
          <w:lang w:eastAsia="es-ES"/>
        </w:rPr>
        <w:t>cover-image</w:t>
      </w:r>
      <w:r w:rsidRPr="005E1103">
        <w:rPr>
          <w:rFonts w:asciiTheme="minorHAnsi" w:hAnsiTheme="minorHAnsi" w:cstheme="minorHAnsi"/>
          <w:color w:val="000000" w:themeColor="text1"/>
          <w:sz w:val="28"/>
          <w:szCs w:val="28"/>
          <w:lang w:eastAsia="es-ES"/>
        </w:rPr>
        <w:t>, declarado en &lt;package&gt;.</w:t>
      </w:r>
    </w:p>
    <w:p w:rsidR="003B20DC" w:rsidRPr="005E1103" w:rsidRDefault="003B20DC" w:rsidP="003B20DC">
      <w:pPr>
        <w:pStyle w:val="Ttulo1"/>
        <w:rPr>
          <w:rFonts w:asciiTheme="minorHAnsi" w:eastAsia="Times New Roman" w:hAnsiTheme="minorHAnsi" w:cstheme="minorHAnsi"/>
          <w:color w:val="000000" w:themeColor="text1"/>
          <w:lang w:eastAsia="es-ES"/>
        </w:rPr>
      </w:pPr>
      <w:r w:rsidRPr="005E1103">
        <w:rPr>
          <w:rFonts w:asciiTheme="minorHAnsi" w:eastAsia="Times New Roman" w:hAnsiTheme="minorHAnsi" w:cstheme="minorHAnsi"/>
          <w:color w:val="000000" w:themeColor="text1"/>
          <w:lang w:eastAsia="es-ES"/>
        </w:rPr>
        <w:t>4 Conclusión</w:t>
      </w:r>
    </w:p>
    <w:p w:rsidR="003B20DC" w:rsidRPr="005E1103" w:rsidRDefault="003B20DC" w:rsidP="003B20DC">
      <w:pPr>
        <w:rPr>
          <w:rFonts w:cstheme="minorHAnsi"/>
          <w:color w:val="000000" w:themeColor="text1"/>
          <w:sz w:val="28"/>
          <w:szCs w:val="28"/>
          <w:lang w:eastAsia="es-ES"/>
        </w:rPr>
      </w:pPr>
      <w:r w:rsidRPr="005E1103">
        <w:rPr>
          <w:rFonts w:cstheme="minorHAnsi"/>
          <w:color w:val="000000" w:themeColor="text1"/>
          <w:sz w:val="28"/>
          <w:szCs w:val="28"/>
          <w:lang w:eastAsia="es-ES"/>
        </w:rPr>
        <w:t xml:space="preserve">Todo parece indicar que el formato EPUB 3 convertirá prioritario en el contexto editorial. Este formato dispone de mecanismos de descripción </w:t>
      </w:r>
      <w:r w:rsidRPr="005E1103">
        <w:rPr>
          <w:rFonts w:cstheme="minorHAnsi"/>
          <w:color w:val="000000" w:themeColor="text1"/>
          <w:sz w:val="28"/>
          <w:szCs w:val="28"/>
          <w:lang w:eastAsia="es-ES"/>
        </w:rPr>
        <w:lastRenderedPageBreak/>
        <w:t>del contexto, contenido y estructura de los libros en origen, puestos a disposición de sus autores o editores, de forma que los metadatos puedan ser explotados en fases posteriores de la vida de la publicación. Los beneficios que se podrían derivar de esta posibilidad chocan con limitaciones que imponen su uso en las plataformas de distribución de los libros digitales, y en las aplicaciones de lectura de libros.</w:t>
      </w:r>
    </w:p>
    <w:p w:rsidR="003B20DC" w:rsidRPr="005E1103" w:rsidRDefault="003B20DC" w:rsidP="003B20DC">
      <w:pPr>
        <w:rPr>
          <w:rFonts w:cstheme="minorHAnsi"/>
          <w:color w:val="000000" w:themeColor="text1"/>
          <w:sz w:val="28"/>
          <w:szCs w:val="28"/>
          <w:lang w:eastAsia="es-ES"/>
        </w:rPr>
      </w:pPr>
      <w:r w:rsidRPr="005E1103">
        <w:rPr>
          <w:rFonts w:cstheme="minorHAnsi"/>
          <w:color w:val="000000" w:themeColor="text1"/>
          <w:sz w:val="28"/>
          <w:szCs w:val="28"/>
          <w:lang w:eastAsia="es-ES"/>
        </w:rPr>
        <w:t xml:space="preserve">Ante la situación actual, nuestra recomendación a los autores y editores de libros </w:t>
      </w:r>
      <w:r w:rsidRPr="005E1103">
        <w:rPr>
          <w:rFonts w:cstheme="minorHAnsi"/>
          <w:color w:val="000000" w:themeColor="text1"/>
          <w:sz w:val="28"/>
          <w:szCs w:val="28"/>
          <w:lang w:eastAsia="es-ES"/>
        </w:rPr>
        <w:fldChar w:fldCharType="begin" w:fldLock="1"/>
      </w:r>
      <w:r w:rsidRPr="005E1103">
        <w:rPr>
          <w:rFonts w:cstheme="minorHAnsi"/>
          <w:color w:val="000000" w:themeColor="text1"/>
          <w:sz w:val="28"/>
          <w:szCs w:val="28"/>
          <w:lang w:eastAsia="es-ES"/>
        </w:rPr>
        <w:instrText>ADDIN CSL_CITATION { "citationItems" : [ { "id" : "ITEM-1", "itemData" : { "DOI" : "http://dx.doi.org/10.1344/BiD2016.36.8", "author" : [ { "dropping-particle" : "", "family" : "Centelles", "given" : "Miquel", "non-dropping-particle" : "", "parse-names" : false, "suffix" : "" }, { "dropping-particle" : "", "family" : "Ribera", "given" : "Mireia", "non-dropping-particle" : "", "parse-names" : false, "suffix" : "" } ], "container-title" : "BiD: textos universitaris de biblioteconomia i documentaci\u00f3", "genre" : "article", "id" : "ITEM-1", "issue" : "36", "issued" : { "date-parts" : [ [ "0" ] ] }, "title" : "L'assignaci\u00f3 de metadades a llibres digitals en el format EPUB3. Segona part: \u00das i explotaci\u00f3 de metadades de l'EPUB3", "type" : "article-journal" }, "uris" : [ "http://www.mendeley.com/documents/?uuid=d6779555-d01b-4c8a-8206-138c6baccd87" ] } ], "mendeley" : { "formattedCitation" : "(Centelles &amp; Ribera n.d.)", "plainTextFormattedCitation" : "(Centelles &amp; Ribera n.d.)", "previouslyFormattedCitation" : "(Centelles &amp; Ribera n.d.)" }, "properties" : { "noteIndex" : 0 }, "schema" : "https://github.com/citation-style-language/schema/raw/master/csl-citation.json" }</w:instrText>
      </w:r>
      <w:r w:rsidRPr="005E1103">
        <w:rPr>
          <w:rFonts w:cstheme="minorHAnsi"/>
          <w:color w:val="000000" w:themeColor="text1"/>
          <w:sz w:val="28"/>
          <w:szCs w:val="28"/>
          <w:lang w:eastAsia="es-ES"/>
        </w:rPr>
        <w:fldChar w:fldCharType="separate"/>
      </w:r>
      <w:r w:rsidRPr="005E1103">
        <w:rPr>
          <w:rFonts w:cstheme="minorHAnsi"/>
          <w:noProof/>
          <w:color w:val="000000" w:themeColor="text1"/>
          <w:sz w:val="28"/>
          <w:szCs w:val="28"/>
          <w:lang w:eastAsia="es-ES"/>
        </w:rPr>
        <w:t>(Centelles &amp; Ribera, 2016)</w:t>
      </w:r>
      <w:r w:rsidRPr="005E1103">
        <w:rPr>
          <w:rFonts w:cstheme="minorHAnsi"/>
          <w:color w:val="000000" w:themeColor="text1"/>
          <w:sz w:val="28"/>
          <w:szCs w:val="28"/>
          <w:lang w:eastAsia="es-ES"/>
        </w:rPr>
        <w:fldChar w:fldCharType="end"/>
      </w:r>
      <w:r w:rsidRPr="005E1103">
        <w:rPr>
          <w:rFonts w:cstheme="minorHAnsi"/>
          <w:color w:val="000000" w:themeColor="text1"/>
          <w:sz w:val="28"/>
          <w:szCs w:val="28"/>
          <w:lang w:eastAsia="es-ES"/>
        </w:rPr>
        <w:t xml:space="preserve"> en formato EPUB 3 es incorporar, como mínimo, los elementos de metadatos obligatorios al formato EPUB 3 para permitir la validación de las publicaciones, reducir elementos opcionales y evitar refinamientos y, hasta el punto que sea posible, aplicar criterios de coherencia entre los metadatos internos de EPUB 3 y los metadatos que se incorporan en los formularios de publicación de los libros en las plataformas de distribución.</w:t>
      </w:r>
    </w:p>
    <w:p w:rsidR="003B20DC" w:rsidRPr="005E1103" w:rsidRDefault="003B20DC" w:rsidP="003B20DC">
      <w:pPr>
        <w:pStyle w:val="Ttulo1"/>
        <w:rPr>
          <w:rFonts w:asciiTheme="minorHAnsi" w:eastAsia="Times New Roman" w:hAnsiTheme="minorHAnsi" w:cstheme="minorHAnsi"/>
          <w:color w:val="000000" w:themeColor="text1"/>
          <w:lang w:eastAsia="es-ES"/>
        </w:rPr>
      </w:pPr>
      <w:r w:rsidRPr="005E1103">
        <w:rPr>
          <w:rFonts w:asciiTheme="minorHAnsi" w:eastAsia="Times New Roman" w:hAnsiTheme="minorHAnsi" w:cstheme="minorHAnsi"/>
          <w:color w:val="000000" w:themeColor="text1"/>
          <w:lang w:eastAsia="es-ES"/>
        </w:rPr>
        <w:t>6 Bibliografía</w:t>
      </w:r>
    </w:p>
    <w:p w:rsidR="003B20DC" w:rsidRPr="005E1103" w:rsidRDefault="003B20DC" w:rsidP="003B20DC">
      <w:pPr>
        <w:widowControl w:val="0"/>
        <w:autoSpaceDE w:val="0"/>
        <w:autoSpaceDN w:val="0"/>
        <w:adjustRightInd w:val="0"/>
        <w:spacing w:after="0" w:line="240" w:lineRule="auto"/>
        <w:ind w:left="480" w:hanging="480"/>
        <w:rPr>
          <w:rFonts w:cstheme="minorHAnsi"/>
          <w:noProof/>
          <w:color w:val="000000" w:themeColor="text1"/>
          <w:sz w:val="28"/>
          <w:szCs w:val="28"/>
          <w:lang w:val="en-US"/>
        </w:rPr>
      </w:pPr>
      <w:r w:rsidRPr="005E1103">
        <w:rPr>
          <w:rFonts w:eastAsia="Times New Roman" w:cstheme="minorHAnsi"/>
          <w:color w:val="000000" w:themeColor="text1"/>
          <w:sz w:val="28"/>
          <w:szCs w:val="28"/>
          <w:lang w:eastAsia="es-ES"/>
        </w:rPr>
        <w:fldChar w:fldCharType="begin" w:fldLock="1"/>
      </w:r>
      <w:r w:rsidRPr="005E1103">
        <w:rPr>
          <w:rFonts w:eastAsia="Times New Roman" w:cstheme="minorHAnsi"/>
          <w:color w:val="000000" w:themeColor="text1"/>
          <w:sz w:val="28"/>
          <w:szCs w:val="28"/>
          <w:lang w:eastAsia="es-ES"/>
        </w:rPr>
        <w:instrText xml:space="preserve">ADDIN Mendeley Bibliography CSL_BIBLIOGRAPHY </w:instrText>
      </w:r>
      <w:r w:rsidRPr="005E1103">
        <w:rPr>
          <w:rFonts w:eastAsia="Times New Roman" w:cstheme="minorHAnsi"/>
          <w:color w:val="000000" w:themeColor="text1"/>
          <w:sz w:val="28"/>
          <w:szCs w:val="28"/>
          <w:lang w:eastAsia="es-ES"/>
        </w:rPr>
        <w:fldChar w:fldCharType="separate"/>
      </w:r>
      <w:r w:rsidRPr="005E1103">
        <w:rPr>
          <w:rFonts w:cstheme="minorHAnsi"/>
          <w:noProof/>
          <w:color w:val="000000" w:themeColor="text1"/>
          <w:sz w:val="28"/>
          <w:szCs w:val="28"/>
        </w:rPr>
        <w:t xml:space="preserve">Anon, 2012a. DCMI metadata terms. </w:t>
      </w:r>
      <w:r w:rsidRPr="005E1103">
        <w:rPr>
          <w:rFonts w:cstheme="minorHAnsi"/>
          <w:noProof/>
          <w:color w:val="000000" w:themeColor="text1"/>
          <w:sz w:val="28"/>
          <w:szCs w:val="28"/>
          <w:lang w:val="en-US"/>
        </w:rPr>
        <w:t>Available at: http://dublincore.org/documents/dcmi-terms/ [Accessed September 28, 2016].</w:t>
      </w:r>
    </w:p>
    <w:p w:rsidR="003B20DC" w:rsidRPr="005E1103" w:rsidRDefault="003B20DC" w:rsidP="003B20DC">
      <w:pPr>
        <w:widowControl w:val="0"/>
        <w:autoSpaceDE w:val="0"/>
        <w:autoSpaceDN w:val="0"/>
        <w:adjustRightInd w:val="0"/>
        <w:spacing w:after="0" w:line="240" w:lineRule="auto"/>
        <w:ind w:left="480" w:hanging="480"/>
        <w:rPr>
          <w:rFonts w:cstheme="minorHAnsi"/>
          <w:noProof/>
          <w:color w:val="000000" w:themeColor="text1"/>
          <w:sz w:val="28"/>
          <w:szCs w:val="28"/>
          <w:lang w:val="en-US"/>
        </w:rPr>
      </w:pPr>
      <w:r w:rsidRPr="005E1103">
        <w:rPr>
          <w:rFonts w:cstheme="minorHAnsi"/>
          <w:noProof/>
          <w:color w:val="000000" w:themeColor="text1"/>
          <w:sz w:val="28"/>
          <w:szCs w:val="28"/>
          <w:lang w:val="en-US"/>
        </w:rPr>
        <w:t>Anon, 2012b. Dublin Core metadata element set, version 1.1. Available at: http://dublincore.org/documents/dces/ [Accessed September 28, 2016].</w:t>
      </w:r>
    </w:p>
    <w:p w:rsidR="003B20DC" w:rsidRPr="005E1103" w:rsidRDefault="003B20DC" w:rsidP="003B20DC">
      <w:pPr>
        <w:widowControl w:val="0"/>
        <w:autoSpaceDE w:val="0"/>
        <w:autoSpaceDN w:val="0"/>
        <w:adjustRightInd w:val="0"/>
        <w:spacing w:after="0" w:line="240" w:lineRule="auto"/>
        <w:ind w:left="480" w:hanging="480"/>
        <w:rPr>
          <w:rFonts w:cstheme="minorHAnsi"/>
          <w:noProof/>
          <w:color w:val="000000" w:themeColor="text1"/>
          <w:sz w:val="28"/>
          <w:szCs w:val="28"/>
          <w:lang w:val="en-US"/>
        </w:rPr>
      </w:pPr>
      <w:r w:rsidRPr="005E1103">
        <w:rPr>
          <w:rFonts w:cstheme="minorHAnsi"/>
          <w:noProof/>
          <w:color w:val="000000" w:themeColor="text1"/>
          <w:sz w:val="28"/>
          <w:szCs w:val="28"/>
          <w:lang w:val="en-US"/>
        </w:rPr>
        <w:t>Anon, 2014b. EPUB media overlays 3.0.1: recommended specification 26 June 2014. Available at: http://www.idpf.org/epub/301/spec/epub-mediaoverlays.html [Accessed September 28, 2016].</w:t>
      </w:r>
    </w:p>
    <w:p w:rsidR="003B20DC" w:rsidRPr="005E1103" w:rsidRDefault="003B20DC" w:rsidP="003B20DC">
      <w:pPr>
        <w:widowControl w:val="0"/>
        <w:autoSpaceDE w:val="0"/>
        <w:autoSpaceDN w:val="0"/>
        <w:adjustRightInd w:val="0"/>
        <w:spacing w:after="0" w:line="240" w:lineRule="auto"/>
        <w:ind w:left="480" w:hanging="480"/>
        <w:rPr>
          <w:rFonts w:cstheme="minorHAnsi"/>
          <w:noProof/>
          <w:color w:val="000000" w:themeColor="text1"/>
          <w:sz w:val="28"/>
          <w:szCs w:val="28"/>
          <w:lang w:val="en-US"/>
        </w:rPr>
      </w:pPr>
      <w:r w:rsidRPr="005E1103">
        <w:rPr>
          <w:rFonts w:cstheme="minorHAnsi"/>
          <w:noProof/>
          <w:color w:val="000000" w:themeColor="text1"/>
          <w:sz w:val="28"/>
          <w:szCs w:val="28"/>
          <w:lang w:val="en-US"/>
        </w:rPr>
        <w:t xml:space="preserve">Anon, 2014c. EPUB publications 3.0.1: recommended specification 26 June 2014. </w:t>
      </w:r>
      <w:r w:rsidRPr="005E1103">
        <w:rPr>
          <w:rFonts w:cstheme="minorHAnsi"/>
          <w:i/>
          <w:iCs/>
          <w:noProof/>
          <w:color w:val="000000" w:themeColor="text1"/>
          <w:sz w:val="28"/>
          <w:szCs w:val="28"/>
          <w:lang w:val="en-US"/>
        </w:rPr>
        <w:t>International Digital Publishing Forum</w:t>
      </w:r>
      <w:r w:rsidRPr="005E1103">
        <w:rPr>
          <w:rFonts w:cstheme="minorHAnsi"/>
          <w:noProof/>
          <w:color w:val="000000" w:themeColor="text1"/>
          <w:sz w:val="28"/>
          <w:szCs w:val="28"/>
          <w:lang w:val="en-US"/>
        </w:rPr>
        <w:t>. Available at: http://www.idpf.org/epub/301/spec/epub-publications.html [Accessed September 28, 2016].</w:t>
      </w:r>
    </w:p>
    <w:p w:rsidR="003B20DC" w:rsidRPr="005E1103" w:rsidRDefault="003B20DC" w:rsidP="003B20DC">
      <w:pPr>
        <w:widowControl w:val="0"/>
        <w:autoSpaceDE w:val="0"/>
        <w:autoSpaceDN w:val="0"/>
        <w:adjustRightInd w:val="0"/>
        <w:spacing w:after="0" w:line="240" w:lineRule="auto"/>
        <w:ind w:left="480" w:hanging="480"/>
        <w:rPr>
          <w:rFonts w:cstheme="minorHAnsi"/>
          <w:noProof/>
          <w:color w:val="000000" w:themeColor="text1"/>
          <w:sz w:val="28"/>
          <w:szCs w:val="28"/>
          <w:lang w:val="en-US"/>
        </w:rPr>
      </w:pPr>
      <w:r w:rsidRPr="005E1103">
        <w:rPr>
          <w:rFonts w:cstheme="minorHAnsi"/>
          <w:noProof/>
          <w:color w:val="000000" w:themeColor="text1"/>
          <w:sz w:val="28"/>
          <w:szCs w:val="28"/>
          <w:lang w:val="en-US"/>
        </w:rPr>
        <w:t>Anon, 2016. EPUB publications reserved prefixes. Available at: http://www.idpf.org/epub/vocab/package/pfx/reserved-20131108.html [Accessed September 28, 2016].</w:t>
      </w:r>
    </w:p>
    <w:p w:rsidR="003B20DC" w:rsidRPr="005E1103" w:rsidRDefault="003B20DC" w:rsidP="003B20DC">
      <w:pPr>
        <w:widowControl w:val="0"/>
        <w:autoSpaceDE w:val="0"/>
        <w:autoSpaceDN w:val="0"/>
        <w:adjustRightInd w:val="0"/>
        <w:spacing w:after="0" w:line="240" w:lineRule="auto"/>
        <w:ind w:left="480" w:hanging="480"/>
        <w:rPr>
          <w:rFonts w:cstheme="minorHAnsi"/>
          <w:noProof/>
          <w:color w:val="000000" w:themeColor="text1"/>
          <w:sz w:val="28"/>
          <w:szCs w:val="28"/>
          <w:lang w:val="en-US"/>
        </w:rPr>
      </w:pPr>
      <w:r w:rsidRPr="005E1103">
        <w:rPr>
          <w:rFonts w:cstheme="minorHAnsi"/>
          <w:noProof/>
          <w:color w:val="000000" w:themeColor="text1"/>
          <w:sz w:val="28"/>
          <w:szCs w:val="28"/>
          <w:lang w:val="en-US"/>
        </w:rPr>
        <w:t xml:space="preserve">Anon, 2014e. Media overlays metadata vocabulary. In </w:t>
      </w:r>
      <w:r w:rsidRPr="005E1103">
        <w:rPr>
          <w:rFonts w:cstheme="minorHAnsi"/>
          <w:i/>
          <w:iCs/>
          <w:noProof/>
          <w:color w:val="000000" w:themeColor="text1"/>
          <w:sz w:val="28"/>
          <w:szCs w:val="28"/>
          <w:lang w:val="en-US"/>
        </w:rPr>
        <w:t>EPUB media overlays 3.0.1: recommended specification 26 June 2014</w:t>
      </w:r>
      <w:r w:rsidRPr="005E1103">
        <w:rPr>
          <w:rFonts w:cstheme="minorHAnsi"/>
          <w:noProof/>
          <w:color w:val="000000" w:themeColor="text1"/>
          <w:sz w:val="28"/>
          <w:szCs w:val="28"/>
          <w:lang w:val="en-US"/>
        </w:rPr>
        <w:t>. Available at: http://www.idpf.org/epub/301/spec/epub-mediaoverlays.html#sec-package-metadata.</w:t>
      </w:r>
    </w:p>
    <w:p w:rsidR="003B20DC" w:rsidRPr="005E1103" w:rsidRDefault="003B20DC" w:rsidP="003B20DC">
      <w:pPr>
        <w:widowControl w:val="0"/>
        <w:autoSpaceDE w:val="0"/>
        <w:autoSpaceDN w:val="0"/>
        <w:adjustRightInd w:val="0"/>
        <w:spacing w:after="0" w:line="240" w:lineRule="auto"/>
        <w:ind w:left="480" w:hanging="480"/>
        <w:rPr>
          <w:rFonts w:cstheme="minorHAnsi"/>
          <w:noProof/>
          <w:color w:val="000000" w:themeColor="text1"/>
          <w:sz w:val="28"/>
          <w:szCs w:val="28"/>
          <w:lang w:val="en-US"/>
        </w:rPr>
      </w:pPr>
      <w:r w:rsidRPr="005E1103">
        <w:rPr>
          <w:rFonts w:cstheme="minorHAnsi"/>
          <w:noProof/>
          <w:color w:val="000000" w:themeColor="text1"/>
          <w:sz w:val="28"/>
          <w:szCs w:val="28"/>
          <w:lang w:val="en-US"/>
        </w:rPr>
        <w:t xml:space="preserve">Anon, 2008. SMIL 3.0 timing and synchronization. In </w:t>
      </w:r>
      <w:r w:rsidRPr="005E1103">
        <w:rPr>
          <w:rFonts w:cstheme="minorHAnsi"/>
          <w:i/>
          <w:iCs/>
          <w:noProof/>
          <w:color w:val="000000" w:themeColor="text1"/>
          <w:sz w:val="28"/>
          <w:szCs w:val="28"/>
          <w:lang w:val="en-US"/>
        </w:rPr>
        <w:t xml:space="preserve">Synchronized Multimedia Integration Language (SMIL 3.0): W3C recommendation </w:t>
      </w:r>
      <w:r w:rsidRPr="005E1103">
        <w:rPr>
          <w:rFonts w:cstheme="minorHAnsi"/>
          <w:i/>
          <w:iCs/>
          <w:noProof/>
          <w:color w:val="000000" w:themeColor="text1"/>
          <w:sz w:val="28"/>
          <w:szCs w:val="28"/>
          <w:lang w:val="en-US"/>
        </w:rPr>
        <w:lastRenderedPageBreak/>
        <w:t>01 December 2008</w:t>
      </w:r>
      <w:r w:rsidRPr="005E1103">
        <w:rPr>
          <w:rFonts w:cstheme="minorHAnsi"/>
          <w:noProof/>
          <w:color w:val="000000" w:themeColor="text1"/>
          <w:sz w:val="28"/>
          <w:szCs w:val="28"/>
          <w:lang w:val="en-US"/>
        </w:rPr>
        <w:t>. Available at: http://www.w3.org/TR/SMIL/smil-timing.html [Accessed September 28, 2016].</w:t>
      </w:r>
    </w:p>
    <w:p w:rsidR="003B20DC" w:rsidRPr="005E1103" w:rsidRDefault="003B20DC" w:rsidP="003B20DC">
      <w:pPr>
        <w:widowControl w:val="0"/>
        <w:autoSpaceDE w:val="0"/>
        <w:autoSpaceDN w:val="0"/>
        <w:adjustRightInd w:val="0"/>
        <w:spacing w:after="0" w:line="240" w:lineRule="auto"/>
        <w:ind w:left="480" w:hanging="480"/>
        <w:rPr>
          <w:rFonts w:cstheme="minorHAnsi"/>
          <w:noProof/>
          <w:color w:val="000000" w:themeColor="text1"/>
          <w:sz w:val="28"/>
          <w:szCs w:val="28"/>
          <w:lang w:val="en-US"/>
        </w:rPr>
      </w:pPr>
      <w:r w:rsidRPr="005E1103">
        <w:rPr>
          <w:rFonts w:cstheme="minorHAnsi"/>
          <w:noProof/>
          <w:color w:val="000000" w:themeColor="text1"/>
          <w:sz w:val="28"/>
          <w:szCs w:val="28"/>
        </w:rPr>
        <w:t xml:space="preserve">Centelles, M. &amp; Ribera, M., L’assignació de metadades a llibres digitals en el format EPUB3. Segona part: Ús i explotació de metadades de l’EPUB3. </w:t>
      </w:r>
      <w:r w:rsidRPr="005E1103">
        <w:rPr>
          <w:rFonts w:cstheme="minorHAnsi"/>
          <w:i/>
          <w:iCs/>
          <w:noProof/>
          <w:color w:val="000000" w:themeColor="text1"/>
          <w:sz w:val="28"/>
          <w:szCs w:val="28"/>
        </w:rPr>
        <w:t>BiD: textos universitaris de biblioteconomia i documentació</w:t>
      </w:r>
      <w:r w:rsidRPr="005E1103">
        <w:rPr>
          <w:rFonts w:cstheme="minorHAnsi"/>
          <w:noProof/>
          <w:color w:val="000000" w:themeColor="text1"/>
          <w:sz w:val="28"/>
          <w:szCs w:val="28"/>
        </w:rPr>
        <w:t xml:space="preserve">, 36 (2016). </w:t>
      </w:r>
      <w:r w:rsidRPr="005E1103">
        <w:rPr>
          <w:rFonts w:cstheme="minorHAnsi"/>
          <w:noProof/>
          <w:color w:val="000000" w:themeColor="text1"/>
          <w:sz w:val="28"/>
          <w:szCs w:val="28"/>
          <w:lang w:val="en-US"/>
        </w:rPr>
        <w:t>Available at: http://bid.ub.edu/36/centelles.htm.</w:t>
      </w:r>
    </w:p>
    <w:p w:rsidR="003B20DC" w:rsidRPr="005E1103" w:rsidRDefault="003B20DC" w:rsidP="003B20DC">
      <w:pPr>
        <w:widowControl w:val="0"/>
        <w:autoSpaceDE w:val="0"/>
        <w:autoSpaceDN w:val="0"/>
        <w:adjustRightInd w:val="0"/>
        <w:spacing w:after="0" w:line="240" w:lineRule="auto"/>
        <w:ind w:left="480" w:hanging="480"/>
        <w:rPr>
          <w:rFonts w:cstheme="minorHAnsi"/>
          <w:noProof/>
          <w:color w:val="000000" w:themeColor="text1"/>
          <w:sz w:val="28"/>
          <w:szCs w:val="28"/>
          <w:lang w:val="en-US"/>
        </w:rPr>
      </w:pPr>
      <w:r w:rsidRPr="005E1103">
        <w:rPr>
          <w:rFonts w:cstheme="minorHAnsi"/>
          <w:noProof/>
          <w:color w:val="000000" w:themeColor="text1"/>
          <w:sz w:val="28"/>
          <w:szCs w:val="28"/>
          <w:lang w:val="en-US"/>
        </w:rPr>
        <w:t xml:space="preserve">Garrish, M. &amp; Gylling, M., 2013. </w:t>
      </w:r>
      <w:r w:rsidRPr="005E1103">
        <w:rPr>
          <w:rFonts w:cstheme="minorHAnsi"/>
          <w:i/>
          <w:iCs/>
          <w:noProof/>
          <w:color w:val="000000" w:themeColor="text1"/>
          <w:sz w:val="28"/>
          <w:szCs w:val="28"/>
          <w:lang w:val="en-US"/>
        </w:rPr>
        <w:t>EPUB 3 Best Practices</w:t>
      </w:r>
      <w:r w:rsidRPr="005E1103">
        <w:rPr>
          <w:rFonts w:cstheme="minorHAnsi"/>
          <w:noProof/>
          <w:color w:val="000000" w:themeColor="text1"/>
          <w:sz w:val="28"/>
          <w:szCs w:val="28"/>
          <w:lang w:val="en-US"/>
        </w:rPr>
        <w:t>, Sebastopol, CA: O’Reilly Media, Inc.</w:t>
      </w:r>
    </w:p>
    <w:p w:rsidR="003B20DC" w:rsidRPr="005E1103" w:rsidRDefault="003B20DC" w:rsidP="003B20DC">
      <w:pPr>
        <w:spacing w:after="0" w:line="240" w:lineRule="auto"/>
        <w:rPr>
          <w:rFonts w:eastAsia="Times New Roman" w:cstheme="minorHAnsi"/>
          <w:color w:val="000000" w:themeColor="text1"/>
          <w:sz w:val="28"/>
          <w:szCs w:val="28"/>
          <w:lang w:val="en-US" w:eastAsia="es-ES"/>
        </w:rPr>
      </w:pPr>
      <w:r w:rsidRPr="005E1103">
        <w:rPr>
          <w:rFonts w:eastAsia="Times New Roman" w:cstheme="minorHAnsi"/>
          <w:color w:val="000000" w:themeColor="text1"/>
          <w:sz w:val="28"/>
          <w:szCs w:val="28"/>
          <w:lang w:eastAsia="es-ES"/>
        </w:rPr>
        <w:fldChar w:fldCharType="end"/>
      </w:r>
    </w:p>
    <w:p w:rsidR="003B20DC" w:rsidRPr="005E1103" w:rsidRDefault="003B20DC" w:rsidP="003B20DC">
      <w:pPr>
        <w:spacing w:line="360" w:lineRule="auto"/>
        <w:jc w:val="both"/>
        <w:rPr>
          <w:rFonts w:cstheme="minorHAnsi"/>
          <w:sz w:val="28"/>
          <w:szCs w:val="28"/>
          <w:lang w:val="en-US"/>
        </w:rPr>
      </w:pPr>
    </w:p>
    <w:p w:rsidR="003B20DC" w:rsidRPr="005E1103" w:rsidRDefault="003B20DC" w:rsidP="003B20DC">
      <w:pPr>
        <w:spacing w:line="360" w:lineRule="auto"/>
        <w:jc w:val="center"/>
        <w:rPr>
          <w:rFonts w:cstheme="minorHAnsi"/>
          <w:b/>
          <w:sz w:val="28"/>
          <w:szCs w:val="28"/>
        </w:rPr>
      </w:pPr>
      <w:r w:rsidRPr="005E1103">
        <w:rPr>
          <w:rFonts w:cstheme="minorHAnsi"/>
          <w:b/>
          <w:sz w:val="28"/>
          <w:szCs w:val="28"/>
        </w:rPr>
        <w:t>COMUNICACIÓN 15</w:t>
      </w:r>
    </w:p>
    <w:p w:rsidR="003B20DC" w:rsidRPr="005E1103" w:rsidRDefault="003B20DC" w:rsidP="003B20DC">
      <w:pPr>
        <w:pBdr>
          <w:top w:val="single" w:sz="4" w:space="1" w:color="auto"/>
          <w:left w:val="single" w:sz="4" w:space="4" w:color="auto"/>
          <w:bottom w:val="single" w:sz="4" w:space="1" w:color="auto"/>
          <w:right w:val="single" w:sz="4" w:space="4" w:color="auto"/>
        </w:pBdr>
        <w:spacing w:after="0" w:line="240" w:lineRule="auto"/>
        <w:jc w:val="center"/>
        <w:rPr>
          <w:rFonts w:cstheme="minorHAnsi"/>
          <w:b/>
          <w:sz w:val="28"/>
          <w:szCs w:val="28"/>
        </w:rPr>
      </w:pPr>
      <w:r w:rsidRPr="005E1103">
        <w:rPr>
          <w:rFonts w:cstheme="minorHAnsi"/>
          <w:b/>
          <w:sz w:val="28"/>
          <w:szCs w:val="28"/>
        </w:rPr>
        <w:t>El Consorcio MUSACCES: fomentando la accesibilidad de</w:t>
      </w:r>
    </w:p>
    <w:p w:rsidR="003B20DC" w:rsidRPr="005E1103" w:rsidRDefault="003B20DC" w:rsidP="003B20DC">
      <w:pPr>
        <w:pBdr>
          <w:top w:val="single" w:sz="4" w:space="1" w:color="auto"/>
          <w:left w:val="single" w:sz="4" w:space="4" w:color="auto"/>
          <w:bottom w:val="single" w:sz="4" w:space="1" w:color="auto"/>
          <w:right w:val="single" w:sz="4" w:space="4" w:color="auto"/>
        </w:pBdr>
        <w:spacing w:after="0" w:line="240" w:lineRule="auto"/>
        <w:jc w:val="center"/>
        <w:rPr>
          <w:rFonts w:cstheme="minorHAnsi"/>
          <w:b/>
          <w:sz w:val="28"/>
          <w:szCs w:val="28"/>
        </w:rPr>
      </w:pPr>
      <w:r w:rsidRPr="005E1103">
        <w:rPr>
          <w:rFonts w:cstheme="minorHAnsi"/>
          <w:b/>
          <w:sz w:val="28"/>
          <w:szCs w:val="28"/>
        </w:rPr>
        <w:t>invidentes, sordos y reclusos al patrimonio artístico del Museo del Prado</w:t>
      </w:r>
    </w:p>
    <w:p w:rsidR="003B20DC" w:rsidRPr="005E1103" w:rsidRDefault="003B20DC" w:rsidP="003B20DC">
      <w:pPr>
        <w:spacing w:line="360" w:lineRule="auto"/>
        <w:jc w:val="center"/>
        <w:rPr>
          <w:rFonts w:cstheme="minorHAnsi"/>
          <w:b/>
          <w:sz w:val="28"/>
          <w:szCs w:val="28"/>
        </w:rPr>
      </w:pPr>
    </w:p>
    <w:p w:rsidR="003B20DC" w:rsidRPr="005E1103" w:rsidRDefault="003B20DC" w:rsidP="003B20DC">
      <w:pPr>
        <w:spacing w:line="360" w:lineRule="auto"/>
        <w:jc w:val="center"/>
        <w:rPr>
          <w:rFonts w:cstheme="minorHAnsi"/>
          <w:b/>
          <w:sz w:val="28"/>
          <w:szCs w:val="28"/>
        </w:rPr>
      </w:pPr>
    </w:p>
    <w:p w:rsidR="003B20DC" w:rsidRPr="005E1103" w:rsidRDefault="003B20DC" w:rsidP="003B20DC">
      <w:pPr>
        <w:spacing w:after="0" w:line="360" w:lineRule="auto"/>
        <w:jc w:val="center"/>
        <w:rPr>
          <w:rFonts w:cstheme="minorHAnsi"/>
          <w:b/>
          <w:sz w:val="28"/>
          <w:szCs w:val="28"/>
        </w:rPr>
      </w:pPr>
    </w:p>
    <w:p w:rsidR="003B20DC" w:rsidRPr="005E1103" w:rsidRDefault="003B20DC" w:rsidP="003B20DC">
      <w:pPr>
        <w:spacing w:after="0" w:line="360" w:lineRule="auto"/>
        <w:jc w:val="center"/>
        <w:rPr>
          <w:rFonts w:cstheme="minorHAnsi"/>
          <w:b/>
          <w:sz w:val="28"/>
          <w:szCs w:val="28"/>
        </w:rPr>
      </w:pPr>
    </w:p>
    <w:p w:rsidR="003B20DC" w:rsidRPr="005E1103" w:rsidRDefault="003B20DC" w:rsidP="003B20DC">
      <w:pPr>
        <w:spacing w:after="0" w:line="240" w:lineRule="auto"/>
        <w:jc w:val="center"/>
        <w:rPr>
          <w:rFonts w:cstheme="minorHAnsi"/>
          <w:b/>
          <w:sz w:val="28"/>
          <w:szCs w:val="28"/>
        </w:rPr>
      </w:pPr>
      <w:r w:rsidRPr="005E1103">
        <w:rPr>
          <w:rFonts w:cstheme="minorHAnsi"/>
          <w:b/>
          <w:sz w:val="28"/>
          <w:szCs w:val="28"/>
        </w:rPr>
        <w:t>El Consorcio MUSACCES: fomentando la accesibilidad de</w:t>
      </w:r>
    </w:p>
    <w:p w:rsidR="003B20DC" w:rsidRPr="005E1103" w:rsidRDefault="003B20DC" w:rsidP="003B20DC">
      <w:pPr>
        <w:spacing w:after="0" w:line="240" w:lineRule="auto"/>
        <w:jc w:val="center"/>
        <w:rPr>
          <w:rFonts w:cstheme="minorHAnsi"/>
          <w:b/>
          <w:sz w:val="28"/>
          <w:szCs w:val="28"/>
        </w:rPr>
      </w:pPr>
      <w:r w:rsidRPr="005E1103">
        <w:rPr>
          <w:rFonts w:cstheme="minorHAnsi"/>
          <w:b/>
          <w:sz w:val="28"/>
          <w:szCs w:val="28"/>
        </w:rPr>
        <w:t>invidentes, sordos y reclusos al patrimonio artístico del Museo del Prado</w:t>
      </w:r>
    </w:p>
    <w:p w:rsidR="003B20DC" w:rsidRPr="005E1103" w:rsidRDefault="003B20DC" w:rsidP="003B20DC">
      <w:pPr>
        <w:spacing w:after="0" w:line="360" w:lineRule="auto"/>
        <w:jc w:val="both"/>
        <w:rPr>
          <w:rFonts w:cstheme="minorHAnsi"/>
          <w:sz w:val="28"/>
          <w:szCs w:val="28"/>
        </w:rPr>
      </w:pPr>
    </w:p>
    <w:p w:rsidR="003B20DC" w:rsidRPr="005E1103" w:rsidRDefault="003B20DC" w:rsidP="003B20DC">
      <w:pPr>
        <w:spacing w:after="0" w:line="360" w:lineRule="auto"/>
        <w:jc w:val="right"/>
        <w:rPr>
          <w:rFonts w:cstheme="minorHAnsi"/>
          <w:sz w:val="28"/>
          <w:szCs w:val="28"/>
        </w:rPr>
      </w:pPr>
      <w:r w:rsidRPr="005E1103">
        <w:rPr>
          <w:rFonts w:cstheme="minorHAnsi"/>
          <w:sz w:val="28"/>
          <w:szCs w:val="28"/>
        </w:rPr>
        <w:t>Matilde Azcárate Luxán</w:t>
      </w:r>
    </w:p>
    <w:p w:rsidR="003B20DC" w:rsidRPr="005E1103" w:rsidRDefault="003B20DC" w:rsidP="003B20DC">
      <w:pPr>
        <w:spacing w:after="0" w:line="360" w:lineRule="auto"/>
        <w:jc w:val="right"/>
        <w:rPr>
          <w:rFonts w:cstheme="minorHAnsi"/>
          <w:sz w:val="28"/>
          <w:szCs w:val="28"/>
        </w:rPr>
      </w:pPr>
      <w:r w:rsidRPr="005E1103">
        <w:rPr>
          <w:rFonts w:cstheme="minorHAnsi"/>
          <w:sz w:val="28"/>
          <w:szCs w:val="28"/>
        </w:rPr>
        <w:t>Profesora Titular de Historia del Arte Medieval</w:t>
      </w:r>
    </w:p>
    <w:p w:rsidR="003B20DC" w:rsidRPr="005E1103" w:rsidRDefault="003B20DC" w:rsidP="003B20DC">
      <w:pPr>
        <w:spacing w:after="0" w:line="360" w:lineRule="auto"/>
        <w:jc w:val="right"/>
        <w:rPr>
          <w:rFonts w:cstheme="minorHAnsi"/>
          <w:sz w:val="28"/>
          <w:szCs w:val="28"/>
        </w:rPr>
      </w:pPr>
      <w:r w:rsidRPr="005E1103">
        <w:rPr>
          <w:rFonts w:cstheme="minorHAnsi"/>
          <w:sz w:val="28"/>
          <w:szCs w:val="28"/>
        </w:rPr>
        <w:t>Universidad Complutense de Madrid</w:t>
      </w:r>
    </w:p>
    <w:p w:rsidR="003B20DC" w:rsidRPr="005E1103" w:rsidRDefault="003B20DC" w:rsidP="003B20DC">
      <w:pPr>
        <w:spacing w:after="0" w:line="360" w:lineRule="auto"/>
        <w:jc w:val="right"/>
        <w:rPr>
          <w:rFonts w:cstheme="minorHAnsi"/>
          <w:sz w:val="28"/>
          <w:szCs w:val="28"/>
        </w:rPr>
      </w:pPr>
    </w:p>
    <w:p w:rsidR="003B20DC" w:rsidRPr="005E1103" w:rsidRDefault="003B20DC" w:rsidP="003B20DC">
      <w:pPr>
        <w:spacing w:after="0" w:line="360" w:lineRule="auto"/>
        <w:jc w:val="right"/>
        <w:rPr>
          <w:rFonts w:cstheme="minorHAnsi"/>
          <w:sz w:val="28"/>
          <w:szCs w:val="28"/>
        </w:rPr>
      </w:pPr>
      <w:r w:rsidRPr="005E1103">
        <w:rPr>
          <w:rFonts w:cstheme="minorHAnsi"/>
          <w:sz w:val="28"/>
          <w:szCs w:val="28"/>
        </w:rPr>
        <w:t>José María Salvador González</w:t>
      </w:r>
    </w:p>
    <w:p w:rsidR="003B20DC" w:rsidRPr="005E1103" w:rsidRDefault="003B20DC" w:rsidP="003B20DC">
      <w:pPr>
        <w:spacing w:after="0" w:line="360" w:lineRule="auto"/>
        <w:jc w:val="right"/>
        <w:rPr>
          <w:rFonts w:cstheme="minorHAnsi"/>
          <w:sz w:val="28"/>
          <w:szCs w:val="28"/>
        </w:rPr>
      </w:pPr>
      <w:r w:rsidRPr="005E1103">
        <w:rPr>
          <w:rFonts w:cstheme="minorHAnsi"/>
          <w:sz w:val="28"/>
          <w:szCs w:val="28"/>
        </w:rPr>
        <w:t xml:space="preserve">Profesor Contratado Doctor (Catedrático Acreditado) </w:t>
      </w:r>
    </w:p>
    <w:p w:rsidR="003B20DC" w:rsidRPr="005E1103" w:rsidRDefault="003B20DC" w:rsidP="003B20DC">
      <w:pPr>
        <w:spacing w:after="0" w:line="360" w:lineRule="auto"/>
        <w:jc w:val="right"/>
        <w:rPr>
          <w:rFonts w:cstheme="minorHAnsi"/>
          <w:sz w:val="28"/>
          <w:szCs w:val="28"/>
        </w:rPr>
      </w:pPr>
      <w:r w:rsidRPr="005E1103">
        <w:rPr>
          <w:rFonts w:cstheme="minorHAnsi"/>
          <w:sz w:val="28"/>
          <w:szCs w:val="28"/>
        </w:rPr>
        <w:t>Universidad Complutense de Madrid</w:t>
      </w:r>
    </w:p>
    <w:p w:rsidR="003B20DC" w:rsidRPr="005E1103" w:rsidRDefault="003B20DC" w:rsidP="003B20DC">
      <w:pPr>
        <w:spacing w:after="0" w:line="360" w:lineRule="auto"/>
        <w:jc w:val="right"/>
        <w:rPr>
          <w:rFonts w:cstheme="minorHAnsi"/>
          <w:sz w:val="28"/>
          <w:szCs w:val="28"/>
        </w:rPr>
      </w:pPr>
    </w:p>
    <w:p w:rsidR="003B20DC" w:rsidRPr="005E1103" w:rsidRDefault="003B20DC" w:rsidP="003B20DC">
      <w:pPr>
        <w:spacing w:after="0" w:line="360" w:lineRule="auto"/>
        <w:jc w:val="right"/>
        <w:rPr>
          <w:rFonts w:cstheme="minorHAnsi"/>
          <w:sz w:val="28"/>
          <w:szCs w:val="28"/>
        </w:rPr>
      </w:pPr>
      <w:r w:rsidRPr="005E1103">
        <w:rPr>
          <w:rFonts w:cstheme="minorHAnsi"/>
          <w:sz w:val="28"/>
          <w:szCs w:val="28"/>
        </w:rPr>
        <w:t>Herbert González Zymla</w:t>
      </w:r>
    </w:p>
    <w:p w:rsidR="003B20DC" w:rsidRPr="005E1103" w:rsidRDefault="003B20DC" w:rsidP="003B20DC">
      <w:pPr>
        <w:spacing w:after="0" w:line="360" w:lineRule="auto"/>
        <w:jc w:val="right"/>
        <w:rPr>
          <w:rFonts w:cstheme="minorHAnsi"/>
          <w:sz w:val="28"/>
          <w:szCs w:val="28"/>
        </w:rPr>
      </w:pPr>
      <w:r w:rsidRPr="005E1103">
        <w:rPr>
          <w:rFonts w:cstheme="minorHAnsi"/>
          <w:sz w:val="28"/>
          <w:szCs w:val="28"/>
        </w:rPr>
        <w:t>Profesor Titular Contratado</w:t>
      </w:r>
    </w:p>
    <w:p w:rsidR="003B20DC" w:rsidRPr="005E1103" w:rsidRDefault="003B20DC" w:rsidP="003B20DC">
      <w:pPr>
        <w:spacing w:after="0" w:line="360" w:lineRule="auto"/>
        <w:jc w:val="right"/>
        <w:rPr>
          <w:rFonts w:cstheme="minorHAnsi"/>
          <w:sz w:val="28"/>
          <w:szCs w:val="28"/>
        </w:rPr>
      </w:pPr>
      <w:r w:rsidRPr="005E1103">
        <w:rPr>
          <w:rFonts w:cstheme="minorHAnsi"/>
          <w:sz w:val="28"/>
          <w:szCs w:val="28"/>
        </w:rPr>
        <w:lastRenderedPageBreak/>
        <w:t>Universidad Politécnica de Madrid</w:t>
      </w:r>
    </w:p>
    <w:p w:rsidR="003B20DC" w:rsidRPr="005E1103" w:rsidRDefault="003B20DC" w:rsidP="003B20DC">
      <w:pPr>
        <w:spacing w:after="0" w:line="360" w:lineRule="auto"/>
        <w:jc w:val="right"/>
        <w:rPr>
          <w:rFonts w:cstheme="minorHAnsi"/>
          <w:sz w:val="28"/>
          <w:szCs w:val="28"/>
        </w:rPr>
      </w:pPr>
    </w:p>
    <w:p w:rsidR="003B20DC" w:rsidRPr="005E1103" w:rsidRDefault="003B20DC" w:rsidP="003B20DC">
      <w:pPr>
        <w:spacing w:after="0" w:line="360" w:lineRule="auto"/>
        <w:jc w:val="right"/>
        <w:rPr>
          <w:rFonts w:cstheme="minorHAnsi"/>
          <w:sz w:val="28"/>
          <w:szCs w:val="28"/>
        </w:rPr>
      </w:pPr>
    </w:p>
    <w:p w:rsidR="003B20DC" w:rsidRPr="005E1103" w:rsidRDefault="003B20DC" w:rsidP="003B20DC">
      <w:pPr>
        <w:spacing w:after="0" w:line="360" w:lineRule="auto"/>
        <w:jc w:val="right"/>
        <w:rPr>
          <w:rFonts w:cstheme="minorHAnsi"/>
          <w:sz w:val="28"/>
          <w:szCs w:val="28"/>
        </w:rPr>
      </w:pPr>
    </w:p>
    <w:p w:rsidR="003B20DC" w:rsidRPr="005E1103" w:rsidRDefault="003B20DC" w:rsidP="003B20DC">
      <w:pPr>
        <w:spacing w:after="0" w:line="360" w:lineRule="auto"/>
        <w:jc w:val="both"/>
        <w:rPr>
          <w:rFonts w:cstheme="minorHAnsi"/>
          <w:sz w:val="28"/>
          <w:szCs w:val="28"/>
        </w:rPr>
      </w:pPr>
    </w:p>
    <w:p w:rsidR="003B20DC" w:rsidRPr="005E1103" w:rsidRDefault="003B20DC" w:rsidP="003B20DC">
      <w:pPr>
        <w:spacing w:after="0" w:line="360" w:lineRule="auto"/>
        <w:jc w:val="both"/>
        <w:rPr>
          <w:rFonts w:cstheme="minorHAnsi"/>
          <w:sz w:val="28"/>
          <w:szCs w:val="28"/>
        </w:rPr>
      </w:pPr>
    </w:p>
    <w:p w:rsidR="003B20DC" w:rsidRPr="005E1103" w:rsidRDefault="003B20DC" w:rsidP="003B20DC">
      <w:pPr>
        <w:spacing w:after="0" w:line="360" w:lineRule="auto"/>
        <w:jc w:val="both"/>
        <w:rPr>
          <w:rFonts w:cstheme="minorHAnsi"/>
          <w:sz w:val="28"/>
          <w:szCs w:val="28"/>
        </w:rPr>
      </w:pPr>
    </w:p>
    <w:p w:rsidR="003B20DC" w:rsidRPr="005E1103" w:rsidRDefault="003B20DC" w:rsidP="003B20DC">
      <w:pPr>
        <w:spacing w:after="0" w:line="360" w:lineRule="auto"/>
        <w:jc w:val="both"/>
        <w:rPr>
          <w:rFonts w:cstheme="minorHAnsi"/>
          <w:sz w:val="28"/>
          <w:szCs w:val="28"/>
        </w:rPr>
      </w:pPr>
    </w:p>
    <w:p w:rsidR="003B20DC" w:rsidRPr="005E1103" w:rsidRDefault="003B20DC" w:rsidP="003B20DC">
      <w:pPr>
        <w:spacing w:after="0" w:line="360" w:lineRule="auto"/>
        <w:jc w:val="both"/>
        <w:rPr>
          <w:rFonts w:cstheme="minorHAnsi"/>
          <w:sz w:val="28"/>
          <w:szCs w:val="28"/>
        </w:rPr>
      </w:pPr>
    </w:p>
    <w:p w:rsidR="003B20DC" w:rsidRPr="005E1103" w:rsidRDefault="003B20DC" w:rsidP="003B20DC">
      <w:pPr>
        <w:spacing w:after="0" w:line="360" w:lineRule="auto"/>
        <w:jc w:val="both"/>
        <w:rPr>
          <w:rFonts w:cstheme="minorHAnsi"/>
          <w:sz w:val="28"/>
          <w:szCs w:val="28"/>
        </w:rPr>
      </w:pPr>
    </w:p>
    <w:p w:rsidR="003B20DC" w:rsidRPr="005E1103" w:rsidRDefault="003B20DC" w:rsidP="003B20DC">
      <w:pPr>
        <w:spacing w:after="0" w:line="360" w:lineRule="auto"/>
        <w:jc w:val="both"/>
        <w:rPr>
          <w:rFonts w:cstheme="minorHAnsi"/>
          <w:sz w:val="28"/>
          <w:szCs w:val="28"/>
        </w:rPr>
      </w:pPr>
    </w:p>
    <w:p w:rsidR="003B20DC" w:rsidRPr="005E1103" w:rsidRDefault="003B20DC" w:rsidP="003B20DC">
      <w:pPr>
        <w:spacing w:after="0" w:line="360" w:lineRule="auto"/>
        <w:jc w:val="both"/>
        <w:rPr>
          <w:rFonts w:cstheme="minorHAnsi"/>
          <w:sz w:val="28"/>
          <w:szCs w:val="28"/>
        </w:rPr>
      </w:pPr>
    </w:p>
    <w:p w:rsidR="003B20DC" w:rsidRPr="005E1103" w:rsidRDefault="003B20DC" w:rsidP="003B20DC">
      <w:pPr>
        <w:spacing w:after="0" w:line="360" w:lineRule="auto"/>
        <w:jc w:val="both"/>
        <w:rPr>
          <w:rFonts w:cstheme="minorHAnsi"/>
          <w:sz w:val="28"/>
          <w:szCs w:val="28"/>
        </w:rPr>
      </w:pPr>
    </w:p>
    <w:p w:rsidR="003B20DC" w:rsidRPr="005E1103" w:rsidRDefault="003B20DC" w:rsidP="003B20DC">
      <w:pPr>
        <w:spacing w:after="0" w:line="360" w:lineRule="auto"/>
        <w:jc w:val="both"/>
        <w:rPr>
          <w:rFonts w:cstheme="minorHAnsi"/>
          <w:sz w:val="28"/>
          <w:szCs w:val="28"/>
        </w:rPr>
      </w:pPr>
    </w:p>
    <w:p w:rsidR="003B20DC" w:rsidRPr="005E1103" w:rsidRDefault="003B20DC" w:rsidP="003B20DC">
      <w:pPr>
        <w:spacing w:after="0" w:line="360" w:lineRule="auto"/>
        <w:jc w:val="both"/>
        <w:rPr>
          <w:rFonts w:cstheme="minorHAnsi"/>
          <w:sz w:val="28"/>
          <w:szCs w:val="28"/>
        </w:rPr>
      </w:pPr>
    </w:p>
    <w:p w:rsidR="003B20DC" w:rsidRPr="005E1103" w:rsidRDefault="003B20DC" w:rsidP="003B20DC">
      <w:pPr>
        <w:spacing w:after="0" w:line="360" w:lineRule="auto"/>
        <w:jc w:val="both"/>
        <w:rPr>
          <w:rFonts w:cstheme="minorHAnsi"/>
          <w:sz w:val="28"/>
          <w:szCs w:val="28"/>
        </w:rPr>
      </w:pPr>
    </w:p>
    <w:p w:rsidR="003B20DC" w:rsidRPr="005E1103" w:rsidRDefault="003B20DC" w:rsidP="003B20DC">
      <w:pPr>
        <w:spacing w:after="0" w:line="360" w:lineRule="auto"/>
        <w:jc w:val="both"/>
        <w:rPr>
          <w:rFonts w:cstheme="minorHAnsi"/>
          <w:sz w:val="28"/>
          <w:szCs w:val="28"/>
        </w:rPr>
      </w:pPr>
    </w:p>
    <w:p w:rsidR="003B20DC" w:rsidRPr="005E1103" w:rsidRDefault="003B20DC" w:rsidP="003B20DC">
      <w:pPr>
        <w:spacing w:after="0" w:line="360" w:lineRule="auto"/>
        <w:jc w:val="both"/>
        <w:rPr>
          <w:rFonts w:cstheme="minorHAnsi"/>
          <w:sz w:val="28"/>
          <w:szCs w:val="28"/>
        </w:rPr>
      </w:pPr>
    </w:p>
    <w:p w:rsidR="003B20DC" w:rsidRPr="005E1103" w:rsidRDefault="003B20DC" w:rsidP="003B20DC">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 xml:space="preserve">La presente Comunicación se enmarca en el </w:t>
      </w:r>
      <w:r w:rsidRPr="005E1103">
        <w:rPr>
          <w:rFonts w:eastAsia="Times New Roman" w:cstheme="minorHAnsi"/>
          <w:b/>
          <w:sz w:val="28"/>
          <w:szCs w:val="28"/>
          <w:lang w:eastAsia="es-ES"/>
        </w:rPr>
        <w:t>Grupo de Trabajo 5</w:t>
      </w:r>
      <w:r w:rsidRPr="005E1103">
        <w:rPr>
          <w:rFonts w:eastAsia="Times New Roman" w:cstheme="minorHAnsi"/>
          <w:sz w:val="28"/>
          <w:szCs w:val="28"/>
          <w:lang w:eastAsia="es-ES"/>
        </w:rPr>
        <w:t>, cuyo tema central es “</w:t>
      </w:r>
      <w:r w:rsidRPr="005E1103">
        <w:rPr>
          <w:rFonts w:eastAsia="Times New Roman" w:cstheme="minorHAnsi"/>
          <w:b/>
          <w:sz w:val="28"/>
          <w:szCs w:val="28"/>
          <w:lang w:eastAsia="es-ES"/>
        </w:rPr>
        <w:t>Innovaciones tecnológicas para la educación y el aprendizaje</w:t>
      </w:r>
      <w:r w:rsidRPr="005E1103">
        <w:rPr>
          <w:rFonts w:eastAsia="Times New Roman" w:cstheme="minorHAnsi"/>
          <w:sz w:val="28"/>
          <w:szCs w:val="28"/>
          <w:lang w:eastAsia="es-ES"/>
        </w:rPr>
        <w:t xml:space="preserve">”. </w:t>
      </w:r>
    </w:p>
    <w:p w:rsidR="003B20DC" w:rsidRPr="005E1103" w:rsidRDefault="003B20DC" w:rsidP="003B20DC">
      <w:pPr>
        <w:spacing w:after="0" w:line="360" w:lineRule="auto"/>
        <w:jc w:val="both"/>
        <w:rPr>
          <w:rFonts w:eastAsia="Times New Roman" w:cstheme="minorHAnsi"/>
          <w:b/>
          <w:bCs/>
          <w:sz w:val="28"/>
          <w:szCs w:val="28"/>
          <w:lang w:eastAsia="es-ES"/>
        </w:rPr>
      </w:pPr>
    </w:p>
    <w:p w:rsidR="003B20DC" w:rsidRPr="005E1103" w:rsidRDefault="003B20DC" w:rsidP="003B20DC">
      <w:pPr>
        <w:numPr>
          <w:ilvl w:val="0"/>
          <w:numId w:val="146"/>
        </w:numPr>
        <w:spacing w:after="0" w:line="360" w:lineRule="auto"/>
        <w:ind w:left="0" w:firstLine="0"/>
        <w:jc w:val="both"/>
        <w:rPr>
          <w:rFonts w:eastAsia="Times New Roman" w:cstheme="minorHAnsi"/>
          <w:b/>
          <w:bCs/>
          <w:sz w:val="28"/>
          <w:szCs w:val="28"/>
          <w:lang w:eastAsia="es-ES"/>
        </w:rPr>
      </w:pPr>
      <w:r w:rsidRPr="005E1103">
        <w:rPr>
          <w:rFonts w:eastAsia="Times New Roman" w:cstheme="minorHAnsi"/>
          <w:b/>
          <w:bCs/>
          <w:sz w:val="28"/>
          <w:szCs w:val="28"/>
          <w:lang w:eastAsia="es-ES"/>
        </w:rPr>
        <w:t xml:space="preserve">INTRODUCCIÓN </w:t>
      </w:r>
    </w:p>
    <w:p w:rsidR="003B20DC" w:rsidRPr="005E1103" w:rsidRDefault="003B20DC" w:rsidP="003B20DC">
      <w:pPr>
        <w:spacing w:after="0" w:line="360" w:lineRule="auto"/>
        <w:jc w:val="both"/>
        <w:rPr>
          <w:rFonts w:eastAsia="Times New Roman" w:cstheme="minorHAnsi"/>
          <w:b/>
          <w:bCs/>
          <w:sz w:val="28"/>
          <w:szCs w:val="28"/>
          <w:lang w:eastAsia="es-ES"/>
        </w:rPr>
      </w:pPr>
    </w:p>
    <w:p w:rsidR="003B20DC" w:rsidRPr="005E1103" w:rsidRDefault="003B20DC" w:rsidP="003B20DC">
      <w:pPr>
        <w:numPr>
          <w:ilvl w:val="1"/>
          <w:numId w:val="145"/>
        </w:numPr>
        <w:tabs>
          <w:tab w:val="left" w:pos="567"/>
        </w:tabs>
        <w:spacing w:after="0" w:line="360" w:lineRule="auto"/>
        <w:ind w:left="0" w:firstLine="0"/>
        <w:jc w:val="both"/>
        <w:rPr>
          <w:rFonts w:eastAsia="Times New Roman" w:cstheme="minorHAnsi"/>
          <w:sz w:val="28"/>
          <w:szCs w:val="28"/>
          <w:lang w:eastAsia="es-ES"/>
        </w:rPr>
      </w:pPr>
      <w:r w:rsidRPr="005E1103">
        <w:rPr>
          <w:rFonts w:eastAsia="Times New Roman" w:cstheme="minorHAnsi"/>
          <w:b/>
          <w:sz w:val="28"/>
          <w:szCs w:val="28"/>
          <w:lang w:eastAsia="es-ES"/>
        </w:rPr>
        <w:t>El Problema</w:t>
      </w:r>
      <w:r w:rsidRPr="005E1103">
        <w:rPr>
          <w:rFonts w:eastAsia="Times New Roman" w:cstheme="minorHAnsi"/>
          <w:sz w:val="28"/>
          <w:szCs w:val="28"/>
          <w:lang w:eastAsia="es-ES"/>
        </w:rPr>
        <w:t xml:space="preserve"> </w:t>
      </w:r>
    </w:p>
    <w:p w:rsidR="003B20DC" w:rsidRPr="005E1103" w:rsidRDefault="003B20DC" w:rsidP="003B20DC">
      <w:pPr>
        <w:shd w:val="clear" w:color="auto" w:fill="FFFFFF"/>
        <w:spacing w:after="0" w:line="360" w:lineRule="auto"/>
        <w:jc w:val="both"/>
        <w:rPr>
          <w:rFonts w:eastAsia="Times New Roman" w:cstheme="minorHAnsi"/>
          <w:color w:val="333333"/>
          <w:sz w:val="28"/>
          <w:szCs w:val="28"/>
          <w:lang w:eastAsia="es-ES"/>
        </w:rPr>
      </w:pPr>
      <w:r w:rsidRPr="005E1103">
        <w:rPr>
          <w:rFonts w:eastAsia="Times New Roman" w:cstheme="minorHAnsi"/>
          <w:sz w:val="28"/>
          <w:szCs w:val="28"/>
          <w:lang w:eastAsia="es-ES"/>
        </w:rPr>
        <w:t xml:space="preserve">Es bien conocido el grave problema que las personas con accesibilidad especial –como los  invidentes, los sordos, las personas con deficiencias </w:t>
      </w:r>
      <w:r w:rsidRPr="005E1103">
        <w:rPr>
          <w:rFonts w:eastAsia="Times New Roman" w:cstheme="minorHAnsi"/>
          <w:sz w:val="28"/>
          <w:szCs w:val="28"/>
          <w:lang w:eastAsia="es-ES"/>
        </w:rPr>
        <w:lastRenderedPageBreak/>
        <w:t xml:space="preserve">intelectuales o con movilidad reducida— confrontan en su legítimo derecho y absoluta necesidad de acceder a la educación y a la cultura en  </w:t>
      </w:r>
      <w:r w:rsidRPr="005E1103">
        <w:rPr>
          <w:rFonts w:eastAsia="Times New Roman" w:cstheme="minorHAnsi"/>
          <w:color w:val="333333"/>
          <w:sz w:val="28"/>
          <w:szCs w:val="28"/>
          <w:lang w:eastAsia="es-ES"/>
        </w:rPr>
        <w:t xml:space="preserve">igualdad de oportunidades respecto a las que gozan quienes son consideraas personas “normales”. </w:t>
      </w:r>
    </w:p>
    <w:p w:rsidR="003B20DC" w:rsidRPr="005E1103" w:rsidRDefault="003B20DC" w:rsidP="003B20DC">
      <w:pPr>
        <w:shd w:val="clear" w:color="auto" w:fill="FFFFFF"/>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 xml:space="preserve">Semejante problema ha adquirido tan gran dimensión y reviste tal importancia que </w:t>
      </w:r>
      <w:r w:rsidRPr="005E1103">
        <w:rPr>
          <w:rFonts w:eastAsia="Times New Roman" w:cstheme="minorHAnsi"/>
          <w:bCs/>
          <w:color w:val="333333"/>
          <w:sz w:val="28"/>
          <w:szCs w:val="28"/>
          <w:lang w:eastAsia="es-ES"/>
        </w:rPr>
        <w:t>la Convención de Naciones Unidas sobre los derechos de las personas con discapacidad</w:t>
      </w:r>
      <w:r w:rsidRPr="005E1103">
        <w:rPr>
          <w:rFonts w:eastAsia="Times New Roman" w:cstheme="minorHAnsi"/>
          <w:b/>
          <w:bCs/>
          <w:color w:val="333333"/>
          <w:sz w:val="28"/>
          <w:szCs w:val="28"/>
          <w:lang w:eastAsia="es-ES"/>
        </w:rPr>
        <w:t xml:space="preserve"> </w:t>
      </w:r>
      <w:r w:rsidRPr="005E1103">
        <w:rPr>
          <w:rFonts w:eastAsia="Times New Roman" w:cstheme="minorHAnsi"/>
          <w:bCs/>
          <w:color w:val="333333"/>
          <w:sz w:val="28"/>
          <w:szCs w:val="28"/>
          <w:lang w:eastAsia="es-ES"/>
        </w:rPr>
        <w:t>pide en su</w:t>
      </w:r>
      <w:r w:rsidRPr="005E1103">
        <w:rPr>
          <w:rFonts w:eastAsia="Times New Roman" w:cstheme="minorHAnsi"/>
          <w:color w:val="333333"/>
          <w:sz w:val="28"/>
          <w:szCs w:val="28"/>
          <w:lang w:eastAsia="es-ES"/>
        </w:rPr>
        <w:t xml:space="preserve"> artículo 24 garantizar el derecho a la educación, al desarrollo pleno de la personalidad, los talentos y la creatividad de las personas que presenten alguna discapacidad de cualquier tipo, sensorial, motriz o intelectual. </w:t>
      </w:r>
    </w:p>
    <w:p w:rsidR="003B20DC" w:rsidRPr="005E1103" w:rsidRDefault="003B20DC" w:rsidP="003B20DC">
      <w:pPr>
        <w:shd w:val="clear" w:color="auto" w:fill="FFFFFF"/>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 xml:space="preserve">Esto implica necesariamente un profundo cambio de paradigma educativo, que está exigiendo a las Universidades –siendo como son motores privilegiados del cambio social—efectuar grandes transformaciones en su sistema y sus instrumentos de enseñanza/aprendizaje, con el propósito de </w:t>
      </w:r>
      <w:r w:rsidRPr="005E1103">
        <w:rPr>
          <w:rFonts w:eastAsia="Times New Roman" w:cstheme="minorHAnsi"/>
          <w:bCs/>
          <w:color w:val="333333"/>
          <w:sz w:val="28"/>
          <w:szCs w:val="28"/>
          <w:lang w:eastAsia="es-ES"/>
        </w:rPr>
        <w:t>contribuir activa y eficientemente al desarrollo y bienestar de la sociedad</w:t>
      </w:r>
      <w:r w:rsidRPr="005E1103">
        <w:rPr>
          <w:rFonts w:eastAsia="Times New Roman" w:cstheme="minorHAnsi"/>
          <w:color w:val="333333"/>
          <w:sz w:val="28"/>
          <w:szCs w:val="28"/>
          <w:lang w:eastAsia="es-ES"/>
        </w:rPr>
        <w:t xml:space="preserve"> en general, de los estudiantes en particular y, de modo muy especial, de aquellos que tienen algún tipo de discapacidad. </w:t>
      </w:r>
    </w:p>
    <w:p w:rsidR="003B20DC" w:rsidRPr="005E1103" w:rsidRDefault="003B20DC" w:rsidP="003B20DC">
      <w:pPr>
        <w:shd w:val="clear" w:color="auto" w:fill="FFFFFF"/>
        <w:spacing w:after="0" w:line="360" w:lineRule="auto"/>
        <w:jc w:val="both"/>
        <w:rPr>
          <w:rFonts w:eastAsia="Times New Roman" w:cstheme="minorHAnsi"/>
          <w:color w:val="333333"/>
          <w:sz w:val="28"/>
          <w:szCs w:val="28"/>
          <w:lang w:eastAsia="es-ES"/>
        </w:rPr>
      </w:pPr>
      <w:r w:rsidRPr="005E1103">
        <w:rPr>
          <w:rFonts w:eastAsia="Times New Roman" w:cstheme="minorHAnsi"/>
          <w:color w:val="333333"/>
          <w:sz w:val="28"/>
          <w:szCs w:val="28"/>
          <w:lang w:eastAsia="es-ES"/>
        </w:rPr>
        <w:t>No en vano el conocimiento y la cultura son el</w:t>
      </w:r>
      <w:r w:rsidRPr="005E1103">
        <w:rPr>
          <w:rFonts w:eastAsia="Times New Roman" w:cstheme="minorHAnsi"/>
          <w:bCs/>
          <w:color w:val="333333"/>
          <w:sz w:val="28"/>
          <w:szCs w:val="28"/>
          <w:lang w:eastAsia="es-ES"/>
        </w:rPr>
        <w:t> principal activo de las personas individuales</w:t>
      </w:r>
      <w:r w:rsidRPr="005E1103">
        <w:rPr>
          <w:rFonts w:eastAsia="Times New Roman" w:cstheme="minorHAnsi"/>
          <w:color w:val="333333"/>
          <w:sz w:val="28"/>
          <w:szCs w:val="28"/>
          <w:lang w:eastAsia="es-ES"/>
        </w:rPr>
        <w:t>, los colectivos organizados y la sociedad en general. Sobre la base de tal premisa, la adquisición y el disfrute de los mayores niveles posibles en educación, conocimiento y cultura constituyen un reto para toda persona con discapacidad, en su justificado deseo de contribuir con sus propios talentos al progreso y al bienestar de la sociedad a la que pertenecen.</w:t>
      </w:r>
    </w:p>
    <w:p w:rsidR="003B20DC" w:rsidRPr="005E1103" w:rsidRDefault="003B20DC" w:rsidP="003B20DC">
      <w:pPr>
        <w:spacing w:after="0" w:line="360" w:lineRule="auto"/>
        <w:jc w:val="both"/>
        <w:rPr>
          <w:rFonts w:eastAsia="Times New Roman" w:cstheme="minorHAnsi"/>
          <w:sz w:val="28"/>
          <w:szCs w:val="28"/>
          <w:lang w:eastAsia="es-ES"/>
        </w:rPr>
      </w:pPr>
      <w:r w:rsidRPr="005E1103">
        <w:rPr>
          <w:rFonts w:eastAsia="Times New Roman" w:cstheme="minorHAnsi"/>
          <w:color w:val="333333"/>
          <w:sz w:val="28"/>
          <w:szCs w:val="28"/>
          <w:lang w:eastAsia="es-ES"/>
        </w:rPr>
        <w:t xml:space="preserve">Uno de los aspectos de ese problemático acceso a la educación y la cultura que las personas con discapacidad han tenido hasta ahora es </w:t>
      </w:r>
      <w:r w:rsidRPr="005E1103">
        <w:rPr>
          <w:rFonts w:eastAsia="Times New Roman" w:cstheme="minorHAnsi"/>
          <w:color w:val="333333"/>
          <w:sz w:val="28"/>
          <w:szCs w:val="28"/>
          <w:lang w:eastAsia="es-ES"/>
        </w:rPr>
        <w:lastRenderedPageBreak/>
        <w:t xml:space="preserve">precisamente el de sus grandes dificultades para acceder y </w:t>
      </w:r>
      <w:r w:rsidRPr="005E1103">
        <w:rPr>
          <w:rFonts w:eastAsia="Times New Roman" w:cstheme="minorHAnsi"/>
          <w:sz w:val="28"/>
          <w:szCs w:val="28"/>
          <w:lang w:eastAsia="es-ES"/>
        </w:rPr>
        <w:t xml:space="preserve">apreciar los tesoros culturales de los Museos. Ante semejante coyuntura, el Grupo de Investigación CAPIRE, adscrito a la Universidad Complutense de Madrid, organizó el </w:t>
      </w:r>
      <w:r w:rsidRPr="005E1103">
        <w:rPr>
          <w:rFonts w:eastAsia="Times New Roman" w:cstheme="minorHAnsi"/>
          <w:b/>
          <w:sz w:val="28"/>
          <w:szCs w:val="28"/>
          <w:lang w:eastAsia="es-ES"/>
        </w:rPr>
        <w:t>Consorcio MUSACCES</w:t>
      </w:r>
      <w:r w:rsidRPr="005E1103">
        <w:rPr>
          <w:rFonts w:eastAsia="Times New Roman" w:cstheme="minorHAnsi"/>
          <w:sz w:val="28"/>
          <w:szCs w:val="28"/>
          <w:lang w:eastAsia="es-ES"/>
        </w:rPr>
        <w:t xml:space="preserve"> con motivo de participar en una Convocatoria pública de la Comunidad de Madrid para Ayudas a la Investigación. Superando en forma creativa los convencionales requerimientos de dicha convocatoria, MUSACCES quedó constituido inicialmente por un equipo interdisciplinar e interinstitucional de 82 profesionales (hoy somos ya más de 90) especialistas en diversas áreas humanísticas, científicas y tecnológicas, los cuales están adscritos a ocho Grupos de Investigación de siete Facultades pertenecientes a la Universidad Complutense de Madrid (UCM), la Universidad Nacional de Educación a Distancia (UNED) y la Universidad Autónoma de Madrid (UAM). </w:t>
      </w:r>
    </w:p>
    <w:p w:rsidR="003B20DC" w:rsidRPr="005E1103" w:rsidRDefault="003B20DC" w:rsidP="003B20DC">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 xml:space="preserve">El proyecto propuesto por MUSACCES fue altamente valorado (pues quedó segundo, con escasa diferencia respecto al primer clasificado) y generosamente financiado por la Comunidad de Madrid con una asignación presupuestaria de 205.005,90 euros para el trienio 2016-2018. El motivo de tan alta evaluación e interés por parte de la CAM se debió al hecho de que MUSACCES diseñó su proyécto con el objetivo esencial de facilitar, con los más modernos y eficaces recursos tecnológicos, el acceso intelectual al patrimonio artístico-cultural del Museo del Prado a tres colectivos de especial accesibilidad: invidentes, personas sordas y reclusos en instituciones penitenciarias. </w:t>
      </w:r>
    </w:p>
    <w:p w:rsidR="003B20DC" w:rsidRPr="005E1103" w:rsidRDefault="003B20DC" w:rsidP="003B20DC">
      <w:pPr>
        <w:spacing w:after="0" w:line="360" w:lineRule="auto"/>
        <w:jc w:val="both"/>
        <w:rPr>
          <w:rFonts w:eastAsia="Times New Roman" w:cstheme="minorHAnsi"/>
          <w:sz w:val="28"/>
          <w:szCs w:val="28"/>
          <w:lang w:eastAsia="es-ES"/>
        </w:rPr>
      </w:pPr>
      <w:r w:rsidRPr="005E1103">
        <w:rPr>
          <w:rFonts w:eastAsia="Arial" w:cstheme="minorHAnsi"/>
          <w:color w:val="000000"/>
          <w:spacing w:val="2"/>
          <w:sz w:val="28"/>
          <w:szCs w:val="28"/>
          <w:lang w:eastAsia="es-ES"/>
        </w:rPr>
        <w:t xml:space="preserve">Con el propósito de cumplir la obligación moral de </w:t>
      </w:r>
      <w:r w:rsidRPr="005E1103">
        <w:rPr>
          <w:rFonts w:eastAsia="Arial" w:cstheme="minorHAnsi"/>
          <w:bCs/>
          <w:color w:val="000000"/>
          <w:spacing w:val="2"/>
          <w:sz w:val="28"/>
          <w:szCs w:val="28"/>
          <w:lang w:eastAsia="es-ES"/>
        </w:rPr>
        <w:t xml:space="preserve">satisfacer las necesidades educativas y culturales de estos tres grupos especialmente desfavorecidos, </w:t>
      </w:r>
      <w:r w:rsidRPr="005E1103">
        <w:rPr>
          <w:rFonts w:eastAsia="Arial" w:cstheme="minorHAnsi"/>
          <w:color w:val="000000"/>
          <w:spacing w:val="2"/>
          <w:sz w:val="28"/>
          <w:szCs w:val="28"/>
          <w:lang w:eastAsia="es-ES"/>
        </w:rPr>
        <w:t xml:space="preserve">MUSACCES integró en su equipo a especialistas de alto </w:t>
      </w:r>
      <w:r w:rsidRPr="005E1103">
        <w:rPr>
          <w:rFonts w:eastAsia="Arial" w:cstheme="minorHAnsi"/>
          <w:color w:val="000000"/>
          <w:spacing w:val="2"/>
          <w:sz w:val="28"/>
          <w:szCs w:val="28"/>
          <w:lang w:eastAsia="es-ES"/>
        </w:rPr>
        <w:lastRenderedPageBreak/>
        <w:t xml:space="preserve">nivel en contenidos histórico-artísticos, y sobre todo a </w:t>
      </w:r>
      <w:r w:rsidRPr="005E1103">
        <w:rPr>
          <w:rFonts w:eastAsia="Arial" w:cstheme="minorHAnsi"/>
          <w:color w:val="000000"/>
          <w:spacing w:val="2"/>
          <w:sz w:val="28"/>
          <w:szCs w:val="28"/>
          <w:lang w:val="la-Latn" w:eastAsia="es-ES"/>
        </w:rPr>
        <w:t xml:space="preserve">expertos </w:t>
      </w:r>
      <w:r w:rsidRPr="005E1103">
        <w:rPr>
          <w:rFonts w:eastAsia="Arial" w:cstheme="minorHAnsi"/>
          <w:color w:val="000000"/>
          <w:spacing w:val="2"/>
          <w:sz w:val="28"/>
          <w:szCs w:val="28"/>
          <w:lang w:eastAsia="es-ES"/>
        </w:rPr>
        <w:t xml:space="preserve">en áreas específicas de la ingeniería, las aplicaciones informáticas y las TICs, el braille y la lengua de signos, para lograr hacer intelectualmente accesibles a esos tres colectivos los contenidos artísticos mediante tales </w:t>
      </w:r>
      <w:r w:rsidRPr="005E1103">
        <w:rPr>
          <w:rFonts w:eastAsia="Arial" w:cstheme="minorHAnsi"/>
          <w:color w:val="000000"/>
          <w:spacing w:val="2"/>
          <w:sz w:val="28"/>
          <w:szCs w:val="28"/>
          <w:lang w:val="la-Latn" w:eastAsia="es-ES"/>
        </w:rPr>
        <w:t xml:space="preserve">recursos </w:t>
      </w:r>
      <w:r w:rsidRPr="005E1103">
        <w:rPr>
          <w:rFonts w:eastAsia="Arial" w:cstheme="minorHAnsi"/>
          <w:color w:val="000000"/>
          <w:spacing w:val="2"/>
          <w:sz w:val="28"/>
          <w:szCs w:val="28"/>
          <w:lang w:eastAsia="es-ES"/>
        </w:rPr>
        <w:t>tecnológicos.</w:t>
      </w:r>
      <w:r w:rsidRPr="005E1103">
        <w:rPr>
          <w:rFonts w:eastAsia="Times New Roman" w:cstheme="minorHAnsi"/>
          <w:sz w:val="28"/>
          <w:szCs w:val="28"/>
          <w:lang w:eastAsia="es-ES"/>
        </w:rPr>
        <w:t xml:space="preserve"> </w:t>
      </w:r>
    </w:p>
    <w:p w:rsidR="003B20DC" w:rsidRPr="005E1103" w:rsidRDefault="003B20DC" w:rsidP="003B20DC">
      <w:pPr>
        <w:spacing w:after="0" w:line="360" w:lineRule="auto"/>
        <w:jc w:val="both"/>
        <w:rPr>
          <w:rFonts w:eastAsia="Arial" w:cstheme="minorHAnsi"/>
          <w:color w:val="000000"/>
          <w:spacing w:val="2"/>
          <w:sz w:val="28"/>
          <w:szCs w:val="28"/>
          <w:lang w:eastAsia="es-ES"/>
        </w:rPr>
      </w:pPr>
      <w:r w:rsidRPr="005E1103">
        <w:rPr>
          <w:rFonts w:eastAsia="Times New Roman" w:cstheme="minorHAnsi"/>
          <w:sz w:val="28"/>
          <w:szCs w:val="28"/>
          <w:lang w:eastAsia="es-ES"/>
        </w:rPr>
        <w:t>Además de est</w:t>
      </w:r>
      <w:r w:rsidRPr="005E1103">
        <w:rPr>
          <w:rFonts w:eastAsia="Arial" w:cstheme="minorHAnsi"/>
          <w:color w:val="000000"/>
          <w:spacing w:val="2"/>
          <w:sz w:val="28"/>
          <w:szCs w:val="28"/>
          <w:lang w:eastAsia="es-ES"/>
        </w:rPr>
        <w:t>a colaboración interinstitucional de los diversos especialistas de los grupos de investigación de la UCM, la UNED y la UAM, nuestro Consorcio cuenta con el apoyo del Museo del Prado, la Cátedra Vodafone de Accesibilidad (Fundación Vodafone) y otros organismos que representan los intereses de los invidentes (ONCE), las personas sordas (Federación de Personas Sordas de la Comunidad de Madrid, FeSorCam), y los reclusos (Secretaria General de Instituciones Penitenciarias, Ministerio del Interior).</w:t>
      </w:r>
    </w:p>
    <w:p w:rsidR="003B20DC" w:rsidRPr="005E1103" w:rsidRDefault="003B20DC" w:rsidP="003B20DC">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 xml:space="preserve">Para llevar a feliz cumplimiento nuestros objetivos fundamentales, hemos estructurado la estrategia de investigación sobre cuatro pilares complementarios: el primero consiste en detectar, mediante encuestas diseñadas para esos tres colectivos, las necesidades e intereses específicos de cada uno de ellos respecto al patrimonio cultural del Museo del Prado; el segundo consiste en diseñar, crear y testar aplicaciones informáticas, sistemas virtuales y otras modernas TICs adaptadas para cada uno de esos tres grupos de accesibilidad excepcional; el tercero consiste en acoplar esos nuevos recursos tecnológicos a los contenidos artísticos seleccionados por cada colectivo entre las colecciones del Museo del Prado, para organizar recorridos temáticos, adaptados a las necesidades e intereses de cada colectivo especial; el cuarto consiste en establecer una red internacional de instituciones académicas y museísticas y de expertos en discapacidad, cultura accesible e inclusión social, la cual (red) nos </w:t>
      </w:r>
      <w:r w:rsidRPr="005E1103">
        <w:rPr>
          <w:rFonts w:eastAsia="Times New Roman" w:cstheme="minorHAnsi"/>
          <w:sz w:val="28"/>
          <w:szCs w:val="28"/>
          <w:lang w:eastAsia="es-ES"/>
        </w:rPr>
        <w:lastRenderedPageBreak/>
        <w:t>permita promover y difundir con alcance mundial iniciativas tendentes a facilitar el acceso intelectual a la educación, el arte y la cultura a colectivos con necesidades especiales de accesibilidad.</w:t>
      </w:r>
    </w:p>
    <w:p w:rsidR="003B20DC" w:rsidRPr="005E1103" w:rsidRDefault="003B20DC" w:rsidP="003B20DC">
      <w:pPr>
        <w:spacing w:after="0" w:line="360" w:lineRule="auto"/>
        <w:jc w:val="both"/>
        <w:rPr>
          <w:rFonts w:eastAsia="Times New Roman" w:cstheme="minorHAnsi"/>
          <w:sz w:val="28"/>
          <w:szCs w:val="28"/>
          <w:lang w:eastAsia="es-ES"/>
        </w:rPr>
      </w:pPr>
    </w:p>
    <w:p w:rsidR="003B20DC" w:rsidRPr="005E1103" w:rsidRDefault="003B20DC" w:rsidP="003B20DC">
      <w:pPr>
        <w:numPr>
          <w:ilvl w:val="1"/>
          <w:numId w:val="146"/>
        </w:numPr>
        <w:tabs>
          <w:tab w:val="left" w:pos="567"/>
        </w:tabs>
        <w:spacing w:after="0" w:line="360" w:lineRule="auto"/>
        <w:ind w:left="284" w:hanging="284"/>
        <w:jc w:val="both"/>
        <w:rPr>
          <w:rFonts w:eastAsia="Times New Roman" w:cstheme="minorHAnsi"/>
          <w:sz w:val="28"/>
          <w:szCs w:val="28"/>
          <w:lang w:eastAsia="es-ES"/>
        </w:rPr>
      </w:pPr>
      <w:r w:rsidRPr="005E1103">
        <w:rPr>
          <w:rFonts w:eastAsia="Times New Roman" w:cstheme="minorHAnsi"/>
          <w:b/>
          <w:sz w:val="28"/>
          <w:szCs w:val="28"/>
          <w:lang w:eastAsia="es-ES"/>
        </w:rPr>
        <w:t>Revisión de la literatura</w:t>
      </w:r>
      <w:r w:rsidRPr="005E1103">
        <w:rPr>
          <w:rFonts w:eastAsia="Times New Roman" w:cstheme="minorHAnsi"/>
          <w:sz w:val="28"/>
          <w:szCs w:val="28"/>
          <w:lang w:eastAsia="es-ES"/>
        </w:rPr>
        <w:t xml:space="preserve"> </w:t>
      </w:r>
    </w:p>
    <w:p w:rsidR="003B20DC" w:rsidRPr="005E1103" w:rsidRDefault="003B20DC" w:rsidP="003B20DC">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No es posible intentar siquiera esbozar en los breves límites de esta Comunicación un Estado de la Cuestión</w:t>
      </w:r>
      <w:r w:rsidRPr="005E1103">
        <w:rPr>
          <w:rFonts w:eastAsia="Times New Roman" w:cstheme="minorHAnsi"/>
          <w:i/>
          <w:sz w:val="28"/>
          <w:szCs w:val="28"/>
          <w:lang w:eastAsia="es-ES"/>
        </w:rPr>
        <w:t xml:space="preserve"> </w:t>
      </w:r>
      <w:r w:rsidRPr="005E1103">
        <w:rPr>
          <w:rFonts w:eastAsia="Times New Roman" w:cstheme="minorHAnsi"/>
          <w:sz w:val="28"/>
          <w:szCs w:val="28"/>
          <w:lang w:eastAsia="es-ES"/>
        </w:rPr>
        <w:t xml:space="preserve">de los incontables estudios publicados sobre discapacidad funcional, inclusión social, universidad inclusiva, sociedad incluyente y accesibilidad al arte. Caso interesante al respecto es el libro colectivo editado en 2003 por E. Salzhauer Axel y N. Sobol Levent, </w:t>
      </w:r>
      <w:r w:rsidRPr="005E1103">
        <w:rPr>
          <w:rFonts w:eastAsia="Times New Roman" w:cstheme="minorHAnsi"/>
          <w:i/>
          <w:sz w:val="28"/>
          <w:szCs w:val="28"/>
          <w:lang w:eastAsia="es-ES"/>
        </w:rPr>
        <w:t>Art beyond Sight. A resource guide to Art, Creativity and Visual Impairment</w:t>
      </w:r>
      <w:r w:rsidRPr="005E1103">
        <w:rPr>
          <w:rFonts w:eastAsia="Times New Roman" w:cstheme="minorHAnsi"/>
          <w:sz w:val="28"/>
          <w:szCs w:val="28"/>
          <w:lang w:eastAsia="es-ES"/>
        </w:rPr>
        <w:t>. Centrándose en la disfuncionalidad visual, los diversos especialistas que colaboran en este libro (psicólogos, docentes, conservadores de museos, estudiantes de arte, artistas, etc., algunos de ellos invidentes) exponen desde su específica actividad profesional estrategias innovadoras para que los deficientes visuales puedan apreciar el arte: entre tales estrategias sobresalen la experiencia táctil de la obra de arte, descripciones verbales (audioguías), dramatización, talleres de creatividad en arte, etc.</w:t>
      </w:r>
    </w:p>
    <w:p w:rsidR="003B20DC" w:rsidRPr="005E1103" w:rsidRDefault="003B20DC" w:rsidP="003B20DC">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 xml:space="preserve">Permítasenos, a título de ejemplos, otras breves referencias a algunos trabajos publicados últimamente en España. María Dolores Ruiz de Lacanal (2004), en el artículo “Discapacidad y sociedad: Un programa educativo en el Museo dirigido a personas con discapacidad visual”, expone el programa didáctico que ella, como profesora de Museología y Legislación Artística en la Facultad de Bellas Artes de la Universidad de Sevilla, realizó en el Museo Arqueológico de Sevilla con los alumnos del </w:t>
      </w:r>
      <w:r w:rsidRPr="005E1103">
        <w:rPr>
          <w:rFonts w:eastAsia="Times New Roman" w:cstheme="minorHAnsi"/>
          <w:sz w:val="28"/>
          <w:szCs w:val="28"/>
          <w:lang w:eastAsia="es-ES"/>
        </w:rPr>
        <w:lastRenderedPageBreak/>
        <w:t xml:space="preserve">Colegio Luis Braille de Sevilla, todos ellos niños y jóvenes con discapacidad visual. </w:t>
      </w:r>
    </w:p>
    <w:p w:rsidR="003B20DC" w:rsidRPr="005E1103" w:rsidRDefault="003B20DC" w:rsidP="003B20DC">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 xml:space="preserve">En 2011 la revista </w:t>
      </w:r>
      <w:r w:rsidRPr="005E1103">
        <w:rPr>
          <w:rFonts w:eastAsia="Times New Roman" w:cstheme="minorHAnsi"/>
          <w:i/>
          <w:sz w:val="28"/>
          <w:szCs w:val="28"/>
          <w:lang w:eastAsia="es-ES"/>
        </w:rPr>
        <w:t>ICOM España Digital</w:t>
      </w:r>
      <w:r w:rsidRPr="005E1103">
        <w:rPr>
          <w:rFonts w:eastAsia="Times New Roman" w:cstheme="minorHAnsi"/>
          <w:sz w:val="28"/>
          <w:szCs w:val="28"/>
          <w:lang w:eastAsia="es-ES"/>
        </w:rPr>
        <w:t xml:space="preserve"> dedicó su nº 2 al </w:t>
      </w:r>
      <w:r w:rsidRPr="005E1103">
        <w:rPr>
          <w:rFonts w:eastAsia="Times New Roman" w:cstheme="minorHAnsi"/>
          <w:i/>
          <w:sz w:val="28"/>
          <w:szCs w:val="28"/>
          <w:lang w:eastAsia="es-ES"/>
        </w:rPr>
        <w:t>dossier</w:t>
      </w:r>
      <w:r w:rsidRPr="005E1103">
        <w:rPr>
          <w:rFonts w:eastAsia="Times New Roman" w:cstheme="minorHAnsi"/>
          <w:sz w:val="28"/>
          <w:szCs w:val="28"/>
          <w:lang w:eastAsia="es-ES"/>
        </w:rPr>
        <w:t xml:space="preserve"> monográfico </w:t>
      </w:r>
      <w:r w:rsidRPr="005E1103">
        <w:rPr>
          <w:rFonts w:eastAsia="Times New Roman" w:cstheme="minorHAnsi"/>
          <w:i/>
          <w:sz w:val="28"/>
          <w:szCs w:val="28"/>
          <w:lang w:eastAsia="es-ES"/>
        </w:rPr>
        <w:t>Museo e inclusión social</w:t>
      </w:r>
      <w:r w:rsidRPr="005E1103">
        <w:rPr>
          <w:rFonts w:eastAsia="Times New Roman" w:cstheme="minorHAnsi"/>
          <w:sz w:val="28"/>
          <w:szCs w:val="28"/>
          <w:lang w:eastAsia="es-ES"/>
        </w:rPr>
        <w:t xml:space="preserve">, en el que varios autores exponen las iniciativas de accesibilidad especial emprendidas por museos e instituciones culturales de España, como la Fundación Miró, el Museo de Ciencias Naturales de Valencia, el Museo Nacional de Antropología (Madrid), el Museo Reina Sofía, el Museo Tiflológico (de la ONCE) y otros museos nacionales. En ese número de </w:t>
      </w:r>
      <w:r w:rsidRPr="005E1103">
        <w:rPr>
          <w:rFonts w:eastAsia="Times New Roman" w:cstheme="minorHAnsi"/>
          <w:i/>
          <w:sz w:val="28"/>
          <w:szCs w:val="28"/>
          <w:lang w:eastAsia="es-ES"/>
        </w:rPr>
        <w:t>ICOM España Digital</w:t>
      </w:r>
      <w:r w:rsidRPr="005E1103">
        <w:rPr>
          <w:rFonts w:eastAsia="Times New Roman" w:cstheme="minorHAnsi"/>
          <w:sz w:val="28"/>
          <w:szCs w:val="28"/>
          <w:lang w:eastAsia="es-ES"/>
        </w:rPr>
        <w:t>, el conservador Pedro J. Lavado (2011) esboza en su artículo “‘Museos para todos’: Accesibles, inclusivos y multiculturales” una panorámica sucinta sobre iniciativas de museos españoles en este delicado asunto.</w:t>
      </w:r>
    </w:p>
    <w:p w:rsidR="003B20DC" w:rsidRPr="005E1103" w:rsidRDefault="003B20DC" w:rsidP="003B20DC">
      <w:pPr>
        <w:spacing w:after="0" w:line="360" w:lineRule="auto"/>
        <w:jc w:val="both"/>
        <w:rPr>
          <w:rFonts w:eastAsia="Times New Roman" w:cstheme="minorHAnsi"/>
          <w:iCs/>
          <w:color w:val="111111"/>
          <w:sz w:val="28"/>
          <w:szCs w:val="28"/>
          <w:shd w:val="clear" w:color="auto" w:fill="FFFFFF"/>
          <w:lang w:eastAsia="es-ES"/>
        </w:rPr>
      </w:pPr>
      <w:r w:rsidRPr="005E1103">
        <w:rPr>
          <w:rFonts w:eastAsia="Times New Roman" w:cstheme="minorHAnsi"/>
          <w:iCs/>
          <w:color w:val="111111"/>
          <w:sz w:val="28"/>
          <w:szCs w:val="28"/>
          <w:shd w:val="clear" w:color="auto" w:fill="FFFFFF"/>
          <w:lang w:eastAsia="es-ES"/>
        </w:rPr>
        <w:t xml:space="preserve">En su artículo “La accesibilidad en el Museo desde una perspectiva sociológica”, Cristina Álvarez de Morales Mercado (2013) plantea la necesidad de hacer accesibles los espacios museísticos desde cualquier aspecto para facilitar el acceso a la cultura de cualquier persona, independientemente de sus discapacidades. La autora describe los tipos de accesibilidad, y pone como ejemplo el proyecto piloto del Museo Reina Sofía para acercar la cultura a cualquier grupo social. </w:t>
      </w:r>
    </w:p>
    <w:p w:rsidR="003B20DC" w:rsidRPr="005E1103" w:rsidRDefault="003B20DC" w:rsidP="003B20DC">
      <w:pPr>
        <w:spacing w:after="0" w:line="360" w:lineRule="auto"/>
        <w:jc w:val="both"/>
        <w:rPr>
          <w:rFonts w:eastAsia="Times New Roman" w:cstheme="minorHAnsi"/>
          <w:iCs/>
          <w:color w:val="111111"/>
          <w:sz w:val="28"/>
          <w:szCs w:val="28"/>
          <w:shd w:val="clear" w:color="auto" w:fill="FFFFFF"/>
          <w:lang w:eastAsia="es-ES"/>
        </w:rPr>
      </w:pPr>
      <w:r w:rsidRPr="005E1103">
        <w:rPr>
          <w:rFonts w:eastAsia="Times New Roman" w:cstheme="minorHAnsi"/>
          <w:iCs/>
          <w:color w:val="111111"/>
          <w:sz w:val="28"/>
          <w:szCs w:val="28"/>
          <w:shd w:val="clear" w:color="auto" w:fill="FFFFFF"/>
          <w:lang w:eastAsia="es-ES"/>
        </w:rPr>
        <w:t>Silvia Soler Gallego y Javier Chica Núñez (2014), en el artículo</w:t>
      </w:r>
      <w:r w:rsidRPr="005E1103">
        <w:rPr>
          <w:rFonts w:eastAsia="Times New Roman" w:cstheme="minorHAnsi"/>
          <w:i/>
          <w:iCs/>
          <w:color w:val="111111"/>
          <w:sz w:val="28"/>
          <w:szCs w:val="28"/>
          <w:shd w:val="clear" w:color="auto" w:fill="FFFFFF"/>
          <w:lang w:eastAsia="es-ES"/>
        </w:rPr>
        <w:t xml:space="preserve"> </w:t>
      </w:r>
      <w:r w:rsidRPr="005E1103">
        <w:rPr>
          <w:rFonts w:eastAsia="Times New Roman" w:cstheme="minorHAnsi"/>
          <w:iCs/>
          <w:color w:val="111111"/>
          <w:sz w:val="28"/>
          <w:szCs w:val="28"/>
          <w:shd w:val="clear" w:color="auto" w:fill="FFFFFF"/>
          <w:lang w:eastAsia="es-ES"/>
        </w:rPr>
        <w:t xml:space="preserve">“Museos para todos: evaluación de una guía audiodescriptiva para personas con discapacidad visual en el Museo de Ciencias”, ofrecen los resultados del estudio que efectuaron en el Parque de las Ciencias de Granada con discapacitados visuales, a quienes se les facilitó una audioguía creada por los autores en el marco del proyecto TACTO. La evaluación de la guía en los aspectos lingüísticos de sus contenidos, junto con técnicas de observación participante, encuesta y entrevistas, arrojó como resultado </w:t>
      </w:r>
      <w:r w:rsidRPr="005E1103">
        <w:rPr>
          <w:rFonts w:eastAsia="Times New Roman" w:cstheme="minorHAnsi"/>
          <w:iCs/>
          <w:color w:val="111111"/>
          <w:sz w:val="28"/>
          <w:szCs w:val="28"/>
          <w:shd w:val="clear" w:color="auto" w:fill="FFFFFF"/>
          <w:lang w:eastAsia="es-ES"/>
        </w:rPr>
        <w:lastRenderedPageBreak/>
        <w:t>que las expectativas y necesidades de cada visitante varían mucho en función de sus características individuales, relacionadas con su nivel de discapacidad y sus hábitos de visita a museos.</w:t>
      </w:r>
    </w:p>
    <w:p w:rsidR="003B20DC" w:rsidRPr="005E1103" w:rsidRDefault="003B20DC" w:rsidP="003B20DC">
      <w:pPr>
        <w:spacing w:after="0" w:line="360" w:lineRule="auto"/>
        <w:jc w:val="both"/>
        <w:rPr>
          <w:rFonts w:eastAsia="Times New Roman" w:cstheme="minorHAnsi"/>
          <w:iCs/>
          <w:color w:val="111111"/>
          <w:sz w:val="28"/>
          <w:szCs w:val="28"/>
          <w:shd w:val="clear" w:color="auto" w:fill="FFFFFF"/>
          <w:lang w:eastAsia="es-ES"/>
        </w:rPr>
      </w:pPr>
    </w:p>
    <w:p w:rsidR="003B20DC" w:rsidRPr="005E1103" w:rsidRDefault="003B20DC" w:rsidP="003B20DC">
      <w:pPr>
        <w:numPr>
          <w:ilvl w:val="1"/>
          <w:numId w:val="146"/>
        </w:numPr>
        <w:tabs>
          <w:tab w:val="left" w:pos="284"/>
        </w:tabs>
        <w:spacing w:after="0" w:line="360" w:lineRule="auto"/>
        <w:ind w:left="284" w:hanging="284"/>
        <w:jc w:val="both"/>
        <w:rPr>
          <w:rFonts w:eastAsia="Times New Roman" w:cstheme="minorHAnsi"/>
          <w:sz w:val="28"/>
          <w:szCs w:val="28"/>
          <w:lang w:eastAsia="es-ES"/>
        </w:rPr>
      </w:pPr>
      <w:r w:rsidRPr="005E1103">
        <w:rPr>
          <w:rFonts w:eastAsia="Times New Roman" w:cstheme="minorHAnsi"/>
          <w:b/>
          <w:sz w:val="28"/>
          <w:szCs w:val="28"/>
          <w:lang w:eastAsia="es-ES"/>
        </w:rPr>
        <w:t>Objetivos</w:t>
      </w:r>
      <w:r w:rsidRPr="005E1103">
        <w:rPr>
          <w:rFonts w:eastAsia="Times New Roman" w:cstheme="minorHAnsi"/>
          <w:sz w:val="28"/>
          <w:szCs w:val="28"/>
          <w:lang w:eastAsia="es-ES"/>
        </w:rPr>
        <w:t xml:space="preserve"> </w:t>
      </w:r>
    </w:p>
    <w:p w:rsidR="003B20DC" w:rsidRPr="005E1103" w:rsidRDefault="003B20DC" w:rsidP="003B20DC">
      <w:pPr>
        <w:shd w:val="clear" w:color="auto" w:fill="FFFFFF"/>
        <w:spacing w:after="0" w:line="360" w:lineRule="auto"/>
        <w:jc w:val="both"/>
        <w:textAlignment w:val="baseline"/>
        <w:rPr>
          <w:rFonts w:eastAsia="Times New Roman" w:cstheme="minorHAnsi"/>
          <w:sz w:val="28"/>
          <w:szCs w:val="28"/>
          <w:lang w:eastAsia="es-ES"/>
        </w:rPr>
      </w:pPr>
      <w:r w:rsidRPr="005E1103">
        <w:rPr>
          <w:rFonts w:eastAsia="Times New Roman" w:cstheme="minorHAnsi"/>
          <w:color w:val="444444"/>
          <w:sz w:val="28"/>
          <w:szCs w:val="28"/>
          <w:lang w:eastAsia="es-ES"/>
        </w:rPr>
        <w:t xml:space="preserve">Los </w:t>
      </w:r>
      <w:r w:rsidRPr="005E1103">
        <w:rPr>
          <w:rFonts w:eastAsia="Times New Roman" w:cstheme="minorHAnsi"/>
          <w:sz w:val="28"/>
          <w:szCs w:val="28"/>
          <w:lang w:eastAsia="es-ES"/>
        </w:rPr>
        <w:t xml:space="preserve">objetivos esenciales de MUSACCES son: </w:t>
      </w:r>
    </w:p>
    <w:p w:rsidR="003B20DC" w:rsidRPr="005E1103" w:rsidRDefault="003B20DC" w:rsidP="003B20DC">
      <w:pPr>
        <w:shd w:val="clear" w:color="auto" w:fill="FFFFFF"/>
        <w:spacing w:after="0" w:line="360" w:lineRule="auto"/>
        <w:jc w:val="both"/>
        <w:rPr>
          <w:rFonts w:eastAsia="Times New Roman" w:cstheme="minorHAnsi"/>
          <w:color w:val="333333"/>
          <w:sz w:val="28"/>
          <w:szCs w:val="28"/>
          <w:lang w:eastAsia="es-ES"/>
        </w:rPr>
      </w:pPr>
      <w:r w:rsidRPr="005E1103">
        <w:rPr>
          <w:rFonts w:eastAsia="Times New Roman" w:cstheme="minorHAnsi"/>
          <w:sz w:val="28"/>
          <w:szCs w:val="28"/>
          <w:lang w:eastAsia="es-ES"/>
        </w:rPr>
        <w:t xml:space="preserve">1) Trazar el </w:t>
      </w:r>
      <w:r w:rsidRPr="005E1103">
        <w:rPr>
          <w:rFonts w:eastAsia="Times New Roman" w:cstheme="minorHAnsi"/>
          <w:i/>
          <w:sz w:val="28"/>
          <w:szCs w:val="28"/>
          <w:lang w:eastAsia="es-ES"/>
        </w:rPr>
        <w:t>status quaestionis</w:t>
      </w:r>
      <w:r w:rsidRPr="005E1103">
        <w:rPr>
          <w:rFonts w:eastAsia="Times New Roman" w:cstheme="minorHAnsi"/>
          <w:sz w:val="28"/>
          <w:szCs w:val="28"/>
          <w:lang w:eastAsia="es-ES"/>
        </w:rPr>
        <w:t xml:space="preserve"> sobre las investigaciones más recientes y relevantes nacionales e internacionales sobre “educación y cultura accesible”, universidad y discapacidad, que buscan</w:t>
      </w:r>
      <w:r w:rsidRPr="005E1103">
        <w:rPr>
          <w:rFonts w:eastAsia="Times New Roman" w:cstheme="minorHAnsi"/>
          <w:color w:val="333333"/>
          <w:sz w:val="28"/>
          <w:szCs w:val="28"/>
          <w:lang w:eastAsia="es-ES"/>
        </w:rPr>
        <w:t xml:space="preserve"> potenciar la eficiencia educativa con vistas a mejorar la calidad de vida de las personas con discapacidad.</w:t>
      </w:r>
    </w:p>
    <w:p w:rsidR="003B20DC" w:rsidRPr="005E1103" w:rsidRDefault="003B20DC" w:rsidP="003B20DC">
      <w:pPr>
        <w:shd w:val="clear" w:color="auto" w:fill="FFFFFF"/>
        <w:spacing w:after="0" w:line="360" w:lineRule="auto"/>
        <w:jc w:val="both"/>
        <w:outlineLvl w:val="1"/>
        <w:rPr>
          <w:rFonts w:eastAsia="Times New Roman" w:cstheme="minorHAnsi"/>
          <w:color w:val="333333"/>
          <w:sz w:val="28"/>
          <w:szCs w:val="28"/>
          <w:highlight w:val="yellow"/>
          <w:lang w:eastAsia="es-ES"/>
        </w:rPr>
      </w:pPr>
      <w:r w:rsidRPr="005E1103">
        <w:rPr>
          <w:rFonts w:eastAsia="Times New Roman" w:cstheme="minorHAnsi"/>
          <w:sz w:val="28"/>
          <w:szCs w:val="28"/>
          <w:lang w:eastAsia="es-ES"/>
        </w:rPr>
        <w:t xml:space="preserve">2) Detectar y analizar los intereses y necesidades de cada uno de los tres colectivos con especial accesibilidad respecto al patrimonio artístico del Museo del Prado. </w:t>
      </w:r>
    </w:p>
    <w:p w:rsidR="003B20DC" w:rsidRPr="005E1103" w:rsidRDefault="003B20DC" w:rsidP="003B20DC">
      <w:pPr>
        <w:shd w:val="clear" w:color="auto" w:fill="FFFFFF"/>
        <w:spacing w:after="0" w:line="360" w:lineRule="auto"/>
        <w:jc w:val="both"/>
        <w:textAlignment w:val="baseline"/>
        <w:rPr>
          <w:rFonts w:eastAsia="Times New Roman" w:cstheme="minorHAnsi"/>
          <w:sz w:val="28"/>
          <w:szCs w:val="28"/>
          <w:lang w:eastAsia="es-ES"/>
        </w:rPr>
      </w:pPr>
      <w:r w:rsidRPr="005E1103">
        <w:rPr>
          <w:rFonts w:eastAsia="Times New Roman" w:cstheme="minorHAnsi"/>
          <w:sz w:val="28"/>
          <w:szCs w:val="28"/>
          <w:lang w:eastAsia="es-ES"/>
        </w:rPr>
        <w:t xml:space="preserve">3) Organizar las líneas temáticas, los recorridos interactivos y las aplicaciones tecnológicas con los contenidos artísticos del Museo para adaptarlos a los productos que se generarán para cada colectivo destinatario según sus intereses y necesidades. </w:t>
      </w:r>
    </w:p>
    <w:p w:rsidR="003B20DC" w:rsidRPr="005E1103" w:rsidRDefault="003B20DC" w:rsidP="003B20DC">
      <w:pPr>
        <w:shd w:val="clear" w:color="auto" w:fill="FFFFFF"/>
        <w:spacing w:after="0" w:line="360" w:lineRule="auto"/>
        <w:jc w:val="both"/>
        <w:textAlignment w:val="baseline"/>
        <w:rPr>
          <w:rFonts w:eastAsia="Times New Roman" w:cstheme="minorHAnsi"/>
          <w:sz w:val="28"/>
          <w:szCs w:val="28"/>
          <w:lang w:eastAsia="es-ES"/>
        </w:rPr>
      </w:pPr>
      <w:r w:rsidRPr="005E1103">
        <w:rPr>
          <w:rFonts w:eastAsia="Times New Roman" w:cstheme="minorHAnsi"/>
          <w:sz w:val="28"/>
          <w:szCs w:val="28"/>
          <w:lang w:eastAsia="es-ES"/>
        </w:rPr>
        <w:t xml:space="preserve">4) Investigar los contenidos temáticos, adaptar las unidades didácticas y programar los sistemas tecnológicos necesarios para los tres citados grupos de accesibilidad especial. </w:t>
      </w:r>
    </w:p>
    <w:p w:rsidR="003B20DC" w:rsidRPr="005E1103" w:rsidRDefault="003B20DC" w:rsidP="003B20DC">
      <w:pPr>
        <w:shd w:val="clear" w:color="auto" w:fill="FFFFFF"/>
        <w:spacing w:after="0" w:line="360" w:lineRule="auto"/>
        <w:jc w:val="both"/>
        <w:outlineLvl w:val="1"/>
        <w:rPr>
          <w:rFonts w:eastAsia="Times New Roman" w:cstheme="minorHAnsi"/>
          <w:color w:val="333333"/>
          <w:sz w:val="28"/>
          <w:szCs w:val="28"/>
          <w:lang w:eastAsia="es-ES"/>
        </w:rPr>
      </w:pPr>
      <w:r w:rsidRPr="005E1103">
        <w:rPr>
          <w:rFonts w:eastAsia="Times New Roman" w:cstheme="minorHAnsi"/>
          <w:sz w:val="28"/>
          <w:szCs w:val="28"/>
          <w:lang w:eastAsia="es-ES"/>
        </w:rPr>
        <w:t xml:space="preserve">5) Producir, revisar y probar los prototipos de aplicaciones, sistemas y exposiciones que traduzcan los recorridos virtuales adaptados a los invidentes, personas sordas y reclusos. </w:t>
      </w:r>
    </w:p>
    <w:p w:rsidR="003B20DC" w:rsidRPr="005E1103" w:rsidRDefault="003B20DC" w:rsidP="003B20DC">
      <w:pPr>
        <w:shd w:val="clear" w:color="auto" w:fill="FFFFFF"/>
        <w:spacing w:after="0" w:line="360" w:lineRule="auto"/>
        <w:jc w:val="both"/>
        <w:outlineLvl w:val="1"/>
        <w:rPr>
          <w:rFonts w:eastAsia="Times New Roman" w:cstheme="minorHAnsi"/>
          <w:sz w:val="28"/>
          <w:szCs w:val="28"/>
          <w:lang w:eastAsia="es-ES"/>
        </w:rPr>
      </w:pPr>
      <w:r w:rsidRPr="005E1103">
        <w:rPr>
          <w:rFonts w:eastAsia="Times New Roman" w:cstheme="minorHAnsi"/>
          <w:sz w:val="28"/>
          <w:szCs w:val="28"/>
          <w:lang w:eastAsia="es-ES"/>
        </w:rPr>
        <w:t>6) Difundir los resultados entre los principales foros de los tres colectivos destinatarios en particular, y entre los agentes sociales en general.</w:t>
      </w:r>
    </w:p>
    <w:p w:rsidR="003B20DC" w:rsidRPr="005E1103" w:rsidRDefault="003B20DC" w:rsidP="003B20DC">
      <w:pPr>
        <w:shd w:val="clear" w:color="auto" w:fill="FFFFFF"/>
        <w:spacing w:after="0" w:line="360" w:lineRule="auto"/>
        <w:jc w:val="both"/>
        <w:textAlignment w:val="baseline"/>
        <w:rPr>
          <w:rFonts w:eastAsia="Times New Roman" w:cstheme="minorHAnsi"/>
          <w:sz w:val="28"/>
          <w:szCs w:val="28"/>
          <w:lang w:eastAsia="es-ES"/>
        </w:rPr>
      </w:pPr>
      <w:r w:rsidRPr="005E1103">
        <w:rPr>
          <w:rFonts w:eastAsia="Times New Roman" w:cstheme="minorHAnsi"/>
          <w:sz w:val="28"/>
          <w:szCs w:val="28"/>
          <w:lang w:eastAsia="es-ES"/>
        </w:rPr>
        <w:lastRenderedPageBreak/>
        <w:t xml:space="preserve">7) Evaluar cuantitativa y cualitativamente el impacto y grado de satisfacción que en cada colectivo de accesibilidad especial tienen las aplicaciones y visitas virtuales producidas para ellos, </w:t>
      </w:r>
      <w:r w:rsidRPr="005E1103">
        <w:rPr>
          <w:rFonts w:eastAsia="Times New Roman" w:cstheme="minorHAnsi"/>
          <w:color w:val="333333"/>
          <w:sz w:val="28"/>
          <w:szCs w:val="28"/>
          <w:lang w:eastAsia="es-ES"/>
        </w:rPr>
        <w:t>buscando mejorar la calidad de los servicios de atención a la discapacidad</w:t>
      </w:r>
      <w:r w:rsidRPr="005E1103">
        <w:rPr>
          <w:rFonts w:eastAsia="Times New Roman" w:cstheme="minorHAnsi"/>
          <w:sz w:val="28"/>
          <w:szCs w:val="28"/>
          <w:lang w:eastAsia="es-ES"/>
        </w:rPr>
        <w:t xml:space="preserve">. </w:t>
      </w:r>
    </w:p>
    <w:p w:rsidR="003B20DC" w:rsidRPr="005E1103" w:rsidRDefault="003B20DC" w:rsidP="003B20DC">
      <w:pPr>
        <w:shd w:val="clear" w:color="auto" w:fill="FFFFFF"/>
        <w:spacing w:after="0" w:line="360" w:lineRule="auto"/>
        <w:jc w:val="both"/>
        <w:textAlignment w:val="baseline"/>
        <w:rPr>
          <w:rFonts w:eastAsia="Times New Roman" w:cstheme="minorHAnsi"/>
          <w:sz w:val="28"/>
          <w:szCs w:val="28"/>
          <w:lang w:eastAsia="es-ES"/>
        </w:rPr>
      </w:pPr>
      <w:r w:rsidRPr="005E1103">
        <w:rPr>
          <w:rFonts w:eastAsia="Times New Roman" w:cstheme="minorHAnsi"/>
          <w:sz w:val="28"/>
          <w:szCs w:val="28"/>
          <w:lang w:eastAsia="es-ES"/>
        </w:rPr>
        <w:t>8) Transferir los resultados de la investigación a organismos e instituciones museísticas nacionales y extranjeras organizando un Congreso internacional sobre “Museografía e integración social”, y publicando un libro sobre el tema</w:t>
      </w:r>
      <w:r w:rsidRPr="005E1103">
        <w:rPr>
          <w:rFonts w:eastAsia="Times New Roman" w:cstheme="minorHAnsi"/>
          <w:color w:val="333333"/>
          <w:sz w:val="28"/>
          <w:szCs w:val="28"/>
          <w:lang w:eastAsia="es-ES"/>
        </w:rPr>
        <w:t xml:space="preserve"> que fomente el conocimiento de nuevas técnicas, herramientas y experiencias comprobadamente eficaces en este campo</w:t>
      </w:r>
      <w:r w:rsidRPr="005E1103">
        <w:rPr>
          <w:rFonts w:eastAsia="Times New Roman" w:cstheme="minorHAnsi"/>
          <w:sz w:val="28"/>
          <w:szCs w:val="28"/>
          <w:lang w:eastAsia="es-ES"/>
        </w:rPr>
        <w:t xml:space="preserve">. </w:t>
      </w:r>
    </w:p>
    <w:p w:rsidR="003B20DC" w:rsidRPr="005E1103" w:rsidRDefault="003B20DC" w:rsidP="003B20DC">
      <w:pPr>
        <w:spacing w:after="0" w:line="360" w:lineRule="auto"/>
        <w:jc w:val="both"/>
        <w:rPr>
          <w:rFonts w:eastAsia="Times New Roman" w:cstheme="minorHAnsi"/>
          <w:b/>
          <w:bCs/>
          <w:sz w:val="28"/>
          <w:szCs w:val="28"/>
          <w:lang w:eastAsia="es-ES"/>
        </w:rPr>
      </w:pPr>
    </w:p>
    <w:p w:rsidR="003B20DC" w:rsidRPr="005E1103" w:rsidRDefault="003B20DC" w:rsidP="003B20DC">
      <w:pPr>
        <w:spacing w:after="0" w:line="360" w:lineRule="auto"/>
        <w:jc w:val="both"/>
        <w:rPr>
          <w:rFonts w:eastAsia="Times New Roman" w:cstheme="minorHAnsi"/>
          <w:b/>
          <w:bCs/>
          <w:sz w:val="28"/>
          <w:szCs w:val="28"/>
          <w:lang w:eastAsia="es-ES"/>
        </w:rPr>
      </w:pPr>
      <w:r w:rsidRPr="005E1103">
        <w:rPr>
          <w:rFonts w:eastAsia="Times New Roman" w:cstheme="minorHAnsi"/>
          <w:b/>
          <w:bCs/>
          <w:sz w:val="28"/>
          <w:szCs w:val="28"/>
          <w:lang w:eastAsia="es-ES"/>
        </w:rPr>
        <w:t xml:space="preserve">2. MÉTODO </w:t>
      </w:r>
    </w:p>
    <w:p w:rsidR="003B20DC" w:rsidRPr="005E1103" w:rsidRDefault="003B20DC" w:rsidP="003B20DC">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 xml:space="preserve">El método para cumplir esos objetivos se basa en cuatro estrategias complementarias: </w:t>
      </w:r>
    </w:p>
    <w:p w:rsidR="003B20DC" w:rsidRPr="005E1103" w:rsidRDefault="003B20DC" w:rsidP="003B20DC">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 xml:space="preserve">a) efectuar investigaciones histórico-artísticas para diseñar los contenidos académicos sobre el patrimonio artístico del Prado adaptados para cada uno de esos tres colectivos; </w:t>
      </w:r>
    </w:p>
    <w:p w:rsidR="003B20DC" w:rsidRPr="005E1103" w:rsidRDefault="003B20DC" w:rsidP="003B20DC">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 xml:space="preserve">b) realizar estudios didácticos y encuestas para detectar los intereses y necesidades de cada colectivo específico en este ámbito; </w:t>
      </w:r>
    </w:p>
    <w:p w:rsidR="003B20DC" w:rsidRPr="005E1103" w:rsidRDefault="003B20DC" w:rsidP="003B20DC">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 xml:space="preserve">c) diseñar, producir y testar las aplicaciones y recursos tecnológicos más apropiados para las necesidades de cada colectivo con necesidades especiales de accesibilidad; </w:t>
      </w:r>
    </w:p>
    <w:p w:rsidR="003B20DC" w:rsidRPr="005E1103" w:rsidRDefault="003B20DC" w:rsidP="003B20DC">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d) adaptar los contenidos histórico-artísticos a las aplicaciones, plataformas y modalidades tecnológicas apropiadas para cada uno de esos tres colectivos.</w:t>
      </w:r>
    </w:p>
    <w:p w:rsidR="003B20DC" w:rsidRPr="005E1103" w:rsidRDefault="003B20DC" w:rsidP="003B20DC">
      <w:pPr>
        <w:spacing w:after="0" w:line="360" w:lineRule="auto"/>
        <w:jc w:val="both"/>
        <w:rPr>
          <w:rFonts w:eastAsia="Times New Roman" w:cstheme="minorHAnsi"/>
          <w:sz w:val="28"/>
          <w:szCs w:val="28"/>
          <w:lang w:eastAsia="es-ES"/>
        </w:rPr>
      </w:pPr>
    </w:p>
    <w:p w:rsidR="003B20DC" w:rsidRPr="005E1103" w:rsidRDefault="003B20DC" w:rsidP="003B20DC">
      <w:pPr>
        <w:spacing w:after="0" w:line="360" w:lineRule="auto"/>
        <w:jc w:val="both"/>
        <w:rPr>
          <w:rFonts w:eastAsia="Times New Roman" w:cstheme="minorHAnsi"/>
          <w:sz w:val="28"/>
          <w:szCs w:val="28"/>
          <w:lang w:eastAsia="es-ES"/>
        </w:rPr>
      </w:pPr>
      <w:r w:rsidRPr="005E1103">
        <w:rPr>
          <w:rFonts w:eastAsia="Times New Roman" w:cstheme="minorHAnsi"/>
          <w:b/>
          <w:sz w:val="28"/>
          <w:szCs w:val="28"/>
          <w:lang w:eastAsia="es-ES"/>
        </w:rPr>
        <w:t>2.1.</w:t>
      </w:r>
      <w:r w:rsidRPr="005E1103">
        <w:rPr>
          <w:rFonts w:eastAsia="Times New Roman" w:cstheme="minorHAnsi"/>
          <w:sz w:val="28"/>
          <w:szCs w:val="28"/>
          <w:lang w:eastAsia="es-ES"/>
        </w:rPr>
        <w:t xml:space="preserve"> </w:t>
      </w:r>
      <w:r w:rsidRPr="005E1103">
        <w:rPr>
          <w:rFonts w:eastAsia="Times New Roman" w:cstheme="minorHAnsi"/>
          <w:b/>
          <w:sz w:val="28"/>
          <w:szCs w:val="28"/>
          <w:lang w:eastAsia="es-ES"/>
        </w:rPr>
        <w:t>Descripción del contexto y de los participantes</w:t>
      </w:r>
    </w:p>
    <w:p w:rsidR="003B20DC" w:rsidRPr="005E1103" w:rsidRDefault="003B20DC" w:rsidP="003B20DC">
      <w:pPr>
        <w:widowControl w:val="0"/>
        <w:spacing w:after="0" w:line="360" w:lineRule="auto"/>
        <w:jc w:val="both"/>
        <w:rPr>
          <w:rFonts w:eastAsia="Arial" w:cstheme="minorHAnsi"/>
          <w:noProof/>
          <w:color w:val="000000"/>
          <w:spacing w:val="2"/>
          <w:sz w:val="28"/>
          <w:szCs w:val="28"/>
          <w:shd w:val="clear" w:color="auto" w:fill="FFFFFF"/>
          <w:lang w:eastAsia="es-ES"/>
        </w:rPr>
      </w:pPr>
      <w:r w:rsidRPr="005E1103">
        <w:rPr>
          <w:rFonts w:eastAsia="Arial" w:cstheme="minorHAnsi"/>
          <w:color w:val="000000"/>
          <w:spacing w:val="2"/>
          <w:sz w:val="28"/>
          <w:szCs w:val="28"/>
          <w:shd w:val="clear" w:color="auto" w:fill="FFFFFF"/>
          <w:lang w:eastAsia="es-ES"/>
        </w:rPr>
        <w:t xml:space="preserve">Como ya se dijo, MUSACCES se basa en la </w:t>
      </w:r>
      <w:r w:rsidRPr="005E1103">
        <w:rPr>
          <w:rFonts w:eastAsia="Arial" w:cstheme="minorHAnsi"/>
          <w:bCs/>
          <w:color w:val="000000"/>
          <w:spacing w:val="2"/>
          <w:sz w:val="28"/>
          <w:szCs w:val="28"/>
          <w:shd w:val="clear" w:color="auto" w:fill="FFFFFF"/>
          <w:lang w:eastAsia="es-ES"/>
        </w:rPr>
        <w:t>colaboración interdisciplinar</w:t>
      </w:r>
      <w:r w:rsidRPr="005E1103">
        <w:rPr>
          <w:rFonts w:eastAsia="Arial" w:cstheme="minorHAnsi"/>
          <w:b/>
          <w:bCs/>
          <w:color w:val="000000"/>
          <w:spacing w:val="2"/>
          <w:sz w:val="28"/>
          <w:szCs w:val="28"/>
          <w:shd w:val="clear" w:color="auto" w:fill="FFFFFF"/>
          <w:lang w:eastAsia="es-ES"/>
        </w:rPr>
        <w:t xml:space="preserve"> </w:t>
      </w:r>
      <w:r w:rsidRPr="005E1103">
        <w:rPr>
          <w:rFonts w:eastAsia="Arial" w:cstheme="minorHAnsi"/>
          <w:color w:val="000000"/>
          <w:spacing w:val="2"/>
          <w:sz w:val="28"/>
          <w:szCs w:val="28"/>
          <w:shd w:val="clear" w:color="auto" w:fill="FFFFFF"/>
          <w:lang w:eastAsia="es-ES"/>
        </w:rPr>
        <w:t xml:space="preserve">de </w:t>
      </w:r>
      <w:r w:rsidRPr="005E1103">
        <w:rPr>
          <w:rFonts w:eastAsia="Arial" w:cstheme="minorHAnsi"/>
          <w:color w:val="000000"/>
          <w:spacing w:val="2"/>
          <w:sz w:val="28"/>
          <w:szCs w:val="28"/>
          <w:shd w:val="clear" w:color="auto" w:fill="FFFFFF"/>
          <w:lang w:eastAsia="es-ES"/>
        </w:rPr>
        <w:lastRenderedPageBreak/>
        <w:t xml:space="preserve">los 82 miembros de ocho Grupos de Investigación, entre quienes hay catedráticos, </w:t>
      </w:r>
      <w:r w:rsidRPr="005E1103">
        <w:rPr>
          <w:rFonts w:eastAsia="Arial" w:cstheme="minorHAnsi"/>
          <w:color w:val="000000"/>
          <w:spacing w:val="2"/>
          <w:sz w:val="28"/>
          <w:szCs w:val="28"/>
          <w:shd w:val="clear" w:color="auto" w:fill="FFFFFF"/>
          <w:lang w:val="la-Latn" w:eastAsia="es-ES"/>
        </w:rPr>
        <w:t xml:space="preserve">titulares </w:t>
      </w:r>
      <w:r w:rsidRPr="005E1103">
        <w:rPr>
          <w:rFonts w:eastAsia="Arial" w:cstheme="minorHAnsi"/>
          <w:color w:val="000000"/>
          <w:spacing w:val="2"/>
          <w:sz w:val="28"/>
          <w:szCs w:val="28"/>
          <w:shd w:val="clear" w:color="auto" w:fill="FFFFFF"/>
          <w:lang w:eastAsia="es-ES"/>
        </w:rPr>
        <w:t>de universidad, profesores contratados doctores,</w:t>
      </w:r>
      <w:r w:rsidRPr="005E1103">
        <w:rPr>
          <w:rFonts w:eastAsia="Arial" w:cstheme="minorHAnsi"/>
          <w:spacing w:val="2"/>
          <w:sz w:val="28"/>
          <w:szCs w:val="28"/>
          <w:lang w:eastAsia="es-ES"/>
        </w:rPr>
        <w:t xml:space="preserve"> </w:t>
      </w:r>
      <w:r w:rsidRPr="005E1103">
        <w:rPr>
          <w:rFonts w:eastAsia="Arial" w:cstheme="minorHAnsi"/>
          <w:color w:val="000000"/>
          <w:spacing w:val="2"/>
          <w:sz w:val="28"/>
          <w:szCs w:val="28"/>
          <w:shd w:val="clear" w:color="auto" w:fill="FFFFFF"/>
          <w:lang w:eastAsia="es-ES"/>
        </w:rPr>
        <w:t xml:space="preserve">ayudantes, asociados, colaboradores, contratados predoctorales, doctorandos y personal técnico. Cada uno está especializado en una u otra de las áreas de </w:t>
      </w:r>
      <w:r w:rsidRPr="005E1103">
        <w:rPr>
          <w:rFonts w:eastAsia="Arial" w:cstheme="minorHAnsi"/>
          <w:color w:val="000000"/>
          <w:spacing w:val="2"/>
          <w:sz w:val="28"/>
          <w:szCs w:val="28"/>
          <w:shd w:val="clear" w:color="auto" w:fill="FFFFFF"/>
          <w:lang w:val="la-Latn" w:eastAsia="es-ES"/>
        </w:rPr>
        <w:t xml:space="preserve">Historia </w:t>
      </w:r>
      <w:r w:rsidRPr="005E1103">
        <w:rPr>
          <w:rFonts w:eastAsia="Arial" w:cstheme="minorHAnsi"/>
          <w:color w:val="000000"/>
          <w:spacing w:val="2"/>
          <w:sz w:val="28"/>
          <w:szCs w:val="28"/>
          <w:shd w:val="clear" w:color="auto" w:fill="FFFFFF"/>
          <w:lang w:eastAsia="es-ES"/>
        </w:rPr>
        <w:t xml:space="preserve">del Arte, </w:t>
      </w:r>
      <w:r w:rsidRPr="005E1103">
        <w:rPr>
          <w:rFonts w:eastAsia="Arial" w:cstheme="minorHAnsi"/>
          <w:color w:val="000000"/>
          <w:spacing w:val="2"/>
          <w:sz w:val="28"/>
          <w:szCs w:val="28"/>
          <w:shd w:val="clear" w:color="auto" w:fill="FFFFFF"/>
          <w:lang w:val="la-Latn" w:eastAsia="es-ES"/>
        </w:rPr>
        <w:t xml:space="preserve">Historia, </w:t>
      </w:r>
      <w:r w:rsidRPr="005E1103">
        <w:rPr>
          <w:rFonts w:eastAsia="Arial" w:cstheme="minorHAnsi"/>
          <w:color w:val="000000"/>
          <w:spacing w:val="2"/>
          <w:sz w:val="28"/>
          <w:szCs w:val="28"/>
          <w:shd w:val="clear" w:color="auto" w:fill="FFFFFF"/>
          <w:lang w:eastAsia="es-ES"/>
        </w:rPr>
        <w:t>Musicología, Ciencias de la Educación, Mu</w:t>
      </w:r>
      <w:r w:rsidRPr="005E1103">
        <w:rPr>
          <w:rFonts w:eastAsia="Arial" w:cstheme="minorHAnsi"/>
          <w:color w:val="000000"/>
          <w:spacing w:val="2"/>
          <w:sz w:val="28"/>
          <w:szCs w:val="28"/>
          <w:shd w:val="clear" w:color="auto" w:fill="FFFFFF"/>
          <w:lang w:eastAsia="es-ES"/>
        </w:rPr>
        <w:softHyphen/>
        <w:t xml:space="preserve">seología, Ciencias de la Información, Tecnologías de la Información, Ciencias de la Documentación, </w:t>
      </w:r>
      <w:r w:rsidRPr="005E1103">
        <w:rPr>
          <w:rFonts w:eastAsia="Arial" w:cstheme="minorHAnsi"/>
          <w:color w:val="000000"/>
          <w:spacing w:val="2"/>
          <w:sz w:val="28"/>
          <w:szCs w:val="28"/>
          <w:shd w:val="clear" w:color="auto" w:fill="FFFFFF"/>
          <w:lang w:val="es-ES_tradnl" w:eastAsia="es-ES"/>
        </w:rPr>
        <w:t>Sociología</w:t>
      </w:r>
      <w:r w:rsidRPr="005E1103">
        <w:rPr>
          <w:rFonts w:eastAsia="Arial" w:cstheme="minorHAnsi"/>
          <w:color w:val="000000"/>
          <w:spacing w:val="2"/>
          <w:sz w:val="28"/>
          <w:szCs w:val="28"/>
          <w:shd w:val="clear" w:color="auto" w:fill="FFFFFF"/>
          <w:lang w:eastAsia="es-ES"/>
        </w:rPr>
        <w:t xml:space="preserve">, Psicología, </w:t>
      </w:r>
      <w:r w:rsidRPr="005E1103">
        <w:rPr>
          <w:rFonts w:eastAsia="Arial" w:cstheme="minorHAnsi"/>
          <w:color w:val="000000"/>
          <w:spacing w:val="2"/>
          <w:sz w:val="28"/>
          <w:szCs w:val="28"/>
          <w:shd w:val="clear" w:color="auto" w:fill="FFFFFF"/>
          <w:lang w:val="es-ES_tradnl" w:eastAsia="es-ES"/>
        </w:rPr>
        <w:t>Economía</w:t>
      </w:r>
      <w:r w:rsidRPr="005E1103">
        <w:rPr>
          <w:rFonts w:eastAsia="Arial" w:cstheme="minorHAnsi"/>
          <w:color w:val="000000"/>
          <w:spacing w:val="2"/>
          <w:sz w:val="28"/>
          <w:szCs w:val="28"/>
          <w:shd w:val="clear" w:color="auto" w:fill="FFFFFF"/>
          <w:lang w:eastAsia="es-ES"/>
        </w:rPr>
        <w:t xml:space="preserve"> e Informá</w:t>
      </w:r>
      <w:r w:rsidRPr="005E1103">
        <w:rPr>
          <w:rFonts w:eastAsia="Arial" w:cstheme="minorHAnsi"/>
          <w:color w:val="000000"/>
          <w:spacing w:val="2"/>
          <w:sz w:val="28"/>
          <w:szCs w:val="28"/>
          <w:shd w:val="clear" w:color="auto" w:fill="FFFFFF"/>
          <w:lang w:eastAsia="es-ES"/>
        </w:rPr>
        <w:softHyphen/>
        <w:t>tica. Mediante esa integrada colaboración pluridisciplinar e interinstitucional, MUSACCES garantiza la concor</w:t>
      </w:r>
      <w:r w:rsidRPr="005E1103">
        <w:rPr>
          <w:rFonts w:eastAsia="Arial" w:cstheme="minorHAnsi"/>
          <w:color w:val="000000"/>
          <w:spacing w:val="2"/>
          <w:sz w:val="28"/>
          <w:szCs w:val="28"/>
          <w:shd w:val="clear" w:color="auto" w:fill="FFFFFF"/>
          <w:lang w:eastAsia="es-ES"/>
        </w:rPr>
        <w:softHyphen/>
        <w:t xml:space="preserve">dante puesta en común de sus capacidades </w:t>
      </w:r>
      <w:r w:rsidRPr="005E1103">
        <w:rPr>
          <w:rFonts w:eastAsia="Arial" w:cstheme="minorHAnsi"/>
          <w:color w:val="000000"/>
          <w:spacing w:val="2"/>
          <w:sz w:val="28"/>
          <w:szCs w:val="28"/>
          <w:shd w:val="clear" w:color="auto" w:fill="FFFFFF"/>
          <w:lang w:val="es-ES_tradnl" w:eastAsia="es-ES"/>
        </w:rPr>
        <w:t>científico</w:t>
      </w:r>
      <w:r w:rsidRPr="005E1103">
        <w:rPr>
          <w:rFonts w:eastAsia="Arial" w:cstheme="minorHAnsi"/>
          <w:color w:val="000000"/>
          <w:spacing w:val="2"/>
          <w:sz w:val="28"/>
          <w:szCs w:val="28"/>
          <w:shd w:val="clear" w:color="auto" w:fill="FFFFFF"/>
          <w:lang w:eastAsia="es-ES"/>
        </w:rPr>
        <w:t>-</w:t>
      </w:r>
      <w:r w:rsidRPr="005E1103">
        <w:rPr>
          <w:rFonts w:eastAsia="Arial" w:cstheme="minorHAnsi"/>
          <w:color w:val="000000"/>
          <w:spacing w:val="2"/>
          <w:sz w:val="28"/>
          <w:szCs w:val="28"/>
          <w:shd w:val="clear" w:color="auto" w:fill="FFFFFF"/>
          <w:lang w:val="es-ES_tradnl" w:eastAsia="es-ES"/>
        </w:rPr>
        <w:t>tecnológicas</w:t>
      </w:r>
      <w:r w:rsidRPr="005E1103">
        <w:rPr>
          <w:rFonts w:eastAsia="Arial" w:cstheme="minorHAnsi"/>
          <w:color w:val="000000"/>
          <w:spacing w:val="2"/>
          <w:sz w:val="28"/>
          <w:szCs w:val="28"/>
          <w:shd w:val="clear" w:color="auto" w:fill="FFFFFF"/>
          <w:lang w:eastAsia="es-ES"/>
        </w:rPr>
        <w:t xml:space="preserve">. </w:t>
      </w:r>
    </w:p>
    <w:p w:rsidR="003B20DC" w:rsidRPr="005E1103" w:rsidRDefault="003B20DC" w:rsidP="003B20DC">
      <w:pPr>
        <w:widowControl w:val="0"/>
        <w:shd w:val="clear" w:color="auto" w:fill="FFFFFF"/>
        <w:spacing w:after="0" w:line="360" w:lineRule="auto"/>
        <w:jc w:val="both"/>
        <w:rPr>
          <w:rFonts w:eastAsia="Arial" w:cstheme="minorHAnsi"/>
          <w:color w:val="000000"/>
          <w:spacing w:val="2"/>
          <w:sz w:val="28"/>
          <w:szCs w:val="28"/>
          <w:shd w:val="clear" w:color="auto" w:fill="FFFFFF"/>
          <w:lang w:eastAsia="es-ES"/>
        </w:rPr>
      </w:pPr>
      <w:r w:rsidRPr="005E1103">
        <w:rPr>
          <w:rFonts w:eastAsia="Arial" w:cstheme="minorHAnsi"/>
          <w:color w:val="000000"/>
          <w:spacing w:val="2"/>
          <w:sz w:val="28"/>
          <w:szCs w:val="28"/>
          <w:shd w:val="clear" w:color="auto" w:fill="FFFFFF"/>
          <w:lang w:eastAsia="es-ES"/>
        </w:rPr>
        <w:t>Los cinco grupos CAPIRE+A, CAPIRE+B e ICONO-MUS (los tres de la UCM), SICTO (de la UNED) y GREIGA (de las UAM) proporcionan los contenidos histórico-artísticos de los periodos y culturas presentes en el patrimonio del Museo del Prado.</w:t>
      </w:r>
    </w:p>
    <w:p w:rsidR="003B20DC" w:rsidRPr="005E1103" w:rsidRDefault="003B20DC" w:rsidP="003B20DC">
      <w:pPr>
        <w:widowControl w:val="0"/>
        <w:shd w:val="clear" w:color="auto" w:fill="FFFFFF"/>
        <w:spacing w:after="0" w:line="360" w:lineRule="auto"/>
        <w:jc w:val="both"/>
        <w:rPr>
          <w:rFonts w:eastAsia="Arial" w:cstheme="minorHAnsi"/>
          <w:color w:val="000000"/>
          <w:spacing w:val="2"/>
          <w:sz w:val="28"/>
          <w:szCs w:val="28"/>
          <w:shd w:val="clear" w:color="auto" w:fill="FFFFFF"/>
          <w:lang w:eastAsia="es-ES"/>
        </w:rPr>
      </w:pPr>
      <w:r w:rsidRPr="005E1103">
        <w:rPr>
          <w:rFonts w:eastAsia="Arial" w:cstheme="minorHAnsi"/>
          <w:color w:val="000000"/>
          <w:spacing w:val="2"/>
          <w:sz w:val="28"/>
          <w:szCs w:val="28"/>
          <w:shd w:val="clear" w:color="auto" w:fill="FFFFFF"/>
          <w:lang w:eastAsia="es-ES"/>
        </w:rPr>
        <w:t>El grupo EARTDI (Aplicaciones del Arte en la Integración Social, de la UCM) brinda sus experiencias pedagógicas en aplicar el arte como terapia al público general y, sobre todo, en educación especial, a colectivos con necesidades específicas de accesibilidad.</w:t>
      </w:r>
    </w:p>
    <w:p w:rsidR="003B20DC" w:rsidRPr="005E1103" w:rsidRDefault="003B20DC" w:rsidP="003B20DC">
      <w:pPr>
        <w:widowControl w:val="0"/>
        <w:spacing w:after="0" w:line="360" w:lineRule="auto"/>
        <w:jc w:val="both"/>
        <w:rPr>
          <w:rFonts w:eastAsia="Arial" w:cstheme="minorHAnsi"/>
          <w:color w:val="000000"/>
          <w:spacing w:val="2"/>
          <w:sz w:val="28"/>
          <w:szCs w:val="28"/>
          <w:lang w:eastAsia="es-ES"/>
        </w:rPr>
      </w:pPr>
      <w:r w:rsidRPr="005E1103">
        <w:rPr>
          <w:rFonts w:eastAsia="Arial" w:cstheme="minorHAnsi"/>
          <w:color w:val="000000"/>
          <w:spacing w:val="2"/>
          <w:sz w:val="28"/>
          <w:szCs w:val="28"/>
          <w:shd w:val="clear" w:color="auto" w:fill="FFFFFF"/>
          <w:lang w:eastAsia="es-ES"/>
        </w:rPr>
        <w:t xml:space="preserve">El grupo MUSEUM l+D+C, compuesto por profesores-investigadores de la Facultad de Ciencias de la Información de la UCM y expertos de museos y otras universidades nacionales y extranjeras, desarrolla proyectos de investigación sobre cultura digital y museografía hipermedia, investigaciones aplicadas a la creación y asesoría de museos, acciones culturales hipermedia y transmedia. Su experiencia es fundamental en MUSACCES para hacer llegar el patrimonio artístico del Prado a los tres colectivos con necesidades especiales. Así lo demuestran sus aportes bibliográficos, como Colorado Castellary, 1997; Andrade Pereira, </w:t>
      </w:r>
      <w:r w:rsidRPr="005E1103">
        <w:rPr>
          <w:rFonts w:eastAsia="Arial" w:cstheme="minorHAnsi"/>
          <w:color w:val="000000"/>
          <w:spacing w:val="2"/>
          <w:sz w:val="28"/>
          <w:szCs w:val="28"/>
          <w:shd w:val="clear" w:color="auto" w:fill="FFFFFF"/>
          <w:lang w:eastAsia="es-ES"/>
        </w:rPr>
        <w:lastRenderedPageBreak/>
        <w:t>Colorado Castellary &amp; Moreno Sánchez, 2014; Bellido Gant, 2001 y 2007; Moreno Sánchez, 2002; y García Guardia &amp; Menéndez Hevia, 2007.</w:t>
      </w:r>
      <w:r w:rsidRPr="005E1103">
        <w:rPr>
          <w:rFonts w:eastAsia="Arial" w:cstheme="minorHAnsi"/>
          <w:color w:val="000000"/>
          <w:spacing w:val="2"/>
          <w:sz w:val="28"/>
          <w:szCs w:val="28"/>
          <w:lang w:eastAsia="es-ES"/>
        </w:rPr>
        <w:t xml:space="preserve"> </w:t>
      </w:r>
    </w:p>
    <w:p w:rsidR="003B20DC" w:rsidRPr="005E1103" w:rsidRDefault="003B20DC" w:rsidP="003B20DC">
      <w:pPr>
        <w:widowControl w:val="0"/>
        <w:spacing w:after="0" w:line="360" w:lineRule="auto"/>
        <w:jc w:val="both"/>
        <w:rPr>
          <w:rFonts w:eastAsia="Arial" w:cstheme="minorHAnsi"/>
          <w:spacing w:val="2"/>
          <w:sz w:val="28"/>
          <w:szCs w:val="28"/>
          <w:lang w:eastAsia="es-ES"/>
        </w:rPr>
      </w:pPr>
      <w:r w:rsidRPr="005E1103">
        <w:rPr>
          <w:rFonts w:eastAsia="Arial" w:cstheme="minorHAnsi"/>
          <w:color w:val="000000"/>
          <w:spacing w:val="2"/>
          <w:sz w:val="28"/>
          <w:szCs w:val="28"/>
          <w:lang w:eastAsia="es-ES"/>
        </w:rPr>
        <w:t xml:space="preserve">El grupo multidisciplinar INADOC (Intelligent User INteraction to Accessible Digital Objects and Collections) de la UNED incorpora profesores e investigadores </w:t>
      </w:r>
      <w:r w:rsidRPr="005E1103">
        <w:rPr>
          <w:rFonts w:eastAsia="Arial" w:cstheme="minorHAnsi"/>
          <w:color w:val="000000"/>
          <w:spacing w:val="2"/>
          <w:sz w:val="28"/>
          <w:szCs w:val="28"/>
          <w:lang w:val="la-Latn" w:eastAsia="es-ES"/>
        </w:rPr>
        <w:t xml:space="preserve">expertos </w:t>
      </w:r>
      <w:r w:rsidRPr="005E1103">
        <w:rPr>
          <w:rFonts w:eastAsia="Arial" w:cstheme="minorHAnsi"/>
          <w:color w:val="000000"/>
          <w:spacing w:val="2"/>
          <w:sz w:val="28"/>
          <w:szCs w:val="28"/>
          <w:lang w:eastAsia="es-ES"/>
        </w:rPr>
        <w:t xml:space="preserve">en modelos de accesibilidad, usabilidad y tecnologías de gestión de </w:t>
      </w:r>
      <w:r w:rsidRPr="005E1103">
        <w:rPr>
          <w:rFonts w:eastAsia="Arial" w:cstheme="minorHAnsi"/>
          <w:color w:val="000000"/>
          <w:spacing w:val="2"/>
          <w:sz w:val="28"/>
          <w:szCs w:val="28"/>
          <w:lang w:val="la-Latn" w:eastAsia="es-ES"/>
        </w:rPr>
        <w:t xml:space="preserve">grandes </w:t>
      </w:r>
      <w:r w:rsidRPr="005E1103">
        <w:rPr>
          <w:rFonts w:eastAsia="Arial" w:cstheme="minorHAnsi"/>
          <w:color w:val="000000"/>
          <w:spacing w:val="2"/>
          <w:sz w:val="28"/>
          <w:szCs w:val="28"/>
          <w:lang w:eastAsia="es-ES"/>
        </w:rPr>
        <w:t>repositorios de información, interacción persona-ordenador, procesamiento automático del lenguaje natural y acceso a la información multime</w:t>
      </w:r>
      <w:r w:rsidRPr="005E1103">
        <w:rPr>
          <w:rFonts w:eastAsia="Arial" w:cstheme="minorHAnsi"/>
          <w:color w:val="000000"/>
          <w:spacing w:val="2"/>
          <w:sz w:val="28"/>
          <w:szCs w:val="28"/>
          <w:lang w:eastAsia="es-ES"/>
        </w:rPr>
        <w:softHyphen/>
        <w:t>dia, diseño y seguimiento del uso de nuevas tecnologías en educación y medida de su calidad.</w:t>
      </w:r>
    </w:p>
    <w:p w:rsidR="003B20DC" w:rsidRPr="005E1103" w:rsidRDefault="003B20DC" w:rsidP="003B20DC">
      <w:pPr>
        <w:spacing w:after="0" w:line="360" w:lineRule="auto"/>
        <w:jc w:val="both"/>
        <w:rPr>
          <w:rFonts w:eastAsia="Times New Roman" w:cstheme="minorHAnsi"/>
          <w:sz w:val="28"/>
          <w:szCs w:val="28"/>
          <w:lang w:eastAsia="es-ES"/>
        </w:rPr>
      </w:pPr>
    </w:p>
    <w:p w:rsidR="003B20DC" w:rsidRPr="005E1103" w:rsidRDefault="003B20DC" w:rsidP="003B20DC">
      <w:pPr>
        <w:spacing w:after="0" w:line="360" w:lineRule="auto"/>
        <w:jc w:val="both"/>
        <w:rPr>
          <w:rFonts w:eastAsia="Times New Roman" w:cstheme="minorHAnsi"/>
          <w:sz w:val="28"/>
          <w:szCs w:val="28"/>
          <w:lang w:eastAsia="es-ES"/>
        </w:rPr>
      </w:pPr>
      <w:r w:rsidRPr="005E1103">
        <w:rPr>
          <w:rFonts w:eastAsia="Times New Roman" w:cstheme="minorHAnsi"/>
          <w:b/>
          <w:sz w:val="28"/>
          <w:szCs w:val="28"/>
          <w:lang w:eastAsia="es-ES"/>
        </w:rPr>
        <w:t>2.2. Instrumentos</w:t>
      </w:r>
    </w:p>
    <w:p w:rsidR="003B20DC" w:rsidRPr="005E1103" w:rsidRDefault="003B20DC" w:rsidP="003B20DC">
      <w:pPr>
        <w:widowControl w:val="0"/>
        <w:spacing w:after="0" w:line="360" w:lineRule="auto"/>
        <w:jc w:val="both"/>
        <w:rPr>
          <w:rFonts w:eastAsia="Arial" w:cstheme="minorHAnsi"/>
          <w:color w:val="000000"/>
          <w:spacing w:val="2"/>
          <w:sz w:val="28"/>
          <w:szCs w:val="28"/>
          <w:lang w:eastAsia="es-ES"/>
        </w:rPr>
      </w:pPr>
      <w:r w:rsidRPr="005E1103">
        <w:rPr>
          <w:rFonts w:eastAsia="Arial" w:cstheme="minorHAnsi"/>
          <w:spacing w:val="2"/>
          <w:sz w:val="28"/>
          <w:szCs w:val="28"/>
          <w:lang w:eastAsia="es-ES"/>
        </w:rPr>
        <w:t>Una vez detectados mediante encuestas los intereses y necesidades de cada colectivo en el ámbito artístico, MUSACCES seleccionará las obras de arte del Museo del Prado elegidas por cada colectivo. Dichas obras serán investigadas desde la perspectiva histórica, artística e iconográfica para producir textos informativo-interpretativos, adaptados a los intereses y necesidades de cada colectivo destinatario. Esos textos serán luego “traducidos” a los lenguajes especiales de cada colectivo (braille,</w:t>
      </w:r>
      <w:r w:rsidRPr="005E1103">
        <w:rPr>
          <w:rFonts w:eastAsia="Arial" w:cstheme="minorHAnsi"/>
          <w:color w:val="000000"/>
          <w:spacing w:val="2"/>
          <w:sz w:val="28"/>
          <w:szCs w:val="28"/>
          <w:lang w:eastAsia="es-ES"/>
        </w:rPr>
        <w:t xml:space="preserve"> lenguaje de signos, audioguías, etc.), para poder ser usados en el museo, </w:t>
      </w:r>
      <w:r w:rsidRPr="005E1103">
        <w:rPr>
          <w:rFonts w:eastAsia="Arial" w:cstheme="minorHAnsi"/>
          <w:color w:val="000000"/>
          <w:spacing w:val="2"/>
          <w:sz w:val="28"/>
          <w:szCs w:val="28"/>
          <w:lang w:val="la-Latn" w:eastAsia="es-ES"/>
        </w:rPr>
        <w:t xml:space="preserve">cuando </w:t>
      </w:r>
      <w:r w:rsidRPr="005E1103">
        <w:rPr>
          <w:rFonts w:eastAsia="Arial" w:cstheme="minorHAnsi"/>
          <w:color w:val="000000"/>
          <w:spacing w:val="2"/>
          <w:sz w:val="28"/>
          <w:szCs w:val="28"/>
          <w:lang w:eastAsia="es-ES"/>
        </w:rPr>
        <w:t xml:space="preserve">sea posible </w:t>
      </w:r>
      <w:r w:rsidRPr="005E1103">
        <w:rPr>
          <w:rFonts w:eastAsia="Arial" w:cstheme="minorHAnsi"/>
          <w:color w:val="000000"/>
          <w:spacing w:val="2"/>
          <w:sz w:val="28"/>
          <w:szCs w:val="28"/>
          <w:lang w:val="la-Latn" w:eastAsia="es-ES"/>
        </w:rPr>
        <w:t xml:space="preserve">(invidentes, </w:t>
      </w:r>
      <w:r w:rsidRPr="005E1103">
        <w:rPr>
          <w:rFonts w:eastAsia="Arial" w:cstheme="minorHAnsi"/>
          <w:color w:val="000000"/>
          <w:spacing w:val="2"/>
          <w:sz w:val="28"/>
          <w:szCs w:val="28"/>
          <w:lang w:eastAsia="es-ES"/>
        </w:rPr>
        <w:t xml:space="preserve">sordos </w:t>
      </w:r>
      <w:r w:rsidRPr="005E1103">
        <w:rPr>
          <w:rFonts w:eastAsia="Arial" w:cstheme="minorHAnsi"/>
          <w:color w:val="000000"/>
          <w:spacing w:val="2"/>
          <w:sz w:val="28"/>
          <w:szCs w:val="28"/>
          <w:lang w:val="la-Latn" w:eastAsia="es-ES"/>
        </w:rPr>
        <w:t>y reclu</w:t>
      </w:r>
      <w:r w:rsidRPr="005E1103">
        <w:rPr>
          <w:rFonts w:eastAsia="Arial" w:cstheme="minorHAnsi"/>
          <w:color w:val="000000"/>
          <w:spacing w:val="2"/>
          <w:sz w:val="28"/>
          <w:szCs w:val="28"/>
          <w:lang w:val="la-Latn" w:eastAsia="es-ES"/>
        </w:rPr>
        <w:softHyphen/>
        <w:t xml:space="preserve">sos), </w:t>
      </w:r>
      <w:r w:rsidRPr="005E1103">
        <w:rPr>
          <w:rFonts w:eastAsia="Arial" w:cstheme="minorHAnsi"/>
          <w:color w:val="000000"/>
          <w:spacing w:val="2"/>
          <w:sz w:val="28"/>
          <w:szCs w:val="28"/>
          <w:lang w:eastAsia="es-ES"/>
        </w:rPr>
        <w:t xml:space="preserve">o en otros ambientes ajenos al museo </w:t>
      </w:r>
      <w:r w:rsidRPr="005E1103">
        <w:rPr>
          <w:rFonts w:eastAsia="Arial" w:cstheme="minorHAnsi"/>
          <w:color w:val="000000"/>
          <w:spacing w:val="2"/>
          <w:sz w:val="28"/>
          <w:szCs w:val="28"/>
          <w:lang w:val="la-Latn" w:eastAsia="es-ES"/>
        </w:rPr>
        <w:t>(</w:t>
      </w:r>
      <w:r w:rsidRPr="005E1103">
        <w:rPr>
          <w:rFonts w:eastAsia="Arial" w:cstheme="minorHAnsi"/>
          <w:color w:val="000000"/>
          <w:spacing w:val="2"/>
          <w:sz w:val="28"/>
          <w:szCs w:val="28"/>
          <w:lang w:eastAsia="es-ES"/>
        </w:rPr>
        <w:t xml:space="preserve">los </w:t>
      </w:r>
      <w:r w:rsidRPr="005E1103">
        <w:rPr>
          <w:rFonts w:eastAsia="Arial" w:cstheme="minorHAnsi"/>
          <w:color w:val="000000"/>
          <w:spacing w:val="2"/>
          <w:sz w:val="28"/>
          <w:szCs w:val="28"/>
          <w:lang w:val="la-Latn" w:eastAsia="es-ES"/>
        </w:rPr>
        <w:t xml:space="preserve">reclusos, </w:t>
      </w:r>
      <w:r w:rsidRPr="005E1103">
        <w:rPr>
          <w:rFonts w:eastAsia="Arial" w:cstheme="minorHAnsi"/>
          <w:color w:val="000000"/>
          <w:spacing w:val="2"/>
          <w:sz w:val="28"/>
          <w:szCs w:val="28"/>
          <w:lang w:eastAsia="es-ES"/>
        </w:rPr>
        <w:t>aunque también i</w:t>
      </w:r>
      <w:r w:rsidRPr="005E1103">
        <w:rPr>
          <w:rFonts w:eastAsia="Arial" w:cstheme="minorHAnsi"/>
          <w:color w:val="000000"/>
          <w:spacing w:val="2"/>
          <w:sz w:val="28"/>
          <w:szCs w:val="28"/>
          <w:lang w:val="la-Latn" w:eastAsia="es-ES"/>
        </w:rPr>
        <w:t xml:space="preserve">nvidentes </w:t>
      </w:r>
      <w:r w:rsidRPr="005E1103">
        <w:rPr>
          <w:rFonts w:eastAsia="Arial" w:cstheme="minorHAnsi"/>
          <w:color w:val="000000"/>
          <w:spacing w:val="2"/>
          <w:sz w:val="28"/>
          <w:szCs w:val="28"/>
          <w:lang w:eastAsia="es-ES"/>
        </w:rPr>
        <w:t>y personas sordas que no se desplacen al Prado).</w:t>
      </w:r>
    </w:p>
    <w:p w:rsidR="003B20DC" w:rsidRPr="005E1103" w:rsidRDefault="003B20DC" w:rsidP="003B20DC">
      <w:pPr>
        <w:widowControl w:val="0"/>
        <w:shd w:val="clear" w:color="auto" w:fill="FFFFFF"/>
        <w:spacing w:after="0" w:line="360" w:lineRule="auto"/>
        <w:jc w:val="both"/>
        <w:rPr>
          <w:rFonts w:eastAsia="Arial" w:cstheme="minorHAnsi"/>
          <w:spacing w:val="2"/>
          <w:sz w:val="28"/>
          <w:szCs w:val="28"/>
          <w:lang w:eastAsia="es-ES"/>
        </w:rPr>
      </w:pPr>
      <w:r w:rsidRPr="005E1103">
        <w:rPr>
          <w:rFonts w:eastAsia="Arial" w:cstheme="minorHAnsi"/>
          <w:spacing w:val="2"/>
          <w:sz w:val="28"/>
          <w:szCs w:val="28"/>
          <w:lang w:eastAsia="es-ES"/>
        </w:rPr>
        <w:t xml:space="preserve">En virtud de esa colaboración pluridisciplinar e interinstitucional de sus integrantes, MUSACCES se propone diseñar, producir y editar en distintos lenguajes, plataformas, aplicaciones y técnicas de información y comunicación —para cada colectivo especial— unas diez “visitas </w:t>
      </w:r>
      <w:r w:rsidRPr="005E1103">
        <w:rPr>
          <w:rFonts w:eastAsia="Arial" w:cstheme="minorHAnsi"/>
          <w:spacing w:val="2"/>
          <w:sz w:val="28"/>
          <w:szCs w:val="28"/>
          <w:lang w:eastAsia="es-ES"/>
        </w:rPr>
        <w:lastRenderedPageBreak/>
        <w:t>guiadas” virtuales de los principales núcleos histórico-artísticos de las Colecciones del Prado, desde la Antigüedad grecorromana hasta el siglo XIX, seleccionados como preferibles por cada colectivo de accesibilidad especial.</w:t>
      </w:r>
    </w:p>
    <w:p w:rsidR="003B20DC" w:rsidRPr="005E1103" w:rsidRDefault="003B20DC" w:rsidP="003B20DC">
      <w:pPr>
        <w:widowControl w:val="0"/>
        <w:spacing w:after="0" w:line="360" w:lineRule="auto"/>
        <w:jc w:val="both"/>
        <w:rPr>
          <w:rFonts w:eastAsia="Arial" w:cstheme="minorHAnsi"/>
          <w:spacing w:val="2"/>
          <w:sz w:val="28"/>
          <w:szCs w:val="28"/>
          <w:lang w:eastAsia="es-ES"/>
        </w:rPr>
      </w:pPr>
      <w:r w:rsidRPr="005E1103">
        <w:rPr>
          <w:rFonts w:eastAsia="Arial" w:cstheme="minorHAnsi"/>
          <w:spacing w:val="2"/>
          <w:sz w:val="28"/>
          <w:szCs w:val="28"/>
          <w:lang w:eastAsia="es-ES"/>
        </w:rPr>
        <w:t>Respecto a medios tecnológicos, proponemos utilizar como base el modelo TAM (Technology Acceptance Model), basado en la percepción de utilidad y usabilidad como factores clave al decidir usar en diversos contextos una u otra de las nuevas aplicaciones tecnológicas y TICs. MUSACCES propone extender particularmente el modelo TAM, considerando el nivel de accesibilidad. Sobre esta base se diseñarán recursos lingüísticos, o de la web de los datos (DBPedia y otros) necesarios para gestionar online los recorridos, así como para tomar datos con vistas a su evaluación.</w:t>
      </w:r>
    </w:p>
    <w:p w:rsidR="003B20DC" w:rsidRPr="005E1103" w:rsidRDefault="003B20DC" w:rsidP="003B20DC">
      <w:pPr>
        <w:widowControl w:val="0"/>
        <w:spacing w:after="0" w:line="360" w:lineRule="auto"/>
        <w:jc w:val="both"/>
        <w:rPr>
          <w:rFonts w:eastAsia="Arial" w:cstheme="minorHAnsi"/>
          <w:color w:val="000000"/>
          <w:spacing w:val="2"/>
          <w:sz w:val="28"/>
          <w:szCs w:val="28"/>
          <w:lang w:eastAsia="es-ES"/>
        </w:rPr>
      </w:pPr>
      <w:r w:rsidRPr="005E1103">
        <w:rPr>
          <w:rFonts w:eastAsia="Arial" w:cstheme="minorHAnsi"/>
          <w:color w:val="000000"/>
          <w:spacing w:val="2"/>
          <w:sz w:val="28"/>
          <w:szCs w:val="28"/>
          <w:lang w:eastAsia="es-ES"/>
        </w:rPr>
        <w:t xml:space="preserve">Además de las </w:t>
      </w:r>
      <w:r w:rsidRPr="005E1103">
        <w:rPr>
          <w:rFonts w:eastAsia="Arial" w:cstheme="minorHAnsi"/>
          <w:color w:val="000000"/>
          <w:spacing w:val="2"/>
          <w:sz w:val="28"/>
          <w:szCs w:val="28"/>
          <w:lang w:val="la-Latn" w:eastAsia="es-ES"/>
        </w:rPr>
        <w:t xml:space="preserve">visitas </w:t>
      </w:r>
      <w:r w:rsidRPr="005E1103">
        <w:rPr>
          <w:rFonts w:eastAsia="Arial" w:cstheme="minorHAnsi"/>
          <w:color w:val="000000"/>
          <w:spacing w:val="2"/>
          <w:sz w:val="28"/>
          <w:szCs w:val="28"/>
          <w:lang w:eastAsia="es-ES"/>
        </w:rPr>
        <w:t xml:space="preserve">guiadas virtuales, se producirán para los </w:t>
      </w:r>
      <w:r w:rsidRPr="005E1103">
        <w:rPr>
          <w:rFonts w:eastAsia="Arial" w:cstheme="minorHAnsi"/>
          <w:color w:val="000000"/>
          <w:spacing w:val="2"/>
          <w:sz w:val="28"/>
          <w:szCs w:val="28"/>
          <w:lang w:val="la-Latn" w:eastAsia="es-ES"/>
        </w:rPr>
        <w:t xml:space="preserve">invidentes </w:t>
      </w:r>
      <w:r w:rsidRPr="005E1103">
        <w:rPr>
          <w:rFonts w:eastAsia="Arial" w:cstheme="minorHAnsi"/>
          <w:color w:val="000000"/>
          <w:spacing w:val="2"/>
          <w:sz w:val="28"/>
          <w:szCs w:val="28"/>
          <w:lang w:eastAsia="es-ES"/>
        </w:rPr>
        <w:t xml:space="preserve">–en la línea de la conocida muestra del Museo del Prado “Ahora toca el Prado”—exposiciones </w:t>
      </w:r>
      <w:r w:rsidRPr="005E1103">
        <w:rPr>
          <w:rFonts w:eastAsia="Arial" w:cstheme="minorHAnsi"/>
          <w:color w:val="000000"/>
          <w:spacing w:val="2"/>
          <w:sz w:val="28"/>
          <w:szCs w:val="28"/>
          <w:lang w:val="la-Latn" w:eastAsia="es-ES"/>
        </w:rPr>
        <w:t>f</w:t>
      </w:r>
      <w:r w:rsidRPr="005E1103">
        <w:rPr>
          <w:rFonts w:eastAsia="Arial" w:cstheme="minorHAnsi"/>
          <w:color w:val="000000"/>
          <w:spacing w:val="2"/>
          <w:sz w:val="28"/>
          <w:szCs w:val="28"/>
          <w:lang w:eastAsia="es-ES"/>
        </w:rPr>
        <w:t>í</w:t>
      </w:r>
      <w:r w:rsidRPr="005E1103">
        <w:rPr>
          <w:rFonts w:eastAsia="Arial" w:cstheme="minorHAnsi"/>
          <w:color w:val="000000"/>
          <w:spacing w:val="2"/>
          <w:sz w:val="28"/>
          <w:szCs w:val="28"/>
          <w:lang w:val="la-Latn" w:eastAsia="es-ES"/>
        </w:rPr>
        <w:t xml:space="preserve">sicas </w:t>
      </w:r>
      <w:r w:rsidRPr="005E1103">
        <w:rPr>
          <w:rFonts w:eastAsia="Arial" w:cstheme="minorHAnsi"/>
          <w:color w:val="000000"/>
          <w:spacing w:val="2"/>
          <w:sz w:val="28"/>
          <w:szCs w:val="28"/>
          <w:lang w:eastAsia="es-ES"/>
        </w:rPr>
        <w:t>con reproducciones en re</w:t>
      </w:r>
      <w:r w:rsidRPr="005E1103">
        <w:rPr>
          <w:rFonts w:eastAsia="Arial" w:cstheme="minorHAnsi"/>
          <w:color w:val="000000"/>
          <w:spacing w:val="2"/>
          <w:sz w:val="28"/>
          <w:szCs w:val="28"/>
          <w:lang w:eastAsia="es-ES"/>
        </w:rPr>
        <w:softHyphen/>
        <w:t xml:space="preserve">lieve de algunas obras maestras, para </w:t>
      </w:r>
      <w:r w:rsidRPr="005E1103">
        <w:rPr>
          <w:rFonts w:eastAsia="Arial" w:cstheme="minorHAnsi"/>
          <w:color w:val="000000"/>
          <w:spacing w:val="2"/>
          <w:sz w:val="28"/>
          <w:szCs w:val="28"/>
          <w:lang w:val="la-Latn" w:eastAsia="es-ES"/>
        </w:rPr>
        <w:t xml:space="preserve">que </w:t>
      </w:r>
      <w:r w:rsidRPr="005E1103">
        <w:rPr>
          <w:rFonts w:eastAsia="Arial" w:cstheme="minorHAnsi"/>
          <w:color w:val="000000"/>
          <w:spacing w:val="2"/>
          <w:sz w:val="28"/>
          <w:szCs w:val="28"/>
          <w:lang w:eastAsia="es-ES"/>
        </w:rPr>
        <w:t xml:space="preserve">puedan apreciar tangiblemente la obra de arte misma (su imagen fotográfica tridimensional), y no solo </w:t>
      </w:r>
      <w:r w:rsidRPr="005E1103">
        <w:rPr>
          <w:rFonts w:eastAsia="Arial" w:cstheme="minorHAnsi"/>
          <w:color w:val="000000"/>
          <w:spacing w:val="2"/>
          <w:sz w:val="28"/>
          <w:szCs w:val="28"/>
          <w:lang w:val="la-Latn" w:eastAsia="es-ES"/>
        </w:rPr>
        <w:t>imaginar</w:t>
      </w:r>
      <w:r w:rsidRPr="005E1103">
        <w:rPr>
          <w:rFonts w:eastAsia="Arial" w:cstheme="minorHAnsi"/>
          <w:color w:val="000000"/>
          <w:spacing w:val="2"/>
          <w:sz w:val="28"/>
          <w:szCs w:val="28"/>
          <w:lang w:eastAsia="es-ES"/>
        </w:rPr>
        <w:t>l</w:t>
      </w:r>
      <w:r w:rsidRPr="005E1103">
        <w:rPr>
          <w:rFonts w:eastAsia="Arial" w:cstheme="minorHAnsi"/>
          <w:color w:val="000000"/>
          <w:spacing w:val="2"/>
          <w:sz w:val="28"/>
          <w:szCs w:val="28"/>
          <w:lang w:val="la-Latn" w:eastAsia="es-ES"/>
        </w:rPr>
        <w:t xml:space="preserve">a </w:t>
      </w:r>
      <w:r w:rsidRPr="005E1103">
        <w:rPr>
          <w:rFonts w:eastAsia="Arial" w:cstheme="minorHAnsi"/>
          <w:color w:val="000000"/>
          <w:spacing w:val="2"/>
          <w:sz w:val="28"/>
          <w:szCs w:val="28"/>
          <w:lang w:eastAsia="es-ES"/>
        </w:rPr>
        <w:t xml:space="preserve">mediante el </w:t>
      </w:r>
      <w:r w:rsidRPr="005E1103">
        <w:rPr>
          <w:rFonts w:eastAsia="Arial" w:cstheme="minorHAnsi"/>
          <w:color w:val="000000"/>
          <w:spacing w:val="2"/>
          <w:sz w:val="28"/>
          <w:szCs w:val="28"/>
          <w:lang w:val="la-Latn" w:eastAsia="es-ES"/>
        </w:rPr>
        <w:t xml:space="preserve">discurso </w:t>
      </w:r>
      <w:r w:rsidRPr="005E1103">
        <w:rPr>
          <w:rFonts w:eastAsia="Arial" w:cstheme="minorHAnsi"/>
          <w:color w:val="000000"/>
          <w:spacing w:val="2"/>
          <w:sz w:val="28"/>
          <w:szCs w:val="28"/>
          <w:lang w:eastAsia="es-ES"/>
        </w:rPr>
        <w:t>académico sobre ella.</w:t>
      </w:r>
    </w:p>
    <w:p w:rsidR="003B20DC" w:rsidRPr="005E1103" w:rsidRDefault="003B20DC" w:rsidP="003B20DC">
      <w:pPr>
        <w:widowControl w:val="0"/>
        <w:spacing w:after="0" w:line="360" w:lineRule="auto"/>
        <w:jc w:val="both"/>
        <w:rPr>
          <w:rFonts w:eastAsia="Arial" w:cstheme="minorHAnsi"/>
          <w:spacing w:val="2"/>
          <w:sz w:val="28"/>
          <w:szCs w:val="28"/>
          <w:lang w:eastAsia="es-ES"/>
        </w:rPr>
      </w:pPr>
    </w:p>
    <w:p w:rsidR="003B20DC" w:rsidRPr="005E1103" w:rsidRDefault="003B20DC" w:rsidP="003B20DC">
      <w:pPr>
        <w:spacing w:after="0" w:line="360" w:lineRule="auto"/>
        <w:jc w:val="both"/>
        <w:rPr>
          <w:rFonts w:eastAsia="Times New Roman" w:cstheme="minorHAnsi"/>
          <w:b/>
          <w:sz w:val="28"/>
          <w:szCs w:val="28"/>
          <w:lang w:eastAsia="es-ES"/>
        </w:rPr>
      </w:pPr>
      <w:r w:rsidRPr="005E1103">
        <w:rPr>
          <w:rFonts w:eastAsia="Times New Roman" w:cstheme="minorHAnsi"/>
          <w:b/>
          <w:sz w:val="28"/>
          <w:szCs w:val="28"/>
          <w:lang w:eastAsia="es-ES"/>
        </w:rPr>
        <w:t>2.3. Procedimiento</w:t>
      </w:r>
    </w:p>
    <w:p w:rsidR="003B20DC" w:rsidRPr="005E1103" w:rsidRDefault="003B20DC" w:rsidP="003B20DC">
      <w:pPr>
        <w:widowControl w:val="0"/>
        <w:shd w:val="clear" w:color="auto" w:fill="FFFFFF"/>
        <w:spacing w:after="0" w:line="360" w:lineRule="auto"/>
        <w:jc w:val="both"/>
        <w:rPr>
          <w:rFonts w:eastAsia="Arial" w:cstheme="minorHAnsi"/>
          <w:spacing w:val="2"/>
          <w:sz w:val="28"/>
          <w:szCs w:val="28"/>
          <w:lang w:eastAsia="es-ES"/>
        </w:rPr>
      </w:pPr>
      <w:r w:rsidRPr="005E1103">
        <w:rPr>
          <w:rFonts w:eastAsia="Arial" w:cstheme="minorHAnsi"/>
          <w:spacing w:val="2"/>
          <w:sz w:val="28"/>
          <w:szCs w:val="28"/>
          <w:lang w:eastAsia="es-ES"/>
        </w:rPr>
        <w:t>Los grupos especialistas en contenidos académico-científicos revisarán la metodologia, cuidando de que los sistemas informáticos producidos como prototipos reflejen adecuadamente esos contenidos interactivos secuenciados.</w:t>
      </w:r>
    </w:p>
    <w:p w:rsidR="003B20DC" w:rsidRPr="005E1103" w:rsidRDefault="003B20DC" w:rsidP="003B20DC">
      <w:pPr>
        <w:widowControl w:val="0"/>
        <w:spacing w:after="0" w:line="360" w:lineRule="auto"/>
        <w:jc w:val="both"/>
        <w:rPr>
          <w:rFonts w:eastAsia="Arial" w:cstheme="minorHAnsi"/>
          <w:color w:val="000000"/>
          <w:spacing w:val="2"/>
          <w:sz w:val="28"/>
          <w:szCs w:val="28"/>
          <w:lang w:eastAsia="es-ES"/>
        </w:rPr>
      </w:pPr>
      <w:r w:rsidRPr="005E1103">
        <w:rPr>
          <w:rFonts w:eastAsia="Arial" w:cstheme="minorHAnsi"/>
          <w:spacing w:val="2"/>
          <w:sz w:val="28"/>
          <w:szCs w:val="28"/>
          <w:lang w:eastAsia="es-ES"/>
        </w:rPr>
        <w:t xml:space="preserve">Además, es indispensable revisar y probar dichos prototipos para confirmar su eficacia comunicativa hacia los tres colectivos beneficiarios. </w:t>
      </w:r>
      <w:r w:rsidRPr="005E1103">
        <w:rPr>
          <w:rFonts w:eastAsia="Arial" w:cstheme="minorHAnsi"/>
          <w:spacing w:val="2"/>
          <w:sz w:val="28"/>
          <w:szCs w:val="28"/>
          <w:lang w:eastAsia="es-ES"/>
        </w:rPr>
        <w:lastRenderedPageBreak/>
        <w:t xml:space="preserve">Un proceso de software permitira especificar los requisitos de una aplicación móvil correspondiente a las funcionalidades necesarias identificadas en el prototipo producido, incorporando los mecanismos adecuados para cada diversidad funcional considerada (mínimo tres). Se pretende que la </w:t>
      </w:r>
      <w:r w:rsidRPr="005E1103">
        <w:rPr>
          <w:rFonts w:eastAsia="Arial" w:cstheme="minorHAnsi"/>
          <w:i/>
          <w:spacing w:val="2"/>
          <w:sz w:val="28"/>
          <w:szCs w:val="28"/>
          <w:lang w:eastAsia="es-ES"/>
        </w:rPr>
        <w:t>app</w:t>
      </w:r>
      <w:r w:rsidRPr="005E1103">
        <w:rPr>
          <w:rFonts w:eastAsia="Arial" w:cstheme="minorHAnsi"/>
          <w:spacing w:val="2"/>
          <w:sz w:val="28"/>
          <w:szCs w:val="28"/>
          <w:lang w:eastAsia="es-ES"/>
        </w:rPr>
        <w:t xml:space="preserve"> sea suficientemente genérica, pero demostrativa de los </w:t>
      </w:r>
      <w:r w:rsidRPr="005E1103">
        <w:rPr>
          <w:rFonts w:eastAsia="Arial" w:cstheme="minorHAnsi"/>
          <w:color w:val="000000"/>
          <w:spacing w:val="2"/>
          <w:sz w:val="28"/>
          <w:szCs w:val="28"/>
          <w:lang w:val="la-Latn" w:eastAsia="es-ES"/>
        </w:rPr>
        <w:t xml:space="preserve">conceptos necesarios </w:t>
      </w:r>
      <w:r w:rsidRPr="005E1103">
        <w:rPr>
          <w:rFonts w:eastAsia="Arial" w:cstheme="minorHAnsi"/>
          <w:color w:val="000000"/>
          <w:spacing w:val="2"/>
          <w:sz w:val="28"/>
          <w:szCs w:val="28"/>
          <w:lang w:eastAsia="es-ES"/>
        </w:rPr>
        <w:t xml:space="preserve">para definir, usar </w:t>
      </w:r>
      <w:r w:rsidRPr="005E1103">
        <w:rPr>
          <w:rFonts w:eastAsia="Arial" w:cstheme="minorHAnsi"/>
          <w:color w:val="000000"/>
          <w:spacing w:val="2"/>
          <w:sz w:val="28"/>
          <w:szCs w:val="28"/>
          <w:lang w:val="la-Latn" w:eastAsia="es-ES"/>
        </w:rPr>
        <w:t xml:space="preserve">y realizar recorridos interactivos accesibles </w:t>
      </w:r>
      <w:r w:rsidRPr="005E1103">
        <w:rPr>
          <w:rFonts w:eastAsia="Arial" w:cstheme="minorHAnsi"/>
          <w:color w:val="000000"/>
          <w:spacing w:val="2"/>
          <w:sz w:val="28"/>
          <w:szCs w:val="28"/>
          <w:lang w:eastAsia="es-ES"/>
        </w:rPr>
        <w:t xml:space="preserve">para su </w:t>
      </w:r>
      <w:r w:rsidRPr="005E1103">
        <w:rPr>
          <w:rFonts w:eastAsia="Arial" w:cstheme="minorHAnsi"/>
          <w:color w:val="000000"/>
          <w:spacing w:val="2"/>
          <w:sz w:val="28"/>
          <w:szCs w:val="28"/>
          <w:lang w:val="la-Latn" w:eastAsia="es-ES"/>
        </w:rPr>
        <w:t xml:space="preserve">posterior </w:t>
      </w:r>
      <w:r w:rsidRPr="005E1103">
        <w:rPr>
          <w:rFonts w:eastAsia="Arial" w:cstheme="minorHAnsi"/>
          <w:color w:val="000000"/>
          <w:spacing w:val="2"/>
          <w:sz w:val="28"/>
          <w:szCs w:val="28"/>
          <w:lang w:eastAsia="es-ES"/>
        </w:rPr>
        <w:t>producción.</w:t>
      </w:r>
    </w:p>
    <w:p w:rsidR="003B20DC" w:rsidRPr="005E1103" w:rsidRDefault="003B20DC" w:rsidP="003B20DC">
      <w:pPr>
        <w:widowControl w:val="0"/>
        <w:spacing w:after="0" w:line="360" w:lineRule="auto"/>
        <w:jc w:val="both"/>
        <w:rPr>
          <w:rFonts w:eastAsia="Arial" w:cstheme="minorHAnsi"/>
          <w:color w:val="000000"/>
          <w:spacing w:val="2"/>
          <w:sz w:val="28"/>
          <w:szCs w:val="28"/>
          <w:lang w:eastAsia="es-ES"/>
        </w:rPr>
      </w:pPr>
      <w:r w:rsidRPr="005E1103">
        <w:rPr>
          <w:rFonts w:eastAsia="Arial" w:cstheme="minorHAnsi"/>
          <w:color w:val="000000"/>
          <w:spacing w:val="2"/>
          <w:sz w:val="28"/>
          <w:szCs w:val="28"/>
          <w:lang w:eastAsia="es-ES"/>
        </w:rPr>
        <w:t xml:space="preserve">Después </w:t>
      </w:r>
      <w:r w:rsidRPr="005E1103">
        <w:rPr>
          <w:rFonts w:eastAsia="Arial" w:cstheme="minorHAnsi"/>
          <w:color w:val="000000"/>
          <w:spacing w:val="2"/>
          <w:sz w:val="28"/>
          <w:szCs w:val="28"/>
          <w:lang w:val="la-Latn" w:eastAsia="es-ES"/>
        </w:rPr>
        <w:t xml:space="preserve">de que miembros de los tres colectivos </w:t>
      </w:r>
      <w:r w:rsidRPr="005E1103">
        <w:rPr>
          <w:rFonts w:eastAsia="Arial" w:cstheme="minorHAnsi"/>
          <w:color w:val="000000"/>
          <w:spacing w:val="2"/>
          <w:sz w:val="28"/>
          <w:szCs w:val="28"/>
          <w:lang w:eastAsia="es-ES"/>
        </w:rPr>
        <w:t xml:space="preserve">prueben en grupos-piloto </w:t>
      </w:r>
      <w:r w:rsidRPr="005E1103">
        <w:rPr>
          <w:rFonts w:eastAsia="Arial" w:cstheme="minorHAnsi"/>
          <w:color w:val="000000"/>
          <w:spacing w:val="2"/>
          <w:sz w:val="28"/>
          <w:szCs w:val="28"/>
          <w:lang w:val="la-Latn" w:eastAsia="es-ES"/>
        </w:rPr>
        <w:t xml:space="preserve">los productos </w:t>
      </w:r>
      <w:r w:rsidRPr="005E1103">
        <w:rPr>
          <w:rFonts w:eastAsia="Arial" w:cstheme="minorHAnsi"/>
          <w:color w:val="000000"/>
          <w:spacing w:val="2"/>
          <w:sz w:val="28"/>
          <w:szCs w:val="28"/>
          <w:lang w:eastAsia="es-ES"/>
        </w:rPr>
        <w:t xml:space="preserve">científico-tecnológicos </w:t>
      </w:r>
      <w:r w:rsidRPr="005E1103">
        <w:rPr>
          <w:rFonts w:eastAsia="Arial" w:cstheme="minorHAnsi"/>
          <w:color w:val="000000"/>
          <w:spacing w:val="2"/>
          <w:sz w:val="28"/>
          <w:szCs w:val="28"/>
          <w:lang w:val="la-Latn" w:eastAsia="es-ES"/>
        </w:rPr>
        <w:t xml:space="preserve">producidos </w:t>
      </w:r>
      <w:r w:rsidRPr="005E1103">
        <w:rPr>
          <w:rFonts w:eastAsia="Arial" w:cstheme="minorHAnsi"/>
          <w:color w:val="000000"/>
          <w:spacing w:val="2"/>
          <w:sz w:val="28"/>
          <w:szCs w:val="28"/>
          <w:lang w:eastAsia="es-ES"/>
        </w:rPr>
        <w:t xml:space="preserve">por MUSACCES </w:t>
      </w:r>
      <w:r w:rsidRPr="005E1103">
        <w:rPr>
          <w:rFonts w:eastAsia="Arial" w:cstheme="minorHAnsi"/>
          <w:color w:val="000000"/>
          <w:spacing w:val="2"/>
          <w:sz w:val="28"/>
          <w:szCs w:val="28"/>
          <w:lang w:val="la-Latn" w:eastAsia="es-ES"/>
        </w:rPr>
        <w:t xml:space="preserve">para mejorar </w:t>
      </w:r>
      <w:r w:rsidRPr="005E1103">
        <w:rPr>
          <w:rFonts w:eastAsia="Arial" w:cstheme="minorHAnsi"/>
          <w:color w:val="000000"/>
          <w:spacing w:val="2"/>
          <w:sz w:val="28"/>
          <w:szCs w:val="28"/>
          <w:lang w:eastAsia="es-ES"/>
        </w:rPr>
        <w:t xml:space="preserve">su acceso al </w:t>
      </w:r>
      <w:r w:rsidRPr="005E1103">
        <w:rPr>
          <w:rFonts w:eastAsia="Arial" w:cstheme="minorHAnsi"/>
          <w:color w:val="000000"/>
          <w:spacing w:val="2"/>
          <w:sz w:val="28"/>
          <w:szCs w:val="28"/>
          <w:lang w:val="la-Latn" w:eastAsia="es-ES"/>
        </w:rPr>
        <w:t xml:space="preserve">patrimonio </w:t>
      </w:r>
      <w:r w:rsidRPr="005E1103">
        <w:rPr>
          <w:rFonts w:eastAsia="Arial" w:cstheme="minorHAnsi"/>
          <w:color w:val="000000"/>
          <w:spacing w:val="2"/>
          <w:sz w:val="28"/>
          <w:szCs w:val="28"/>
          <w:lang w:eastAsia="es-ES"/>
        </w:rPr>
        <w:t>artístico del Prado, se valorará el i</w:t>
      </w:r>
      <w:r w:rsidRPr="005E1103">
        <w:rPr>
          <w:rFonts w:eastAsia="Arial" w:cstheme="minorHAnsi"/>
          <w:bCs/>
          <w:color w:val="000000"/>
          <w:spacing w:val="2"/>
          <w:sz w:val="28"/>
          <w:szCs w:val="28"/>
          <w:lang w:eastAsia="es-ES"/>
        </w:rPr>
        <w:t>mpacto y el grado de satisfacción</w:t>
      </w:r>
      <w:r w:rsidRPr="005E1103">
        <w:rPr>
          <w:rFonts w:eastAsia="Arial" w:cstheme="minorHAnsi"/>
          <w:b/>
          <w:bCs/>
          <w:color w:val="000000"/>
          <w:spacing w:val="2"/>
          <w:sz w:val="28"/>
          <w:szCs w:val="28"/>
          <w:lang w:eastAsia="es-ES"/>
        </w:rPr>
        <w:t xml:space="preserve"> </w:t>
      </w:r>
      <w:r w:rsidRPr="005E1103">
        <w:rPr>
          <w:rFonts w:eastAsia="Arial" w:cstheme="minorHAnsi"/>
          <w:color w:val="000000"/>
          <w:spacing w:val="2"/>
          <w:sz w:val="28"/>
          <w:szCs w:val="28"/>
          <w:lang w:eastAsia="es-ES"/>
        </w:rPr>
        <w:t xml:space="preserve">que </w:t>
      </w:r>
      <w:r w:rsidRPr="005E1103">
        <w:rPr>
          <w:rFonts w:eastAsia="Arial" w:cstheme="minorHAnsi"/>
          <w:color w:val="000000"/>
          <w:spacing w:val="2"/>
          <w:sz w:val="28"/>
          <w:szCs w:val="28"/>
          <w:lang w:val="la-Latn" w:eastAsia="es-ES"/>
        </w:rPr>
        <w:t xml:space="preserve">esas </w:t>
      </w:r>
      <w:r w:rsidRPr="005E1103">
        <w:rPr>
          <w:rFonts w:eastAsia="Arial" w:cstheme="minorHAnsi"/>
          <w:color w:val="000000"/>
          <w:spacing w:val="2"/>
          <w:sz w:val="28"/>
          <w:szCs w:val="28"/>
          <w:lang w:eastAsia="es-ES"/>
        </w:rPr>
        <w:t xml:space="preserve">aplicaciones </w:t>
      </w:r>
      <w:r w:rsidRPr="005E1103">
        <w:rPr>
          <w:rFonts w:eastAsia="Arial" w:cstheme="minorHAnsi"/>
          <w:color w:val="000000"/>
          <w:spacing w:val="2"/>
          <w:sz w:val="28"/>
          <w:szCs w:val="28"/>
          <w:lang w:val="la-Latn" w:eastAsia="es-ES"/>
        </w:rPr>
        <w:t xml:space="preserve">y </w:t>
      </w:r>
      <w:r w:rsidRPr="005E1103">
        <w:rPr>
          <w:rFonts w:eastAsia="Arial" w:cstheme="minorHAnsi"/>
          <w:color w:val="000000"/>
          <w:spacing w:val="2"/>
          <w:sz w:val="28"/>
          <w:szCs w:val="28"/>
          <w:lang w:eastAsia="es-ES"/>
        </w:rPr>
        <w:t xml:space="preserve">esas </w:t>
      </w:r>
      <w:r w:rsidRPr="005E1103">
        <w:rPr>
          <w:rFonts w:eastAsia="Arial" w:cstheme="minorHAnsi"/>
          <w:color w:val="000000"/>
          <w:spacing w:val="2"/>
          <w:sz w:val="28"/>
          <w:szCs w:val="28"/>
          <w:lang w:val="la-Latn" w:eastAsia="es-ES"/>
        </w:rPr>
        <w:t xml:space="preserve">visitas </w:t>
      </w:r>
      <w:r w:rsidRPr="005E1103">
        <w:rPr>
          <w:rFonts w:eastAsia="Arial" w:cstheme="minorHAnsi"/>
          <w:color w:val="000000"/>
          <w:spacing w:val="2"/>
          <w:sz w:val="28"/>
          <w:szCs w:val="28"/>
          <w:lang w:eastAsia="es-ES"/>
        </w:rPr>
        <w:t xml:space="preserve">virtuales producen en cada uno de los tres colectivos de referencia. Se considerarán las sugerencias del </w:t>
      </w:r>
      <w:r w:rsidRPr="005E1103">
        <w:rPr>
          <w:rFonts w:eastAsia="Arial" w:cstheme="minorHAnsi"/>
          <w:bCs/>
          <w:color w:val="000000"/>
          <w:spacing w:val="2"/>
          <w:sz w:val="28"/>
          <w:szCs w:val="28"/>
          <w:lang w:eastAsia="es-ES"/>
        </w:rPr>
        <w:t xml:space="preserve">Sistema de Garantía de Calidad </w:t>
      </w:r>
      <w:r w:rsidRPr="005E1103">
        <w:rPr>
          <w:rFonts w:eastAsia="Arial" w:cstheme="minorHAnsi"/>
          <w:color w:val="000000"/>
          <w:spacing w:val="2"/>
          <w:sz w:val="28"/>
          <w:szCs w:val="28"/>
          <w:lang w:eastAsia="es-ES"/>
        </w:rPr>
        <w:t xml:space="preserve">para mejorar los </w:t>
      </w:r>
      <w:r w:rsidRPr="005E1103">
        <w:rPr>
          <w:rFonts w:eastAsia="Arial" w:cstheme="minorHAnsi"/>
          <w:color w:val="000000"/>
          <w:spacing w:val="2"/>
          <w:sz w:val="28"/>
          <w:szCs w:val="28"/>
          <w:lang w:val="la-Latn" w:eastAsia="es-ES"/>
        </w:rPr>
        <w:t xml:space="preserve">productos resultantes, </w:t>
      </w:r>
      <w:r w:rsidRPr="005E1103">
        <w:rPr>
          <w:rFonts w:eastAsia="Arial" w:cstheme="minorHAnsi"/>
          <w:color w:val="000000"/>
          <w:spacing w:val="2"/>
          <w:sz w:val="28"/>
          <w:szCs w:val="28"/>
          <w:lang w:eastAsia="es-ES"/>
        </w:rPr>
        <w:t xml:space="preserve">programando modificaciones puntuales que mejoren los contenidos y faciliten el acceso al conocimiento, al arte y la cultura. </w:t>
      </w:r>
    </w:p>
    <w:p w:rsidR="003B20DC" w:rsidRPr="005E1103" w:rsidRDefault="003B20DC" w:rsidP="003B20DC">
      <w:pPr>
        <w:spacing w:after="0" w:line="360" w:lineRule="auto"/>
        <w:jc w:val="both"/>
        <w:rPr>
          <w:rFonts w:eastAsia="Times New Roman" w:cstheme="minorHAnsi"/>
          <w:sz w:val="28"/>
          <w:szCs w:val="28"/>
          <w:lang w:eastAsia="es-ES"/>
        </w:rPr>
      </w:pPr>
    </w:p>
    <w:p w:rsidR="003B20DC" w:rsidRPr="005E1103" w:rsidRDefault="003B20DC" w:rsidP="003B20DC">
      <w:pPr>
        <w:spacing w:after="0" w:line="360" w:lineRule="auto"/>
        <w:jc w:val="both"/>
        <w:rPr>
          <w:rFonts w:eastAsia="Times New Roman" w:cstheme="minorHAnsi"/>
          <w:b/>
          <w:bCs/>
          <w:sz w:val="28"/>
          <w:szCs w:val="28"/>
          <w:lang w:eastAsia="es-ES"/>
        </w:rPr>
      </w:pPr>
      <w:r w:rsidRPr="005E1103">
        <w:rPr>
          <w:rFonts w:eastAsia="Times New Roman" w:cstheme="minorHAnsi"/>
          <w:b/>
          <w:bCs/>
          <w:sz w:val="28"/>
          <w:szCs w:val="28"/>
          <w:lang w:eastAsia="es-ES"/>
        </w:rPr>
        <w:t>3. RESULTADOS Y CONCLUSIONES</w:t>
      </w:r>
    </w:p>
    <w:p w:rsidR="003B20DC" w:rsidRPr="005E1103" w:rsidRDefault="003B20DC" w:rsidP="003B20DC">
      <w:pPr>
        <w:spacing w:after="0" w:line="360" w:lineRule="auto"/>
        <w:jc w:val="both"/>
        <w:rPr>
          <w:rFonts w:eastAsia="Times New Roman" w:cstheme="minorHAnsi"/>
          <w:sz w:val="28"/>
          <w:szCs w:val="28"/>
          <w:lang w:eastAsia="es-ES"/>
        </w:rPr>
      </w:pPr>
      <w:r w:rsidRPr="005E1103">
        <w:rPr>
          <w:rFonts w:eastAsia="Times New Roman" w:cstheme="minorHAnsi"/>
          <w:sz w:val="28"/>
          <w:szCs w:val="28"/>
          <w:lang w:eastAsia="es-ES"/>
        </w:rPr>
        <w:t xml:space="preserve">Las principales conclusiones se traducen en el trabajo integrado de los 8 Grupos de Investigación participantes para lograr los productos científico-tecnológicos que permitan a los tres colectivos con accesibilidad especial apreciar los tesoros del Museo del Prado. Sobre su sólida cohesión interna, MUSACCES ha obtenido ya cinco resultados básicos: </w:t>
      </w:r>
    </w:p>
    <w:p w:rsidR="003B20DC" w:rsidRPr="005E1103" w:rsidRDefault="003B20DC" w:rsidP="003B20DC">
      <w:pPr>
        <w:shd w:val="clear" w:color="auto" w:fill="FFFFFF"/>
        <w:spacing w:after="0" w:line="360" w:lineRule="auto"/>
        <w:jc w:val="both"/>
        <w:textAlignment w:val="baseline"/>
        <w:rPr>
          <w:rFonts w:eastAsia="Times New Roman" w:cstheme="minorHAnsi"/>
          <w:sz w:val="28"/>
          <w:szCs w:val="28"/>
          <w:lang w:eastAsia="es-ES"/>
        </w:rPr>
      </w:pPr>
      <w:r w:rsidRPr="005E1103">
        <w:rPr>
          <w:rFonts w:eastAsia="Times New Roman" w:cstheme="minorHAnsi"/>
          <w:sz w:val="28"/>
          <w:szCs w:val="28"/>
          <w:lang w:eastAsia="es-ES"/>
        </w:rPr>
        <w:t>1) Se estableció la estructura organizativa de MUSACCES, mediante la constitución de sus órganos de gobierno: el Comité de Gestión, las Comisiones Delegadas (Económica, Calidad, y Relaciones Interinstitucionales) y la Comisión Permanente.</w:t>
      </w:r>
    </w:p>
    <w:p w:rsidR="003B20DC" w:rsidRPr="005E1103" w:rsidRDefault="003B20DC" w:rsidP="003B20DC">
      <w:pPr>
        <w:shd w:val="clear" w:color="auto" w:fill="FFFFFF"/>
        <w:spacing w:after="0" w:line="360" w:lineRule="auto"/>
        <w:jc w:val="both"/>
        <w:textAlignment w:val="baseline"/>
        <w:rPr>
          <w:rFonts w:eastAsia="Times New Roman" w:cstheme="minorHAnsi"/>
          <w:sz w:val="28"/>
          <w:szCs w:val="28"/>
          <w:lang w:eastAsia="es-ES"/>
        </w:rPr>
      </w:pPr>
      <w:r w:rsidRPr="005E1103">
        <w:rPr>
          <w:rFonts w:eastAsia="Times New Roman" w:cstheme="minorHAnsi"/>
          <w:sz w:val="28"/>
          <w:szCs w:val="28"/>
          <w:lang w:eastAsia="es-ES"/>
        </w:rPr>
        <w:lastRenderedPageBreak/>
        <w:t xml:space="preserve">2) Se diseñó y se publicó nuestra web con toda la información sobre el Consorcio (perfil, componentes, estructura, actividades, etc.), la cual se actualiza periódicamente. </w:t>
      </w:r>
    </w:p>
    <w:p w:rsidR="003B20DC" w:rsidRPr="005E1103" w:rsidRDefault="003B20DC" w:rsidP="003B20DC">
      <w:pPr>
        <w:shd w:val="clear" w:color="auto" w:fill="FFFFFF"/>
        <w:spacing w:after="0" w:line="360" w:lineRule="auto"/>
        <w:jc w:val="both"/>
        <w:textAlignment w:val="baseline"/>
        <w:rPr>
          <w:rFonts w:eastAsia="Times New Roman" w:cstheme="minorHAnsi"/>
          <w:sz w:val="28"/>
          <w:szCs w:val="28"/>
          <w:lang w:eastAsia="es-ES"/>
        </w:rPr>
      </w:pPr>
      <w:r w:rsidRPr="005E1103">
        <w:rPr>
          <w:rFonts w:eastAsia="Times New Roman" w:cstheme="minorHAnsi"/>
          <w:sz w:val="28"/>
          <w:szCs w:val="28"/>
          <w:lang w:eastAsia="es-ES"/>
        </w:rPr>
        <w:t xml:space="preserve">3) Mediante búsquedas bibliográficas, encuestas a directivos de museos y visitas a instituciones museísticas y culturales, trazamos un amplio estado de la cuestión de la investigación sobre accesibilidad al arte y la cultura, y de las iniciativas con las que diversos museos nacionales e internacionales facilitan la accesibilidad especial al arte. </w:t>
      </w:r>
    </w:p>
    <w:p w:rsidR="003B20DC" w:rsidRPr="005E1103" w:rsidRDefault="003B20DC" w:rsidP="003B20DC">
      <w:pPr>
        <w:shd w:val="clear" w:color="auto" w:fill="FFFFFF"/>
        <w:spacing w:after="0" w:line="360" w:lineRule="auto"/>
        <w:jc w:val="both"/>
        <w:textAlignment w:val="baseline"/>
        <w:rPr>
          <w:rFonts w:eastAsia="Times New Roman" w:cstheme="minorHAnsi"/>
          <w:sz w:val="28"/>
          <w:szCs w:val="28"/>
          <w:lang w:eastAsia="es-ES"/>
        </w:rPr>
      </w:pPr>
      <w:r w:rsidRPr="005E1103">
        <w:rPr>
          <w:rFonts w:eastAsia="Times New Roman" w:cstheme="minorHAnsi"/>
          <w:sz w:val="28"/>
          <w:szCs w:val="28"/>
          <w:lang w:eastAsia="es-ES"/>
        </w:rPr>
        <w:t xml:space="preserve">4) Estamos realizando varios cursos de formación para los jóvenes investigadores del Consorcio, a saber, el curso “Introducción al Museo del Prado para comunicadores, educadores y tecnólogos” (15/04/2016), el Seminario “El Museo del Prado a través de los 5 sentidos” (organizado por nuestros jóvenes investigadores del 20 de septiembre al 18 de octubre de 2016) y el Congreso de Iconografía “La elocuencia de la Imagen en el Museo del Prado” (a celebrarse los próximos días 29 y 30 de noviembre, con ponencias y comunicaciones de muchos historiadores del arte del Consorcio). </w:t>
      </w:r>
    </w:p>
    <w:p w:rsidR="003B20DC" w:rsidRPr="005E1103" w:rsidRDefault="003B20DC" w:rsidP="003B20DC">
      <w:pPr>
        <w:shd w:val="clear" w:color="auto" w:fill="FFFFFF"/>
        <w:spacing w:after="0" w:line="360" w:lineRule="auto"/>
        <w:jc w:val="both"/>
        <w:textAlignment w:val="baseline"/>
        <w:rPr>
          <w:rFonts w:eastAsia="Times New Roman" w:cstheme="minorHAnsi"/>
          <w:bCs/>
          <w:sz w:val="28"/>
          <w:szCs w:val="28"/>
          <w:highlight w:val="yellow"/>
          <w:lang w:eastAsia="es-ES"/>
        </w:rPr>
      </w:pPr>
      <w:r w:rsidRPr="005E1103">
        <w:rPr>
          <w:rFonts w:eastAsia="Times New Roman" w:cstheme="minorHAnsi"/>
          <w:sz w:val="28"/>
          <w:szCs w:val="28"/>
          <w:lang w:eastAsia="es-ES"/>
        </w:rPr>
        <w:t xml:space="preserve">5) Preparamos ahora varias encuestas digitales mediante las que grupos-piloto de invidentes y personas sordas manifestarán su clase y grado de discapacidad sensorial, así como sus particulares necesidades y preferencias respecto a las colecciones del Prado </w:t>
      </w:r>
    </w:p>
    <w:p w:rsidR="003B20DC" w:rsidRPr="005E1103" w:rsidRDefault="003B20DC" w:rsidP="003B20DC">
      <w:pPr>
        <w:spacing w:after="0" w:line="360" w:lineRule="auto"/>
        <w:jc w:val="both"/>
        <w:rPr>
          <w:rFonts w:eastAsia="Times New Roman" w:cstheme="minorHAnsi"/>
          <w:sz w:val="28"/>
          <w:szCs w:val="28"/>
          <w:lang w:eastAsia="es-ES"/>
        </w:rPr>
      </w:pPr>
    </w:p>
    <w:p w:rsidR="003B20DC" w:rsidRPr="005E1103" w:rsidRDefault="003B20DC" w:rsidP="003B20DC">
      <w:pPr>
        <w:spacing w:after="0" w:line="360" w:lineRule="auto"/>
        <w:jc w:val="both"/>
        <w:rPr>
          <w:rFonts w:eastAsia="Times New Roman" w:cstheme="minorHAnsi"/>
          <w:sz w:val="28"/>
          <w:szCs w:val="28"/>
          <w:lang w:eastAsia="es-ES"/>
        </w:rPr>
      </w:pPr>
    </w:p>
    <w:p w:rsidR="003B20DC" w:rsidRPr="005E1103" w:rsidRDefault="003B20DC" w:rsidP="003B20DC">
      <w:pPr>
        <w:spacing w:after="0" w:line="360" w:lineRule="auto"/>
        <w:jc w:val="both"/>
        <w:rPr>
          <w:rFonts w:eastAsia="Times New Roman" w:cstheme="minorHAnsi"/>
          <w:sz w:val="28"/>
          <w:szCs w:val="28"/>
          <w:lang w:eastAsia="es-ES"/>
        </w:rPr>
      </w:pPr>
      <w:r w:rsidRPr="005E1103">
        <w:rPr>
          <w:rFonts w:eastAsia="Times New Roman" w:cstheme="minorHAnsi"/>
          <w:b/>
          <w:bCs/>
          <w:sz w:val="28"/>
          <w:szCs w:val="28"/>
          <w:lang w:eastAsia="es-ES"/>
        </w:rPr>
        <w:t xml:space="preserve">4. REFERENCIAS </w:t>
      </w:r>
    </w:p>
    <w:p w:rsidR="003B20DC" w:rsidRPr="005E1103" w:rsidRDefault="003B20DC" w:rsidP="003B20DC">
      <w:pPr>
        <w:spacing w:after="0" w:line="360" w:lineRule="auto"/>
        <w:ind w:left="284" w:hanging="284"/>
        <w:jc w:val="both"/>
        <w:rPr>
          <w:rFonts w:eastAsia="Times New Roman" w:cstheme="minorHAnsi"/>
          <w:iCs/>
          <w:color w:val="111111"/>
          <w:sz w:val="28"/>
          <w:szCs w:val="28"/>
          <w:shd w:val="clear" w:color="auto" w:fill="FFFFFF"/>
          <w:lang w:eastAsia="es-ES"/>
        </w:rPr>
      </w:pPr>
      <w:r w:rsidRPr="005E1103">
        <w:rPr>
          <w:rFonts w:eastAsia="Times New Roman" w:cstheme="minorHAnsi"/>
          <w:iCs/>
          <w:color w:val="111111"/>
          <w:sz w:val="28"/>
          <w:szCs w:val="28"/>
          <w:shd w:val="clear" w:color="auto" w:fill="FFFFFF"/>
          <w:lang w:eastAsia="es-ES"/>
        </w:rPr>
        <w:t xml:space="preserve">Álvarez de Morales Mercado, C. (2013), La accesibilidad en el Museo desde una perspectiva sociológica, </w:t>
      </w:r>
      <w:r w:rsidRPr="005E1103">
        <w:rPr>
          <w:rFonts w:eastAsia="Times New Roman" w:cstheme="minorHAnsi"/>
          <w:i/>
          <w:iCs/>
          <w:color w:val="111111"/>
          <w:sz w:val="28"/>
          <w:szCs w:val="28"/>
          <w:shd w:val="clear" w:color="auto" w:fill="FFFFFF"/>
          <w:lang w:eastAsia="es-ES"/>
        </w:rPr>
        <w:t>Revista de Estudios Jurídicos</w:t>
      </w:r>
      <w:r w:rsidRPr="005E1103">
        <w:rPr>
          <w:rFonts w:eastAsia="Times New Roman" w:cstheme="minorHAnsi"/>
          <w:iCs/>
          <w:color w:val="111111"/>
          <w:sz w:val="28"/>
          <w:szCs w:val="28"/>
          <w:shd w:val="clear" w:color="auto" w:fill="FFFFFF"/>
          <w:lang w:eastAsia="es-ES"/>
        </w:rPr>
        <w:t>, 13, 1-</w:t>
      </w:r>
      <w:r w:rsidRPr="005E1103">
        <w:rPr>
          <w:rFonts w:eastAsia="Times New Roman" w:cstheme="minorHAnsi"/>
          <w:iCs/>
          <w:color w:val="111111"/>
          <w:sz w:val="28"/>
          <w:szCs w:val="28"/>
          <w:shd w:val="clear" w:color="auto" w:fill="FFFFFF"/>
          <w:lang w:eastAsia="es-ES"/>
        </w:rPr>
        <w:lastRenderedPageBreak/>
        <w:t>18.</w:t>
      </w:r>
      <w:r w:rsidRPr="005E1103">
        <w:rPr>
          <w:rFonts w:eastAsia="Times New Roman" w:cstheme="minorHAnsi"/>
          <w:sz w:val="28"/>
          <w:szCs w:val="28"/>
          <w:lang w:eastAsia="es-ES"/>
        </w:rPr>
        <w:t xml:space="preserve"> Recuperado de [http://revistaselectronicas.ujaen.es/index.php/rej/article/view/1331</w:t>
      </w:r>
    </w:p>
    <w:p w:rsidR="003B20DC" w:rsidRPr="005E1103" w:rsidRDefault="003B20DC" w:rsidP="003B20DC">
      <w:pPr>
        <w:shd w:val="clear" w:color="auto" w:fill="FFFFFF"/>
        <w:spacing w:after="0" w:line="360" w:lineRule="auto"/>
        <w:ind w:left="284" w:hanging="284"/>
        <w:jc w:val="both"/>
        <w:textAlignment w:val="baseline"/>
        <w:rPr>
          <w:rFonts w:eastAsia="Times New Roman" w:cstheme="minorHAnsi"/>
          <w:sz w:val="28"/>
          <w:szCs w:val="28"/>
          <w:lang w:eastAsia="es-ES"/>
        </w:rPr>
      </w:pPr>
      <w:r w:rsidRPr="005E1103">
        <w:rPr>
          <w:rFonts w:eastAsia="Times New Roman" w:cstheme="minorHAnsi"/>
          <w:sz w:val="28"/>
          <w:szCs w:val="28"/>
          <w:lang w:val="it-IT" w:eastAsia="es-ES"/>
        </w:rPr>
        <w:t xml:space="preserve">Andrade Pereira, V., Colorado Castellary, A. &amp; Moreno Sánchez, I. (Eds.) </w:t>
      </w:r>
      <w:r w:rsidRPr="005E1103">
        <w:rPr>
          <w:rFonts w:eastAsia="Times New Roman" w:cstheme="minorHAnsi"/>
          <w:sz w:val="28"/>
          <w:szCs w:val="28"/>
          <w:lang w:eastAsia="es-ES"/>
        </w:rPr>
        <w:t xml:space="preserve">(2014). </w:t>
      </w:r>
      <w:r w:rsidRPr="005E1103">
        <w:rPr>
          <w:rFonts w:eastAsia="Times New Roman" w:cstheme="minorHAnsi"/>
          <w:i/>
          <w:sz w:val="28"/>
          <w:szCs w:val="28"/>
          <w:lang w:eastAsia="es-ES"/>
        </w:rPr>
        <w:t>Artecnología. Conocimiento aumentado y accesibilidad. Artechnology. Augmented Knowledge and Accessibility</w:t>
      </w:r>
      <w:r w:rsidRPr="005E1103">
        <w:rPr>
          <w:rFonts w:eastAsia="Times New Roman" w:cstheme="minorHAnsi"/>
          <w:sz w:val="28"/>
          <w:szCs w:val="28"/>
          <w:lang w:eastAsia="es-ES"/>
        </w:rPr>
        <w:t>. Madrid: UCM</w:t>
      </w:r>
    </w:p>
    <w:p w:rsidR="003B20DC" w:rsidRPr="005E1103" w:rsidRDefault="003B20DC" w:rsidP="003B20DC">
      <w:pPr>
        <w:shd w:val="clear" w:color="auto" w:fill="FFFFFF"/>
        <w:spacing w:after="0" w:line="360" w:lineRule="auto"/>
        <w:ind w:left="284" w:hanging="284"/>
        <w:jc w:val="both"/>
        <w:textAlignment w:val="baseline"/>
        <w:rPr>
          <w:rFonts w:eastAsia="Times New Roman" w:cstheme="minorHAnsi"/>
          <w:sz w:val="28"/>
          <w:szCs w:val="28"/>
          <w:lang w:eastAsia="es-ES"/>
        </w:rPr>
      </w:pPr>
      <w:r w:rsidRPr="005E1103">
        <w:rPr>
          <w:rFonts w:eastAsia="Times New Roman" w:cstheme="minorHAnsi"/>
          <w:sz w:val="28"/>
          <w:szCs w:val="28"/>
          <w:lang w:eastAsia="es-ES"/>
        </w:rPr>
        <w:t xml:space="preserve">Bellido Gant, M. L. (2001). </w:t>
      </w:r>
      <w:r w:rsidRPr="005E1103">
        <w:rPr>
          <w:rFonts w:eastAsia="Times New Roman" w:cstheme="minorHAnsi"/>
          <w:i/>
          <w:sz w:val="28"/>
          <w:szCs w:val="28"/>
          <w:lang w:eastAsia="es-ES"/>
        </w:rPr>
        <w:t>Arte, museos y nuevas tecnologías</w:t>
      </w:r>
      <w:r w:rsidRPr="005E1103">
        <w:rPr>
          <w:rFonts w:eastAsia="Times New Roman" w:cstheme="minorHAnsi"/>
          <w:sz w:val="28"/>
          <w:szCs w:val="28"/>
          <w:lang w:eastAsia="es-ES"/>
        </w:rPr>
        <w:t>. Gijón: Trea</w:t>
      </w:r>
    </w:p>
    <w:p w:rsidR="003B20DC" w:rsidRPr="005E1103" w:rsidRDefault="003B20DC" w:rsidP="003B20DC">
      <w:pPr>
        <w:shd w:val="clear" w:color="auto" w:fill="FFFFFF"/>
        <w:spacing w:after="0" w:line="360" w:lineRule="auto"/>
        <w:ind w:left="284" w:hanging="284"/>
        <w:jc w:val="both"/>
        <w:textAlignment w:val="baseline"/>
        <w:rPr>
          <w:rFonts w:eastAsia="Times New Roman" w:cstheme="minorHAnsi"/>
          <w:sz w:val="28"/>
          <w:szCs w:val="28"/>
          <w:lang w:eastAsia="es-ES"/>
        </w:rPr>
      </w:pPr>
      <w:r w:rsidRPr="005E1103">
        <w:rPr>
          <w:rFonts w:eastAsia="Times New Roman" w:cstheme="minorHAnsi"/>
          <w:sz w:val="28"/>
          <w:szCs w:val="28"/>
          <w:lang w:eastAsia="es-ES"/>
        </w:rPr>
        <w:t xml:space="preserve">Bellido Gant, M.L. (2007). </w:t>
      </w:r>
      <w:r w:rsidRPr="005E1103">
        <w:rPr>
          <w:rFonts w:eastAsia="Times New Roman" w:cstheme="minorHAnsi"/>
          <w:i/>
          <w:sz w:val="28"/>
          <w:szCs w:val="28"/>
          <w:lang w:eastAsia="es-ES"/>
        </w:rPr>
        <w:t>Aprendiendo de Latinoamérica. El museo como protagonista</w:t>
      </w:r>
      <w:r w:rsidRPr="005E1103">
        <w:rPr>
          <w:rFonts w:eastAsia="Times New Roman" w:cstheme="minorHAnsi"/>
          <w:sz w:val="28"/>
          <w:szCs w:val="28"/>
          <w:lang w:eastAsia="es-ES"/>
        </w:rPr>
        <w:t>. Gijón: Trea</w:t>
      </w:r>
    </w:p>
    <w:p w:rsidR="003B20DC" w:rsidRPr="005E1103" w:rsidRDefault="003B20DC" w:rsidP="003B20DC">
      <w:pPr>
        <w:shd w:val="clear" w:color="auto" w:fill="FFFFFF"/>
        <w:spacing w:after="0" w:line="360" w:lineRule="auto"/>
        <w:ind w:left="284" w:hanging="284"/>
        <w:jc w:val="both"/>
        <w:textAlignment w:val="baseline"/>
        <w:rPr>
          <w:rFonts w:eastAsia="Times New Roman" w:cstheme="minorHAnsi"/>
          <w:sz w:val="28"/>
          <w:szCs w:val="28"/>
          <w:lang w:eastAsia="es-ES"/>
        </w:rPr>
      </w:pPr>
      <w:r w:rsidRPr="005E1103">
        <w:rPr>
          <w:rFonts w:eastAsia="Times New Roman" w:cstheme="minorHAnsi"/>
          <w:sz w:val="28"/>
          <w:szCs w:val="28"/>
          <w:lang w:eastAsia="es-ES"/>
        </w:rPr>
        <w:t xml:space="preserve">Colorado Castellary, A. (1997). </w:t>
      </w:r>
      <w:r w:rsidRPr="005E1103">
        <w:rPr>
          <w:rFonts w:eastAsia="Times New Roman" w:cstheme="minorHAnsi"/>
          <w:i/>
          <w:sz w:val="28"/>
          <w:szCs w:val="28"/>
          <w:lang w:eastAsia="es-ES"/>
        </w:rPr>
        <w:t>Hipercultura visual. El reto hipermedia en el arte y la educación</w:t>
      </w:r>
      <w:r w:rsidRPr="005E1103">
        <w:rPr>
          <w:rFonts w:eastAsia="Times New Roman" w:cstheme="minorHAnsi"/>
          <w:sz w:val="28"/>
          <w:szCs w:val="28"/>
          <w:lang w:eastAsia="es-ES"/>
        </w:rPr>
        <w:t>. Madrid: Universidad Complutense</w:t>
      </w:r>
    </w:p>
    <w:p w:rsidR="003B20DC" w:rsidRPr="005E1103" w:rsidRDefault="003B20DC" w:rsidP="003B20DC">
      <w:pPr>
        <w:shd w:val="clear" w:color="auto" w:fill="FFFFFF"/>
        <w:spacing w:after="0" w:line="360" w:lineRule="auto"/>
        <w:ind w:left="284" w:hanging="284"/>
        <w:jc w:val="both"/>
        <w:textAlignment w:val="baseline"/>
        <w:rPr>
          <w:rFonts w:eastAsia="Times New Roman" w:cstheme="minorHAnsi"/>
          <w:sz w:val="28"/>
          <w:szCs w:val="28"/>
          <w:lang w:eastAsia="es-ES"/>
        </w:rPr>
      </w:pPr>
      <w:r w:rsidRPr="005E1103">
        <w:rPr>
          <w:rFonts w:eastAsia="Times New Roman" w:cstheme="minorHAnsi"/>
          <w:sz w:val="28"/>
          <w:szCs w:val="28"/>
          <w:lang w:eastAsia="es-ES"/>
        </w:rPr>
        <w:t xml:space="preserve">García Guardia, M. L. &amp; Menéndez Hevia, T. (2007). </w:t>
      </w:r>
      <w:r w:rsidRPr="005E1103">
        <w:rPr>
          <w:rFonts w:eastAsia="Times New Roman" w:cstheme="minorHAnsi"/>
          <w:i/>
          <w:sz w:val="28"/>
          <w:szCs w:val="28"/>
          <w:lang w:eastAsia="es-ES"/>
        </w:rPr>
        <w:t>El diseño digital. Mímesis del espacio pictórico</w:t>
      </w:r>
      <w:r w:rsidRPr="005E1103">
        <w:rPr>
          <w:rFonts w:eastAsia="Times New Roman" w:cstheme="minorHAnsi"/>
          <w:sz w:val="28"/>
          <w:szCs w:val="28"/>
          <w:lang w:eastAsia="es-ES"/>
        </w:rPr>
        <w:t>. Madrid: Fragua</w:t>
      </w:r>
    </w:p>
    <w:p w:rsidR="003B20DC" w:rsidRPr="005E1103" w:rsidRDefault="003B20DC" w:rsidP="003B20DC">
      <w:pPr>
        <w:spacing w:after="0" w:line="360" w:lineRule="auto"/>
        <w:ind w:left="284" w:hanging="284"/>
        <w:jc w:val="both"/>
        <w:rPr>
          <w:rFonts w:eastAsia="Times New Roman" w:cstheme="minorHAnsi"/>
          <w:sz w:val="28"/>
          <w:szCs w:val="28"/>
          <w:lang w:eastAsia="es-ES"/>
        </w:rPr>
      </w:pPr>
      <w:r w:rsidRPr="005E1103">
        <w:rPr>
          <w:rFonts w:eastAsia="Times New Roman" w:cstheme="minorHAnsi"/>
          <w:sz w:val="28"/>
          <w:szCs w:val="28"/>
          <w:lang w:eastAsia="es-ES"/>
        </w:rPr>
        <w:t xml:space="preserve">Lavado, P.J. (2011), “Museos para todos”: Accesibles, inclusivos y multiculturales, </w:t>
      </w:r>
      <w:r w:rsidRPr="005E1103">
        <w:rPr>
          <w:rFonts w:eastAsia="Times New Roman" w:cstheme="minorHAnsi"/>
          <w:i/>
          <w:sz w:val="28"/>
          <w:szCs w:val="28"/>
          <w:lang w:eastAsia="es-ES"/>
        </w:rPr>
        <w:t>ICOM España Digital</w:t>
      </w:r>
      <w:r w:rsidRPr="005E1103">
        <w:rPr>
          <w:rFonts w:eastAsia="Times New Roman" w:cstheme="minorHAnsi"/>
          <w:sz w:val="28"/>
          <w:szCs w:val="28"/>
          <w:lang w:eastAsia="es-ES"/>
        </w:rPr>
        <w:t xml:space="preserve">, </w:t>
      </w:r>
      <w:r w:rsidRPr="005E1103">
        <w:rPr>
          <w:rFonts w:eastAsia="Times New Roman" w:cstheme="minorHAnsi"/>
          <w:i/>
          <w:sz w:val="28"/>
          <w:szCs w:val="28"/>
          <w:lang w:eastAsia="es-ES"/>
        </w:rPr>
        <w:t>2</w:t>
      </w:r>
      <w:r w:rsidRPr="005E1103">
        <w:rPr>
          <w:rFonts w:eastAsia="Times New Roman" w:cstheme="minorHAnsi"/>
          <w:sz w:val="28"/>
          <w:szCs w:val="28"/>
          <w:lang w:eastAsia="es-ES"/>
        </w:rPr>
        <w:t>, 9–18. Recuperado de [http://www.icom-ce.org/recursos/ICOM_CE_Digital/02/ICOMCEDigital02.pdf]</w:t>
      </w:r>
    </w:p>
    <w:p w:rsidR="003B20DC" w:rsidRPr="005E1103" w:rsidRDefault="003B20DC" w:rsidP="003B20DC">
      <w:pPr>
        <w:shd w:val="clear" w:color="auto" w:fill="FFFFFF"/>
        <w:spacing w:after="0" w:line="360" w:lineRule="auto"/>
        <w:ind w:left="284" w:hanging="284"/>
        <w:jc w:val="both"/>
        <w:textAlignment w:val="baseline"/>
        <w:rPr>
          <w:rFonts w:eastAsia="Times New Roman" w:cstheme="minorHAnsi"/>
          <w:sz w:val="28"/>
          <w:szCs w:val="28"/>
          <w:lang w:eastAsia="es-ES"/>
        </w:rPr>
      </w:pPr>
      <w:r w:rsidRPr="005E1103">
        <w:rPr>
          <w:rFonts w:eastAsia="Times New Roman" w:cstheme="minorHAnsi"/>
          <w:sz w:val="28"/>
          <w:szCs w:val="28"/>
          <w:lang w:eastAsia="es-ES"/>
        </w:rPr>
        <w:t xml:space="preserve">Moreno Sánchez, I. (2002). </w:t>
      </w:r>
      <w:r w:rsidRPr="005E1103">
        <w:rPr>
          <w:rFonts w:eastAsia="Times New Roman" w:cstheme="minorHAnsi"/>
          <w:i/>
          <w:sz w:val="28"/>
          <w:szCs w:val="28"/>
          <w:lang w:eastAsia="es-ES"/>
        </w:rPr>
        <w:t>Musas y Nuevas Tecnologías, el Relato Hipermedia</w:t>
      </w:r>
      <w:r w:rsidRPr="005E1103">
        <w:rPr>
          <w:rFonts w:eastAsia="Times New Roman" w:cstheme="minorHAnsi"/>
          <w:sz w:val="28"/>
          <w:szCs w:val="28"/>
          <w:lang w:eastAsia="es-ES"/>
        </w:rPr>
        <w:t>. Barcelona: Paidós.</w:t>
      </w:r>
    </w:p>
    <w:p w:rsidR="003B20DC" w:rsidRPr="005E1103" w:rsidRDefault="003B20DC" w:rsidP="003B20DC">
      <w:pPr>
        <w:spacing w:after="0" w:line="360" w:lineRule="auto"/>
        <w:ind w:left="284" w:hanging="284"/>
        <w:jc w:val="both"/>
        <w:rPr>
          <w:rFonts w:eastAsia="Times New Roman" w:cstheme="minorHAnsi"/>
          <w:sz w:val="28"/>
          <w:szCs w:val="28"/>
          <w:lang w:eastAsia="es-ES"/>
        </w:rPr>
      </w:pPr>
      <w:r w:rsidRPr="005E1103">
        <w:rPr>
          <w:rFonts w:eastAsia="Times New Roman" w:cstheme="minorHAnsi"/>
          <w:sz w:val="28"/>
          <w:szCs w:val="28"/>
          <w:lang w:eastAsia="es-ES"/>
        </w:rPr>
        <w:t xml:space="preserve">Ruiz de Lacanal, M.D. (2004), Discapacidad y sociedad: Un programa educativo en el Museo dirigido a personas con discapacidad visual, </w:t>
      </w:r>
      <w:r w:rsidRPr="005E1103">
        <w:rPr>
          <w:rFonts w:eastAsia="Times New Roman" w:cstheme="minorHAnsi"/>
          <w:i/>
          <w:sz w:val="28"/>
          <w:szCs w:val="28"/>
          <w:lang w:eastAsia="es-ES"/>
        </w:rPr>
        <w:t>Revista de Enseñanza Universitaria</w:t>
      </w:r>
      <w:r w:rsidRPr="005E1103">
        <w:rPr>
          <w:rFonts w:eastAsia="Times New Roman" w:cstheme="minorHAnsi"/>
          <w:sz w:val="28"/>
          <w:szCs w:val="28"/>
          <w:lang w:eastAsia="es-ES"/>
        </w:rPr>
        <w:t>, 23, 47-61. Recuperado de [http://institucional.us.es/revistas/universitaria/23/art_4.pdf]</w:t>
      </w:r>
    </w:p>
    <w:p w:rsidR="003B20DC" w:rsidRPr="005E1103" w:rsidRDefault="003B20DC" w:rsidP="003B20DC">
      <w:pPr>
        <w:spacing w:after="0" w:line="360" w:lineRule="auto"/>
        <w:ind w:left="284" w:hanging="284"/>
        <w:jc w:val="both"/>
        <w:rPr>
          <w:rFonts w:eastAsia="Times New Roman" w:cstheme="minorHAnsi"/>
          <w:sz w:val="28"/>
          <w:szCs w:val="28"/>
          <w:lang w:val="en-US" w:eastAsia="es-ES"/>
        </w:rPr>
      </w:pPr>
      <w:r w:rsidRPr="005E1103">
        <w:rPr>
          <w:rFonts w:eastAsia="Times New Roman" w:cstheme="minorHAnsi"/>
          <w:sz w:val="28"/>
          <w:szCs w:val="28"/>
          <w:lang w:val="fr-FR" w:eastAsia="es-ES"/>
        </w:rPr>
        <w:t xml:space="preserve">Salzhauer Axel, E. &amp; Sobol Levent, N. (eds.). </w:t>
      </w:r>
      <w:r w:rsidRPr="005E1103">
        <w:rPr>
          <w:rFonts w:eastAsia="Times New Roman" w:cstheme="minorHAnsi"/>
          <w:sz w:val="28"/>
          <w:szCs w:val="28"/>
          <w:lang w:val="en-US" w:eastAsia="es-ES"/>
        </w:rPr>
        <w:t xml:space="preserve">(2003), </w:t>
      </w:r>
      <w:r w:rsidRPr="005E1103">
        <w:rPr>
          <w:rFonts w:eastAsia="Times New Roman" w:cstheme="minorHAnsi"/>
          <w:i/>
          <w:sz w:val="28"/>
          <w:szCs w:val="28"/>
          <w:lang w:val="en-US" w:eastAsia="es-ES"/>
        </w:rPr>
        <w:t>Art beyond Sight. A resource guide to Art, Creativity and Visual Impairment</w:t>
      </w:r>
      <w:r w:rsidRPr="005E1103">
        <w:rPr>
          <w:rFonts w:eastAsia="Times New Roman" w:cstheme="minorHAnsi"/>
          <w:sz w:val="28"/>
          <w:szCs w:val="28"/>
          <w:lang w:val="en-US" w:eastAsia="es-ES"/>
        </w:rPr>
        <w:t>, New York: AFB Press Recuperado de [https://books.google.es/books?id=B4ioCFic7m0C&amp;printsec=frontcover&amp;hl=es&amp;source=gbs_ge_summary_r&amp;cad=0#v=onepage&amp;q&amp;f=false]</w:t>
      </w:r>
    </w:p>
    <w:p w:rsidR="003B20DC" w:rsidRPr="005E1103" w:rsidRDefault="003B20DC" w:rsidP="003B20DC">
      <w:pPr>
        <w:spacing w:after="0" w:line="360" w:lineRule="auto"/>
        <w:ind w:left="284" w:hanging="284"/>
        <w:jc w:val="both"/>
        <w:rPr>
          <w:rFonts w:eastAsia="Times New Roman" w:cstheme="minorHAnsi"/>
          <w:sz w:val="28"/>
          <w:szCs w:val="28"/>
          <w:lang w:eastAsia="es-ES"/>
        </w:rPr>
      </w:pPr>
      <w:r w:rsidRPr="005E1103">
        <w:rPr>
          <w:rFonts w:eastAsia="Times New Roman" w:cstheme="minorHAnsi"/>
          <w:iCs/>
          <w:color w:val="111111"/>
          <w:sz w:val="28"/>
          <w:szCs w:val="28"/>
          <w:shd w:val="clear" w:color="auto" w:fill="FFFFFF"/>
          <w:lang w:eastAsia="es-ES"/>
        </w:rPr>
        <w:lastRenderedPageBreak/>
        <w:t>Soler Gallego, S. &amp; Chica Núñez, A.J. (2014),</w:t>
      </w:r>
      <w:r w:rsidRPr="005E1103">
        <w:rPr>
          <w:rFonts w:eastAsia="Times New Roman" w:cstheme="minorHAnsi"/>
          <w:i/>
          <w:iCs/>
          <w:color w:val="111111"/>
          <w:sz w:val="28"/>
          <w:szCs w:val="28"/>
          <w:shd w:val="clear" w:color="auto" w:fill="FFFFFF"/>
          <w:lang w:eastAsia="es-ES"/>
        </w:rPr>
        <w:t xml:space="preserve"> </w:t>
      </w:r>
      <w:r w:rsidRPr="005E1103">
        <w:rPr>
          <w:rFonts w:eastAsia="Times New Roman" w:cstheme="minorHAnsi"/>
          <w:iCs/>
          <w:color w:val="111111"/>
          <w:sz w:val="28"/>
          <w:szCs w:val="28"/>
          <w:shd w:val="clear" w:color="auto" w:fill="FFFFFF"/>
          <w:lang w:eastAsia="es-ES"/>
        </w:rPr>
        <w:t xml:space="preserve">Museos para todos: evaluación de una guía audiodescriptiva para personas con discapacidad visual en el museo de ciencias, </w:t>
      </w:r>
      <w:r w:rsidRPr="005E1103">
        <w:rPr>
          <w:rFonts w:eastAsia="Times New Roman" w:cstheme="minorHAnsi"/>
          <w:i/>
          <w:iCs/>
          <w:color w:val="111111"/>
          <w:sz w:val="28"/>
          <w:szCs w:val="28"/>
          <w:shd w:val="clear" w:color="auto" w:fill="FFFFFF"/>
          <w:lang w:eastAsia="es-ES"/>
        </w:rPr>
        <w:t>Revista Española de Discapacidad, 2</w:t>
      </w:r>
      <w:r w:rsidRPr="005E1103">
        <w:rPr>
          <w:rFonts w:eastAsia="Times New Roman" w:cstheme="minorHAnsi"/>
          <w:iCs/>
          <w:color w:val="111111"/>
          <w:sz w:val="28"/>
          <w:szCs w:val="28"/>
          <w:shd w:val="clear" w:color="auto" w:fill="FFFFFF"/>
          <w:lang w:eastAsia="es-ES"/>
        </w:rPr>
        <w:t xml:space="preserve"> (2), 145-167. </w:t>
      </w:r>
      <w:r w:rsidRPr="005E1103">
        <w:rPr>
          <w:rFonts w:eastAsia="Times New Roman" w:cstheme="minorHAnsi"/>
          <w:sz w:val="28"/>
          <w:szCs w:val="28"/>
          <w:lang w:eastAsia="es-ES"/>
        </w:rPr>
        <w:t>Recuperado de [http://www.cedd.net/redis/index.php/redis/article/view/94]</w:t>
      </w:r>
    </w:p>
    <w:p w:rsidR="003B20DC" w:rsidRPr="005E1103" w:rsidRDefault="003B20DC" w:rsidP="003B20DC">
      <w:pPr>
        <w:spacing w:after="0" w:line="360" w:lineRule="auto"/>
        <w:ind w:left="284" w:hanging="284"/>
        <w:jc w:val="both"/>
        <w:rPr>
          <w:rFonts w:eastAsia="Times New Roman" w:cstheme="minorHAnsi"/>
          <w:b/>
          <w:sz w:val="28"/>
          <w:szCs w:val="28"/>
          <w:lang w:eastAsia="es-ES"/>
        </w:rPr>
      </w:pPr>
      <w:r w:rsidRPr="005E1103">
        <w:rPr>
          <w:rFonts w:eastAsia="Times New Roman" w:cstheme="minorHAnsi"/>
          <w:sz w:val="28"/>
          <w:szCs w:val="28"/>
          <w:lang w:eastAsia="es-ES"/>
        </w:rPr>
        <w:t xml:space="preserve">VV.AA. (2011). Museo e inclusión social. </w:t>
      </w:r>
      <w:r w:rsidRPr="005E1103">
        <w:rPr>
          <w:rFonts w:eastAsia="Times New Roman" w:cstheme="minorHAnsi"/>
          <w:i/>
          <w:sz w:val="28"/>
          <w:szCs w:val="28"/>
          <w:lang w:eastAsia="es-ES"/>
        </w:rPr>
        <w:t>ICOM España Digital</w:t>
      </w:r>
      <w:r w:rsidRPr="005E1103">
        <w:rPr>
          <w:rFonts w:eastAsia="Times New Roman" w:cstheme="minorHAnsi"/>
          <w:sz w:val="28"/>
          <w:szCs w:val="28"/>
          <w:lang w:eastAsia="es-ES"/>
        </w:rPr>
        <w:t xml:space="preserve">, </w:t>
      </w:r>
      <w:r w:rsidRPr="005E1103">
        <w:rPr>
          <w:rFonts w:eastAsia="Times New Roman" w:cstheme="minorHAnsi"/>
          <w:i/>
          <w:sz w:val="28"/>
          <w:szCs w:val="28"/>
          <w:lang w:eastAsia="es-ES"/>
        </w:rPr>
        <w:t>2</w:t>
      </w:r>
      <w:r w:rsidRPr="005E1103">
        <w:rPr>
          <w:rFonts w:eastAsia="Times New Roman" w:cstheme="minorHAnsi"/>
          <w:sz w:val="28"/>
          <w:szCs w:val="28"/>
          <w:lang w:eastAsia="es-ES"/>
        </w:rPr>
        <w:t>, 3–147. Recuperado de [http://www.icom-ce.org/recursos/ICOM_CE_Digital/02/ICOMCEDigital02.pdf]</w:t>
      </w:r>
    </w:p>
    <w:p w:rsidR="00033066" w:rsidRPr="005E1103" w:rsidRDefault="00033066" w:rsidP="00033066">
      <w:pPr>
        <w:jc w:val="both"/>
        <w:rPr>
          <w:rFonts w:cstheme="minorHAnsi"/>
          <w:sz w:val="28"/>
          <w:szCs w:val="28"/>
        </w:rPr>
      </w:pPr>
    </w:p>
    <w:p w:rsidR="00033066" w:rsidRPr="005E1103" w:rsidRDefault="00033066" w:rsidP="00033066">
      <w:pPr>
        <w:spacing w:line="355" w:lineRule="auto"/>
        <w:jc w:val="both"/>
        <w:rPr>
          <w:rFonts w:cstheme="minorHAnsi"/>
          <w:sz w:val="28"/>
          <w:szCs w:val="28"/>
        </w:rPr>
      </w:pPr>
    </w:p>
    <w:p w:rsidR="003B20DC" w:rsidRPr="005E1103" w:rsidRDefault="003B20DC" w:rsidP="003B20DC">
      <w:pPr>
        <w:spacing w:line="360" w:lineRule="auto"/>
        <w:jc w:val="center"/>
        <w:rPr>
          <w:rFonts w:cstheme="minorHAnsi"/>
          <w:b/>
          <w:sz w:val="28"/>
          <w:szCs w:val="28"/>
        </w:rPr>
      </w:pPr>
      <w:r w:rsidRPr="005E1103">
        <w:rPr>
          <w:rFonts w:cstheme="minorHAnsi"/>
          <w:b/>
          <w:sz w:val="28"/>
          <w:szCs w:val="28"/>
        </w:rPr>
        <w:t>COMUNICACIÓN 16</w:t>
      </w:r>
    </w:p>
    <w:p w:rsidR="003B20DC" w:rsidRPr="005E1103" w:rsidRDefault="003B20DC" w:rsidP="003B20DC">
      <w:pPr>
        <w:widowControl w:val="0"/>
        <w:pBdr>
          <w:top w:val="single" w:sz="4" w:space="1" w:color="auto"/>
          <w:left w:val="single" w:sz="4" w:space="4" w:color="auto"/>
          <w:bottom w:val="single" w:sz="4" w:space="1" w:color="auto"/>
          <w:right w:val="single" w:sz="4" w:space="4" w:color="auto"/>
        </w:pBdr>
        <w:autoSpaceDE w:val="0"/>
        <w:autoSpaceDN w:val="0"/>
        <w:adjustRightInd w:val="0"/>
        <w:spacing w:line="360" w:lineRule="auto"/>
        <w:jc w:val="center"/>
        <w:rPr>
          <w:rFonts w:cstheme="minorHAnsi"/>
          <w:sz w:val="28"/>
          <w:szCs w:val="28"/>
        </w:rPr>
      </w:pPr>
      <w:r w:rsidRPr="005E1103">
        <w:rPr>
          <w:rFonts w:cstheme="minorHAnsi"/>
          <w:sz w:val="28"/>
          <w:szCs w:val="28"/>
        </w:rPr>
        <w:t>Comunicación ReadSpeaker – III CIUD – DUA y la presentación bimodal de contenidos</w:t>
      </w:r>
    </w:p>
    <w:p w:rsidR="003B20DC" w:rsidRPr="005E1103" w:rsidRDefault="003B20DC" w:rsidP="003B20DC">
      <w:pPr>
        <w:widowControl w:val="0"/>
        <w:autoSpaceDE w:val="0"/>
        <w:autoSpaceDN w:val="0"/>
        <w:adjustRightInd w:val="0"/>
        <w:spacing w:line="360" w:lineRule="auto"/>
        <w:jc w:val="center"/>
        <w:rPr>
          <w:rFonts w:cstheme="minorHAnsi"/>
          <w:sz w:val="28"/>
          <w:szCs w:val="28"/>
        </w:rPr>
      </w:pPr>
    </w:p>
    <w:p w:rsidR="003B20DC" w:rsidRPr="005E1103" w:rsidRDefault="003B20DC" w:rsidP="003B20DC">
      <w:pPr>
        <w:widowControl w:val="0"/>
        <w:autoSpaceDE w:val="0"/>
        <w:autoSpaceDN w:val="0"/>
        <w:adjustRightInd w:val="0"/>
        <w:spacing w:line="360" w:lineRule="auto"/>
        <w:jc w:val="center"/>
        <w:rPr>
          <w:rFonts w:cstheme="minorHAnsi"/>
          <w:sz w:val="28"/>
          <w:szCs w:val="28"/>
        </w:rPr>
      </w:pPr>
    </w:p>
    <w:p w:rsidR="003B20DC" w:rsidRPr="005E1103" w:rsidRDefault="003B20DC" w:rsidP="003B20DC">
      <w:pPr>
        <w:pStyle w:val="Ttulo"/>
        <w:rPr>
          <w:rFonts w:asciiTheme="minorHAnsi" w:hAnsiTheme="minorHAnsi" w:cstheme="minorHAnsi"/>
          <w:sz w:val="28"/>
          <w:szCs w:val="28"/>
        </w:rPr>
      </w:pPr>
      <w:r w:rsidRPr="005E1103">
        <w:rPr>
          <w:rFonts w:asciiTheme="minorHAnsi" w:hAnsiTheme="minorHAnsi" w:cstheme="minorHAnsi"/>
          <w:sz w:val="28"/>
          <w:szCs w:val="28"/>
        </w:rPr>
        <w:t>Comunicación ReadSpeaker – III CIUD – DUA y la presentación bimodal de contenidos</w:t>
      </w:r>
    </w:p>
    <w:p w:rsidR="003B20DC" w:rsidRPr="005E1103" w:rsidRDefault="003B20DC" w:rsidP="003B20DC">
      <w:pPr>
        <w:jc w:val="right"/>
        <w:rPr>
          <w:rFonts w:cstheme="minorHAnsi"/>
          <w:sz w:val="28"/>
          <w:szCs w:val="28"/>
        </w:rPr>
      </w:pPr>
      <w:r w:rsidRPr="005E1103">
        <w:rPr>
          <w:rFonts w:cstheme="minorHAnsi"/>
          <w:sz w:val="28"/>
          <w:szCs w:val="28"/>
        </w:rPr>
        <w:t>Antonino Sistac Aznárez</w:t>
      </w:r>
    </w:p>
    <w:p w:rsidR="003B20DC" w:rsidRPr="005E1103" w:rsidRDefault="003B20DC" w:rsidP="003B20DC">
      <w:pPr>
        <w:jc w:val="right"/>
        <w:rPr>
          <w:rFonts w:cstheme="minorHAnsi"/>
          <w:sz w:val="28"/>
          <w:szCs w:val="28"/>
        </w:rPr>
      </w:pPr>
      <w:r w:rsidRPr="005E1103">
        <w:rPr>
          <w:rFonts w:cstheme="minorHAnsi"/>
          <w:sz w:val="28"/>
          <w:szCs w:val="28"/>
        </w:rPr>
        <w:t>antonino.sistac@readspeaker.com</w:t>
      </w:r>
    </w:p>
    <w:p w:rsidR="003B20DC" w:rsidRPr="005E1103" w:rsidRDefault="003B20DC" w:rsidP="003B20DC">
      <w:pPr>
        <w:jc w:val="right"/>
        <w:rPr>
          <w:rFonts w:cstheme="minorHAnsi"/>
          <w:sz w:val="28"/>
          <w:szCs w:val="28"/>
        </w:rPr>
      </w:pPr>
      <w:r w:rsidRPr="005E1103">
        <w:rPr>
          <w:rFonts w:cstheme="minorHAnsi"/>
          <w:sz w:val="28"/>
          <w:szCs w:val="28"/>
        </w:rPr>
        <w:t>Director Latinoamérica y España - ReadSpeaker</w:t>
      </w:r>
    </w:p>
    <w:p w:rsidR="003B20DC" w:rsidRPr="005E1103" w:rsidRDefault="003B20DC" w:rsidP="003B20DC">
      <w:pPr>
        <w:pStyle w:val="Ttulo1"/>
        <w:numPr>
          <w:ilvl w:val="0"/>
          <w:numId w:val="148"/>
        </w:numPr>
        <w:spacing w:after="240"/>
        <w:rPr>
          <w:rFonts w:asciiTheme="minorHAnsi" w:hAnsiTheme="minorHAnsi" w:cstheme="minorHAnsi"/>
        </w:rPr>
      </w:pPr>
      <w:r w:rsidRPr="005E1103">
        <w:rPr>
          <w:rFonts w:asciiTheme="minorHAnsi" w:hAnsiTheme="minorHAnsi" w:cstheme="minorHAnsi"/>
        </w:rPr>
        <w:t>Diseño Universal para el Aprendizaje</w:t>
      </w:r>
    </w:p>
    <w:p w:rsidR="003B20DC" w:rsidRPr="005E1103" w:rsidRDefault="003B20DC" w:rsidP="003B20DC">
      <w:pPr>
        <w:spacing w:after="240"/>
        <w:rPr>
          <w:rFonts w:cstheme="minorHAnsi"/>
          <w:sz w:val="28"/>
          <w:szCs w:val="28"/>
        </w:rPr>
      </w:pPr>
      <w:r w:rsidRPr="005E1103">
        <w:rPr>
          <w:rFonts w:cstheme="minorHAnsi"/>
          <w:sz w:val="28"/>
          <w:szCs w:val="28"/>
        </w:rPr>
        <w:t>Cada estudiante prefiere unos métodos para obtener, comprender y retener información. Algunos son visuales, otros auditivos, y otros táctiles o cinestésicos: la mayoría aprenden mejor a través de una combinación de los tres factores.</w:t>
      </w:r>
    </w:p>
    <w:p w:rsidR="003B20DC" w:rsidRPr="005E1103" w:rsidRDefault="003B20DC" w:rsidP="003B20DC">
      <w:pPr>
        <w:rPr>
          <w:rFonts w:cstheme="minorHAnsi"/>
          <w:sz w:val="28"/>
          <w:szCs w:val="28"/>
        </w:rPr>
      </w:pPr>
      <w:r w:rsidRPr="005E1103">
        <w:rPr>
          <w:rFonts w:cstheme="minorHAnsi"/>
          <w:sz w:val="28"/>
          <w:szCs w:val="28"/>
        </w:rPr>
        <w:lastRenderedPageBreak/>
        <w:t>En entornos modernos de enseñanza, se han hecho grandes esfuerzos para implantar el Diseño Universal para el Aprendizaje (UDL-DUA). El DUA es una plan de enseñanza que, usando la tecnología y planes de estudio adaptables, tiene como objetivo ayudar al máximo número de estudiantes a entender y retener información, haciéndola atractiva para todos los estilos de aprendizaje.</w:t>
      </w:r>
    </w:p>
    <w:p w:rsidR="003B20DC" w:rsidRPr="005E1103" w:rsidRDefault="003B20DC" w:rsidP="003B20DC">
      <w:pPr>
        <w:pStyle w:val="Ttulo2"/>
        <w:numPr>
          <w:ilvl w:val="1"/>
          <w:numId w:val="149"/>
        </w:numPr>
        <w:spacing w:after="240"/>
        <w:rPr>
          <w:rFonts w:asciiTheme="minorHAnsi" w:hAnsiTheme="minorHAnsi" w:cstheme="minorHAnsi"/>
          <w:sz w:val="28"/>
          <w:szCs w:val="28"/>
        </w:rPr>
      </w:pPr>
      <w:r w:rsidRPr="005E1103">
        <w:rPr>
          <w:rFonts w:asciiTheme="minorHAnsi" w:hAnsiTheme="minorHAnsi" w:cstheme="minorHAnsi"/>
          <w:sz w:val="28"/>
          <w:szCs w:val="28"/>
        </w:rPr>
        <w:t>El DUA y las ayudas técnicas</w:t>
      </w:r>
    </w:p>
    <w:p w:rsidR="003B20DC" w:rsidRPr="005E1103" w:rsidRDefault="003B20DC" w:rsidP="003B20DC">
      <w:pPr>
        <w:spacing w:after="240"/>
        <w:rPr>
          <w:rFonts w:cstheme="minorHAnsi"/>
          <w:sz w:val="28"/>
          <w:szCs w:val="28"/>
        </w:rPr>
      </w:pPr>
      <w:r w:rsidRPr="005E1103">
        <w:rPr>
          <w:rFonts w:cstheme="minorHAnsi"/>
          <w:sz w:val="28"/>
          <w:szCs w:val="28"/>
        </w:rPr>
        <w:t>El DUA es un conjunto de principios que ofrece un marco de referencia educativo para cubrir de manera flexible las necesidades individuales de aprendizaje. Este enfoque se diferencia de las ayudas técnicas, que son herramientas y dispositivos que ayudan a estudiantes con discapacidades relacionadas con el aprendizaje a completar tareas complejas e interactuar mejor con sus compañeros.</w:t>
      </w:r>
    </w:p>
    <w:p w:rsidR="003B20DC" w:rsidRPr="005E1103" w:rsidRDefault="003B20DC" w:rsidP="003B20DC">
      <w:pPr>
        <w:rPr>
          <w:rFonts w:cstheme="minorHAnsi"/>
          <w:sz w:val="28"/>
          <w:szCs w:val="28"/>
        </w:rPr>
      </w:pPr>
      <w:r w:rsidRPr="005E1103">
        <w:rPr>
          <w:rFonts w:cstheme="minorHAnsi"/>
          <w:sz w:val="28"/>
          <w:szCs w:val="28"/>
        </w:rPr>
        <w:t xml:space="preserve">Mientras que las ayudas técnicas son efectivas, e imprescindibles en algunos casos, el DUA le da la vuelta al modelo extendiendo sus beneficios a todos los estudiantes. Les permite elegir qué herramientas les encajan mejor, e incluso personalizar su estudio en itinerarios de aprendizaje diferenciados, dependiendo de si están intentando escribir una redacción o resolver un problema de trigonometría. </w:t>
      </w:r>
    </w:p>
    <w:p w:rsidR="003B20DC" w:rsidRPr="005E1103" w:rsidRDefault="003B20DC" w:rsidP="003B20DC">
      <w:pPr>
        <w:pStyle w:val="Ttulo2"/>
        <w:numPr>
          <w:ilvl w:val="1"/>
          <w:numId w:val="149"/>
        </w:numPr>
        <w:spacing w:after="240"/>
        <w:rPr>
          <w:rFonts w:asciiTheme="minorHAnsi" w:hAnsiTheme="minorHAnsi" w:cstheme="minorHAnsi"/>
          <w:sz w:val="28"/>
          <w:szCs w:val="28"/>
        </w:rPr>
      </w:pPr>
      <w:r w:rsidRPr="005E1103">
        <w:rPr>
          <w:rFonts w:asciiTheme="minorHAnsi" w:hAnsiTheme="minorHAnsi" w:cstheme="minorHAnsi"/>
          <w:sz w:val="28"/>
          <w:szCs w:val="28"/>
        </w:rPr>
        <w:t>Características del DUA</w:t>
      </w:r>
    </w:p>
    <w:p w:rsidR="003B20DC" w:rsidRPr="005E1103" w:rsidRDefault="003B20DC" w:rsidP="003B20DC">
      <w:pPr>
        <w:spacing w:after="240"/>
        <w:rPr>
          <w:rFonts w:cstheme="minorHAnsi"/>
          <w:sz w:val="28"/>
          <w:szCs w:val="28"/>
        </w:rPr>
      </w:pPr>
      <w:r w:rsidRPr="005E1103">
        <w:rPr>
          <w:rFonts w:cstheme="minorHAnsi"/>
          <w:sz w:val="28"/>
          <w:szCs w:val="28"/>
        </w:rPr>
        <w:t>El DUA se usa en entornos educativos:</w:t>
      </w:r>
    </w:p>
    <w:p w:rsidR="003B20DC" w:rsidRPr="005E1103" w:rsidRDefault="003B20DC" w:rsidP="003B20DC">
      <w:pPr>
        <w:pStyle w:val="Prrafodelista"/>
        <w:numPr>
          <w:ilvl w:val="0"/>
          <w:numId w:val="147"/>
        </w:numPr>
        <w:spacing w:before="0" w:after="200" w:line="276" w:lineRule="auto"/>
        <w:rPr>
          <w:rFonts w:asciiTheme="minorHAnsi" w:hAnsiTheme="minorHAnsi" w:cstheme="minorHAnsi"/>
          <w:sz w:val="28"/>
          <w:szCs w:val="28"/>
        </w:rPr>
      </w:pPr>
      <w:r w:rsidRPr="005E1103">
        <w:rPr>
          <w:rFonts w:asciiTheme="minorHAnsi" w:hAnsiTheme="minorHAnsi" w:cstheme="minorHAnsi"/>
          <w:sz w:val="28"/>
          <w:szCs w:val="28"/>
        </w:rPr>
        <w:t xml:space="preserve">Personalización en la presentación – El DUA defiende la presentación de información usando medios variados, para que llegue a la mayoría de estudiantes. En lugar de ofrecer al estudiante un texto y asumir que leerá y entenderá la información, se estimula a los educadores a presentar la información usando medios visuales, auditivos y táctiles. Si se presenta usando solo texto, este debería idealmente ser interactivo y ajustable. Las tecnologías tipo lectores de libros electrónicos y tabletas permiten la presentación de textos muy interactivos, que pueden ser ajustados en tamaño para simplificar la lectura. Se acompaña el contenido escrito con elementos visuales que reavivan la información, y presentan un método diferente para que el estudiante comprenda la información. </w:t>
      </w:r>
      <w:r w:rsidRPr="005E1103">
        <w:rPr>
          <w:rFonts w:asciiTheme="minorHAnsi" w:hAnsiTheme="minorHAnsi" w:cstheme="minorHAnsi"/>
          <w:sz w:val="28"/>
          <w:szCs w:val="28"/>
        </w:rPr>
        <w:lastRenderedPageBreak/>
        <w:t>Para contenido visual y auditivo, un modo sencillo de personalizar la información es presentarla en formato vídeo o mp3, de manera que los estudiantes la comprenden a su propio ritmo.</w:t>
      </w:r>
    </w:p>
    <w:p w:rsidR="003B20DC" w:rsidRPr="005E1103" w:rsidRDefault="003B20DC" w:rsidP="003B20DC">
      <w:pPr>
        <w:pStyle w:val="Prrafodelista"/>
        <w:rPr>
          <w:rFonts w:asciiTheme="minorHAnsi" w:hAnsiTheme="minorHAnsi" w:cstheme="minorHAnsi"/>
          <w:sz w:val="28"/>
          <w:szCs w:val="28"/>
        </w:rPr>
      </w:pPr>
    </w:p>
    <w:p w:rsidR="003B20DC" w:rsidRPr="005E1103" w:rsidRDefault="003B20DC" w:rsidP="003B20DC">
      <w:pPr>
        <w:pStyle w:val="Prrafodelista"/>
        <w:numPr>
          <w:ilvl w:val="0"/>
          <w:numId w:val="147"/>
        </w:numPr>
        <w:spacing w:before="0" w:after="200" w:line="276" w:lineRule="auto"/>
        <w:rPr>
          <w:rFonts w:asciiTheme="minorHAnsi" w:hAnsiTheme="minorHAnsi" w:cstheme="minorHAnsi"/>
          <w:sz w:val="28"/>
          <w:szCs w:val="28"/>
        </w:rPr>
      </w:pPr>
      <w:r w:rsidRPr="005E1103">
        <w:rPr>
          <w:rFonts w:asciiTheme="minorHAnsi" w:hAnsiTheme="minorHAnsi" w:cstheme="minorHAnsi"/>
          <w:sz w:val="28"/>
          <w:szCs w:val="28"/>
        </w:rPr>
        <w:t>Alternativas auditivas y visuales – Muchas personas aprenden o comprenden mejor escuchando la información. Es por ello que, aun habiendo sido mejorada y enriquecida para hacerla atractiva a más tipos de estudiantes, una explicación bien desarrollada sigue siendo la materia prima de cualquier educador. Del mismo modo que un texto acompañado de imágenes, gráficos y contenidos interactivos lo hacen más fácil de comprender y retener, esas explicaciones idealmente han de presentar información de múltiples modos al mismo tiempo. Un método popular es el uso de tecnología de lectura automática en voz alta, que permite atraer a los estudiantes auditivos. Acompañar la explicación con tecnología de texto a voz, además de otros medio audiovisuales, convierten la información en más accesible para ser estudiada.</w:t>
      </w:r>
    </w:p>
    <w:p w:rsidR="003B20DC" w:rsidRPr="005E1103" w:rsidRDefault="003B20DC" w:rsidP="003B20DC">
      <w:pPr>
        <w:pStyle w:val="Prrafodelista"/>
        <w:rPr>
          <w:rFonts w:asciiTheme="minorHAnsi" w:hAnsiTheme="minorHAnsi" w:cstheme="minorHAnsi"/>
          <w:sz w:val="28"/>
          <w:szCs w:val="28"/>
        </w:rPr>
      </w:pPr>
    </w:p>
    <w:p w:rsidR="003B20DC" w:rsidRPr="005E1103" w:rsidRDefault="003B20DC" w:rsidP="003B20DC">
      <w:pPr>
        <w:pStyle w:val="Prrafodelista"/>
        <w:numPr>
          <w:ilvl w:val="0"/>
          <w:numId w:val="147"/>
        </w:numPr>
        <w:spacing w:before="0" w:after="200" w:line="276" w:lineRule="auto"/>
        <w:rPr>
          <w:rFonts w:asciiTheme="minorHAnsi" w:hAnsiTheme="minorHAnsi" w:cstheme="minorHAnsi"/>
          <w:sz w:val="28"/>
          <w:szCs w:val="28"/>
        </w:rPr>
      </w:pPr>
      <w:r w:rsidRPr="005E1103">
        <w:rPr>
          <w:rFonts w:asciiTheme="minorHAnsi" w:hAnsiTheme="minorHAnsi" w:cstheme="minorHAnsi"/>
          <w:sz w:val="28"/>
          <w:szCs w:val="28"/>
        </w:rPr>
        <w:t>Antecedentes e ideas principales – Uno de los mejores modos de lograr mejores resultados en el aprendizaje es convertir la información en relevante e interesante. En lugar de presentarla simplemente como una serie de hechos, los principios del DUA invitan al profesor a conectar la información a través de patrones e ideas principales. Ofreciendo al estudiante antecedentes a la explicación, se muestra por qué la información es importante, incrementando su compromiso e interés. Usando la información general y el contexto adecuados, todos los estudiantes serán más proclives a retener la información.</w:t>
      </w:r>
    </w:p>
    <w:p w:rsidR="003B20DC" w:rsidRPr="005E1103" w:rsidRDefault="003B20DC" w:rsidP="003B20DC">
      <w:pPr>
        <w:rPr>
          <w:rFonts w:cstheme="minorHAnsi"/>
          <w:sz w:val="28"/>
          <w:szCs w:val="28"/>
        </w:rPr>
      </w:pPr>
    </w:p>
    <w:p w:rsidR="003B20DC" w:rsidRPr="005E1103" w:rsidRDefault="003B20DC" w:rsidP="003B20DC">
      <w:pPr>
        <w:pStyle w:val="Ttulo1"/>
        <w:numPr>
          <w:ilvl w:val="0"/>
          <w:numId w:val="148"/>
        </w:numPr>
        <w:spacing w:after="240"/>
        <w:rPr>
          <w:rFonts w:asciiTheme="minorHAnsi" w:hAnsiTheme="minorHAnsi" w:cstheme="minorHAnsi"/>
        </w:rPr>
      </w:pPr>
      <w:r w:rsidRPr="005E1103">
        <w:rPr>
          <w:rFonts w:asciiTheme="minorHAnsi" w:hAnsiTheme="minorHAnsi" w:cstheme="minorHAnsi"/>
        </w:rPr>
        <w:t>La presentación bimodal de contenidos</w:t>
      </w:r>
    </w:p>
    <w:p w:rsidR="003B20DC" w:rsidRPr="005E1103" w:rsidRDefault="003B20DC" w:rsidP="003B20DC">
      <w:pPr>
        <w:spacing w:after="240"/>
        <w:rPr>
          <w:rFonts w:cstheme="minorHAnsi"/>
          <w:sz w:val="28"/>
          <w:szCs w:val="28"/>
        </w:rPr>
      </w:pPr>
      <w:r w:rsidRPr="005E1103">
        <w:rPr>
          <w:rFonts w:cstheme="minorHAnsi"/>
          <w:sz w:val="28"/>
          <w:szCs w:val="28"/>
        </w:rPr>
        <w:t xml:space="preserve">La lectura automática es una parte fundamental del DUA y la enseñanza diferenciada, ya que da al educador una alternativa añadida que ofrecer a sus estudiantes. Inicialmente usada por estudiantes con dificultades </w:t>
      </w:r>
      <w:r w:rsidRPr="005E1103">
        <w:rPr>
          <w:rFonts w:cstheme="minorHAnsi"/>
          <w:sz w:val="28"/>
          <w:szCs w:val="28"/>
        </w:rPr>
        <w:lastRenderedPageBreak/>
        <w:t>específicas de aprendizaje, como discapacidad visual o dislexia, su uso se está extendiendo al resto. Algunos estudiantes, cuyos perfiles no indican la necesidad de usar el texto a voz, han descubierto que les ayuda a retener información, bien sustituyendo textos densos o reforzando lo que se aprende leyendo. Otros incluso combinan ambos, mezclando de manera sincronizada la lectura automática con su propia lectura. Esto se conoce como aprendizaje bimodal.</w:t>
      </w:r>
    </w:p>
    <w:p w:rsidR="003B20DC" w:rsidRPr="005E1103" w:rsidRDefault="003B20DC" w:rsidP="003B20DC">
      <w:pPr>
        <w:pStyle w:val="Prrafodelista"/>
        <w:numPr>
          <w:ilvl w:val="0"/>
          <w:numId w:val="147"/>
        </w:numPr>
        <w:spacing w:before="0" w:after="200" w:line="276" w:lineRule="auto"/>
        <w:rPr>
          <w:rFonts w:asciiTheme="minorHAnsi" w:hAnsiTheme="minorHAnsi" w:cstheme="minorHAnsi"/>
          <w:sz w:val="28"/>
          <w:szCs w:val="28"/>
        </w:rPr>
      </w:pPr>
      <w:r w:rsidRPr="005E1103">
        <w:rPr>
          <w:rFonts w:asciiTheme="minorHAnsi" w:hAnsiTheme="minorHAnsi" w:cstheme="minorHAnsi"/>
          <w:sz w:val="28"/>
          <w:szCs w:val="28"/>
        </w:rPr>
        <w:t xml:space="preserve">La presentación bimodal se refiere a que el contenido se presenta en ambos formatos, audio y visual al mismo tiempo. </w:t>
      </w:r>
    </w:p>
    <w:p w:rsidR="003B20DC" w:rsidRPr="005E1103" w:rsidRDefault="003B20DC" w:rsidP="003B20DC">
      <w:pPr>
        <w:pStyle w:val="Prrafodelista"/>
        <w:numPr>
          <w:ilvl w:val="0"/>
          <w:numId w:val="147"/>
        </w:numPr>
        <w:spacing w:before="0" w:after="200" w:line="276" w:lineRule="auto"/>
        <w:rPr>
          <w:rFonts w:asciiTheme="minorHAnsi" w:hAnsiTheme="minorHAnsi" w:cstheme="minorHAnsi"/>
          <w:sz w:val="28"/>
          <w:szCs w:val="28"/>
        </w:rPr>
      </w:pPr>
      <w:r w:rsidRPr="005E1103">
        <w:rPr>
          <w:rFonts w:asciiTheme="minorHAnsi" w:hAnsiTheme="minorHAnsi" w:cstheme="minorHAnsi"/>
          <w:sz w:val="28"/>
          <w:szCs w:val="28"/>
        </w:rPr>
        <w:t>La lectura bimodal se refiere al acto de leer el texto mientras se escuchan las palabras al mismo tiempo, como cuando se utiliza un software de síntesis de voz, o se lee el texto escuchando las palabras y viendo las palabras y/o frases resaltadas al mismo tiempo, como cuando se utiliza software de conversión de texto a voz con resaltado incorporado.</w:t>
      </w:r>
    </w:p>
    <w:p w:rsidR="003B20DC" w:rsidRPr="005E1103" w:rsidRDefault="003B20DC" w:rsidP="003B20DC">
      <w:pPr>
        <w:rPr>
          <w:rFonts w:cstheme="minorHAnsi"/>
          <w:sz w:val="28"/>
          <w:szCs w:val="28"/>
        </w:rPr>
      </w:pPr>
    </w:p>
    <w:p w:rsidR="003B20DC" w:rsidRPr="005E1103" w:rsidRDefault="003B20DC" w:rsidP="003B20DC">
      <w:pPr>
        <w:pStyle w:val="Ttulo2"/>
        <w:numPr>
          <w:ilvl w:val="1"/>
          <w:numId w:val="150"/>
        </w:numPr>
        <w:spacing w:after="240"/>
        <w:rPr>
          <w:rFonts w:asciiTheme="minorHAnsi" w:hAnsiTheme="minorHAnsi" w:cstheme="minorHAnsi"/>
          <w:sz w:val="28"/>
          <w:szCs w:val="28"/>
        </w:rPr>
      </w:pPr>
      <w:r w:rsidRPr="005E1103">
        <w:rPr>
          <w:rFonts w:asciiTheme="minorHAnsi" w:hAnsiTheme="minorHAnsi" w:cstheme="minorHAnsi"/>
          <w:sz w:val="28"/>
          <w:szCs w:val="28"/>
        </w:rPr>
        <w:t>Beneficios de la presentación bimodal</w:t>
      </w:r>
    </w:p>
    <w:p w:rsidR="003B20DC" w:rsidRPr="005E1103" w:rsidRDefault="003B20DC" w:rsidP="003B20DC">
      <w:pPr>
        <w:spacing w:after="240"/>
        <w:rPr>
          <w:rFonts w:cstheme="minorHAnsi"/>
          <w:sz w:val="28"/>
          <w:szCs w:val="28"/>
        </w:rPr>
      </w:pPr>
      <w:r w:rsidRPr="005E1103">
        <w:rPr>
          <w:rFonts w:cstheme="minorHAnsi"/>
          <w:sz w:val="28"/>
          <w:szCs w:val="28"/>
        </w:rPr>
        <w:t>Los beneficios de la presentación bimodal de contenidos incluyen:</w:t>
      </w:r>
    </w:p>
    <w:p w:rsidR="003B20DC" w:rsidRPr="005E1103" w:rsidRDefault="003B20DC" w:rsidP="003B20DC">
      <w:pPr>
        <w:pStyle w:val="Prrafodelista"/>
        <w:numPr>
          <w:ilvl w:val="0"/>
          <w:numId w:val="147"/>
        </w:numPr>
        <w:spacing w:before="0" w:after="200" w:line="276" w:lineRule="auto"/>
        <w:rPr>
          <w:rFonts w:asciiTheme="minorHAnsi" w:hAnsiTheme="minorHAnsi" w:cstheme="minorHAnsi"/>
          <w:sz w:val="28"/>
          <w:szCs w:val="28"/>
        </w:rPr>
      </w:pPr>
      <w:r w:rsidRPr="005E1103">
        <w:rPr>
          <w:rFonts w:asciiTheme="minorHAnsi" w:hAnsiTheme="minorHAnsi" w:cstheme="minorHAnsi"/>
          <w:sz w:val="28"/>
          <w:szCs w:val="28"/>
        </w:rPr>
        <w:t xml:space="preserve">Mejora el reconocimiento de palabras y vocabulario </w:t>
      </w:r>
    </w:p>
    <w:p w:rsidR="003B20DC" w:rsidRPr="005E1103" w:rsidRDefault="003B20DC" w:rsidP="003B20DC">
      <w:pPr>
        <w:pStyle w:val="Prrafodelista"/>
        <w:numPr>
          <w:ilvl w:val="0"/>
          <w:numId w:val="147"/>
        </w:numPr>
        <w:spacing w:before="0" w:after="200" w:line="276" w:lineRule="auto"/>
        <w:rPr>
          <w:rFonts w:asciiTheme="minorHAnsi" w:hAnsiTheme="minorHAnsi" w:cstheme="minorHAnsi"/>
          <w:sz w:val="28"/>
          <w:szCs w:val="28"/>
        </w:rPr>
      </w:pPr>
      <w:r w:rsidRPr="005E1103">
        <w:rPr>
          <w:rFonts w:asciiTheme="minorHAnsi" w:hAnsiTheme="minorHAnsi" w:cstheme="minorHAnsi"/>
          <w:sz w:val="28"/>
          <w:szCs w:val="28"/>
        </w:rPr>
        <w:t>Incrementa la comprensión lectora, fluidez y concentración</w:t>
      </w:r>
    </w:p>
    <w:p w:rsidR="003B20DC" w:rsidRPr="005E1103" w:rsidRDefault="003B20DC" w:rsidP="003B20DC">
      <w:pPr>
        <w:pStyle w:val="Prrafodelista"/>
        <w:numPr>
          <w:ilvl w:val="0"/>
          <w:numId w:val="147"/>
        </w:numPr>
        <w:spacing w:before="0" w:after="200" w:line="276" w:lineRule="auto"/>
        <w:rPr>
          <w:rFonts w:asciiTheme="minorHAnsi" w:hAnsiTheme="minorHAnsi" w:cstheme="minorHAnsi"/>
          <w:sz w:val="28"/>
          <w:szCs w:val="28"/>
        </w:rPr>
      </w:pPr>
      <w:r w:rsidRPr="005E1103">
        <w:rPr>
          <w:rFonts w:asciiTheme="minorHAnsi" w:hAnsiTheme="minorHAnsi" w:cstheme="minorHAnsi"/>
          <w:sz w:val="28"/>
          <w:szCs w:val="28"/>
        </w:rPr>
        <w:t>Aumenta el recuerdo de información y la memorización</w:t>
      </w:r>
    </w:p>
    <w:p w:rsidR="003B20DC" w:rsidRPr="005E1103" w:rsidRDefault="003B20DC" w:rsidP="003B20DC">
      <w:pPr>
        <w:rPr>
          <w:rFonts w:cstheme="minorHAnsi"/>
          <w:sz w:val="28"/>
          <w:szCs w:val="28"/>
        </w:rPr>
      </w:pPr>
      <w:r w:rsidRPr="005E1103">
        <w:rPr>
          <w:rFonts w:cstheme="minorHAnsi"/>
          <w:sz w:val="28"/>
          <w:szCs w:val="28"/>
        </w:rPr>
        <w:t>Otros beneficios menos considerados:</w:t>
      </w:r>
    </w:p>
    <w:p w:rsidR="003B20DC" w:rsidRPr="005E1103" w:rsidRDefault="003B20DC" w:rsidP="003B20DC">
      <w:pPr>
        <w:pStyle w:val="Prrafodelista"/>
        <w:numPr>
          <w:ilvl w:val="0"/>
          <w:numId w:val="147"/>
        </w:numPr>
        <w:spacing w:before="0" w:after="200" w:line="276" w:lineRule="auto"/>
        <w:rPr>
          <w:rFonts w:asciiTheme="minorHAnsi" w:hAnsiTheme="minorHAnsi" w:cstheme="minorHAnsi"/>
          <w:sz w:val="28"/>
          <w:szCs w:val="28"/>
        </w:rPr>
      </w:pPr>
      <w:r w:rsidRPr="005E1103">
        <w:rPr>
          <w:rFonts w:asciiTheme="minorHAnsi" w:hAnsiTheme="minorHAnsi" w:cstheme="minorHAnsi"/>
          <w:sz w:val="28"/>
          <w:szCs w:val="28"/>
        </w:rPr>
        <w:t>Mayor motivación y actitud más positiva ante la lectura</w:t>
      </w:r>
    </w:p>
    <w:p w:rsidR="003B20DC" w:rsidRPr="005E1103" w:rsidRDefault="003B20DC" w:rsidP="003B20DC">
      <w:pPr>
        <w:pStyle w:val="Prrafodelista"/>
        <w:numPr>
          <w:ilvl w:val="0"/>
          <w:numId w:val="147"/>
        </w:numPr>
        <w:spacing w:before="0" w:after="200" w:line="276" w:lineRule="auto"/>
        <w:rPr>
          <w:rFonts w:asciiTheme="minorHAnsi" w:hAnsiTheme="minorHAnsi" w:cstheme="minorHAnsi"/>
          <w:sz w:val="28"/>
          <w:szCs w:val="28"/>
        </w:rPr>
      </w:pPr>
      <w:r w:rsidRPr="005E1103">
        <w:rPr>
          <w:rFonts w:asciiTheme="minorHAnsi" w:hAnsiTheme="minorHAnsi" w:cstheme="minorHAnsi"/>
          <w:sz w:val="28"/>
          <w:szCs w:val="28"/>
        </w:rPr>
        <w:t>Mayor autoconfianza y rendimiento percibido</w:t>
      </w:r>
    </w:p>
    <w:p w:rsidR="003B20DC" w:rsidRPr="005E1103" w:rsidRDefault="003B20DC" w:rsidP="003B20DC">
      <w:pPr>
        <w:rPr>
          <w:rFonts w:cstheme="minorHAnsi"/>
          <w:sz w:val="28"/>
          <w:szCs w:val="28"/>
        </w:rPr>
      </w:pPr>
      <w:r w:rsidRPr="005E1103">
        <w:rPr>
          <w:rFonts w:cstheme="minorHAnsi"/>
          <w:sz w:val="28"/>
          <w:szCs w:val="28"/>
        </w:rPr>
        <w:t>Numerosos estudios demuestran estos beneficios:</w:t>
      </w:r>
    </w:p>
    <w:p w:rsidR="003B20DC" w:rsidRPr="005E1103" w:rsidRDefault="003B20DC" w:rsidP="003B20DC">
      <w:pPr>
        <w:pStyle w:val="Prrafodelista"/>
        <w:numPr>
          <w:ilvl w:val="0"/>
          <w:numId w:val="147"/>
        </w:numPr>
        <w:spacing w:before="0" w:after="200" w:line="276" w:lineRule="auto"/>
        <w:rPr>
          <w:rFonts w:asciiTheme="minorHAnsi" w:hAnsiTheme="minorHAnsi" w:cstheme="minorHAnsi"/>
          <w:sz w:val="28"/>
          <w:szCs w:val="28"/>
        </w:rPr>
      </w:pPr>
      <w:r w:rsidRPr="005E1103">
        <w:rPr>
          <w:rFonts w:asciiTheme="minorHAnsi" w:hAnsiTheme="minorHAnsi" w:cstheme="minorHAnsi"/>
          <w:sz w:val="28"/>
          <w:szCs w:val="28"/>
        </w:rPr>
        <w:t>Comprensión lectora, reconocimiento de palabras y recuerdo de información</w:t>
      </w:r>
    </w:p>
    <w:p w:rsidR="003B20DC" w:rsidRPr="005E1103" w:rsidRDefault="003B20DC" w:rsidP="003B20DC">
      <w:pPr>
        <w:pStyle w:val="Prrafodelista"/>
        <w:numPr>
          <w:ilvl w:val="1"/>
          <w:numId w:val="147"/>
        </w:numPr>
        <w:spacing w:before="0" w:after="200" w:line="276" w:lineRule="auto"/>
        <w:rPr>
          <w:rFonts w:asciiTheme="minorHAnsi" w:hAnsiTheme="minorHAnsi" w:cstheme="minorHAnsi"/>
          <w:sz w:val="28"/>
          <w:szCs w:val="28"/>
          <w:lang w:val="en-US"/>
        </w:rPr>
      </w:pPr>
      <w:r w:rsidRPr="005E1103">
        <w:rPr>
          <w:rFonts w:asciiTheme="minorHAnsi" w:hAnsiTheme="minorHAnsi" w:cstheme="minorHAnsi"/>
          <w:sz w:val="28"/>
          <w:szCs w:val="28"/>
          <w:lang w:val="en-US"/>
        </w:rPr>
        <w:t>Disseldorp and Chambers (2002), varios studios;</w:t>
      </w:r>
    </w:p>
    <w:p w:rsidR="003B20DC" w:rsidRPr="005E1103" w:rsidRDefault="003B20DC" w:rsidP="003B20DC">
      <w:pPr>
        <w:pStyle w:val="Prrafodelista"/>
        <w:numPr>
          <w:ilvl w:val="1"/>
          <w:numId w:val="147"/>
        </w:numPr>
        <w:spacing w:before="0" w:after="200" w:line="276" w:lineRule="auto"/>
        <w:rPr>
          <w:rFonts w:asciiTheme="minorHAnsi" w:hAnsiTheme="minorHAnsi" w:cstheme="minorHAnsi"/>
          <w:sz w:val="28"/>
          <w:szCs w:val="28"/>
          <w:lang w:val="en-US"/>
        </w:rPr>
      </w:pPr>
      <w:r w:rsidRPr="005E1103">
        <w:rPr>
          <w:rFonts w:asciiTheme="minorHAnsi" w:hAnsiTheme="minorHAnsi" w:cstheme="minorHAnsi"/>
          <w:sz w:val="28"/>
          <w:szCs w:val="28"/>
          <w:lang w:val="en-US"/>
        </w:rPr>
        <w:t>Elkind, Black, and Murray (1996), varios studios;</w:t>
      </w:r>
    </w:p>
    <w:p w:rsidR="003B20DC" w:rsidRPr="005E1103" w:rsidRDefault="003B20DC" w:rsidP="003B20DC">
      <w:pPr>
        <w:pStyle w:val="Prrafodelista"/>
        <w:numPr>
          <w:ilvl w:val="1"/>
          <w:numId w:val="147"/>
        </w:numPr>
        <w:spacing w:before="0" w:after="200" w:line="276" w:lineRule="auto"/>
        <w:rPr>
          <w:rFonts w:asciiTheme="minorHAnsi" w:hAnsiTheme="minorHAnsi" w:cstheme="minorHAnsi"/>
          <w:sz w:val="28"/>
          <w:szCs w:val="28"/>
          <w:lang w:val="en-US"/>
        </w:rPr>
      </w:pPr>
      <w:r w:rsidRPr="005E1103">
        <w:rPr>
          <w:rFonts w:asciiTheme="minorHAnsi" w:hAnsiTheme="minorHAnsi" w:cstheme="minorHAnsi"/>
          <w:sz w:val="28"/>
          <w:szCs w:val="28"/>
          <w:lang w:val="en-US"/>
        </w:rPr>
        <w:t>Shany and Biemiller (1995);</w:t>
      </w:r>
    </w:p>
    <w:p w:rsidR="003B20DC" w:rsidRPr="005E1103" w:rsidRDefault="003B20DC" w:rsidP="003B20DC">
      <w:pPr>
        <w:pStyle w:val="Prrafodelista"/>
        <w:numPr>
          <w:ilvl w:val="1"/>
          <w:numId w:val="147"/>
        </w:numPr>
        <w:spacing w:before="0" w:after="200" w:line="276" w:lineRule="auto"/>
        <w:rPr>
          <w:rFonts w:asciiTheme="minorHAnsi" w:hAnsiTheme="minorHAnsi" w:cstheme="minorHAnsi"/>
          <w:sz w:val="28"/>
          <w:szCs w:val="28"/>
          <w:lang w:val="en-US"/>
        </w:rPr>
      </w:pPr>
      <w:r w:rsidRPr="005E1103">
        <w:rPr>
          <w:rFonts w:asciiTheme="minorHAnsi" w:hAnsiTheme="minorHAnsi" w:cstheme="minorHAnsi"/>
          <w:sz w:val="28"/>
          <w:szCs w:val="28"/>
          <w:lang w:val="en-US"/>
        </w:rPr>
        <w:t>Hecker, Burns, and Elkind (2002);</w:t>
      </w:r>
    </w:p>
    <w:p w:rsidR="003B20DC" w:rsidRPr="005E1103" w:rsidRDefault="003B20DC" w:rsidP="003B20DC">
      <w:pPr>
        <w:pStyle w:val="Prrafodelista"/>
        <w:numPr>
          <w:ilvl w:val="1"/>
          <w:numId w:val="147"/>
        </w:numPr>
        <w:spacing w:before="0" w:after="200" w:line="276" w:lineRule="auto"/>
        <w:rPr>
          <w:rFonts w:asciiTheme="minorHAnsi" w:hAnsiTheme="minorHAnsi" w:cstheme="minorHAnsi"/>
          <w:sz w:val="28"/>
          <w:szCs w:val="28"/>
          <w:lang w:val="en-US"/>
        </w:rPr>
      </w:pPr>
      <w:r w:rsidRPr="005E1103">
        <w:rPr>
          <w:rFonts w:asciiTheme="minorHAnsi" w:hAnsiTheme="minorHAnsi" w:cstheme="minorHAnsi"/>
          <w:sz w:val="28"/>
          <w:szCs w:val="28"/>
          <w:lang w:val="en-US"/>
        </w:rPr>
        <w:lastRenderedPageBreak/>
        <w:t>Leong (1995);</w:t>
      </w:r>
    </w:p>
    <w:p w:rsidR="003B20DC" w:rsidRPr="005E1103" w:rsidRDefault="003B20DC" w:rsidP="003B20DC">
      <w:pPr>
        <w:pStyle w:val="Prrafodelista"/>
        <w:numPr>
          <w:ilvl w:val="1"/>
          <w:numId w:val="147"/>
        </w:numPr>
        <w:spacing w:before="0" w:after="200" w:line="276" w:lineRule="auto"/>
        <w:rPr>
          <w:rFonts w:asciiTheme="minorHAnsi" w:hAnsiTheme="minorHAnsi" w:cstheme="minorHAnsi"/>
          <w:sz w:val="28"/>
          <w:szCs w:val="28"/>
          <w:lang w:val="en-US"/>
        </w:rPr>
      </w:pPr>
      <w:r w:rsidRPr="005E1103">
        <w:rPr>
          <w:rFonts w:asciiTheme="minorHAnsi" w:hAnsiTheme="minorHAnsi" w:cstheme="minorHAnsi"/>
          <w:sz w:val="28"/>
          <w:szCs w:val="28"/>
          <w:lang w:val="en-US"/>
        </w:rPr>
        <w:t>Higgins and Raskind (1997);</w:t>
      </w:r>
    </w:p>
    <w:p w:rsidR="003B20DC" w:rsidRPr="005E1103" w:rsidRDefault="003B20DC" w:rsidP="003B20DC">
      <w:pPr>
        <w:pStyle w:val="Prrafodelista"/>
        <w:numPr>
          <w:ilvl w:val="1"/>
          <w:numId w:val="147"/>
        </w:numPr>
        <w:spacing w:before="0" w:after="200" w:line="276" w:lineRule="auto"/>
        <w:rPr>
          <w:rFonts w:asciiTheme="minorHAnsi" w:hAnsiTheme="minorHAnsi" w:cstheme="minorHAnsi"/>
          <w:sz w:val="28"/>
          <w:szCs w:val="28"/>
          <w:lang w:val="en-US"/>
        </w:rPr>
      </w:pPr>
      <w:r w:rsidRPr="005E1103">
        <w:rPr>
          <w:rFonts w:asciiTheme="minorHAnsi" w:hAnsiTheme="minorHAnsi" w:cstheme="minorHAnsi"/>
          <w:sz w:val="28"/>
          <w:szCs w:val="28"/>
          <w:lang w:val="en-US"/>
        </w:rPr>
        <w:t>Wise, Olson, Ansett, Andrews, Terjak, Schneider, Kostuch, and Kriho (1989) ;</w:t>
      </w:r>
    </w:p>
    <w:p w:rsidR="003B20DC" w:rsidRPr="005E1103" w:rsidRDefault="003B20DC" w:rsidP="003B20DC">
      <w:pPr>
        <w:pStyle w:val="Prrafodelista"/>
        <w:numPr>
          <w:ilvl w:val="1"/>
          <w:numId w:val="147"/>
        </w:numPr>
        <w:spacing w:before="0" w:after="200" w:line="276" w:lineRule="auto"/>
        <w:rPr>
          <w:rFonts w:asciiTheme="minorHAnsi" w:hAnsiTheme="minorHAnsi" w:cstheme="minorHAnsi"/>
          <w:sz w:val="28"/>
          <w:szCs w:val="28"/>
          <w:lang w:val="en-US"/>
        </w:rPr>
      </w:pPr>
      <w:r w:rsidRPr="005E1103">
        <w:rPr>
          <w:rFonts w:asciiTheme="minorHAnsi" w:hAnsiTheme="minorHAnsi" w:cstheme="minorHAnsi"/>
          <w:sz w:val="28"/>
          <w:szCs w:val="28"/>
          <w:lang w:val="en-US"/>
        </w:rPr>
        <w:t>Wise and OIson (1994);</w:t>
      </w:r>
    </w:p>
    <w:p w:rsidR="003B20DC" w:rsidRPr="005E1103" w:rsidRDefault="003B20DC" w:rsidP="003B20DC">
      <w:pPr>
        <w:pStyle w:val="Prrafodelista"/>
        <w:numPr>
          <w:ilvl w:val="1"/>
          <w:numId w:val="147"/>
        </w:numPr>
        <w:spacing w:before="0" w:after="200" w:line="276" w:lineRule="auto"/>
        <w:rPr>
          <w:rFonts w:asciiTheme="minorHAnsi" w:hAnsiTheme="minorHAnsi" w:cstheme="minorHAnsi"/>
          <w:sz w:val="28"/>
          <w:szCs w:val="28"/>
          <w:lang w:val="en-US"/>
        </w:rPr>
      </w:pPr>
      <w:r w:rsidRPr="005E1103">
        <w:rPr>
          <w:rFonts w:asciiTheme="minorHAnsi" w:hAnsiTheme="minorHAnsi" w:cstheme="minorHAnsi"/>
          <w:sz w:val="28"/>
          <w:szCs w:val="28"/>
          <w:lang w:val="en-US"/>
        </w:rPr>
        <w:t xml:space="preserve">Higgins &amp; Raskind, 1997; </w:t>
      </w:r>
    </w:p>
    <w:p w:rsidR="003B20DC" w:rsidRPr="005E1103" w:rsidRDefault="003B20DC" w:rsidP="003B20DC">
      <w:pPr>
        <w:pStyle w:val="Prrafodelista"/>
        <w:numPr>
          <w:ilvl w:val="1"/>
          <w:numId w:val="147"/>
        </w:numPr>
        <w:spacing w:before="0" w:after="200" w:line="276" w:lineRule="auto"/>
        <w:rPr>
          <w:rFonts w:asciiTheme="minorHAnsi" w:hAnsiTheme="minorHAnsi" w:cstheme="minorHAnsi"/>
          <w:sz w:val="28"/>
          <w:szCs w:val="28"/>
          <w:lang w:val="en-US"/>
        </w:rPr>
      </w:pPr>
      <w:r w:rsidRPr="005E1103">
        <w:rPr>
          <w:rFonts w:asciiTheme="minorHAnsi" w:hAnsiTheme="minorHAnsi" w:cstheme="minorHAnsi"/>
          <w:sz w:val="28"/>
          <w:szCs w:val="28"/>
          <w:lang w:val="en-US"/>
        </w:rPr>
        <w:t xml:space="preserve">Reinking, 1988; </w:t>
      </w:r>
    </w:p>
    <w:p w:rsidR="003B20DC" w:rsidRPr="005E1103" w:rsidRDefault="003B20DC" w:rsidP="003B20DC">
      <w:pPr>
        <w:pStyle w:val="Prrafodelista"/>
        <w:numPr>
          <w:ilvl w:val="1"/>
          <w:numId w:val="147"/>
        </w:numPr>
        <w:spacing w:before="0" w:after="200" w:line="276" w:lineRule="auto"/>
        <w:rPr>
          <w:rFonts w:asciiTheme="minorHAnsi" w:hAnsiTheme="minorHAnsi" w:cstheme="minorHAnsi"/>
          <w:sz w:val="28"/>
          <w:szCs w:val="28"/>
          <w:lang w:val="en-US"/>
        </w:rPr>
      </w:pPr>
      <w:r w:rsidRPr="005E1103">
        <w:rPr>
          <w:rFonts w:asciiTheme="minorHAnsi" w:hAnsiTheme="minorHAnsi" w:cstheme="minorHAnsi"/>
          <w:sz w:val="28"/>
          <w:szCs w:val="28"/>
          <w:lang w:val="en-US"/>
        </w:rPr>
        <w:t>Reinking &amp; Schreiner, 1985;</w:t>
      </w:r>
    </w:p>
    <w:p w:rsidR="003B20DC" w:rsidRPr="005E1103" w:rsidRDefault="003B20DC" w:rsidP="003B20DC">
      <w:pPr>
        <w:pStyle w:val="Prrafodelista"/>
        <w:numPr>
          <w:ilvl w:val="1"/>
          <w:numId w:val="147"/>
        </w:numPr>
        <w:spacing w:before="0" w:after="200" w:line="276" w:lineRule="auto"/>
        <w:rPr>
          <w:rFonts w:asciiTheme="minorHAnsi" w:hAnsiTheme="minorHAnsi" w:cstheme="minorHAnsi"/>
          <w:sz w:val="28"/>
          <w:szCs w:val="28"/>
        </w:rPr>
      </w:pPr>
      <w:r w:rsidRPr="005E1103">
        <w:rPr>
          <w:rFonts w:asciiTheme="minorHAnsi" w:hAnsiTheme="minorHAnsi" w:cstheme="minorHAnsi"/>
          <w:sz w:val="28"/>
          <w:szCs w:val="28"/>
        </w:rPr>
        <w:t>Mastroberardino, Santangelo, Botta, Marucci, and Belardinelli (2008);</w:t>
      </w:r>
    </w:p>
    <w:p w:rsidR="003B20DC" w:rsidRPr="005E1103" w:rsidRDefault="003B20DC" w:rsidP="003B20DC">
      <w:pPr>
        <w:pStyle w:val="Prrafodelista"/>
        <w:numPr>
          <w:ilvl w:val="1"/>
          <w:numId w:val="147"/>
        </w:numPr>
        <w:spacing w:before="0" w:after="200" w:line="276" w:lineRule="auto"/>
        <w:rPr>
          <w:rFonts w:asciiTheme="minorHAnsi" w:hAnsiTheme="minorHAnsi" w:cstheme="minorHAnsi"/>
          <w:sz w:val="28"/>
          <w:szCs w:val="28"/>
          <w:lang w:val="en-US"/>
        </w:rPr>
      </w:pPr>
      <w:r w:rsidRPr="005E1103">
        <w:rPr>
          <w:rFonts w:asciiTheme="minorHAnsi" w:hAnsiTheme="minorHAnsi" w:cstheme="minorHAnsi"/>
          <w:sz w:val="28"/>
          <w:szCs w:val="28"/>
          <w:lang w:val="en-US"/>
        </w:rPr>
        <w:t>Montali (2000);</w:t>
      </w:r>
    </w:p>
    <w:p w:rsidR="003B20DC" w:rsidRPr="005E1103" w:rsidRDefault="003B20DC" w:rsidP="003B20DC">
      <w:pPr>
        <w:pStyle w:val="Prrafodelista"/>
        <w:numPr>
          <w:ilvl w:val="1"/>
          <w:numId w:val="147"/>
        </w:numPr>
        <w:spacing w:before="0" w:after="200" w:line="276" w:lineRule="auto"/>
        <w:rPr>
          <w:rFonts w:asciiTheme="minorHAnsi" w:hAnsiTheme="minorHAnsi" w:cstheme="minorHAnsi"/>
          <w:sz w:val="28"/>
          <w:szCs w:val="28"/>
          <w:lang w:val="en-US"/>
        </w:rPr>
      </w:pPr>
      <w:r w:rsidRPr="005E1103">
        <w:rPr>
          <w:rFonts w:asciiTheme="minorHAnsi" w:hAnsiTheme="minorHAnsi" w:cstheme="minorHAnsi"/>
          <w:sz w:val="28"/>
          <w:szCs w:val="28"/>
          <w:lang w:val="en-US"/>
        </w:rPr>
        <w:t>Reitsma (1988);</w:t>
      </w:r>
    </w:p>
    <w:p w:rsidR="003B20DC" w:rsidRPr="005E1103" w:rsidRDefault="003B20DC" w:rsidP="003B20DC">
      <w:pPr>
        <w:pStyle w:val="Prrafodelista"/>
        <w:numPr>
          <w:ilvl w:val="1"/>
          <w:numId w:val="147"/>
        </w:numPr>
        <w:spacing w:before="0" w:after="200" w:line="276" w:lineRule="auto"/>
        <w:rPr>
          <w:rFonts w:asciiTheme="minorHAnsi" w:hAnsiTheme="minorHAnsi" w:cstheme="minorHAnsi"/>
          <w:sz w:val="28"/>
          <w:szCs w:val="28"/>
          <w:lang w:val="en-US"/>
        </w:rPr>
      </w:pPr>
      <w:r w:rsidRPr="005E1103">
        <w:rPr>
          <w:rFonts w:asciiTheme="minorHAnsi" w:hAnsiTheme="minorHAnsi" w:cstheme="minorHAnsi"/>
          <w:sz w:val="28"/>
          <w:szCs w:val="28"/>
          <w:lang w:val="en-US"/>
        </w:rPr>
        <w:t>Steele, Lewandowski, and Rusling (1996);</w:t>
      </w:r>
    </w:p>
    <w:p w:rsidR="003B20DC" w:rsidRPr="005E1103" w:rsidRDefault="003B20DC" w:rsidP="003B20DC">
      <w:pPr>
        <w:pStyle w:val="Prrafodelista"/>
        <w:numPr>
          <w:ilvl w:val="1"/>
          <w:numId w:val="147"/>
        </w:numPr>
        <w:spacing w:before="0" w:after="200" w:line="276" w:lineRule="auto"/>
        <w:rPr>
          <w:rFonts w:asciiTheme="minorHAnsi" w:hAnsiTheme="minorHAnsi" w:cstheme="minorHAnsi"/>
          <w:sz w:val="28"/>
          <w:szCs w:val="28"/>
          <w:lang w:val="en-US"/>
        </w:rPr>
      </w:pPr>
      <w:r w:rsidRPr="005E1103">
        <w:rPr>
          <w:rFonts w:asciiTheme="minorHAnsi" w:hAnsiTheme="minorHAnsi" w:cstheme="minorHAnsi"/>
          <w:sz w:val="28"/>
          <w:szCs w:val="28"/>
          <w:lang w:val="en-US"/>
        </w:rPr>
        <w:t>Dolan, Hall, Banerjee, Chun, and Strangman (2005).</w:t>
      </w:r>
    </w:p>
    <w:p w:rsidR="003B20DC" w:rsidRPr="005E1103" w:rsidRDefault="003B20DC" w:rsidP="003B20DC">
      <w:pPr>
        <w:pStyle w:val="Prrafodelista"/>
        <w:ind w:left="1440"/>
        <w:rPr>
          <w:rFonts w:asciiTheme="minorHAnsi" w:hAnsiTheme="minorHAnsi" w:cstheme="minorHAnsi"/>
          <w:sz w:val="28"/>
          <w:szCs w:val="28"/>
          <w:lang w:val="en-US"/>
        </w:rPr>
      </w:pPr>
    </w:p>
    <w:p w:rsidR="003B20DC" w:rsidRPr="005E1103" w:rsidRDefault="003B20DC" w:rsidP="003B20DC">
      <w:pPr>
        <w:pStyle w:val="Prrafodelista"/>
        <w:numPr>
          <w:ilvl w:val="0"/>
          <w:numId w:val="147"/>
        </w:numPr>
        <w:spacing w:before="360" w:after="200" w:line="276" w:lineRule="auto"/>
        <w:ind w:left="714" w:hanging="357"/>
        <w:rPr>
          <w:rFonts w:asciiTheme="minorHAnsi" w:hAnsiTheme="minorHAnsi" w:cstheme="minorHAnsi"/>
          <w:sz w:val="28"/>
          <w:szCs w:val="28"/>
          <w:lang w:val="en-US"/>
        </w:rPr>
      </w:pPr>
      <w:r w:rsidRPr="005E1103">
        <w:rPr>
          <w:rFonts w:asciiTheme="minorHAnsi" w:hAnsiTheme="minorHAnsi" w:cstheme="minorHAnsi"/>
          <w:sz w:val="28"/>
          <w:szCs w:val="28"/>
          <w:lang w:val="en-US"/>
        </w:rPr>
        <w:t>Decodificación</w:t>
      </w:r>
    </w:p>
    <w:p w:rsidR="003B20DC" w:rsidRPr="005E1103" w:rsidRDefault="003B20DC" w:rsidP="003B20DC">
      <w:pPr>
        <w:pStyle w:val="Prrafodelista"/>
        <w:numPr>
          <w:ilvl w:val="1"/>
          <w:numId w:val="147"/>
        </w:numPr>
        <w:spacing w:before="240" w:after="200" w:line="276" w:lineRule="auto"/>
        <w:rPr>
          <w:rFonts w:asciiTheme="minorHAnsi" w:hAnsiTheme="minorHAnsi" w:cstheme="minorHAnsi"/>
          <w:sz w:val="28"/>
          <w:szCs w:val="28"/>
          <w:lang w:val="en-US"/>
        </w:rPr>
      </w:pPr>
      <w:r w:rsidRPr="005E1103">
        <w:rPr>
          <w:rFonts w:asciiTheme="minorHAnsi" w:hAnsiTheme="minorHAnsi" w:cstheme="minorHAnsi"/>
          <w:sz w:val="28"/>
          <w:szCs w:val="28"/>
          <w:lang w:val="en-US"/>
        </w:rPr>
        <w:t>Elbro, Rasmussen, and Spelling (1996);</w:t>
      </w:r>
    </w:p>
    <w:p w:rsidR="003B20DC" w:rsidRPr="005E1103" w:rsidRDefault="003B20DC" w:rsidP="003B20DC">
      <w:pPr>
        <w:pStyle w:val="Prrafodelista"/>
        <w:numPr>
          <w:ilvl w:val="1"/>
          <w:numId w:val="147"/>
        </w:numPr>
        <w:spacing w:before="0" w:after="200" w:line="276" w:lineRule="auto"/>
        <w:rPr>
          <w:rFonts w:asciiTheme="minorHAnsi" w:hAnsiTheme="minorHAnsi" w:cstheme="minorHAnsi"/>
          <w:sz w:val="28"/>
          <w:szCs w:val="28"/>
          <w:lang w:val="en-US"/>
        </w:rPr>
      </w:pPr>
      <w:r w:rsidRPr="005E1103">
        <w:rPr>
          <w:rFonts w:asciiTheme="minorHAnsi" w:hAnsiTheme="minorHAnsi" w:cstheme="minorHAnsi"/>
          <w:sz w:val="28"/>
          <w:szCs w:val="28"/>
          <w:lang w:val="en-US"/>
        </w:rPr>
        <w:t>Olson and Wise (1992);</w:t>
      </w:r>
    </w:p>
    <w:p w:rsidR="003B20DC" w:rsidRPr="005E1103" w:rsidRDefault="003B20DC" w:rsidP="003B20DC">
      <w:pPr>
        <w:pStyle w:val="Prrafodelista"/>
        <w:numPr>
          <w:ilvl w:val="1"/>
          <w:numId w:val="147"/>
        </w:numPr>
        <w:spacing w:before="0" w:after="200" w:line="276" w:lineRule="auto"/>
        <w:rPr>
          <w:rFonts w:asciiTheme="minorHAnsi" w:hAnsiTheme="minorHAnsi" w:cstheme="minorHAnsi"/>
          <w:sz w:val="28"/>
          <w:szCs w:val="28"/>
          <w:lang w:val="en-US"/>
        </w:rPr>
      </w:pPr>
      <w:r w:rsidRPr="005E1103">
        <w:rPr>
          <w:rFonts w:asciiTheme="minorHAnsi" w:hAnsiTheme="minorHAnsi" w:cstheme="minorHAnsi"/>
          <w:sz w:val="28"/>
          <w:szCs w:val="28"/>
          <w:lang w:val="en-US"/>
        </w:rPr>
        <w:t>MacArthur, Ferretti, Okolo, and Cavalier (2001)</w:t>
      </w:r>
    </w:p>
    <w:p w:rsidR="003B20DC" w:rsidRPr="005E1103" w:rsidRDefault="003B20DC" w:rsidP="003B20DC">
      <w:pPr>
        <w:pStyle w:val="Prrafodelista"/>
        <w:ind w:left="1440"/>
        <w:rPr>
          <w:rFonts w:asciiTheme="minorHAnsi" w:hAnsiTheme="minorHAnsi" w:cstheme="minorHAnsi"/>
          <w:sz w:val="28"/>
          <w:szCs w:val="28"/>
          <w:lang w:val="en-US"/>
        </w:rPr>
      </w:pPr>
    </w:p>
    <w:p w:rsidR="003B20DC" w:rsidRPr="005E1103" w:rsidRDefault="003B20DC" w:rsidP="003B20DC">
      <w:pPr>
        <w:pStyle w:val="Prrafodelista"/>
        <w:numPr>
          <w:ilvl w:val="0"/>
          <w:numId w:val="147"/>
        </w:numPr>
        <w:spacing w:before="0" w:after="200" w:line="276" w:lineRule="auto"/>
        <w:rPr>
          <w:rFonts w:asciiTheme="minorHAnsi" w:hAnsiTheme="minorHAnsi" w:cstheme="minorHAnsi"/>
          <w:sz w:val="28"/>
          <w:szCs w:val="28"/>
        </w:rPr>
      </w:pPr>
      <w:r w:rsidRPr="005E1103">
        <w:rPr>
          <w:rFonts w:asciiTheme="minorHAnsi" w:hAnsiTheme="minorHAnsi" w:cstheme="minorHAnsi"/>
          <w:sz w:val="28"/>
          <w:szCs w:val="28"/>
        </w:rPr>
        <w:t>Motivación y autoconfianza para la lectura</w:t>
      </w:r>
    </w:p>
    <w:p w:rsidR="003B20DC" w:rsidRPr="005E1103" w:rsidRDefault="003B20DC" w:rsidP="003B20DC">
      <w:pPr>
        <w:pStyle w:val="Prrafodelista"/>
        <w:numPr>
          <w:ilvl w:val="1"/>
          <w:numId w:val="147"/>
        </w:numPr>
        <w:spacing w:before="0" w:after="200" w:line="276" w:lineRule="auto"/>
        <w:rPr>
          <w:rFonts w:asciiTheme="minorHAnsi" w:hAnsiTheme="minorHAnsi" w:cstheme="minorHAnsi"/>
          <w:sz w:val="28"/>
          <w:szCs w:val="28"/>
          <w:lang w:val="en-US"/>
        </w:rPr>
      </w:pPr>
      <w:r w:rsidRPr="005E1103">
        <w:rPr>
          <w:rFonts w:asciiTheme="minorHAnsi" w:hAnsiTheme="minorHAnsi" w:cstheme="minorHAnsi"/>
          <w:sz w:val="28"/>
          <w:szCs w:val="28"/>
          <w:lang w:val="en-US"/>
        </w:rPr>
        <w:t>Barker and Torgeson (1995);</w:t>
      </w:r>
    </w:p>
    <w:p w:rsidR="003B20DC" w:rsidRPr="005E1103" w:rsidRDefault="003B20DC" w:rsidP="003B20DC">
      <w:pPr>
        <w:pStyle w:val="Prrafodelista"/>
        <w:numPr>
          <w:ilvl w:val="1"/>
          <w:numId w:val="147"/>
        </w:numPr>
        <w:spacing w:before="0" w:after="200" w:line="276" w:lineRule="auto"/>
        <w:rPr>
          <w:rFonts w:asciiTheme="minorHAnsi" w:hAnsiTheme="minorHAnsi" w:cstheme="minorHAnsi"/>
          <w:sz w:val="28"/>
          <w:szCs w:val="28"/>
          <w:lang w:val="en-US"/>
        </w:rPr>
      </w:pPr>
      <w:r w:rsidRPr="005E1103">
        <w:rPr>
          <w:rFonts w:asciiTheme="minorHAnsi" w:hAnsiTheme="minorHAnsi" w:cstheme="minorHAnsi"/>
          <w:sz w:val="28"/>
          <w:szCs w:val="28"/>
          <w:lang w:val="en-US"/>
        </w:rPr>
        <w:t>Montali and Lewandowski (1996);</w:t>
      </w:r>
    </w:p>
    <w:p w:rsidR="003B20DC" w:rsidRPr="005E1103" w:rsidRDefault="003B20DC" w:rsidP="003B20DC">
      <w:pPr>
        <w:pStyle w:val="Prrafodelista"/>
        <w:numPr>
          <w:ilvl w:val="1"/>
          <w:numId w:val="147"/>
        </w:numPr>
        <w:spacing w:before="0" w:after="200" w:line="276" w:lineRule="auto"/>
        <w:rPr>
          <w:rFonts w:asciiTheme="minorHAnsi" w:hAnsiTheme="minorHAnsi" w:cstheme="minorHAnsi"/>
          <w:sz w:val="28"/>
          <w:szCs w:val="28"/>
          <w:lang w:val="en-US"/>
        </w:rPr>
      </w:pPr>
      <w:r w:rsidRPr="005E1103">
        <w:rPr>
          <w:rFonts w:asciiTheme="minorHAnsi" w:hAnsiTheme="minorHAnsi" w:cstheme="minorHAnsi"/>
          <w:sz w:val="28"/>
          <w:szCs w:val="28"/>
          <w:lang w:val="en-US"/>
        </w:rPr>
        <w:t>Elkind, Black, and Murray (1996);</w:t>
      </w:r>
    </w:p>
    <w:p w:rsidR="003B20DC" w:rsidRPr="005E1103" w:rsidRDefault="003B20DC" w:rsidP="003B20DC">
      <w:pPr>
        <w:pStyle w:val="Prrafodelista"/>
        <w:numPr>
          <w:ilvl w:val="1"/>
          <w:numId w:val="147"/>
        </w:numPr>
        <w:spacing w:before="0" w:after="200" w:line="276" w:lineRule="auto"/>
        <w:rPr>
          <w:rFonts w:asciiTheme="minorHAnsi" w:hAnsiTheme="minorHAnsi" w:cstheme="minorHAnsi"/>
          <w:sz w:val="28"/>
          <w:szCs w:val="28"/>
          <w:lang w:val="en-US"/>
        </w:rPr>
      </w:pPr>
      <w:r w:rsidRPr="005E1103">
        <w:rPr>
          <w:rFonts w:asciiTheme="minorHAnsi" w:hAnsiTheme="minorHAnsi" w:cstheme="minorHAnsi"/>
          <w:sz w:val="28"/>
          <w:szCs w:val="28"/>
          <w:lang w:val="en-US"/>
        </w:rPr>
        <w:t>Wise, Olson, Ansett, Andrews, Terjak, Schneider, Kostuch, and Kriho (1989);</w:t>
      </w:r>
    </w:p>
    <w:p w:rsidR="003B20DC" w:rsidRPr="005E1103" w:rsidRDefault="003B20DC" w:rsidP="003B20DC">
      <w:pPr>
        <w:pStyle w:val="Prrafodelista"/>
        <w:numPr>
          <w:ilvl w:val="1"/>
          <w:numId w:val="147"/>
        </w:numPr>
        <w:spacing w:before="0" w:after="200" w:line="276" w:lineRule="auto"/>
        <w:rPr>
          <w:rFonts w:asciiTheme="minorHAnsi" w:hAnsiTheme="minorHAnsi" w:cstheme="minorHAnsi"/>
          <w:sz w:val="28"/>
          <w:szCs w:val="28"/>
          <w:lang w:val="en-US"/>
        </w:rPr>
      </w:pPr>
      <w:r w:rsidRPr="005E1103">
        <w:rPr>
          <w:rFonts w:asciiTheme="minorHAnsi" w:hAnsiTheme="minorHAnsi" w:cstheme="minorHAnsi"/>
          <w:sz w:val="28"/>
          <w:szCs w:val="28"/>
          <w:lang w:val="en-US"/>
        </w:rPr>
        <w:t>Pisha and Coyne (2001).</w:t>
      </w:r>
    </w:p>
    <w:p w:rsidR="003B20DC" w:rsidRPr="005E1103" w:rsidRDefault="003B20DC" w:rsidP="003B20DC">
      <w:pPr>
        <w:pStyle w:val="Ttulo2"/>
        <w:numPr>
          <w:ilvl w:val="1"/>
          <w:numId w:val="150"/>
        </w:numPr>
        <w:spacing w:after="240"/>
        <w:rPr>
          <w:rFonts w:asciiTheme="minorHAnsi" w:hAnsiTheme="minorHAnsi" w:cstheme="minorHAnsi"/>
          <w:sz w:val="28"/>
          <w:szCs w:val="28"/>
        </w:rPr>
      </w:pPr>
      <w:r w:rsidRPr="005E1103">
        <w:rPr>
          <w:rFonts w:asciiTheme="minorHAnsi" w:hAnsiTheme="minorHAnsi" w:cstheme="minorHAnsi"/>
          <w:sz w:val="28"/>
          <w:szCs w:val="28"/>
        </w:rPr>
        <w:t>Colectivos que se benefician de la presentación bimodal</w:t>
      </w:r>
    </w:p>
    <w:p w:rsidR="003B20DC" w:rsidRPr="005E1103" w:rsidRDefault="003B20DC" w:rsidP="003B20DC">
      <w:pPr>
        <w:spacing w:after="240"/>
        <w:rPr>
          <w:rFonts w:cstheme="minorHAnsi"/>
          <w:sz w:val="28"/>
          <w:szCs w:val="28"/>
        </w:rPr>
      </w:pPr>
      <w:r w:rsidRPr="005E1103">
        <w:rPr>
          <w:rFonts w:cstheme="minorHAnsi"/>
          <w:sz w:val="28"/>
          <w:szCs w:val="28"/>
        </w:rPr>
        <w:t>Un tema destacado de los estudios disponibles sugiere que el impacto de la presentación bimodal depende en gran manera de las características del individuo.</w:t>
      </w:r>
    </w:p>
    <w:p w:rsidR="003B20DC" w:rsidRPr="005E1103" w:rsidRDefault="003B20DC" w:rsidP="003B20DC">
      <w:pPr>
        <w:pStyle w:val="Prrafodelista"/>
        <w:numPr>
          <w:ilvl w:val="0"/>
          <w:numId w:val="147"/>
        </w:numPr>
        <w:spacing w:before="0" w:after="200" w:line="276" w:lineRule="auto"/>
        <w:rPr>
          <w:rFonts w:asciiTheme="minorHAnsi" w:hAnsiTheme="minorHAnsi" w:cstheme="minorHAnsi"/>
          <w:sz w:val="28"/>
          <w:szCs w:val="28"/>
        </w:rPr>
      </w:pPr>
      <w:r w:rsidRPr="005E1103">
        <w:rPr>
          <w:rFonts w:asciiTheme="minorHAnsi" w:hAnsiTheme="minorHAnsi" w:cstheme="minorHAnsi"/>
          <w:sz w:val="28"/>
          <w:szCs w:val="28"/>
        </w:rPr>
        <w:t>Higgins and Raskind (2005) y Olson and Wise (1992) sugieren que la mejora de la comprensión está relacionada de manera directa con la severidad de la discapacidad.</w:t>
      </w:r>
    </w:p>
    <w:p w:rsidR="003B20DC" w:rsidRPr="005E1103" w:rsidRDefault="003B20DC" w:rsidP="003B20DC">
      <w:pPr>
        <w:pStyle w:val="Prrafodelista"/>
        <w:numPr>
          <w:ilvl w:val="0"/>
          <w:numId w:val="147"/>
        </w:numPr>
        <w:spacing w:before="0" w:after="200" w:line="276" w:lineRule="auto"/>
        <w:rPr>
          <w:rFonts w:asciiTheme="minorHAnsi" w:hAnsiTheme="minorHAnsi" w:cstheme="minorHAnsi"/>
          <w:sz w:val="28"/>
          <w:szCs w:val="28"/>
        </w:rPr>
      </w:pPr>
      <w:r w:rsidRPr="005E1103">
        <w:rPr>
          <w:rFonts w:asciiTheme="minorHAnsi" w:hAnsiTheme="minorHAnsi" w:cstheme="minorHAnsi"/>
          <w:sz w:val="28"/>
          <w:szCs w:val="28"/>
        </w:rPr>
        <w:lastRenderedPageBreak/>
        <w:t>Lectores con dificultades o con bajo nivel lector se benefician más que lectores medios o de alto nivel lector (Balajthy, 2005; Disseldorp &amp; Chambers, July, 2002).</w:t>
      </w:r>
    </w:p>
    <w:p w:rsidR="003B20DC" w:rsidRPr="005E1103" w:rsidRDefault="003B20DC" w:rsidP="003B20DC">
      <w:pPr>
        <w:pStyle w:val="Prrafodelista"/>
        <w:numPr>
          <w:ilvl w:val="0"/>
          <w:numId w:val="147"/>
        </w:numPr>
        <w:spacing w:before="0" w:after="200" w:line="276" w:lineRule="auto"/>
        <w:rPr>
          <w:rFonts w:asciiTheme="minorHAnsi" w:hAnsiTheme="minorHAnsi" w:cstheme="minorHAnsi"/>
          <w:sz w:val="28"/>
          <w:szCs w:val="28"/>
        </w:rPr>
      </w:pPr>
      <w:r w:rsidRPr="005E1103">
        <w:rPr>
          <w:rFonts w:asciiTheme="minorHAnsi" w:hAnsiTheme="minorHAnsi" w:cstheme="minorHAnsi"/>
          <w:sz w:val="28"/>
          <w:szCs w:val="28"/>
        </w:rPr>
        <w:t>Lundbeg and Olofsson (1993) y Oloffson (1992) mostraron que la presentación bimodal beneficiaba en mayor medida a estudiantes mayores que a estudiantes jóvenes.</w:t>
      </w:r>
    </w:p>
    <w:p w:rsidR="003B20DC" w:rsidRPr="005E1103" w:rsidRDefault="003B20DC" w:rsidP="003B20DC">
      <w:pPr>
        <w:rPr>
          <w:rFonts w:cstheme="minorHAnsi"/>
          <w:sz w:val="28"/>
          <w:szCs w:val="28"/>
        </w:rPr>
      </w:pPr>
      <w:r w:rsidRPr="005E1103">
        <w:rPr>
          <w:rFonts w:cstheme="minorHAnsi"/>
          <w:sz w:val="28"/>
          <w:szCs w:val="28"/>
        </w:rPr>
        <w:t>Aunque los efectos pueden variar a nivel individual, la investigación demuestra que colectivos específicos se benefician de la presentación bimodal, incluyendo:</w:t>
      </w:r>
    </w:p>
    <w:p w:rsidR="003B20DC" w:rsidRPr="005E1103" w:rsidRDefault="003B20DC" w:rsidP="003B20DC">
      <w:pPr>
        <w:pStyle w:val="Prrafodelista"/>
        <w:numPr>
          <w:ilvl w:val="0"/>
          <w:numId w:val="147"/>
        </w:numPr>
        <w:spacing w:before="0" w:after="200" w:line="276" w:lineRule="auto"/>
        <w:rPr>
          <w:rFonts w:asciiTheme="minorHAnsi" w:hAnsiTheme="minorHAnsi" w:cstheme="minorHAnsi"/>
          <w:sz w:val="28"/>
          <w:szCs w:val="28"/>
        </w:rPr>
      </w:pPr>
      <w:r w:rsidRPr="005E1103">
        <w:rPr>
          <w:rFonts w:asciiTheme="minorHAnsi" w:hAnsiTheme="minorHAnsi" w:cstheme="minorHAnsi"/>
          <w:sz w:val="28"/>
          <w:szCs w:val="28"/>
        </w:rPr>
        <w:t>Lectores con nivel de lectura bajo o aquellos con dificultades para la lectura o el lenguaje (Elbro, Rasmussen, &amp; Spelling, 1996; Disseldorp &amp; Chambers, 2002; Elkind, 1998; Elkind, Black, &amp; Murray, 1996; Higgins &amp; Raskind, 1997)</w:t>
      </w:r>
    </w:p>
    <w:p w:rsidR="003B20DC" w:rsidRPr="005E1103" w:rsidRDefault="003B20DC" w:rsidP="003B20DC">
      <w:pPr>
        <w:pStyle w:val="Prrafodelista"/>
        <w:numPr>
          <w:ilvl w:val="0"/>
          <w:numId w:val="147"/>
        </w:numPr>
        <w:spacing w:before="0" w:after="200" w:line="276" w:lineRule="auto"/>
        <w:rPr>
          <w:rFonts w:asciiTheme="minorHAnsi" w:hAnsiTheme="minorHAnsi" w:cstheme="minorHAnsi"/>
          <w:sz w:val="28"/>
          <w:szCs w:val="28"/>
        </w:rPr>
      </w:pPr>
      <w:r w:rsidRPr="005E1103">
        <w:rPr>
          <w:rFonts w:asciiTheme="minorHAnsi" w:hAnsiTheme="minorHAnsi" w:cstheme="minorHAnsi"/>
          <w:sz w:val="28"/>
          <w:szCs w:val="28"/>
        </w:rPr>
        <w:t>Aquellos con discapacidades específicas para el aprendizaje, como la dislexia (Dolan, Hall, Banerjee, Chun, &amp; Strangman, 2005; Raskind, 1998); Lewis, 1998; Elkind, Cohen, &amp; Murray, 1993; Reitsma, 1988)</w:t>
      </w:r>
    </w:p>
    <w:p w:rsidR="003B20DC" w:rsidRPr="005E1103" w:rsidRDefault="003B20DC" w:rsidP="003B20DC">
      <w:pPr>
        <w:pStyle w:val="Prrafodelista"/>
        <w:numPr>
          <w:ilvl w:val="0"/>
          <w:numId w:val="147"/>
        </w:numPr>
        <w:spacing w:before="0" w:after="200" w:line="276" w:lineRule="auto"/>
        <w:rPr>
          <w:rFonts w:asciiTheme="minorHAnsi" w:hAnsiTheme="minorHAnsi" w:cstheme="minorHAnsi"/>
          <w:sz w:val="28"/>
          <w:szCs w:val="28"/>
        </w:rPr>
      </w:pPr>
      <w:r w:rsidRPr="005E1103">
        <w:rPr>
          <w:rFonts w:asciiTheme="minorHAnsi" w:hAnsiTheme="minorHAnsi" w:cstheme="minorHAnsi"/>
          <w:sz w:val="28"/>
          <w:szCs w:val="28"/>
        </w:rPr>
        <w:t>Aquéllos con déficit de atención (Hecker, Burns, &amp; Elkind, 2002; Balajthy, 2005)</w:t>
      </w:r>
    </w:p>
    <w:p w:rsidR="003B20DC" w:rsidRPr="005E1103" w:rsidRDefault="003B20DC" w:rsidP="003B20DC">
      <w:pPr>
        <w:pStyle w:val="Ttulo1"/>
        <w:numPr>
          <w:ilvl w:val="0"/>
          <w:numId w:val="148"/>
        </w:numPr>
        <w:spacing w:after="240"/>
        <w:rPr>
          <w:rFonts w:asciiTheme="minorHAnsi" w:hAnsiTheme="minorHAnsi" w:cstheme="minorHAnsi"/>
        </w:rPr>
      </w:pPr>
      <w:r w:rsidRPr="005E1103">
        <w:rPr>
          <w:rFonts w:asciiTheme="minorHAnsi" w:hAnsiTheme="minorHAnsi" w:cstheme="minorHAnsi"/>
        </w:rPr>
        <w:t>Conclusión</w:t>
      </w:r>
    </w:p>
    <w:p w:rsidR="003B20DC" w:rsidRPr="005E1103" w:rsidRDefault="003B20DC" w:rsidP="003B20DC">
      <w:pPr>
        <w:spacing w:after="240"/>
        <w:rPr>
          <w:rFonts w:cstheme="minorHAnsi"/>
          <w:sz w:val="28"/>
          <w:szCs w:val="28"/>
        </w:rPr>
      </w:pPr>
      <w:r w:rsidRPr="005E1103">
        <w:rPr>
          <w:rFonts w:cstheme="minorHAnsi"/>
          <w:sz w:val="28"/>
          <w:szCs w:val="28"/>
        </w:rPr>
        <w:t>Muchos conceptos del Diseño Universal para el Aprendizaje pueden parecer sitios comunes en los entornos educativos modernos. Si son obvios es porque son muy efectivos. Tanto si se está dando clase a estudiantes en el aula o en un seminario corporativo, los conceptos del DUA mejoran la experiencia de aprendizaje para todos haciendo la información más comprensible. Cada estudiante aprende de modo diferente, lo que hace que la integración del DUA sea un esfuerzo beneficios para educadores de todo tipo de estudiantes.</w:t>
      </w:r>
    </w:p>
    <w:p w:rsidR="003B20DC" w:rsidRPr="005E1103" w:rsidRDefault="003B20DC" w:rsidP="003B20DC">
      <w:pPr>
        <w:rPr>
          <w:rFonts w:cstheme="minorHAnsi"/>
          <w:sz w:val="28"/>
          <w:szCs w:val="28"/>
        </w:rPr>
      </w:pPr>
      <w:r w:rsidRPr="005E1103">
        <w:rPr>
          <w:rFonts w:cstheme="minorHAnsi"/>
          <w:sz w:val="28"/>
          <w:szCs w:val="28"/>
        </w:rPr>
        <w:t>La presentación bimodal puede ayudar a los lectores con dificultades y a aquéllos con dificultades específicas para el aprendizaje o el idioma, resultando en una mejor comprensión lectora y recuerdo de lo leído. Se ha demostrado que mejora tanto el rendimiento real como el percibido del estudiante. Esto produce una mayor motivación y autoconfianza, mejorando la experiencia de lectura para todos los involucrados.</w:t>
      </w:r>
    </w:p>
    <w:p w:rsidR="003B20DC" w:rsidRPr="005E1103" w:rsidRDefault="003B20DC" w:rsidP="003B20DC">
      <w:pPr>
        <w:pStyle w:val="Ttulo1"/>
        <w:spacing w:after="240"/>
        <w:ind w:left="720"/>
        <w:rPr>
          <w:rFonts w:asciiTheme="minorHAnsi" w:hAnsiTheme="minorHAnsi" w:cstheme="minorHAnsi"/>
          <w:lang w:val="en-US"/>
        </w:rPr>
      </w:pPr>
      <w:r w:rsidRPr="005E1103">
        <w:rPr>
          <w:rFonts w:asciiTheme="minorHAnsi" w:hAnsiTheme="minorHAnsi" w:cstheme="minorHAnsi"/>
          <w:lang w:val="en-US"/>
        </w:rPr>
        <w:lastRenderedPageBreak/>
        <w:t>Bibliografía</w:t>
      </w:r>
    </w:p>
    <w:p w:rsidR="003B20DC" w:rsidRPr="005E1103" w:rsidRDefault="003B20DC" w:rsidP="003B20DC">
      <w:pPr>
        <w:rPr>
          <w:rFonts w:cstheme="minorHAnsi"/>
          <w:sz w:val="28"/>
          <w:szCs w:val="28"/>
          <w:lang w:val="en-US"/>
        </w:rPr>
      </w:pPr>
      <w:r w:rsidRPr="005E1103">
        <w:rPr>
          <w:rFonts w:cstheme="minorHAnsi"/>
          <w:sz w:val="28"/>
          <w:szCs w:val="28"/>
          <w:lang w:val="en-US"/>
        </w:rPr>
        <w:t>Anderson-Inman, L. (1999). Computer-based solutions for secondary students with learning disabilities: Emerging issues. Reading and Writing Quarterly, 15, 239-249. Retrieved December 2004</w:t>
      </w:r>
    </w:p>
    <w:p w:rsidR="003B20DC" w:rsidRPr="005E1103" w:rsidRDefault="003B20DC" w:rsidP="003B20DC">
      <w:pPr>
        <w:rPr>
          <w:rFonts w:cstheme="minorHAnsi"/>
          <w:sz w:val="28"/>
          <w:szCs w:val="28"/>
          <w:lang w:val="en-US"/>
        </w:rPr>
      </w:pPr>
      <w:r w:rsidRPr="005E1103">
        <w:rPr>
          <w:rFonts w:cstheme="minorHAnsi"/>
          <w:sz w:val="28"/>
          <w:szCs w:val="28"/>
          <w:lang w:val="en-US"/>
        </w:rPr>
        <w:t>Balajthy, E. (2005). Text-to-speech software for helping struggling readers. Reading Online, 8(4), 1-9.</w:t>
      </w:r>
    </w:p>
    <w:p w:rsidR="003B20DC" w:rsidRPr="005E1103" w:rsidRDefault="003B20DC" w:rsidP="003B20DC">
      <w:pPr>
        <w:rPr>
          <w:rFonts w:cstheme="minorHAnsi"/>
          <w:sz w:val="28"/>
          <w:szCs w:val="28"/>
          <w:lang w:val="en-US"/>
        </w:rPr>
      </w:pPr>
      <w:r w:rsidRPr="005E1103">
        <w:rPr>
          <w:rFonts w:cstheme="minorHAnsi"/>
          <w:sz w:val="28"/>
          <w:szCs w:val="28"/>
          <w:lang w:val="en-US"/>
        </w:rPr>
        <w:t>Califee, R., Chambliss, M., &amp; Beretz, M. (1991). Organizing for comprehension and composition. In W. Ellis (Ed.), All language and the creation of literacy (pp. 79–93). Baltimore, MD: International Dyslexia Association.</w:t>
      </w:r>
    </w:p>
    <w:p w:rsidR="003B20DC" w:rsidRPr="005E1103" w:rsidRDefault="003B20DC" w:rsidP="003B20DC">
      <w:pPr>
        <w:rPr>
          <w:rFonts w:cstheme="minorHAnsi"/>
          <w:sz w:val="28"/>
          <w:szCs w:val="28"/>
          <w:lang w:val="en-US"/>
        </w:rPr>
      </w:pPr>
      <w:r w:rsidRPr="005E1103">
        <w:rPr>
          <w:rFonts w:cstheme="minorHAnsi"/>
          <w:sz w:val="28"/>
          <w:szCs w:val="28"/>
          <w:lang w:val="en-US"/>
        </w:rPr>
        <w:t>Disseldorp, B., &amp; Chambers, D. (2002). Independent Access: Which students might benefit from a talking computer? In Untangling the Web-Establishing Learning Links: Proceedings of the Australian Society for Educational Technology International Conference. McNamara, S. &amp; Stacey, E. (eds). July 7–10. Melbourne, ASET. Disseldorp, B., &amp; Chambers, D. (July, 2002). Selecting the right environment for students in a changing teaching environment: A case study. Paper presented at the meeting of the Australian Society for Educational Technology International, Melbourne, Australia.</w:t>
      </w:r>
    </w:p>
    <w:p w:rsidR="003B20DC" w:rsidRPr="005E1103" w:rsidRDefault="003B20DC" w:rsidP="003B20DC">
      <w:pPr>
        <w:rPr>
          <w:rFonts w:cstheme="minorHAnsi"/>
          <w:sz w:val="28"/>
          <w:szCs w:val="28"/>
          <w:lang w:val="en-US"/>
        </w:rPr>
      </w:pPr>
      <w:r w:rsidRPr="005E1103">
        <w:rPr>
          <w:rFonts w:cstheme="minorHAnsi"/>
          <w:sz w:val="28"/>
          <w:szCs w:val="28"/>
          <w:lang w:val="en-US"/>
        </w:rPr>
        <w:t>Dolan, R. P., Hall, T. E., Banerjee, M., Chun, E., &amp; Strangman, N. (2005). Applying principles of universal design to test delivery: The effect of computer-based read-aloud on test performance of high school students with learning disabilities. Journal of Technology, Learning, and Assessment, 3(7). Available from http://www.jtla.org</w:t>
      </w:r>
    </w:p>
    <w:p w:rsidR="003B20DC" w:rsidRPr="005E1103" w:rsidRDefault="003B20DC" w:rsidP="003B20DC">
      <w:pPr>
        <w:rPr>
          <w:rFonts w:cstheme="minorHAnsi"/>
          <w:sz w:val="28"/>
          <w:szCs w:val="28"/>
          <w:lang w:val="en-US"/>
        </w:rPr>
      </w:pPr>
      <w:r w:rsidRPr="005E1103">
        <w:rPr>
          <w:rFonts w:cstheme="minorHAnsi"/>
          <w:sz w:val="28"/>
          <w:szCs w:val="28"/>
          <w:lang w:val="en-US"/>
        </w:rPr>
        <w:t>Elbro, C., Rasmussen, I., &amp; Spelling, B. (1996). Teaching reading to disabled readers with language disorders: A controlled evaluation of synthetic speech feedback. Scandinavian Journal of Psychology, 37(2), 140-155.</w:t>
      </w:r>
    </w:p>
    <w:p w:rsidR="003B20DC" w:rsidRPr="005E1103" w:rsidRDefault="003B20DC" w:rsidP="003B20DC">
      <w:pPr>
        <w:rPr>
          <w:rFonts w:cstheme="minorHAnsi"/>
          <w:sz w:val="28"/>
          <w:szCs w:val="28"/>
        </w:rPr>
      </w:pPr>
      <w:r w:rsidRPr="005E1103">
        <w:rPr>
          <w:rFonts w:cstheme="minorHAnsi"/>
          <w:sz w:val="28"/>
          <w:szCs w:val="28"/>
          <w:lang w:val="en-US"/>
        </w:rPr>
        <w:t xml:space="preserve">Elkind, J. (1998). Computer reading machines for poor readers. </w:t>
      </w:r>
      <w:r w:rsidRPr="005E1103">
        <w:rPr>
          <w:rFonts w:cstheme="minorHAnsi"/>
          <w:sz w:val="28"/>
          <w:szCs w:val="28"/>
        </w:rPr>
        <w:t>Portola Valley, CA: Lexia Institute.</w:t>
      </w:r>
    </w:p>
    <w:p w:rsidR="003B20DC" w:rsidRPr="005E1103" w:rsidRDefault="003B20DC" w:rsidP="003B20DC">
      <w:pPr>
        <w:rPr>
          <w:rFonts w:cstheme="minorHAnsi"/>
          <w:sz w:val="28"/>
          <w:szCs w:val="28"/>
          <w:lang w:val="en-US"/>
        </w:rPr>
      </w:pPr>
      <w:r w:rsidRPr="005E1103">
        <w:rPr>
          <w:rFonts w:cstheme="minorHAnsi"/>
          <w:sz w:val="28"/>
          <w:szCs w:val="28"/>
          <w:lang w:val="en-US"/>
        </w:rPr>
        <w:t>Elkind, J., Black, M. S., &amp; Murray, C. (1996). Computer-based compensation of adult reading disabilities. Annals of Dyslexia, 46(1), 159-186.</w:t>
      </w:r>
    </w:p>
    <w:p w:rsidR="003B20DC" w:rsidRPr="005E1103" w:rsidRDefault="003B20DC" w:rsidP="003B20DC">
      <w:pPr>
        <w:rPr>
          <w:rFonts w:cstheme="minorHAnsi"/>
          <w:sz w:val="28"/>
          <w:szCs w:val="28"/>
          <w:lang w:val="en-US"/>
        </w:rPr>
      </w:pPr>
      <w:r w:rsidRPr="005E1103">
        <w:rPr>
          <w:rFonts w:cstheme="minorHAnsi"/>
          <w:sz w:val="28"/>
          <w:szCs w:val="28"/>
          <w:lang w:val="en-US"/>
        </w:rPr>
        <w:lastRenderedPageBreak/>
        <w:t>Elkind, J., Cohen, K., &amp; Murray, C. (1993) Using computer-based readers to improve reading comprehension of students with dyslexia. Annals of Dyslexia, 43, 238-259.</w:t>
      </w:r>
    </w:p>
    <w:p w:rsidR="003B20DC" w:rsidRPr="005E1103" w:rsidRDefault="003B20DC" w:rsidP="003B20DC">
      <w:pPr>
        <w:rPr>
          <w:rFonts w:cstheme="minorHAnsi"/>
          <w:sz w:val="28"/>
          <w:szCs w:val="28"/>
          <w:lang w:val="en-US"/>
        </w:rPr>
      </w:pPr>
      <w:r w:rsidRPr="005E1103">
        <w:rPr>
          <w:rFonts w:cstheme="minorHAnsi"/>
          <w:sz w:val="28"/>
          <w:szCs w:val="28"/>
          <w:lang w:val="en-US"/>
        </w:rPr>
        <w:t>Hecker, L., Burns, L., &amp; Elkind, J. (2002). Benefits of assistive reading software for students with attention disorders. Annals of Dyslexia, 52, 243-272.</w:t>
      </w:r>
    </w:p>
    <w:p w:rsidR="003B20DC" w:rsidRPr="005E1103" w:rsidRDefault="003B20DC" w:rsidP="003B20DC">
      <w:pPr>
        <w:rPr>
          <w:rFonts w:cstheme="minorHAnsi"/>
          <w:sz w:val="28"/>
          <w:szCs w:val="28"/>
          <w:lang w:val="en-US"/>
        </w:rPr>
      </w:pPr>
      <w:r w:rsidRPr="005E1103">
        <w:rPr>
          <w:rFonts w:cstheme="minorHAnsi"/>
          <w:sz w:val="28"/>
          <w:szCs w:val="28"/>
          <w:lang w:val="en-US"/>
        </w:rPr>
        <w:t>Higgins, E. L. &amp; Raskind, M. H. (1997). The compensatory effectiveness of optical character recognition/speech synthesis on reading comprehension of postsecondary students with learning disabilities. Learning Disabilities: A Multi-disciplinary Journal 8(2), 75–87.</w:t>
      </w:r>
    </w:p>
    <w:p w:rsidR="003B20DC" w:rsidRPr="005E1103" w:rsidRDefault="003B20DC" w:rsidP="003B20DC">
      <w:pPr>
        <w:rPr>
          <w:rFonts w:cstheme="minorHAnsi"/>
          <w:sz w:val="28"/>
          <w:szCs w:val="28"/>
          <w:lang w:val="en-US"/>
        </w:rPr>
      </w:pPr>
      <w:r w:rsidRPr="005E1103">
        <w:rPr>
          <w:rFonts w:cstheme="minorHAnsi"/>
          <w:sz w:val="28"/>
          <w:szCs w:val="28"/>
          <w:lang w:val="en-US"/>
        </w:rPr>
        <w:t>Higgins, E. L., &amp; Raskind, M. H. (2005). The compensatory effectiveness of the Quicktionary reading pen II on the reading comprehension of students with learning disabilities. Journal of Special Education Technology, 20(1), 29-38.</w:t>
      </w:r>
    </w:p>
    <w:p w:rsidR="003B20DC" w:rsidRPr="005E1103" w:rsidRDefault="003B20DC" w:rsidP="003B20DC">
      <w:pPr>
        <w:rPr>
          <w:rFonts w:cstheme="minorHAnsi"/>
          <w:sz w:val="28"/>
          <w:szCs w:val="28"/>
          <w:lang w:val="en-US"/>
        </w:rPr>
      </w:pPr>
      <w:r w:rsidRPr="005E1103">
        <w:rPr>
          <w:rFonts w:cstheme="minorHAnsi"/>
          <w:sz w:val="28"/>
          <w:szCs w:val="28"/>
          <w:lang w:val="en-US"/>
        </w:rPr>
        <w:t>Lewis, R. B. (1998). Assistive technology and learning disabilities: Today's realities and tomorrow's promises. Journal of Learning Disabilities, 31(1), 16.</w:t>
      </w:r>
    </w:p>
    <w:p w:rsidR="003B20DC" w:rsidRPr="005E1103" w:rsidRDefault="003B20DC" w:rsidP="003B20DC">
      <w:pPr>
        <w:rPr>
          <w:rFonts w:cstheme="minorHAnsi"/>
          <w:sz w:val="28"/>
          <w:szCs w:val="28"/>
          <w:lang w:val="en-US"/>
        </w:rPr>
      </w:pPr>
      <w:r w:rsidRPr="005E1103">
        <w:rPr>
          <w:rFonts w:cstheme="minorHAnsi"/>
          <w:sz w:val="28"/>
          <w:szCs w:val="28"/>
          <w:lang w:val="en-US"/>
        </w:rPr>
        <w:t>Leong, C.K. (1995). Effects of on-line reading and simultaneous DECtalk auding in helping below-average and poor readers comprehend and summarize text. Learning Disability Quarterly, 18, 101-116.</w:t>
      </w:r>
    </w:p>
    <w:p w:rsidR="003B20DC" w:rsidRPr="005E1103" w:rsidRDefault="003B20DC" w:rsidP="003B20DC">
      <w:pPr>
        <w:rPr>
          <w:rFonts w:cstheme="minorHAnsi"/>
          <w:sz w:val="28"/>
          <w:szCs w:val="28"/>
          <w:lang w:val="en-US"/>
        </w:rPr>
      </w:pPr>
      <w:r w:rsidRPr="005E1103">
        <w:rPr>
          <w:rFonts w:cstheme="minorHAnsi"/>
          <w:sz w:val="28"/>
          <w:szCs w:val="28"/>
          <w:lang w:val="en-US"/>
        </w:rPr>
        <w:t>Leong, C. K. (1992). Enhancing reading comprehension with text-to-speech (DECtalk) computer system. Reading and Writing: An Interdisciplinary Journal, 4, 205–217.</w:t>
      </w:r>
    </w:p>
    <w:p w:rsidR="003B20DC" w:rsidRPr="005E1103" w:rsidRDefault="003B20DC" w:rsidP="003B20DC">
      <w:pPr>
        <w:rPr>
          <w:rFonts w:cstheme="minorHAnsi"/>
          <w:sz w:val="28"/>
          <w:szCs w:val="28"/>
          <w:lang w:val="en-US"/>
        </w:rPr>
      </w:pPr>
      <w:r w:rsidRPr="005E1103">
        <w:rPr>
          <w:rFonts w:cstheme="minorHAnsi"/>
          <w:sz w:val="28"/>
          <w:szCs w:val="28"/>
          <w:lang w:val="en-US"/>
        </w:rPr>
        <w:t>Lundberg, I., &amp; Olofsson, A. (1993). Can computer speech support reading comprehension? Computers in Human Behavior, 9, 282–293.</w:t>
      </w:r>
    </w:p>
    <w:p w:rsidR="003B20DC" w:rsidRPr="005E1103" w:rsidRDefault="003B20DC" w:rsidP="003B20DC">
      <w:pPr>
        <w:rPr>
          <w:rFonts w:cstheme="minorHAnsi"/>
          <w:sz w:val="28"/>
          <w:szCs w:val="28"/>
          <w:lang w:val="en-US"/>
        </w:rPr>
      </w:pPr>
      <w:r w:rsidRPr="005E1103">
        <w:rPr>
          <w:rFonts w:cstheme="minorHAnsi"/>
          <w:sz w:val="28"/>
          <w:szCs w:val="28"/>
          <w:lang w:val="en-US"/>
        </w:rPr>
        <w:t>MacArthur, C. A., Ferretti, R. P., Okolo, C. M. and Cavalier, A. R. (2001): Technology applications for students with literacy problems: A critical review. Elementary School Journal, 101(3), 273–301.</w:t>
      </w:r>
    </w:p>
    <w:p w:rsidR="003B20DC" w:rsidRPr="005E1103" w:rsidRDefault="003B20DC" w:rsidP="003B20DC">
      <w:pPr>
        <w:rPr>
          <w:rFonts w:cstheme="minorHAnsi"/>
          <w:sz w:val="28"/>
          <w:szCs w:val="28"/>
          <w:lang w:val="en-US"/>
        </w:rPr>
      </w:pPr>
      <w:r w:rsidRPr="005E1103">
        <w:rPr>
          <w:rFonts w:cstheme="minorHAnsi"/>
          <w:sz w:val="28"/>
          <w:szCs w:val="28"/>
          <w:lang w:val="en-US"/>
        </w:rPr>
        <w:t>Mastroberardino, S., Santangelo, V., Botta, F., Marucci, F. &amp; Belardinelli, M. O. (2008) How the bimodal format of presentation affects working memory: an overview. Cognitive Processing, 9(1), 69-76.</w:t>
      </w:r>
    </w:p>
    <w:p w:rsidR="003B20DC" w:rsidRPr="005E1103" w:rsidRDefault="003B20DC" w:rsidP="003B20DC">
      <w:pPr>
        <w:rPr>
          <w:rFonts w:cstheme="minorHAnsi"/>
          <w:sz w:val="28"/>
          <w:szCs w:val="28"/>
          <w:lang w:val="en-US"/>
        </w:rPr>
      </w:pPr>
      <w:r w:rsidRPr="005E1103">
        <w:rPr>
          <w:rFonts w:cstheme="minorHAnsi"/>
          <w:sz w:val="28"/>
          <w:szCs w:val="28"/>
          <w:lang w:val="en-US"/>
        </w:rPr>
        <w:t xml:space="preserve">Montali, J. (2000). Facilitating memory in children with reading disabilities through computerized bimodal presentation. Dissertation Abstracts </w:t>
      </w:r>
      <w:r w:rsidRPr="005E1103">
        <w:rPr>
          <w:rFonts w:cstheme="minorHAnsi"/>
          <w:sz w:val="28"/>
          <w:szCs w:val="28"/>
          <w:lang w:val="en-US"/>
        </w:rPr>
        <w:lastRenderedPageBreak/>
        <w:t>International: Section B: The Sciences and Engineering. Montali, J., &amp; Lewandowski, L. (1996). Bimodal reading: Benefits of a talking computer for average and less skilled readers. Journal of Learning Disabilities, 29(3), 271-279.</w:t>
      </w:r>
    </w:p>
    <w:p w:rsidR="003B20DC" w:rsidRPr="005E1103" w:rsidRDefault="003B20DC" w:rsidP="003B20DC">
      <w:pPr>
        <w:rPr>
          <w:rFonts w:cstheme="minorHAnsi"/>
          <w:sz w:val="28"/>
          <w:szCs w:val="28"/>
          <w:lang w:val="en-US"/>
        </w:rPr>
      </w:pPr>
      <w:r w:rsidRPr="005E1103">
        <w:rPr>
          <w:rFonts w:cstheme="minorHAnsi"/>
          <w:sz w:val="28"/>
          <w:szCs w:val="28"/>
          <w:lang w:val="en-US"/>
        </w:rPr>
        <w:t>Olofsson, A. (1992) Synthetic speech and computer sided reading for reading disabled children. Reading and Writing: An Interdisciplinary Journal, 4, 165-178.</w:t>
      </w:r>
    </w:p>
    <w:p w:rsidR="003B20DC" w:rsidRPr="005E1103" w:rsidRDefault="003B20DC" w:rsidP="003B20DC">
      <w:pPr>
        <w:rPr>
          <w:rFonts w:cstheme="minorHAnsi"/>
          <w:sz w:val="28"/>
          <w:szCs w:val="28"/>
          <w:lang w:val="en-US"/>
        </w:rPr>
      </w:pPr>
      <w:r w:rsidRPr="005E1103">
        <w:rPr>
          <w:rFonts w:cstheme="minorHAnsi"/>
          <w:sz w:val="28"/>
          <w:szCs w:val="28"/>
          <w:lang w:val="en-US"/>
        </w:rPr>
        <w:t>Olson, R. K., &amp; Wise, B. W. (1992). Reading on the computer with orthographic and speech feedback. Reading and Writing: An Interdisciplinary Journal, 4, 107–144.</w:t>
      </w:r>
    </w:p>
    <w:p w:rsidR="003B20DC" w:rsidRPr="005E1103" w:rsidRDefault="003B20DC" w:rsidP="003B20DC">
      <w:pPr>
        <w:rPr>
          <w:rFonts w:cstheme="minorHAnsi"/>
          <w:sz w:val="28"/>
          <w:szCs w:val="28"/>
          <w:lang w:val="en-US"/>
        </w:rPr>
      </w:pPr>
      <w:r w:rsidRPr="005E1103">
        <w:rPr>
          <w:rFonts w:cstheme="minorHAnsi"/>
          <w:sz w:val="28"/>
          <w:szCs w:val="28"/>
          <w:lang w:val="en-US"/>
        </w:rPr>
        <w:t>Pisha, B., &amp; Coyne, P. (2001). Jumping off the page: Content area curriculum for the Internet age. Reading Online, 5(4). Raskind, M. H. (1998): Literacy for adults with learning disabilities through assistive technology. In Bridging the Gap: Learning Disabilities, Literacy, and Adult Education. Vogel, S. A. and Reder, S. (eds). Baltimore, MD, Brookes: 253–268.</w:t>
      </w:r>
    </w:p>
    <w:p w:rsidR="003B20DC" w:rsidRPr="005E1103" w:rsidRDefault="003B20DC" w:rsidP="003B20DC">
      <w:pPr>
        <w:rPr>
          <w:rFonts w:cstheme="minorHAnsi"/>
          <w:sz w:val="28"/>
          <w:szCs w:val="28"/>
          <w:lang w:val="en-US"/>
        </w:rPr>
      </w:pPr>
      <w:r w:rsidRPr="005E1103">
        <w:rPr>
          <w:rFonts w:cstheme="minorHAnsi"/>
          <w:sz w:val="28"/>
          <w:szCs w:val="28"/>
          <w:lang w:val="en-US"/>
        </w:rPr>
        <w:t>Reinking, D. (1988). Computer-mediated text and comprehension differences: The role of reading time, reader preference, and estimation of learning. Reading Research Quarterly, 23, 484-498.</w:t>
      </w:r>
    </w:p>
    <w:p w:rsidR="003B20DC" w:rsidRPr="005E1103" w:rsidRDefault="003B20DC" w:rsidP="003B20DC">
      <w:pPr>
        <w:rPr>
          <w:rFonts w:cstheme="minorHAnsi"/>
          <w:sz w:val="28"/>
          <w:szCs w:val="28"/>
          <w:lang w:val="en-US"/>
        </w:rPr>
      </w:pPr>
      <w:r w:rsidRPr="005E1103">
        <w:rPr>
          <w:rFonts w:cstheme="minorHAnsi"/>
          <w:sz w:val="28"/>
          <w:szCs w:val="28"/>
          <w:lang w:val="en-US"/>
        </w:rPr>
        <w:t>Reitsma, P. (1988). Reading practice for beginners: Effects of guided reading, reading-while-listening, and independent reading with computer-based speech feedback. Reading Research Quarterly, 23, 219-235.</w:t>
      </w:r>
    </w:p>
    <w:p w:rsidR="003B20DC" w:rsidRPr="005E1103" w:rsidRDefault="003B20DC" w:rsidP="003B20DC">
      <w:pPr>
        <w:rPr>
          <w:rFonts w:cstheme="minorHAnsi"/>
          <w:sz w:val="28"/>
          <w:szCs w:val="28"/>
          <w:lang w:val="en-US"/>
        </w:rPr>
      </w:pPr>
      <w:r w:rsidRPr="005E1103">
        <w:rPr>
          <w:rFonts w:cstheme="minorHAnsi"/>
          <w:sz w:val="28"/>
          <w:szCs w:val="28"/>
          <w:lang w:val="en-US"/>
        </w:rPr>
        <w:t>Shany, M. T., &amp; Biemiller, A. (1995). Assisted reading practice: Effects on performance for poor readers in grades 3 and 4, Reading Research Quarterly, 30(3), pp. 382-395.</w:t>
      </w:r>
    </w:p>
    <w:p w:rsidR="003B20DC" w:rsidRPr="005E1103" w:rsidRDefault="003B20DC" w:rsidP="003B20DC">
      <w:pPr>
        <w:rPr>
          <w:rFonts w:cstheme="minorHAnsi"/>
          <w:sz w:val="28"/>
          <w:szCs w:val="28"/>
          <w:lang w:val="en-US"/>
        </w:rPr>
      </w:pPr>
      <w:r w:rsidRPr="005E1103">
        <w:rPr>
          <w:rFonts w:cstheme="minorHAnsi"/>
          <w:sz w:val="28"/>
          <w:szCs w:val="28"/>
          <w:lang w:val="en-US"/>
        </w:rPr>
        <w:t>Skinner, C.H., Johnson, C.W., Larkin, M.J., Lessey, D.J., &amp; Glowacki, M.L. (1995). The influence of rate of presentation during taped word interventions on reading performance. Journal of Emotional and Behavioral Disorders, 3, 214-223.</w:t>
      </w:r>
    </w:p>
    <w:p w:rsidR="003B20DC" w:rsidRPr="005E1103" w:rsidRDefault="003B20DC" w:rsidP="003B20DC">
      <w:pPr>
        <w:rPr>
          <w:rFonts w:cstheme="minorHAnsi"/>
          <w:sz w:val="28"/>
          <w:szCs w:val="28"/>
          <w:lang w:val="en-US"/>
        </w:rPr>
      </w:pPr>
      <w:r w:rsidRPr="005E1103">
        <w:rPr>
          <w:rFonts w:cstheme="minorHAnsi"/>
          <w:sz w:val="28"/>
          <w:szCs w:val="28"/>
          <w:lang w:val="en-US"/>
        </w:rPr>
        <w:t>Stahl, S. (2003). Universal design for learning. Journal of Special Education Technology, 18, 65-67.</w:t>
      </w:r>
    </w:p>
    <w:p w:rsidR="003B20DC" w:rsidRPr="005E1103" w:rsidRDefault="003B20DC" w:rsidP="003B20DC">
      <w:pPr>
        <w:rPr>
          <w:rFonts w:cstheme="minorHAnsi"/>
          <w:sz w:val="28"/>
          <w:szCs w:val="28"/>
          <w:lang w:val="en-US"/>
        </w:rPr>
      </w:pPr>
      <w:r w:rsidRPr="005E1103">
        <w:rPr>
          <w:rFonts w:cstheme="minorHAnsi"/>
          <w:sz w:val="28"/>
          <w:szCs w:val="28"/>
          <w:lang w:val="en-US"/>
        </w:rPr>
        <w:t xml:space="preserve">Steele, E., Lewandowski, L., &amp; Rusling, E. (1996). The Effectiveness of Bimodal Text Presentation of Poor Readers at Annual Convention of the </w:t>
      </w:r>
      <w:r w:rsidRPr="005E1103">
        <w:rPr>
          <w:rFonts w:cstheme="minorHAnsi"/>
          <w:sz w:val="28"/>
          <w:szCs w:val="28"/>
          <w:lang w:val="en-US"/>
        </w:rPr>
        <w:lastRenderedPageBreak/>
        <w:t>National Association of School Psychologists, March 12-16, 1996, Atlanta. Bethesda, MD: National Association of School Psychologists.</w:t>
      </w:r>
    </w:p>
    <w:p w:rsidR="003B20DC" w:rsidRPr="005E1103" w:rsidRDefault="003B20DC" w:rsidP="003B20DC">
      <w:pPr>
        <w:rPr>
          <w:rFonts w:cstheme="minorHAnsi"/>
          <w:sz w:val="28"/>
          <w:szCs w:val="28"/>
          <w:lang w:val="en-US"/>
        </w:rPr>
      </w:pPr>
      <w:r w:rsidRPr="005E1103">
        <w:rPr>
          <w:rFonts w:cstheme="minorHAnsi"/>
          <w:sz w:val="28"/>
          <w:szCs w:val="28"/>
          <w:lang w:val="en-US"/>
        </w:rPr>
        <w:t>Strangman, N. &amp; Dalton, B. (2005). Using technology to support struggling readers: A review of the research. In D. Edyburn, K. Higgins &amp; R. Boone (Eds.), The handbook of special education technology research and practice (pp. 545-569). Whitefish Bay, WI: Knowledge by Design.</w:t>
      </w:r>
    </w:p>
    <w:p w:rsidR="003B20DC" w:rsidRPr="005E1103" w:rsidRDefault="003B20DC" w:rsidP="003B20DC">
      <w:pPr>
        <w:rPr>
          <w:rFonts w:cstheme="minorHAnsi"/>
          <w:sz w:val="28"/>
          <w:szCs w:val="28"/>
          <w:lang w:val="en-US"/>
        </w:rPr>
      </w:pPr>
      <w:r w:rsidRPr="005E1103">
        <w:rPr>
          <w:rFonts w:cstheme="minorHAnsi"/>
          <w:sz w:val="28"/>
          <w:szCs w:val="28"/>
          <w:lang w:val="en-US"/>
        </w:rPr>
        <w:t>Strobel, W., Arthanat, S., Bauer, S., &amp; Flagg, J. (2007). Universal Design for Learning: Critical Need Areas for People with Learning Disabilities. Assistive Technology Outcomes and Benefits, 4(1), 81-98.</w:t>
      </w:r>
    </w:p>
    <w:p w:rsidR="003B20DC" w:rsidRPr="005E1103" w:rsidRDefault="003B20DC" w:rsidP="003B20DC">
      <w:pPr>
        <w:rPr>
          <w:rFonts w:cstheme="minorHAnsi"/>
          <w:sz w:val="28"/>
          <w:szCs w:val="28"/>
          <w:lang w:val="en-US"/>
        </w:rPr>
      </w:pPr>
      <w:r w:rsidRPr="005E1103">
        <w:rPr>
          <w:rFonts w:cstheme="minorHAnsi"/>
          <w:sz w:val="28"/>
          <w:szCs w:val="28"/>
          <w:lang w:val="en-US"/>
        </w:rPr>
        <w:t>Barker, A. B., &amp; Torgeson, J. K. (1995). An evaluation of computer-assisted instruction in phonological awareness with below average readers. Journal of Educational Computing Research, 13, 89-103.</w:t>
      </w:r>
    </w:p>
    <w:p w:rsidR="003B20DC" w:rsidRPr="005E1103" w:rsidRDefault="003B20DC" w:rsidP="003B20DC">
      <w:pPr>
        <w:rPr>
          <w:rFonts w:cstheme="minorHAnsi"/>
          <w:sz w:val="28"/>
          <w:szCs w:val="28"/>
          <w:lang w:val="en-US"/>
        </w:rPr>
      </w:pPr>
      <w:r w:rsidRPr="005E1103">
        <w:rPr>
          <w:rFonts w:cstheme="minorHAnsi"/>
          <w:sz w:val="28"/>
          <w:szCs w:val="28"/>
          <w:lang w:val="en-US"/>
        </w:rPr>
        <w:t>Trelease, J. (1989). The new read-aloud handbook. New York: Penguin.</w:t>
      </w:r>
    </w:p>
    <w:p w:rsidR="003B20DC" w:rsidRPr="005E1103" w:rsidRDefault="003B20DC" w:rsidP="003B20DC">
      <w:pPr>
        <w:rPr>
          <w:rFonts w:cstheme="minorHAnsi"/>
          <w:sz w:val="28"/>
          <w:szCs w:val="28"/>
          <w:lang w:val="en-US"/>
        </w:rPr>
      </w:pPr>
      <w:r w:rsidRPr="005E1103">
        <w:rPr>
          <w:rFonts w:cstheme="minorHAnsi"/>
          <w:sz w:val="28"/>
          <w:szCs w:val="28"/>
          <w:lang w:val="en-US"/>
        </w:rPr>
        <w:t>Wise, B., Olson, R., Ansett, M., Andrews, L., Terjak, M., Schneider, V., Kostuch, J., &amp; Kriho, L. (1989) Implementing a long-term computerized remedial reading program with synthetic speech feedback: Hardware, software, and real-world issues. Behavior Research Methods, Instruments, and Computer, 21, 163-180.</w:t>
      </w:r>
    </w:p>
    <w:p w:rsidR="003B20DC" w:rsidRPr="005E1103" w:rsidRDefault="003B20DC" w:rsidP="003B20DC">
      <w:pPr>
        <w:rPr>
          <w:rFonts w:cstheme="minorHAnsi"/>
          <w:sz w:val="28"/>
          <w:szCs w:val="28"/>
          <w:lang w:val="en-US"/>
        </w:rPr>
      </w:pPr>
      <w:r w:rsidRPr="005E1103">
        <w:rPr>
          <w:rFonts w:cstheme="minorHAnsi"/>
          <w:sz w:val="28"/>
          <w:szCs w:val="28"/>
          <w:lang w:val="en-US"/>
        </w:rPr>
        <w:t>Wise, B.W., &amp; Olson, R.K. (1994). Computer speech and the remediation of reading and spelling problems. Journal of Special Education Technology, 12, 207-220.</w:t>
      </w:r>
    </w:p>
    <w:p w:rsidR="003B20DC" w:rsidRPr="005E1103" w:rsidRDefault="003B20DC" w:rsidP="003B20DC">
      <w:pPr>
        <w:rPr>
          <w:rFonts w:cstheme="minorHAnsi"/>
          <w:sz w:val="28"/>
          <w:szCs w:val="28"/>
          <w:lang w:val="en-US"/>
        </w:rPr>
      </w:pPr>
      <w:r w:rsidRPr="005E1103">
        <w:rPr>
          <w:rFonts w:cstheme="minorHAnsi"/>
          <w:sz w:val="28"/>
          <w:szCs w:val="28"/>
          <w:lang w:val="en-US"/>
        </w:rPr>
        <w:t>Wise, B., Ring, J., &amp; Olson, K. (2000). Individual differences in gains from computer assisted-remedial reading. Journal of Experimental Child Psychology, 77, 197–235.</w:t>
      </w:r>
    </w:p>
    <w:p w:rsidR="003B20DC" w:rsidRPr="005E1103" w:rsidRDefault="003B20DC" w:rsidP="003B20DC">
      <w:pPr>
        <w:widowControl w:val="0"/>
        <w:autoSpaceDE w:val="0"/>
        <w:autoSpaceDN w:val="0"/>
        <w:adjustRightInd w:val="0"/>
        <w:spacing w:line="360" w:lineRule="auto"/>
        <w:rPr>
          <w:rFonts w:cstheme="minorHAnsi"/>
          <w:sz w:val="28"/>
          <w:szCs w:val="28"/>
        </w:rPr>
      </w:pPr>
    </w:p>
    <w:p w:rsidR="00033066" w:rsidRPr="005E1103" w:rsidRDefault="00033066" w:rsidP="00033066">
      <w:pPr>
        <w:widowControl w:val="0"/>
        <w:autoSpaceDE w:val="0"/>
        <w:autoSpaceDN w:val="0"/>
        <w:adjustRightInd w:val="0"/>
        <w:spacing w:line="360" w:lineRule="auto"/>
        <w:rPr>
          <w:rFonts w:cstheme="minorHAnsi"/>
          <w:sz w:val="28"/>
          <w:szCs w:val="28"/>
        </w:rPr>
      </w:pPr>
    </w:p>
    <w:p w:rsidR="00033066" w:rsidRPr="005E1103" w:rsidRDefault="00033066" w:rsidP="00033066">
      <w:pPr>
        <w:spacing w:after="0" w:line="240" w:lineRule="auto"/>
        <w:rPr>
          <w:rFonts w:eastAsia="Times New Roman" w:cstheme="minorHAnsi"/>
          <w:sz w:val="28"/>
          <w:szCs w:val="28"/>
          <w:lang w:eastAsia="es-ES"/>
        </w:rPr>
      </w:pPr>
    </w:p>
    <w:p w:rsidR="00033066" w:rsidRPr="005E1103" w:rsidRDefault="00033066" w:rsidP="00033066">
      <w:pPr>
        <w:rPr>
          <w:rFonts w:cstheme="minorHAnsi"/>
          <w:sz w:val="28"/>
          <w:szCs w:val="28"/>
        </w:rPr>
      </w:pPr>
    </w:p>
    <w:p w:rsidR="008949B1" w:rsidRPr="005E1103" w:rsidRDefault="008949B1" w:rsidP="008949B1">
      <w:pPr>
        <w:autoSpaceDN w:val="0"/>
        <w:spacing w:line="360" w:lineRule="auto"/>
        <w:jc w:val="both"/>
        <w:rPr>
          <w:rFonts w:cstheme="minorHAnsi"/>
          <w:sz w:val="28"/>
          <w:szCs w:val="28"/>
        </w:rPr>
      </w:pPr>
    </w:p>
    <w:p w:rsidR="008949B1" w:rsidRPr="005E1103" w:rsidRDefault="008949B1" w:rsidP="008949B1">
      <w:pPr>
        <w:tabs>
          <w:tab w:val="left" w:pos="7185"/>
        </w:tabs>
        <w:rPr>
          <w:rFonts w:eastAsia="Times New Roman" w:cstheme="minorHAnsi"/>
          <w:sz w:val="28"/>
          <w:szCs w:val="28"/>
          <w:lang w:eastAsia="es-CO"/>
        </w:rPr>
      </w:pPr>
    </w:p>
    <w:sectPr w:rsidR="008949B1" w:rsidRPr="005E1103">
      <w:headerReference w:type="default" r:id="rId209"/>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032EF" w:rsidRDefault="007032EF" w:rsidP="00AB65A1">
      <w:pPr>
        <w:spacing w:after="0" w:line="240" w:lineRule="auto"/>
      </w:pPr>
      <w:r>
        <w:separator/>
      </w:r>
    </w:p>
  </w:endnote>
  <w:endnote w:type="continuationSeparator" w:id="0">
    <w:p w:rsidR="007032EF" w:rsidRDefault="007032EF" w:rsidP="00AB65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Helvetica Neue">
    <w:charset w:val="00"/>
    <w:family w:val="auto"/>
    <w:pitch w:val="variable"/>
    <w:sig w:usb0="E50002FF" w:usb1="500079DB" w:usb2="00000010" w:usb3="00000000" w:csb0="00000001" w:csb1="00000000"/>
  </w:font>
  <w:font w:name="Calibri Light">
    <w:panose1 w:val="020F0302020204030204"/>
    <w:charset w:val="00"/>
    <w:family w:val="swiss"/>
    <w:pitch w:val="variable"/>
    <w:sig w:usb0="A00002EF" w:usb1="4000207B" w:usb2="00000000" w:usb3="00000000" w:csb0="0000019F" w:csb1="00000000"/>
  </w:font>
  <w:font w:name="Verdana">
    <w:panose1 w:val="020B0604030504040204"/>
    <w:charset w:val="00"/>
    <w:family w:val="swiss"/>
    <w:pitch w:val="variable"/>
    <w:sig w:usb0="A10006FF" w:usb1="4000205B" w:usb2="00000010" w:usb3="00000000" w:csb0="0000019F" w:csb1="00000000"/>
  </w:font>
  <w:font w:name="Hoefler Text">
    <w:altName w:val="Times New Roman"/>
    <w:charset w:val="00"/>
    <w:family w:val="auto"/>
    <w:pitch w:val="variable"/>
    <w:sig w:usb0="00000001" w:usb1="5000204B" w:usb2="00000004" w:usb3="00000000" w:csb0="00000197" w:csb1="00000000"/>
  </w:font>
  <w:font w:name="ヒラギノ角ゴ Pro W3">
    <w:charset w:val="4E"/>
    <w:family w:val="auto"/>
    <w:pitch w:val="variable"/>
    <w:sig w:usb0="E00002FF" w:usb1="7AC7FFFF" w:usb2="00000012" w:usb3="00000000" w:csb0="0002000D" w:csb1="00000000"/>
  </w:font>
  <w:font w:name="MS Mincho">
    <w:altName w:val="ＭＳ 明朝"/>
    <w:panose1 w:val="02020609040205080304"/>
    <w:charset w:val="80"/>
    <w:family w:val="modern"/>
    <w:pitch w:val="fixed"/>
    <w:sig w:usb0="E00002FF" w:usb1="6AC7FDFB" w:usb2="00000012" w:usb3="00000000" w:csb0="0002009F" w:csb1="00000000"/>
  </w:font>
  <w:font w:name="Myriad Pro">
    <w:panose1 w:val="020B0503030403020204"/>
    <w:charset w:val="00"/>
    <w:family w:val="auto"/>
    <w:pitch w:val="variable"/>
    <w:sig w:usb0="00000003" w:usb1="00000000" w:usb2="00000000" w:usb3="00000000" w:csb0="00000001" w:csb1="00000000"/>
  </w:font>
  <w:font w:name="Times">
    <w:panose1 w:val="02020603050405020304"/>
    <w:charset w:val="00"/>
    <w:family w:val="auto"/>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JansonText-Roman">
    <w:altName w:val="MS Mincho"/>
    <w:panose1 w:val="00000000000000000000"/>
    <w:charset w:val="80"/>
    <w:family w:val="auto"/>
    <w:notTrueType/>
    <w:pitch w:val="default"/>
    <w:sig w:usb0="00000000" w:usb1="08070000" w:usb2="00000010" w:usb3="00000000" w:csb0="00020000" w:csb1="00000000"/>
  </w:font>
  <w:font w:name="MT Extra">
    <w:panose1 w:val="05050102010205020202"/>
    <w:charset w:val="02"/>
    <w:family w:val="roman"/>
    <w:pitch w:val="variable"/>
    <w:sig w:usb0="00000000" w:usb1="10000000" w:usb2="00000000" w:usb3="00000000" w:csb0="80000000" w:csb1="00000000"/>
  </w:font>
  <w:font w:name="Arial Unicode MS">
    <w:panose1 w:val="020B0604020202020204"/>
    <w:charset w:val="00"/>
    <w:family w:val="roman"/>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E1103" w:rsidRDefault="00BF6455">
    <w:pPr>
      <w:pStyle w:val="Textoindependiente"/>
      <w:spacing w:line="14" w:lineRule="auto"/>
      <w:rPr>
        <w:sz w:val="20"/>
      </w:rPr>
    </w:pPr>
    <w:r>
      <w:rPr>
        <w:lang w:val="en-US" w:eastAsia="en-US"/>
      </w:rPr>
      <w:pict>
        <v:shapetype id="_x0000_t202" coordsize="21600,21600" o:spt="202" path="m,l,21600r21600,l21600,xe">
          <v:stroke joinstyle="miter"/>
          <v:path gradientshapeok="t" o:connecttype="rect"/>
        </v:shapetype>
        <v:shape id="_x0000_s2049" type="#_x0000_t202" style="position:absolute;margin-left:496.35pt;margin-top:778.15pt;width:16pt;height:15.3pt;z-index:-251657216;mso-position-horizontal-relative:page;mso-position-vertical-relative:page" filled="f" stroked="f">
          <v:textbox style="mso-next-textbox:#_x0000_s2049" inset="0,0,0,0">
            <w:txbxContent>
              <w:p w:rsidR="005E1103" w:rsidRDefault="005E1103">
                <w:pPr>
                  <w:pStyle w:val="Textoindependiente"/>
                  <w:spacing w:before="10"/>
                  <w:ind w:left="49"/>
                </w:pPr>
              </w:p>
            </w:txbxContent>
          </v:textbox>
          <w10:wrap anchorx="page" anchory="page"/>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E1103" w:rsidRDefault="005E1103">
    <w:pPr>
      <w:pStyle w:val="Piedepgina"/>
      <w:jc w:val="center"/>
    </w:pPr>
  </w:p>
  <w:p w:rsidR="005E1103" w:rsidRDefault="005E1103">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20194854"/>
      <w:docPartObj>
        <w:docPartGallery w:val="Page Numbers (Bottom of Page)"/>
        <w:docPartUnique/>
      </w:docPartObj>
    </w:sdtPr>
    <w:sdtEndPr/>
    <w:sdtContent>
      <w:p w:rsidR="005E1103" w:rsidRDefault="005E1103">
        <w:pPr>
          <w:pStyle w:val="Piedepgina"/>
          <w:jc w:val="center"/>
        </w:pPr>
        <w:r>
          <w:fldChar w:fldCharType="begin"/>
        </w:r>
        <w:r>
          <w:instrText>PAGE   \* MERGEFORMAT</w:instrText>
        </w:r>
        <w:r>
          <w:fldChar w:fldCharType="separate"/>
        </w:r>
        <w:r>
          <w:rPr>
            <w:noProof/>
          </w:rPr>
          <w:t>1</w:t>
        </w:r>
        <w:r>
          <w:fldChar w:fldCharType="end"/>
        </w:r>
      </w:p>
    </w:sdtContent>
  </w:sdt>
  <w:p w:rsidR="005E1103" w:rsidRDefault="005E1103">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51920712"/>
      <w:docPartObj>
        <w:docPartGallery w:val="Page Numbers (Bottom of Page)"/>
        <w:docPartUnique/>
      </w:docPartObj>
    </w:sdtPr>
    <w:sdtEndPr/>
    <w:sdtContent>
      <w:p w:rsidR="005E1103" w:rsidRDefault="00BF6455">
        <w:pPr>
          <w:pStyle w:val="Piedepgina"/>
          <w:jc w:val="center"/>
        </w:pPr>
      </w:p>
    </w:sdtContent>
  </w:sdt>
  <w:p w:rsidR="005E1103" w:rsidRDefault="005E1103">
    <w:pPr>
      <w:pStyle w:val="Piedepgin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76129725"/>
      <w:docPartObj>
        <w:docPartGallery w:val="Page Numbers (Bottom of Page)"/>
        <w:docPartUnique/>
      </w:docPartObj>
    </w:sdtPr>
    <w:sdtEndPr/>
    <w:sdtContent>
      <w:p w:rsidR="005E1103" w:rsidRDefault="005E1103">
        <w:pPr>
          <w:pStyle w:val="Piedepgina"/>
          <w:jc w:val="center"/>
        </w:pPr>
        <w:r>
          <w:fldChar w:fldCharType="begin"/>
        </w:r>
        <w:r>
          <w:instrText>PAGE   \* MERGEFORMAT</w:instrText>
        </w:r>
        <w:r>
          <w:fldChar w:fldCharType="separate"/>
        </w:r>
        <w:r>
          <w:rPr>
            <w:noProof/>
          </w:rPr>
          <w:t>1</w:t>
        </w:r>
        <w:r>
          <w:fldChar w:fldCharType="end"/>
        </w:r>
      </w:p>
    </w:sdtContent>
  </w:sdt>
  <w:p w:rsidR="005E1103" w:rsidRDefault="005E1103">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032EF" w:rsidRDefault="007032EF" w:rsidP="00AB65A1">
      <w:pPr>
        <w:spacing w:after="0" w:line="240" w:lineRule="auto"/>
      </w:pPr>
      <w:r>
        <w:separator/>
      </w:r>
    </w:p>
  </w:footnote>
  <w:footnote w:type="continuationSeparator" w:id="0">
    <w:p w:rsidR="007032EF" w:rsidRDefault="007032EF" w:rsidP="00AB65A1">
      <w:pPr>
        <w:spacing w:after="0" w:line="240" w:lineRule="auto"/>
      </w:pPr>
      <w:r>
        <w:continuationSeparator/>
      </w:r>
    </w:p>
  </w:footnote>
  <w:footnote w:id="1">
    <w:p w:rsidR="005E1103" w:rsidRPr="007A0DBB" w:rsidRDefault="005E1103" w:rsidP="00AB65A1">
      <w:pPr>
        <w:pStyle w:val="Textonotapie"/>
      </w:pPr>
      <w:r>
        <w:rPr>
          <w:rStyle w:val="Refdenotaalpie"/>
        </w:rPr>
        <w:footnoteRef/>
      </w:r>
      <w:r>
        <w:t xml:space="preserve"> Comunicación presentada en el </w:t>
      </w:r>
      <w:r w:rsidRPr="003A28EF">
        <w:t>III Congreso Internacional Universidad y Discapacidad (Madrid, 10-11/11/2016).</w:t>
      </w:r>
    </w:p>
  </w:footnote>
  <w:footnote w:id="2">
    <w:p w:rsidR="005E1103" w:rsidRPr="00D87207" w:rsidRDefault="005E1103" w:rsidP="00AB65A1">
      <w:pPr>
        <w:pStyle w:val="Textonotapie"/>
      </w:pPr>
      <w:r>
        <w:rPr>
          <w:rStyle w:val="Refdenotaalpie"/>
          <w:rFonts w:eastAsiaTheme="majorEastAsia"/>
        </w:rPr>
        <w:footnoteRef/>
      </w:r>
      <w:r>
        <w:t xml:space="preserve"> </w:t>
      </w:r>
      <w:hyperlink r:id="rId1" w:history="1">
        <w:r w:rsidRPr="00C168DB">
          <w:rPr>
            <w:rStyle w:val="Hipervnculo"/>
          </w:rPr>
          <w:t>http://www.fundaciononce.es/es/pagina/universidad-y-discapacidad</w:t>
        </w:r>
      </w:hyperlink>
      <w:r>
        <w:t xml:space="preserve"> </w:t>
      </w:r>
    </w:p>
  </w:footnote>
  <w:footnote w:id="3">
    <w:p w:rsidR="005E1103" w:rsidRPr="00870715" w:rsidRDefault="005E1103" w:rsidP="00AB65A1">
      <w:pPr>
        <w:pStyle w:val="Textonotapie"/>
        <w:jc w:val="both"/>
        <w:rPr>
          <w:lang w:val="es-ES_tradnl"/>
        </w:rPr>
      </w:pPr>
      <w:r w:rsidRPr="00870715">
        <w:rPr>
          <w:rStyle w:val="Refdenotaalpie"/>
          <w:rFonts w:eastAsiaTheme="majorEastAsia"/>
        </w:rPr>
        <w:footnoteRef/>
      </w:r>
      <w:r w:rsidRPr="00870715">
        <w:t xml:space="preserve"> </w:t>
      </w:r>
      <w:hyperlink r:id="rId2" w:history="1">
        <w:r w:rsidRPr="00870715">
          <w:rPr>
            <w:rStyle w:val="Hipervnculo"/>
          </w:rPr>
          <w:t>http://www.mujeresenred.net/spip.php?article1304</w:t>
        </w:r>
      </w:hyperlink>
      <w:r w:rsidRPr="00870715">
        <w:t xml:space="preserve"> </w:t>
      </w:r>
    </w:p>
  </w:footnote>
  <w:footnote w:id="4">
    <w:p w:rsidR="005E1103" w:rsidRPr="004E25CB" w:rsidRDefault="005E1103" w:rsidP="00C71AF3">
      <w:pPr>
        <w:pStyle w:val="Textonotapie"/>
        <w:rPr>
          <w:sz w:val="18"/>
          <w:szCs w:val="18"/>
        </w:rPr>
      </w:pPr>
      <w:r w:rsidRPr="004E25CB">
        <w:rPr>
          <w:rStyle w:val="Refdenotaalpie"/>
          <w:sz w:val="18"/>
          <w:szCs w:val="18"/>
        </w:rPr>
        <w:footnoteRef/>
      </w:r>
      <w:r w:rsidRPr="004E25CB">
        <w:rPr>
          <w:sz w:val="18"/>
          <w:szCs w:val="18"/>
        </w:rPr>
        <w:t xml:space="preserve"> Por orden que ocupan en el ranking mundial, las muestras de universidad a nivel internacional son: Harvard University, Stanford University, Massachussetts Institute of Technology, University of Cambridge, University of Oxford, Columbia University, University of California, Berkeley, University of Chicago, Princenton University, Yale University.</w:t>
      </w:r>
    </w:p>
  </w:footnote>
  <w:footnote w:id="5">
    <w:p w:rsidR="005E1103" w:rsidRPr="004C3582" w:rsidRDefault="005E1103" w:rsidP="00C71AF3">
      <w:pPr>
        <w:pStyle w:val="Textonotapie"/>
        <w:rPr>
          <w:sz w:val="18"/>
          <w:szCs w:val="18"/>
          <w:lang w:val="en-US"/>
        </w:rPr>
      </w:pPr>
      <w:r w:rsidRPr="004E25CB">
        <w:rPr>
          <w:rStyle w:val="Refdenotaalpie"/>
          <w:sz w:val="18"/>
          <w:szCs w:val="18"/>
        </w:rPr>
        <w:footnoteRef/>
      </w:r>
      <w:r w:rsidRPr="004C3582">
        <w:rPr>
          <w:sz w:val="18"/>
          <w:szCs w:val="18"/>
          <w:lang w:val="en-US"/>
        </w:rPr>
        <w:t xml:space="preserve"> Por orden que ocupan en el ranking mundial, la muestra de universidad a nivel europeo son: University of Cambridge, University of Oxford, Swiss Federal Institute of Techmology in Zurich, University College London, École normale supeériure-París, École Polytechnique, Imperial College London, Lomonosov Moscow State University, University of Paris-Sud, University of Edinburgh.</w:t>
      </w:r>
    </w:p>
  </w:footnote>
  <w:footnote w:id="6">
    <w:p w:rsidR="005E1103" w:rsidRPr="00AD1695" w:rsidRDefault="005E1103" w:rsidP="00C71AF3">
      <w:pPr>
        <w:pStyle w:val="Textonotapie"/>
        <w:rPr>
          <w:sz w:val="18"/>
          <w:szCs w:val="18"/>
        </w:rPr>
      </w:pPr>
      <w:r w:rsidRPr="004E25CB">
        <w:rPr>
          <w:rStyle w:val="Refdenotaalpie"/>
          <w:sz w:val="18"/>
          <w:szCs w:val="18"/>
        </w:rPr>
        <w:footnoteRef/>
      </w:r>
      <w:r w:rsidRPr="004E25CB">
        <w:rPr>
          <w:sz w:val="18"/>
          <w:szCs w:val="18"/>
        </w:rPr>
        <w:t xml:space="preserve"> Por orden que ocupan en el ranking mundial, las muestras de universidad a nivel nacional son: Universidad de Barcelona, Universidad Complutense de Madrid, Universidad Autónoma de Barcelona, Universidad de Valencia, Universidad Autónoma de Madrid, Universidad de Navarra, Universidad de Santiago de Compostela, Universidad de Sevilla, Universidad Politécnica de Catalunya, Universidad Politécnica de</w:t>
      </w:r>
      <w:r w:rsidRPr="00AD1695">
        <w:rPr>
          <w:sz w:val="18"/>
          <w:szCs w:val="18"/>
        </w:rPr>
        <w:t xml:space="preserve"> Madrid.</w:t>
      </w:r>
    </w:p>
    <w:p w:rsidR="005E1103" w:rsidRDefault="005E1103" w:rsidP="00C71AF3">
      <w:pPr>
        <w:pStyle w:val="Textonotapie"/>
      </w:pPr>
    </w:p>
  </w:footnote>
  <w:footnote w:id="7">
    <w:p w:rsidR="005E1103" w:rsidRPr="006C1321" w:rsidRDefault="005E1103" w:rsidP="00C71AF3">
      <w:pPr>
        <w:pStyle w:val="Textonotapie"/>
      </w:pPr>
      <w:r w:rsidRPr="006C1321">
        <w:rPr>
          <w:rStyle w:val="Refdenotaalpie"/>
        </w:rPr>
        <w:footnoteRef/>
      </w:r>
      <w:r w:rsidRPr="006C1321">
        <w:t xml:space="preserve"> En el caso de esta universidad se contactó telefónicamente, y la propia universidad confirmó la inexistencia de un servicio de atención al alumnado con discapacidad. Añadieron que se trataba de una institución con una fuerte tradición militar.</w:t>
      </w:r>
    </w:p>
  </w:footnote>
  <w:footnote w:id="8">
    <w:p w:rsidR="005E1103" w:rsidRPr="00BC25DC" w:rsidRDefault="005E1103" w:rsidP="00C71AF3">
      <w:pPr>
        <w:pStyle w:val="Textonotapie"/>
        <w:jc w:val="both"/>
      </w:pPr>
      <w:r w:rsidRPr="00BC25DC">
        <w:rPr>
          <w:rStyle w:val="Refdenotaalpie"/>
        </w:rPr>
        <w:footnoteRef/>
      </w:r>
      <w:r w:rsidRPr="00BC25DC">
        <w:t xml:space="preserve"> </w:t>
      </w:r>
      <w:r>
        <w:t>Destaca en</w:t>
      </w:r>
      <w:r w:rsidRPr="00BC25DC">
        <w:t xml:space="preserve"> el </w:t>
      </w:r>
      <w:r w:rsidRPr="006E4163">
        <w:rPr>
          <w:i/>
        </w:rPr>
        <w:t>II Estudio sobre el grado de inclusión del sistema universitario español respecto a la realidad de la discapacidad</w:t>
      </w:r>
      <w:r>
        <w:t>, Fundación Universia, 2014, pág. 56, que sólo</w:t>
      </w:r>
      <w:r w:rsidRPr="00BC25DC">
        <w:t xml:space="preserve"> un 29%</w:t>
      </w:r>
      <w:r>
        <w:t xml:space="preserve"> de las universidades</w:t>
      </w:r>
      <w:r w:rsidRPr="00BC25DC">
        <w:t xml:space="preserve"> afirmaba</w:t>
      </w:r>
      <w:r>
        <w:t>n</w:t>
      </w:r>
      <w:r w:rsidRPr="00BC25DC">
        <w:t xml:space="preserve"> que había</w:t>
      </w:r>
      <w:r>
        <w:t>n</w:t>
      </w:r>
      <w:r w:rsidRPr="00BC25DC">
        <w:t xml:space="preserve"> introducido la variable di</w:t>
      </w:r>
      <w:r>
        <w:t>scapacidad en la totalidad de su</w:t>
      </w:r>
      <w:r w:rsidRPr="00BC25DC">
        <w:t>s planes de estudio</w:t>
      </w:r>
      <w:r>
        <w:t>.</w:t>
      </w:r>
    </w:p>
  </w:footnote>
  <w:footnote w:id="9">
    <w:p w:rsidR="005E1103" w:rsidRPr="006C2882" w:rsidRDefault="005E1103" w:rsidP="00C71AF3">
      <w:pPr>
        <w:pStyle w:val="Textonotapie"/>
        <w:jc w:val="both"/>
      </w:pPr>
      <w:r>
        <w:rPr>
          <w:rStyle w:val="Refdenotaalpie"/>
        </w:rPr>
        <w:footnoteRef/>
      </w:r>
      <w:r>
        <w:t xml:space="preserve"> </w:t>
      </w:r>
      <w:r w:rsidRPr="006C2882">
        <w:rPr>
          <w:sz w:val="18"/>
          <w:szCs w:val="18"/>
        </w:rPr>
        <w:t>ADANA tiene la finalidad de mejorar la calidad de vida de las personas con TDAH. Se creó para informar, formar y ayudar a todas aquellas personas que están interesados en este trastorno. Pretende desarrollar los medios posibles para reducir los efectos negativos que el TDAH provoca en niños, jóvenes y adultos, favoreciendo su integración plena. www.fundacionadana.org</w:t>
      </w:r>
    </w:p>
  </w:footnote>
  <w:footnote w:id="10">
    <w:p w:rsidR="005E1103" w:rsidRPr="000477CE" w:rsidRDefault="005E1103" w:rsidP="00C71AF3">
      <w:pPr>
        <w:autoSpaceDE w:val="0"/>
        <w:autoSpaceDN w:val="0"/>
        <w:adjustRightInd w:val="0"/>
        <w:spacing w:after="0" w:line="240" w:lineRule="auto"/>
        <w:jc w:val="both"/>
        <w:rPr>
          <w:rFonts w:ascii="Times New Roman" w:hAnsi="Times New Roman" w:cs="Times New Roman"/>
          <w:sz w:val="18"/>
          <w:szCs w:val="18"/>
        </w:rPr>
      </w:pPr>
      <w:r>
        <w:rPr>
          <w:rStyle w:val="Refdenotaalpie"/>
        </w:rPr>
        <w:footnoteRef/>
      </w:r>
      <w:r>
        <w:t xml:space="preserve"> </w:t>
      </w:r>
      <w:r w:rsidRPr="000477CE">
        <w:rPr>
          <w:rFonts w:ascii="Times New Roman" w:hAnsi="Times New Roman" w:cs="Times New Roman"/>
          <w:color w:val="000000"/>
          <w:sz w:val="18"/>
          <w:szCs w:val="18"/>
        </w:rPr>
        <w:t xml:space="preserve">Ofrece apoyos y ayudas a través que un compañero de cursos superiores, quien le orienta y guía en su etapa universitaria, recibiendo alguna de las herramientas que le permitan una mejor incorporación académica, social y personal. </w:t>
      </w:r>
      <w:r w:rsidRPr="000477CE">
        <w:rPr>
          <w:rFonts w:ascii="Times New Roman" w:hAnsi="Times New Roman" w:cs="Times New Roman"/>
          <w:sz w:val="18"/>
          <w:szCs w:val="18"/>
        </w:rPr>
        <w:t xml:space="preserve">Las principales funciones que debe cumplir el alumno mentor son las de </w:t>
      </w:r>
      <w:r w:rsidRPr="000477CE">
        <w:rPr>
          <w:rFonts w:ascii="Times New Roman" w:hAnsi="Times New Roman" w:cs="Times New Roman"/>
          <w:bCs/>
          <w:sz w:val="18"/>
          <w:szCs w:val="18"/>
        </w:rPr>
        <w:t>orientar, informar y</w:t>
      </w:r>
      <w:r w:rsidRPr="000477CE">
        <w:rPr>
          <w:rFonts w:ascii="Times New Roman" w:hAnsi="Times New Roman" w:cs="Times New Roman"/>
          <w:sz w:val="18"/>
          <w:szCs w:val="18"/>
        </w:rPr>
        <w:t xml:space="preserve"> </w:t>
      </w:r>
      <w:r w:rsidRPr="000477CE">
        <w:rPr>
          <w:rFonts w:ascii="Times New Roman" w:hAnsi="Times New Roman" w:cs="Times New Roman"/>
          <w:bCs/>
          <w:sz w:val="18"/>
          <w:szCs w:val="18"/>
        </w:rPr>
        <w:t>guiar a los estudiantes mentorizados en cuestiones académicas, administrativas y sociales</w:t>
      </w:r>
      <w:r w:rsidRPr="000477CE">
        <w:rPr>
          <w:rFonts w:ascii="Times New Roman" w:hAnsi="Times New Roman" w:cs="Times New Roman"/>
          <w:sz w:val="18"/>
          <w:szCs w:val="18"/>
        </w:rPr>
        <w:t>. El alumno mentor a su vez es tutorizado por un profesor que le dotará de pautas e información precisa para desempeñar con eficacia la tarea de mentor de un estudiante con TDAH.</w:t>
      </w:r>
    </w:p>
  </w:footnote>
  <w:footnote w:id="11">
    <w:p w:rsidR="005E1103" w:rsidRPr="000477CE" w:rsidRDefault="005E1103" w:rsidP="00C71AF3">
      <w:pPr>
        <w:pStyle w:val="NormalWeb"/>
        <w:spacing w:before="0" w:beforeAutospacing="0" w:after="120" w:afterAutospacing="0"/>
        <w:jc w:val="both"/>
        <w:rPr>
          <w:color w:val="000000"/>
          <w:sz w:val="18"/>
          <w:szCs w:val="18"/>
        </w:rPr>
      </w:pPr>
      <w:r w:rsidRPr="000477CE">
        <w:rPr>
          <w:rStyle w:val="Refdenotaalpie"/>
          <w:sz w:val="18"/>
          <w:szCs w:val="18"/>
        </w:rPr>
        <w:footnoteRef/>
      </w:r>
      <w:r w:rsidRPr="000477CE">
        <w:rPr>
          <w:sz w:val="18"/>
          <w:szCs w:val="18"/>
        </w:rPr>
        <w:t xml:space="preserve"> El profesor tutor, tiene</w:t>
      </w:r>
      <w:r w:rsidRPr="000477CE">
        <w:rPr>
          <w:b/>
          <w:sz w:val="18"/>
          <w:szCs w:val="18"/>
        </w:rPr>
        <w:t xml:space="preserve"> </w:t>
      </w:r>
      <w:r w:rsidRPr="000477CE">
        <w:rPr>
          <w:sz w:val="18"/>
          <w:szCs w:val="18"/>
        </w:rPr>
        <w:t>la responsabilidad de orientar el desarrollo del alumno,</w:t>
      </w:r>
      <w:r w:rsidRPr="000477CE">
        <w:rPr>
          <w:b/>
          <w:sz w:val="18"/>
          <w:szCs w:val="18"/>
        </w:rPr>
        <w:t xml:space="preserve"> </w:t>
      </w:r>
      <w:r w:rsidRPr="000477CE">
        <w:rPr>
          <w:sz w:val="18"/>
          <w:szCs w:val="18"/>
        </w:rPr>
        <w:t>es decir debe conocer las dificultades y necesidades que presenta el alumno, para ello recibe indicaciones, información y formación desde la Unidad de Atención a la Diversidad.</w:t>
      </w:r>
    </w:p>
    <w:p w:rsidR="005E1103" w:rsidRDefault="005E1103" w:rsidP="00C71AF3">
      <w:pPr>
        <w:pStyle w:val="Textonotapie"/>
      </w:pPr>
    </w:p>
  </w:footnote>
  <w:footnote w:id="12">
    <w:p w:rsidR="005E1103" w:rsidRPr="005F42F1" w:rsidRDefault="005E1103" w:rsidP="00C71AF3">
      <w:pPr>
        <w:pStyle w:val="Textonotapie"/>
      </w:pPr>
      <w:r>
        <w:rPr>
          <w:rStyle w:val="Refdenotaalpie"/>
        </w:rPr>
        <w:footnoteRef/>
      </w:r>
      <w:r>
        <w:t xml:space="preserve"> </w:t>
      </w:r>
      <w:r w:rsidRPr="00875EBF">
        <w:rPr>
          <w:sz w:val="18"/>
          <w:szCs w:val="18"/>
        </w:rPr>
        <w:t>TDAH y Síndrome de la Tourette</w:t>
      </w:r>
    </w:p>
  </w:footnote>
  <w:footnote w:id="13">
    <w:p w:rsidR="005E1103" w:rsidRDefault="005E1103" w:rsidP="00C71AF3">
      <w:pPr>
        <w:pStyle w:val="Textonotapie"/>
      </w:pPr>
      <w:r w:rsidRPr="005F42F1">
        <w:rPr>
          <w:rStyle w:val="Refdenotaalpie"/>
        </w:rPr>
        <w:footnoteRef/>
      </w:r>
      <w:r w:rsidRPr="005F42F1">
        <w:t xml:space="preserve"> </w:t>
      </w:r>
      <w:r w:rsidRPr="00875EBF">
        <w:rPr>
          <w:sz w:val="18"/>
          <w:szCs w:val="18"/>
        </w:rPr>
        <w:t>Síndrome de Asperger y TDAH</w:t>
      </w:r>
    </w:p>
  </w:footnote>
  <w:footnote w:id="14">
    <w:p w:rsidR="005E1103" w:rsidRPr="000379F6" w:rsidRDefault="005E1103" w:rsidP="00F76679">
      <w:pPr>
        <w:pStyle w:val="Textonotapie"/>
        <w:ind w:left="284" w:hanging="284"/>
      </w:pPr>
      <w:r w:rsidRPr="000379F6">
        <w:rPr>
          <w:rStyle w:val="Refdenotaalpie"/>
          <w:rFonts w:eastAsiaTheme="majorEastAsia"/>
        </w:rPr>
        <w:footnoteRef/>
      </w:r>
      <w:r w:rsidRPr="000379F6">
        <w:t xml:space="preserve"> Parcialmente accesible</w:t>
      </w:r>
      <w:r>
        <w:t>, en forma de artículos,</w:t>
      </w:r>
      <w:r w:rsidRPr="000379F6">
        <w:t xml:space="preserve"> en </w:t>
      </w:r>
      <w:hyperlink r:id="rId3" w:history="1">
        <w:r w:rsidRPr="000379F6">
          <w:rPr>
            <w:rStyle w:val="Hipervnculo"/>
            <w:rFonts w:eastAsia="Calibri"/>
          </w:rPr>
          <w:t>https://www.researchgate.net/profile/Luis_Gonzalez-Garcia</w:t>
        </w:r>
      </w:hyperlink>
      <w:r>
        <w:t>.</w:t>
      </w:r>
    </w:p>
  </w:footnote>
  <w:footnote w:id="15">
    <w:p w:rsidR="005E1103" w:rsidRDefault="005E1103" w:rsidP="00DF59FF">
      <w:pPr>
        <w:pStyle w:val="Textonotapie"/>
      </w:pPr>
      <w:r>
        <w:rPr>
          <w:rStyle w:val="Refdenotaalpie"/>
        </w:rPr>
        <w:footnoteRef/>
      </w:r>
      <w:r>
        <w:t xml:space="preserve"> Accesibilidad Universal</w:t>
      </w:r>
    </w:p>
  </w:footnote>
  <w:footnote w:id="16">
    <w:p w:rsidR="005E1103" w:rsidRDefault="005E1103" w:rsidP="00DF59FF">
      <w:pPr>
        <w:pStyle w:val="Textonotapie"/>
      </w:pPr>
      <w:r>
        <w:rPr>
          <w:rStyle w:val="Refdenotaalpie"/>
        </w:rPr>
        <w:footnoteRef/>
      </w:r>
      <w:r>
        <w:t xml:space="preserve"> Diseño para para Todas las personas</w:t>
      </w:r>
    </w:p>
  </w:footnote>
  <w:footnote w:id="17">
    <w:p w:rsidR="005E1103" w:rsidRDefault="005E1103" w:rsidP="00DF59FF">
      <w:pPr>
        <w:pStyle w:val="Textonotapie"/>
      </w:pPr>
      <w:r>
        <w:rPr>
          <w:rStyle w:val="Refdenotaalpie"/>
        </w:rPr>
        <w:footnoteRef/>
      </w:r>
      <w:r>
        <w:t xml:space="preserve"> Conferencia de Rectores de las Universidades Españolas</w:t>
      </w:r>
    </w:p>
  </w:footnote>
  <w:footnote w:id="18">
    <w:p w:rsidR="005E1103" w:rsidRDefault="005E1103" w:rsidP="00DF59FF">
      <w:pPr>
        <w:pStyle w:val="Textonotapie"/>
      </w:pPr>
      <w:r>
        <w:rPr>
          <w:rStyle w:val="Refdenotaalpie"/>
        </w:rPr>
        <w:footnoteRef/>
      </w:r>
      <w:r>
        <w:t xml:space="preserve"> OUD: Observatorio Universidad y Discapacidad. Iniciativa conjunta entre la Fundación ONCE y CATAC (Cátedra de Accesibilidad de la Universidad Politécnica de Cataluña). Desde 2008 realizan varias investigaciones en este campo.</w:t>
      </w:r>
    </w:p>
  </w:footnote>
  <w:footnote w:id="19">
    <w:p w:rsidR="005E1103" w:rsidRDefault="005E1103" w:rsidP="00DF59FF">
      <w:pPr>
        <w:pStyle w:val="Textonotapie"/>
      </w:pPr>
      <w:r>
        <w:rPr>
          <w:rStyle w:val="Refdenotaalpie"/>
        </w:rPr>
        <w:footnoteRef/>
      </w:r>
      <w:r>
        <w:t xml:space="preserve"> Avril Accolla es Vicepresidenta del EIDD – Design fro All Europe</w:t>
      </w:r>
    </w:p>
  </w:footnote>
  <w:footnote w:id="20">
    <w:p w:rsidR="005E1103" w:rsidRDefault="005E1103" w:rsidP="00DF59FF">
      <w:pPr>
        <w:pStyle w:val="Textonotapie"/>
      </w:pPr>
      <w:r>
        <w:rPr>
          <w:rStyle w:val="Refdenotaalpie"/>
        </w:rPr>
        <w:footnoteRef/>
      </w:r>
      <w:r>
        <w:t xml:space="preserve"> El diseño de contenidos ha sido elaborado por los coordinadores del Máster, que en ambos casos son Yolanda de la Fuente Robles y Jesús Hernández Galán.</w:t>
      </w:r>
    </w:p>
  </w:footnote>
  <w:footnote w:id="21">
    <w:p w:rsidR="005E1103" w:rsidRPr="00E42C0D" w:rsidRDefault="005E1103" w:rsidP="00DF59FF">
      <w:pPr>
        <w:pStyle w:val="Textonotapie"/>
      </w:pPr>
      <w:r w:rsidRPr="00E42C0D">
        <w:rPr>
          <w:rStyle w:val="Refdenotaalpie"/>
        </w:rPr>
        <w:footnoteRef/>
      </w:r>
      <w:r w:rsidRPr="00E42C0D">
        <w:t xml:space="preserve"> </w:t>
      </w:r>
      <w:r>
        <w:t xml:space="preserve">Argentina. </w:t>
      </w:r>
      <w:r w:rsidRPr="00E42C0D">
        <w:t>Comisión Interuniversitaria Discapacidad y Derechos Humanos – CID y DDHH (2011).</w:t>
      </w:r>
    </w:p>
  </w:footnote>
  <w:footnote w:id="22">
    <w:p w:rsidR="005E1103" w:rsidRPr="00E42C0D" w:rsidRDefault="005E1103" w:rsidP="00DF59FF">
      <w:pPr>
        <w:pStyle w:val="Textonotapie"/>
      </w:pPr>
      <w:r w:rsidRPr="00E42C0D">
        <w:rPr>
          <w:rStyle w:val="Refdenotaalpie"/>
        </w:rPr>
        <w:footnoteRef/>
      </w:r>
      <w:r w:rsidRPr="00E42C0D">
        <w:t xml:space="preserve"> </w:t>
      </w:r>
      <w:r>
        <w:t xml:space="preserve">Argentina. </w:t>
      </w:r>
      <w:r w:rsidRPr="00E42C0D">
        <w:t>Estatuto de la UNNE (1956).</w:t>
      </w:r>
      <w:r>
        <w:t xml:space="preserve"> Pag. 1</w:t>
      </w:r>
    </w:p>
  </w:footnote>
  <w:footnote w:id="23">
    <w:p w:rsidR="005E1103" w:rsidRPr="005A01B5" w:rsidRDefault="005E1103" w:rsidP="00DF59FF">
      <w:pPr>
        <w:autoSpaceDE w:val="0"/>
        <w:autoSpaceDN w:val="0"/>
        <w:adjustRightInd w:val="0"/>
        <w:jc w:val="both"/>
        <w:rPr>
          <w:rFonts w:ascii="Times New Roman" w:hAnsi="Times New Roman" w:cs="Times New Roman"/>
          <w:iCs/>
          <w:sz w:val="20"/>
          <w:szCs w:val="20"/>
        </w:rPr>
      </w:pPr>
      <w:r w:rsidRPr="005A01B5">
        <w:rPr>
          <w:rStyle w:val="Refdenotaalpie"/>
          <w:rFonts w:ascii="Times New Roman" w:hAnsi="Times New Roman"/>
          <w:sz w:val="20"/>
          <w:szCs w:val="20"/>
        </w:rPr>
        <w:footnoteRef/>
      </w:r>
      <w:r>
        <w:rPr>
          <w:rFonts w:ascii="Times New Roman" w:hAnsi="Times New Roman" w:cs="Times New Roman"/>
          <w:iCs/>
          <w:sz w:val="20"/>
          <w:szCs w:val="20"/>
        </w:rPr>
        <w:t xml:space="preserve">Argentina. FAU-UNNE. Extraído del Programa </w:t>
      </w:r>
      <w:r w:rsidRPr="005A01B5">
        <w:rPr>
          <w:rFonts w:ascii="Times New Roman" w:hAnsi="Times New Roman" w:cs="Times New Roman"/>
          <w:iCs/>
          <w:sz w:val="20"/>
          <w:szCs w:val="20"/>
        </w:rPr>
        <w:t>de la Asignatura (Resol. N° 293/13 – C.D - FAU.: e.3 Contenidos temáticos y niveles de complejidad. E.3.1 Temáticas transversales: Arquitectura universal. Accesibilidad.</w:t>
      </w:r>
      <w:r>
        <w:rPr>
          <w:rFonts w:ascii="Times New Roman" w:hAnsi="Times New Roman" w:cs="Times New Roman"/>
          <w:iCs/>
          <w:sz w:val="20"/>
          <w:szCs w:val="20"/>
        </w:rPr>
        <w:t xml:space="preserve"> 2013</w:t>
      </w:r>
    </w:p>
  </w:footnote>
  <w:footnote w:id="24">
    <w:p w:rsidR="005E1103" w:rsidRPr="002C452E" w:rsidRDefault="005E1103" w:rsidP="00DF59FF">
      <w:pPr>
        <w:jc w:val="both"/>
        <w:rPr>
          <w:rFonts w:ascii="Times New Roman" w:hAnsi="Times New Roman"/>
        </w:rPr>
      </w:pPr>
      <w:r w:rsidRPr="002C452E">
        <w:rPr>
          <w:rFonts w:ascii="Times New Roman" w:hAnsi="Times New Roman"/>
        </w:rPr>
        <w:footnoteRef/>
      </w:r>
      <w:r w:rsidRPr="002C452E">
        <w:rPr>
          <w:rFonts w:ascii="Times New Roman" w:hAnsi="Times New Roman"/>
        </w:rPr>
        <w:t xml:space="preserve"> “Se denomina Cátedra Libre a los espacios académicos interdisciplinarios abiertos a la reflexión destinada al tratamiento crítico de temas sociales, culturales y científicos pertinentes y significativos, así como problemáticas específicas.” Resol. 178/11-C.S. UNNE.</w:t>
      </w:r>
    </w:p>
  </w:footnote>
  <w:footnote w:id="25">
    <w:p w:rsidR="005E1103" w:rsidRPr="00E42C0D" w:rsidRDefault="005E1103" w:rsidP="00DF59FF">
      <w:pPr>
        <w:rPr>
          <w:rFonts w:ascii="Times New Roman" w:hAnsi="Times New Roman"/>
        </w:rPr>
      </w:pPr>
      <w:r w:rsidRPr="00E42C0D">
        <w:rPr>
          <w:rFonts w:ascii="Times New Roman" w:hAnsi="Times New Roman"/>
        </w:rPr>
        <w:footnoteRef/>
      </w:r>
      <w:r w:rsidRPr="00E42C0D">
        <w:rPr>
          <w:rFonts w:ascii="Times New Roman" w:hAnsi="Times New Roman"/>
        </w:rPr>
        <w:t xml:space="preserve"> “TODOS SOMOS UNNE: Construyendo Democracia, Excelencia Académica y Responsabilidad Social” – Bases para la Gestión 2014 – 2018. Prof. María Delfina Veiravé (2014).</w:t>
      </w:r>
    </w:p>
  </w:footnote>
  <w:footnote w:id="26">
    <w:p w:rsidR="005E1103" w:rsidRPr="005A01B5" w:rsidRDefault="005E1103" w:rsidP="00DF59FF">
      <w:pPr>
        <w:spacing w:after="0" w:line="240" w:lineRule="auto"/>
        <w:jc w:val="both"/>
        <w:rPr>
          <w:rFonts w:ascii="Times New Roman" w:hAnsi="Times New Roman" w:cs="Times New Roman"/>
          <w:sz w:val="20"/>
          <w:szCs w:val="20"/>
        </w:rPr>
      </w:pPr>
      <w:r w:rsidRPr="005A01B5">
        <w:rPr>
          <w:rFonts w:ascii="Times New Roman" w:hAnsi="Times New Roman"/>
          <w:sz w:val="20"/>
          <w:szCs w:val="20"/>
        </w:rPr>
        <w:footnoteRef/>
      </w:r>
      <w:r w:rsidRPr="005A01B5">
        <w:rPr>
          <w:rFonts w:ascii="Times New Roman" w:hAnsi="Times New Roman" w:cs="Times New Roman"/>
          <w:sz w:val="20"/>
          <w:szCs w:val="20"/>
        </w:rPr>
        <w:t xml:space="preserve"> Clasificación Internacional de Deficiencias, Actividades y Participación. CIDAP -2. Clasificación </w:t>
      </w:r>
      <w:r>
        <w:rPr>
          <w:rFonts w:ascii="Times New Roman" w:hAnsi="Times New Roman" w:cs="Times New Roman"/>
          <w:sz w:val="20"/>
          <w:szCs w:val="20"/>
        </w:rPr>
        <w:t>i</w:t>
      </w:r>
      <w:r w:rsidRPr="005A01B5">
        <w:rPr>
          <w:rFonts w:ascii="Times New Roman" w:hAnsi="Times New Roman" w:cs="Times New Roman"/>
          <w:sz w:val="20"/>
          <w:szCs w:val="20"/>
        </w:rPr>
        <w:t>nternacional de Deficiencias, Actividades y Participación. (Versión previa de la CIF) O.M.S.1998. Pág. 3 y 4.</w:t>
      </w:r>
    </w:p>
  </w:footnote>
  <w:footnote w:id="27">
    <w:p w:rsidR="005E1103" w:rsidRPr="00DD5693" w:rsidRDefault="005E1103" w:rsidP="00DF59FF">
      <w:pPr>
        <w:pStyle w:val="Textonotapie"/>
      </w:pPr>
      <w:r>
        <w:rPr>
          <w:rStyle w:val="Refdenotaalpie"/>
        </w:rPr>
        <w:footnoteRef/>
      </w:r>
      <w:r>
        <w:t xml:space="preserve"> </w:t>
      </w:r>
      <w:r w:rsidRPr="0018226A">
        <w:t>Cambiaghi, Silvana</w:t>
      </w:r>
      <w:r>
        <w:t>.</w:t>
      </w:r>
      <w:r w:rsidRPr="0018226A">
        <w:rPr>
          <w:lang w:val="pt-BR"/>
        </w:rPr>
        <w:t xml:space="preserve"> Desenho Universal. Métodos e Técnicas para Arquitetos e Urbanistas.</w:t>
      </w:r>
      <w:r w:rsidRPr="0018226A">
        <w:t xml:space="preserve"> Editora Senac. Sao Paulo, 2012</w:t>
      </w:r>
    </w:p>
  </w:footnote>
  <w:footnote w:id="28">
    <w:p w:rsidR="005E1103" w:rsidRPr="005A01B5" w:rsidRDefault="005E1103" w:rsidP="00DF59FF">
      <w:pPr>
        <w:pStyle w:val="Textonotapie"/>
      </w:pPr>
      <w:r w:rsidRPr="005A01B5">
        <w:rPr>
          <w:rStyle w:val="Refdenotaalpie"/>
        </w:rPr>
        <w:footnoteRef/>
      </w:r>
      <w:r w:rsidRPr="005A01B5">
        <w:t xml:space="preserve"> Rubio</w:t>
      </w:r>
      <w:r>
        <w:t>,</w:t>
      </w:r>
      <w:r w:rsidRPr="00B078EA">
        <w:t xml:space="preserve"> </w:t>
      </w:r>
      <w:r w:rsidRPr="005A01B5">
        <w:t>J.M</w:t>
      </w:r>
      <w:r>
        <w:t xml:space="preserve">. (2013). </w:t>
      </w:r>
      <w:r w:rsidRPr="00575E7A">
        <w:t>Interdisciplina e integración del saber. www.uca.edu.ar/uca -Consonancias-Interdisciplina-integraci-n-del-saber.pdf</w:t>
      </w:r>
    </w:p>
  </w:footnote>
  <w:footnote w:id="29">
    <w:p w:rsidR="005E1103" w:rsidRPr="005A01B5" w:rsidRDefault="005E1103" w:rsidP="00DF59FF">
      <w:pPr>
        <w:pStyle w:val="Textonotapie"/>
      </w:pPr>
      <w:r w:rsidRPr="005A01B5">
        <w:rPr>
          <w:rStyle w:val="Refdenotaalpie"/>
        </w:rPr>
        <w:footnoteRef/>
      </w:r>
      <w:r w:rsidRPr="005A01B5">
        <w:t xml:space="preserve"> Somenson</w:t>
      </w:r>
      <w:r>
        <w:t xml:space="preserve">, </w:t>
      </w:r>
      <w:r w:rsidRPr="005A01B5">
        <w:t>M</w:t>
      </w:r>
      <w:r>
        <w:t>.</w:t>
      </w:r>
      <w:r w:rsidRPr="005A01B5">
        <w:t xml:space="preserve"> y otros. La Educación ambiental en la Universidad. Propuesta metodológica. UNLP</w:t>
      </w:r>
    </w:p>
  </w:footnote>
  <w:footnote w:id="30">
    <w:p w:rsidR="005E1103" w:rsidRPr="005A01B5" w:rsidRDefault="005E1103" w:rsidP="00DF59FF">
      <w:pPr>
        <w:pStyle w:val="Textonotapie"/>
      </w:pPr>
      <w:r w:rsidRPr="005A01B5">
        <w:rPr>
          <w:rStyle w:val="Refdenotaalpie"/>
        </w:rPr>
        <w:footnoteRef/>
      </w:r>
      <w:r>
        <w:t xml:space="preserve"> Stolkiner, </w:t>
      </w:r>
      <w:r w:rsidRPr="005A01B5">
        <w:t>A</w:t>
      </w:r>
      <w:r>
        <w:t>. (2005). Interdisciplina y salud mental. www.psi.uba.ar</w:t>
      </w:r>
      <w:r w:rsidRPr="00575E7A">
        <w:t xml:space="preserve">/.../psicologia/sitios...1.../stolkiner_interdisciplina_salud_mental.pdf </w:t>
      </w:r>
    </w:p>
  </w:footnote>
  <w:footnote w:id="31">
    <w:p w:rsidR="005E1103" w:rsidRPr="00C07012" w:rsidRDefault="005E1103" w:rsidP="00DF59FF">
      <w:pPr>
        <w:pStyle w:val="Textonotapie"/>
        <w:rPr>
          <w:sz w:val="18"/>
          <w:szCs w:val="18"/>
        </w:rPr>
      </w:pPr>
      <w:r w:rsidRPr="00C07012">
        <w:rPr>
          <w:rStyle w:val="Refdenotaalpie"/>
          <w:sz w:val="18"/>
          <w:szCs w:val="18"/>
        </w:rPr>
        <w:footnoteRef/>
      </w:r>
      <w:r w:rsidRPr="00C07012">
        <w:rPr>
          <w:sz w:val="18"/>
          <w:szCs w:val="18"/>
        </w:rPr>
        <w:t xml:space="preserve"> Dra. Angélica Martínez de la Peña, adscrita al Departamento de Teoría y Procesos del Diseño, DCCD, UAM Cuajimalpa México</w:t>
      </w:r>
    </w:p>
  </w:footnote>
  <w:footnote w:id="32">
    <w:p w:rsidR="005E1103" w:rsidRPr="001970BF" w:rsidRDefault="005E1103" w:rsidP="00DF59FF">
      <w:pPr>
        <w:pStyle w:val="Textonotapie"/>
        <w:rPr>
          <w:sz w:val="18"/>
          <w:szCs w:val="18"/>
        </w:rPr>
      </w:pPr>
      <w:r w:rsidRPr="00C07012">
        <w:rPr>
          <w:rStyle w:val="Refdenotaalpie"/>
          <w:sz w:val="18"/>
          <w:szCs w:val="18"/>
        </w:rPr>
        <w:footnoteRef/>
      </w:r>
      <w:r w:rsidRPr="00C07012">
        <w:rPr>
          <w:sz w:val="18"/>
          <w:szCs w:val="18"/>
        </w:rPr>
        <w:t xml:space="preserve"> Como se mencionó en el apartado anterior, la línea de investigación se denomina Diseño incluyente para la calidad de vida</w:t>
      </w:r>
      <w:r>
        <w:rPr>
          <w:sz w:val="18"/>
          <w:szCs w:val="18"/>
        </w:rPr>
        <w:t xml:space="preserve"> y sus principales lineamientos son los siguientes: Objetivo: d</w:t>
      </w:r>
      <w:r w:rsidRPr="001970BF">
        <w:rPr>
          <w:sz w:val="18"/>
          <w:szCs w:val="18"/>
        </w:rPr>
        <w:t>esarrollar proyectos de investigación en diseño de carácter interdisciplinario que intervengan significativamente a través de sus resultados, en la calidad de vida personas y que posean un fuerte carácter soc</w:t>
      </w:r>
      <w:r>
        <w:rPr>
          <w:sz w:val="18"/>
          <w:szCs w:val="18"/>
        </w:rPr>
        <w:t xml:space="preserve">ial, incluyente y sustentable. </w:t>
      </w:r>
      <w:r w:rsidRPr="001970BF">
        <w:rPr>
          <w:sz w:val="18"/>
          <w:szCs w:val="18"/>
        </w:rPr>
        <w:t>El objeto de estudio radica en estudiar las diferentes problemáticas que presentan los grupos de personas que generalmente son sujetos de una sensible discriminación, siendo un interés particular incidir en la solución de las mismas a través de proyectos de diseño de carácter multidimensional e interdisciplinario.</w:t>
      </w:r>
    </w:p>
    <w:p w:rsidR="005E1103" w:rsidRPr="00C07012" w:rsidRDefault="005E1103" w:rsidP="00DF59FF">
      <w:pPr>
        <w:pStyle w:val="Textonotapie"/>
        <w:rPr>
          <w:sz w:val="18"/>
          <w:szCs w:val="18"/>
        </w:rPr>
      </w:pPr>
      <w:r w:rsidRPr="001970BF">
        <w:rPr>
          <w:sz w:val="18"/>
          <w:szCs w:val="18"/>
        </w:rPr>
        <w:t>Un especial interés para esta línea de investigación, es la inclusión de todos aquellos sectores que se encuentran en situación de desventaja o discriminación. Un énfasis particular de interés se vislumbra en las personas con discapacidad, como participantes y colaboradores directos en los proyectos de investigación, así como la vinculación diversas organizaciones e instituci</w:t>
      </w:r>
      <w:r>
        <w:rPr>
          <w:sz w:val="18"/>
          <w:szCs w:val="18"/>
        </w:rPr>
        <w:t xml:space="preserve">ones que los albergan y apoyan. </w:t>
      </w:r>
      <w:r w:rsidRPr="001970BF">
        <w:rPr>
          <w:sz w:val="18"/>
          <w:szCs w:val="18"/>
        </w:rPr>
        <w:t>Asimismo, problemáticas como el envejecimiento demográfico mundial, la ausencia de propuestas incluyentes congruentes con un desarrollo sostenible resultan de primordial importancia para esta línea de investigación sobre todo si se enfatiza la segregación de importantes segmentos de la sociedad, como son los ancianos, los niños, los grupos étnicos, las subculturas y las personas con discapacidad.</w:t>
      </w:r>
    </w:p>
  </w:footnote>
  <w:footnote w:id="33">
    <w:p w:rsidR="005E1103" w:rsidRPr="00C07012" w:rsidRDefault="005E1103" w:rsidP="00DF59FF">
      <w:pPr>
        <w:pStyle w:val="Textonotapie"/>
        <w:rPr>
          <w:sz w:val="18"/>
          <w:szCs w:val="18"/>
        </w:rPr>
      </w:pPr>
      <w:r w:rsidRPr="00C07012">
        <w:rPr>
          <w:rStyle w:val="Refdenotaalpie"/>
          <w:sz w:val="18"/>
          <w:szCs w:val="18"/>
        </w:rPr>
        <w:footnoteRef/>
      </w:r>
      <w:r w:rsidRPr="00C07012">
        <w:rPr>
          <w:sz w:val="18"/>
          <w:szCs w:val="18"/>
        </w:rPr>
        <w:t xml:space="preserve"> El </w:t>
      </w:r>
      <w:r w:rsidRPr="00C07012">
        <w:rPr>
          <w:i/>
          <w:sz w:val="18"/>
          <w:szCs w:val="18"/>
        </w:rPr>
        <w:t>wayfinding</w:t>
      </w:r>
      <w:r w:rsidRPr="00C07012">
        <w:rPr>
          <w:sz w:val="18"/>
          <w:szCs w:val="18"/>
        </w:rPr>
        <w:t xml:space="preserve"> se define como un sistema de información que guían a las personas a través de un medio físico y mejora la comprensión y experiencia del espacio. Es importante</w:t>
      </w:r>
      <w:r>
        <w:rPr>
          <w:sz w:val="18"/>
          <w:szCs w:val="18"/>
        </w:rPr>
        <w:t xml:space="preserve"> de manera especial</w:t>
      </w:r>
      <w:r w:rsidRPr="00C07012">
        <w:rPr>
          <w:sz w:val="18"/>
          <w:szCs w:val="18"/>
        </w:rPr>
        <w:t xml:space="preserve"> en entornos construidos complejos</w:t>
      </w:r>
      <w:r>
        <w:rPr>
          <w:sz w:val="18"/>
          <w:szCs w:val="18"/>
        </w:rPr>
        <w:t>,</w:t>
      </w:r>
      <w:r w:rsidRPr="00C07012">
        <w:rPr>
          <w:sz w:val="18"/>
          <w:szCs w:val="18"/>
        </w:rPr>
        <w:t xml:space="preserve"> como </w:t>
      </w:r>
      <w:r>
        <w:rPr>
          <w:sz w:val="18"/>
          <w:szCs w:val="18"/>
        </w:rPr>
        <w:t xml:space="preserve">son los </w:t>
      </w:r>
      <w:r w:rsidRPr="00C07012">
        <w:rPr>
          <w:sz w:val="18"/>
          <w:szCs w:val="18"/>
        </w:rPr>
        <w:t>centros urbanos, de asis</w:t>
      </w:r>
      <w:r>
        <w:rPr>
          <w:sz w:val="18"/>
          <w:szCs w:val="18"/>
        </w:rPr>
        <w:t xml:space="preserve">tencia sanitaria (hospitales), campus educativos y </w:t>
      </w:r>
      <w:r w:rsidRPr="00C07012">
        <w:rPr>
          <w:sz w:val="18"/>
          <w:szCs w:val="18"/>
        </w:rPr>
        <w:t xml:space="preserve">los sistemas de transporte. A medida que los entornos arquitectónicos se vuelven más complejos, las personas necesitan señales, mapas, directorios, y aquellos </w:t>
      </w:r>
      <w:r>
        <w:rPr>
          <w:sz w:val="18"/>
          <w:szCs w:val="18"/>
        </w:rPr>
        <w:t>símbolos o códigos que les ayude</w:t>
      </w:r>
      <w:r w:rsidRPr="00C07012">
        <w:rPr>
          <w:sz w:val="18"/>
          <w:szCs w:val="18"/>
        </w:rPr>
        <w:t xml:space="preserve">n a guiar a sus destinos. En estos entornos de gran densidad, estrés y movimiento, los sistemas de señalización eficaces contribuyen a una sensación de bienestar y seguridad. Obtenido de </w:t>
      </w:r>
      <w:r w:rsidRPr="001970BF">
        <w:rPr>
          <w:i/>
          <w:sz w:val="18"/>
          <w:szCs w:val="18"/>
        </w:rPr>
        <w:t>Society for Experiential Graphic</w:t>
      </w:r>
      <w:r w:rsidRPr="00C07012">
        <w:rPr>
          <w:sz w:val="18"/>
          <w:szCs w:val="18"/>
        </w:rPr>
        <w:t xml:space="preserve"> Design (2016) https://segd.org/what-wayfinding. Fecha de acceso: 3 de septiembre 2016</w:t>
      </w:r>
    </w:p>
  </w:footnote>
  <w:footnote w:id="34">
    <w:p w:rsidR="005E1103" w:rsidRPr="00C07012" w:rsidRDefault="005E1103" w:rsidP="00DF59FF">
      <w:pPr>
        <w:pStyle w:val="Textonotapie"/>
        <w:rPr>
          <w:sz w:val="18"/>
          <w:szCs w:val="18"/>
        </w:rPr>
      </w:pPr>
      <w:r w:rsidRPr="00C07012">
        <w:rPr>
          <w:rStyle w:val="Refdenotaalpie"/>
          <w:sz w:val="18"/>
          <w:szCs w:val="18"/>
        </w:rPr>
        <w:footnoteRef/>
      </w:r>
      <w:r w:rsidRPr="00C07012">
        <w:rPr>
          <w:sz w:val="18"/>
          <w:szCs w:val="18"/>
        </w:rPr>
        <w:t xml:space="preserve"> Las profesoras investigadoras que dirigieron el sistema de </w:t>
      </w:r>
      <w:r w:rsidRPr="00C07012">
        <w:rPr>
          <w:i/>
          <w:sz w:val="18"/>
          <w:szCs w:val="18"/>
        </w:rPr>
        <w:t>wayfinding</w:t>
      </w:r>
      <w:r w:rsidRPr="00C07012">
        <w:rPr>
          <w:sz w:val="18"/>
          <w:szCs w:val="18"/>
        </w:rPr>
        <w:t xml:space="preserve"> son las doctoras</w:t>
      </w:r>
      <w:r>
        <w:rPr>
          <w:sz w:val="18"/>
          <w:szCs w:val="18"/>
        </w:rPr>
        <w:t xml:space="preserve"> </w:t>
      </w:r>
      <w:r w:rsidRPr="00C07012">
        <w:rPr>
          <w:sz w:val="18"/>
          <w:szCs w:val="18"/>
        </w:rPr>
        <w:t>María González de Cossío y Angélica Martínez de la Peña</w:t>
      </w:r>
    </w:p>
  </w:footnote>
  <w:footnote w:id="35">
    <w:p w:rsidR="005E1103" w:rsidRPr="00883039" w:rsidRDefault="005E1103" w:rsidP="00DF59FF">
      <w:pPr>
        <w:pStyle w:val="Textonotapie"/>
        <w:rPr>
          <w:sz w:val="18"/>
          <w:szCs w:val="18"/>
          <w:lang w:val="en-US"/>
        </w:rPr>
      </w:pPr>
      <w:r w:rsidRPr="00C07012">
        <w:rPr>
          <w:rStyle w:val="Refdenotaalpie"/>
          <w:sz w:val="18"/>
          <w:szCs w:val="18"/>
        </w:rPr>
        <w:footnoteRef/>
      </w:r>
      <w:r w:rsidRPr="00C07012">
        <w:rPr>
          <w:sz w:val="18"/>
          <w:szCs w:val="18"/>
        </w:rPr>
        <w:t xml:space="preserve"> Rosas Barrientos, Ernesto, </w:t>
      </w:r>
      <w:r w:rsidRPr="00C07012">
        <w:rPr>
          <w:i/>
          <w:sz w:val="18"/>
          <w:szCs w:val="18"/>
        </w:rPr>
        <w:t>Los derechos humanos de las personas con discapacidad visual</w:t>
      </w:r>
      <w:r w:rsidRPr="00C07012">
        <w:rPr>
          <w:sz w:val="18"/>
          <w:szCs w:val="18"/>
        </w:rPr>
        <w:t xml:space="preserve">, México, 2002, Comisión Nacional de Derechos Humanos, p.3-11. </w:t>
      </w:r>
      <w:r w:rsidRPr="00883039">
        <w:rPr>
          <w:sz w:val="18"/>
          <w:szCs w:val="18"/>
          <w:lang w:val="en-US"/>
        </w:rPr>
        <w:t>(Borjón López-Coterilla Inés Coord.)</w:t>
      </w:r>
    </w:p>
  </w:footnote>
  <w:footnote w:id="36">
    <w:p w:rsidR="005E1103" w:rsidRPr="00C07012" w:rsidRDefault="005E1103" w:rsidP="00DF59FF">
      <w:pPr>
        <w:pStyle w:val="Textonotapie"/>
        <w:rPr>
          <w:sz w:val="18"/>
          <w:szCs w:val="18"/>
        </w:rPr>
      </w:pPr>
      <w:r w:rsidRPr="00C07012">
        <w:rPr>
          <w:rStyle w:val="Refdenotaalpie"/>
          <w:sz w:val="18"/>
          <w:szCs w:val="18"/>
        </w:rPr>
        <w:footnoteRef/>
      </w:r>
      <w:r w:rsidRPr="00883039">
        <w:rPr>
          <w:sz w:val="18"/>
          <w:szCs w:val="18"/>
          <w:lang w:val="en-US"/>
        </w:rPr>
        <w:t xml:space="preserve"> Morash, V. et al. (2012). </w:t>
      </w:r>
      <w:r w:rsidRPr="00883039">
        <w:rPr>
          <w:i/>
          <w:sz w:val="18"/>
          <w:szCs w:val="18"/>
          <w:lang w:val="en-US"/>
        </w:rPr>
        <w:t>A Review of Haptic Spatial Abilities in the Blind</w:t>
      </w:r>
      <w:r w:rsidRPr="00883039">
        <w:rPr>
          <w:sz w:val="18"/>
          <w:szCs w:val="18"/>
          <w:lang w:val="en-US"/>
        </w:rPr>
        <w:t>.</w:t>
      </w:r>
      <w:r w:rsidRPr="00883039">
        <w:rPr>
          <w:i/>
          <w:sz w:val="18"/>
          <w:szCs w:val="18"/>
          <w:lang w:val="en-US"/>
        </w:rPr>
        <w:t xml:space="preserve"> </w:t>
      </w:r>
      <w:r w:rsidRPr="00F605D4">
        <w:rPr>
          <w:sz w:val="18"/>
          <w:szCs w:val="18"/>
          <w:u w:val="single"/>
        </w:rPr>
        <w:t>Spatial Cognition &amp; Computation</w:t>
      </w:r>
      <w:r w:rsidRPr="00C07012">
        <w:rPr>
          <w:sz w:val="18"/>
          <w:szCs w:val="18"/>
        </w:rPr>
        <w:t>, 12, 83–95, p. 83.</w:t>
      </w:r>
    </w:p>
  </w:footnote>
  <w:footnote w:id="37">
    <w:p w:rsidR="005E1103" w:rsidRPr="00C07012" w:rsidRDefault="005E1103" w:rsidP="00DF59FF">
      <w:pPr>
        <w:pStyle w:val="Textonotapie"/>
        <w:rPr>
          <w:sz w:val="18"/>
          <w:szCs w:val="18"/>
        </w:rPr>
      </w:pPr>
      <w:r w:rsidRPr="00C07012">
        <w:rPr>
          <w:rStyle w:val="Refdenotaalpie"/>
          <w:sz w:val="18"/>
          <w:szCs w:val="18"/>
        </w:rPr>
        <w:footnoteRef/>
      </w:r>
      <w:r w:rsidRPr="00C07012">
        <w:rPr>
          <w:sz w:val="18"/>
          <w:szCs w:val="18"/>
        </w:rPr>
        <w:t xml:space="preserve"> Nos honramos en comunicar que el 28 de septiembre de este año, este proyecto obtuvo el Primer lugar en el Premio Nacional Diseña México </w:t>
      </w:r>
      <w:r>
        <w:rPr>
          <w:sz w:val="18"/>
          <w:szCs w:val="18"/>
        </w:rPr>
        <w:t>(en el Palacio Nacional de Bellas Artes)</w:t>
      </w:r>
      <w:r w:rsidRPr="00C07012">
        <w:rPr>
          <w:sz w:val="18"/>
          <w:szCs w:val="18"/>
        </w:rPr>
        <w:t xml:space="preserve"> dentro de la categoría Diseño de Experiencias y Espacios Interiores, en la sub categoría de diseño de espacios educativos. Adicionalmente el</w:t>
      </w:r>
      <w:r>
        <w:rPr>
          <w:sz w:val="18"/>
          <w:szCs w:val="18"/>
        </w:rPr>
        <w:t xml:space="preserve"> jurado después de analizar el s</w:t>
      </w:r>
      <w:r w:rsidRPr="00C07012">
        <w:rPr>
          <w:sz w:val="18"/>
          <w:szCs w:val="18"/>
        </w:rPr>
        <w:t xml:space="preserve">istema </w:t>
      </w:r>
      <w:r>
        <w:rPr>
          <w:sz w:val="18"/>
          <w:szCs w:val="18"/>
        </w:rPr>
        <w:t xml:space="preserve">decidió </w:t>
      </w:r>
      <w:r w:rsidRPr="00C07012">
        <w:rPr>
          <w:sz w:val="18"/>
          <w:szCs w:val="18"/>
        </w:rPr>
        <w:t xml:space="preserve">otorgarle también el premio al mejor proyecto estudiantil de la </w:t>
      </w:r>
      <w:r>
        <w:rPr>
          <w:sz w:val="18"/>
          <w:szCs w:val="18"/>
        </w:rPr>
        <w:t xml:space="preserve">misma </w:t>
      </w:r>
      <w:r w:rsidRPr="00C07012">
        <w:rPr>
          <w:sz w:val="18"/>
          <w:szCs w:val="18"/>
        </w:rPr>
        <w:t>categoría</w:t>
      </w:r>
      <w:r>
        <w:rPr>
          <w:sz w:val="18"/>
          <w:szCs w:val="18"/>
        </w:rPr>
        <w:t xml:space="preserve"> y</w:t>
      </w:r>
      <w:r w:rsidRPr="00C07012">
        <w:rPr>
          <w:sz w:val="18"/>
          <w:szCs w:val="18"/>
        </w:rPr>
        <w:t xml:space="preserve"> </w:t>
      </w:r>
      <w:r>
        <w:rPr>
          <w:sz w:val="18"/>
          <w:szCs w:val="18"/>
        </w:rPr>
        <w:t>ha sido</w:t>
      </w:r>
      <w:r w:rsidRPr="00C07012">
        <w:rPr>
          <w:sz w:val="18"/>
          <w:szCs w:val="18"/>
        </w:rPr>
        <w:t xml:space="preserve"> seleccionado </w:t>
      </w:r>
      <w:r>
        <w:rPr>
          <w:sz w:val="18"/>
          <w:szCs w:val="18"/>
        </w:rPr>
        <w:t>par</w:t>
      </w:r>
      <w:r w:rsidRPr="00C07012">
        <w:rPr>
          <w:sz w:val="18"/>
          <w:szCs w:val="18"/>
        </w:rPr>
        <w:t>a participar en la Exhibición de Diseño Mexicano que se llevará a cabo en el Museo Franz Mayer</w:t>
      </w:r>
      <w:r>
        <w:rPr>
          <w:sz w:val="18"/>
          <w:szCs w:val="18"/>
        </w:rPr>
        <w:t xml:space="preserve"> de la Ciudad de México</w:t>
      </w:r>
      <w:r w:rsidRPr="00C07012">
        <w:rPr>
          <w:sz w:val="18"/>
          <w:szCs w:val="18"/>
        </w:rPr>
        <w:t xml:space="preserve">, del </w:t>
      </w:r>
      <w:r>
        <w:rPr>
          <w:sz w:val="18"/>
          <w:szCs w:val="18"/>
        </w:rPr>
        <w:t>18 de octubre al 11 de n</w:t>
      </w:r>
      <w:r w:rsidRPr="00C07012">
        <w:rPr>
          <w:sz w:val="18"/>
          <w:szCs w:val="18"/>
        </w:rPr>
        <w:t>oviembre del 2016.</w:t>
      </w:r>
    </w:p>
  </w:footnote>
  <w:footnote w:id="38">
    <w:p w:rsidR="005E1103" w:rsidRDefault="005E1103" w:rsidP="00664415">
      <w:pPr>
        <w:pStyle w:val="Textonotapie"/>
        <w:jc w:val="both"/>
      </w:pPr>
      <w:r>
        <w:rPr>
          <w:rStyle w:val="Refdenotaalpie"/>
          <w:rFonts w:eastAsia="Calibri"/>
        </w:rPr>
        <w:footnoteRef/>
      </w:r>
      <w:r>
        <w:t xml:space="preserve"> </w:t>
      </w:r>
      <w:r w:rsidRPr="00847AA9">
        <w:t>La única mención alusiva a las personas con discapacidad en la Ley de 1964 era la del artículo 30.1.d) que, entre los requisitos para ser admitido en las pruebas selectivas previas al ingreso en la Administración, incluía el de “no padecer enfermedad o defecto físico que impida el desempeño de las correspondientes funciones”.</w:t>
      </w:r>
    </w:p>
  </w:footnote>
  <w:footnote w:id="39">
    <w:p w:rsidR="005E1103" w:rsidRPr="00847AA9" w:rsidRDefault="005E1103" w:rsidP="00664415">
      <w:pPr>
        <w:pStyle w:val="Textonotapie"/>
        <w:jc w:val="both"/>
      </w:pPr>
      <w:r>
        <w:rPr>
          <w:rStyle w:val="Refdenotaalpie"/>
          <w:rFonts w:eastAsia="Calibri"/>
        </w:rPr>
        <w:footnoteRef/>
      </w:r>
      <w:r>
        <w:t xml:space="preserve"> </w:t>
      </w:r>
      <w:r w:rsidRPr="00847AA9">
        <w:t>En cuanto a las pruebas selectivas para el ingreso en los Cuerpos de la Administración del Estado, Comunidades Autónomas, Administración Local, Institucional y de la Seguridad Social, el art. 38.3 estableció que fuesen admitidas las personas con discapacidad en igualdad de condiciones con los demás aspirantes; acreditando las condiciones personales de aptitud para el ejercicio de las funciones correspondientes mediante dictamen vinculante expedido, con anterioridad a la iniciación de las pruebas selectivas, por el equipo multiprofesional competente.</w:t>
      </w:r>
    </w:p>
    <w:p w:rsidR="005E1103" w:rsidRDefault="005E1103" w:rsidP="00664415">
      <w:pPr>
        <w:pStyle w:val="Textonotapie"/>
      </w:pPr>
    </w:p>
  </w:footnote>
  <w:footnote w:id="40">
    <w:p w:rsidR="005E1103" w:rsidRPr="00BF576E" w:rsidRDefault="005E1103" w:rsidP="00664415">
      <w:pPr>
        <w:pStyle w:val="Textonotapie"/>
        <w:jc w:val="both"/>
      </w:pPr>
      <w:r w:rsidRPr="00BF576E">
        <w:rPr>
          <w:rStyle w:val="Refdenotaalpie"/>
          <w:rFonts w:eastAsia="Calibri"/>
        </w:rPr>
        <w:footnoteRef/>
      </w:r>
      <w:r w:rsidRPr="00BF576E">
        <w:t xml:space="preserve"> En desarrollo del citado artículo se dictó la Orden PRE/1822/2006, de 9 de junio, por la que se establecen criterios generales para la adaptación de tiempos adicionales en los procesos selectivos para el acceso al empleo público de personas con discapacidad.</w:t>
      </w:r>
    </w:p>
  </w:footnote>
  <w:footnote w:id="41">
    <w:p w:rsidR="005E1103" w:rsidRPr="00BF576E" w:rsidRDefault="005E1103" w:rsidP="00664415">
      <w:pPr>
        <w:pStyle w:val="Textonotapie"/>
        <w:jc w:val="both"/>
      </w:pPr>
      <w:r w:rsidRPr="00BF576E">
        <w:rPr>
          <w:rStyle w:val="Refdenotaalpie"/>
          <w:rFonts w:eastAsia="Calibri"/>
        </w:rPr>
        <w:footnoteRef/>
      </w:r>
      <w:r w:rsidRPr="00BF576E">
        <w:t xml:space="preserve"> En sentido contrario apunta este autor la Sentencia del TSJ de Cataluña de 8 de marzo de 2005, que  mantiene la posibilidad de valoración diferente de los ejercicios para los discapacitados fundamentándolo principalmente en que, si no fuera así, se privaría «de toda eficacia al turno reservado para discapacitados».</w:t>
      </w:r>
    </w:p>
  </w:footnote>
  <w:footnote w:id="42">
    <w:p w:rsidR="005E1103" w:rsidRPr="00BB7A05" w:rsidRDefault="005E1103" w:rsidP="00664415">
      <w:pPr>
        <w:pStyle w:val="Ttulo3"/>
        <w:shd w:val="clear" w:color="auto" w:fill="FFFFFF"/>
        <w:spacing w:before="0"/>
        <w:jc w:val="both"/>
        <w:rPr>
          <w:b/>
          <w:sz w:val="20"/>
          <w:szCs w:val="20"/>
        </w:rPr>
      </w:pPr>
      <w:r w:rsidRPr="00BF576E">
        <w:rPr>
          <w:rStyle w:val="Refdenotaalpie"/>
          <w:sz w:val="20"/>
          <w:szCs w:val="20"/>
        </w:rPr>
        <w:footnoteRef/>
      </w:r>
      <w:r w:rsidRPr="00BB7A05">
        <w:rPr>
          <w:sz w:val="20"/>
          <w:szCs w:val="20"/>
        </w:rPr>
        <w:t xml:space="preserve"> </w:t>
      </w:r>
      <w:r w:rsidRPr="00BB7A05">
        <w:rPr>
          <w:rFonts w:eastAsiaTheme="minorHAnsi"/>
          <w:sz w:val="20"/>
          <w:szCs w:val="20"/>
        </w:rPr>
        <w:t xml:space="preserve">“El CERMI saluda que la oferta de empleo público de 2016 reserve casi 850 plazas para personas con discapacidad”, Noticia publicada en la web del CERMI, consultada el 22-8-2016, disponible en: </w:t>
      </w:r>
    </w:p>
    <w:p w:rsidR="005E1103" w:rsidRPr="00BF576E" w:rsidRDefault="005E1103" w:rsidP="00664415">
      <w:pPr>
        <w:pStyle w:val="Textonotapie"/>
      </w:pPr>
      <w:r w:rsidRPr="00BF576E">
        <w:t>http://www.cermi.es/es-ES/Noticias/Paginas/Inicio.aspx?TSMEIdNot=7562</w:t>
      </w:r>
    </w:p>
  </w:footnote>
  <w:footnote w:id="43">
    <w:p w:rsidR="005E1103" w:rsidRDefault="005E1103" w:rsidP="00664415">
      <w:pPr>
        <w:pStyle w:val="Textonotapie"/>
        <w:jc w:val="both"/>
      </w:pPr>
      <w:r>
        <w:rPr>
          <w:rStyle w:val="Refdenotaalpie"/>
          <w:rFonts w:eastAsia="Calibri"/>
        </w:rPr>
        <w:footnoteRef/>
      </w:r>
      <w:r>
        <w:t xml:space="preserve"> La cuestión en este caso es que las plazas deben dotarse en un área de conocimiento concreta, y que deben establecerse criterios públicos y transparentes que garantice la igualdad de todos los acreditados en su garantía del derecho a la promoción, ordenando la convocatoria de las plazas en las concretas áreas de conocimiento, puesto que pese a estar acreditado genéricamente como PTU, no se da el criterio de la idoneidad para el puesto en ramas (o incluso áreas, según los casos) de conocimiento diferentes a aquella a la que la persona ya desempeña sus funciones como PDI.</w:t>
      </w:r>
    </w:p>
  </w:footnote>
  <w:footnote w:id="44">
    <w:p w:rsidR="005E1103" w:rsidRDefault="005E1103" w:rsidP="00664415">
      <w:pPr>
        <w:pStyle w:val="Textonotapie"/>
        <w:jc w:val="both"/>
      </w:pPr>
      <w:r>
        <w:rPr>
          <w:rStyle w:val="Refdenotaalpie"/>
        </w:rPr>
        <w:footnoteRef/>
      </w:r>
      <w:r>
        <w:t>Aprobada por el Consejo de Ministros, el 14 de octubre de 2011, establecida para ser el referente y directriz a largo plazo de las políticas públicas españolas en materia de discapacidad.</w:t>
      </w:r>
    </w:p>
  </w:footnote>
  <w:footnote w:id="45">
    <w:p w:rsidR="005E1103" w:rsidRDefault="005E1103" w:rsidP="00664415">
      <w:pPr>
        <w:pStyle w:val="Textonotapie"/>
        <w:jc w:val="both"/>
      </w:pPr>
      <w:r>
        <w:rPr>
          <w:rStyle w:val="Refdenotaalpie"/>
        </w:rPr>
        <w:footnoteRef/>
      </w:r>
      <w:r>
        <w:t>Adoptada por el Consejo Europeo, de 17 de junio de 2010.</w:t>
      </w:r>
      <w:r w:rsidRPr="00C01DCC">
        <w:t xml:space="preserve"> </w:t>
      </w:r>
      <w:r>
        <w:t>Pueden consultarse en :</w:t>
      </w:r>
    </w:p>
    <w:p w:rsidR="005E1103" w:rsidRDefault="00BF6455" w:rsidP="00664415">
      <w:pPr>
        <w:pStyle w:val="Textonotapie"/>
        <w:jc w:val="both"/>
      </w:pPr>
      <w:hyperlink r:id="rId4" w:history="1">
        <w:r w:rsidR="005E1103" w:rsidRPr="00C01DCC">
          <w:rPr>
            <w:rStyle w:val="Hipervnculo"/>
          </w:rPr>
          <w:t>http://www.msssi.gob.es/ssi/discapacidad/informacion/planAccionEstrategiaEspanolaDiscapacidad.htm</w:t>
        </w:r>
      </w:hyperlink>
      <w:r w:rsidR="005E1103" w:rsidRPr="00C01DCC">
        <w:t>.</w:t>
      </w:r>
      <w:r w:rsidR="005E1103">
        <w:t xml:space="preserve"> Consultada 29 de agosto 2016.</w:t>
      </w:r>
    </w:p>
  </w:footnote>
  <w:footnote w:id="46">
    <w:p w:rsidR="005E1103" w:rsidRDefault="005E1103" w:rsidP="00664415">
      <w:pPr>
        <w:pStyle w:val="Textonotapie"/>
        <w:jc w:val="both"/>
      </w:pPr>
      <w:r>
        <w:rPr>
          <w:rStyle w:val="Refdenotaalpie"/>
        </w:rPr>
        <w:footnoteRef/>
      </w:r>
      <w:r>
        <w:t>Aprobada por Acuerdo del Consejo de Ministros el día 12 de septiembre de 2014. Tiene su antecedente en el III Plan de Acción 2009-2012. Ambos tienen en común áreas principales de acción cuyas medidas enfrentan los déficits en participación, empleo y formación de las personas con discapacidad. Pero se diferencian en cuanto el III Plan formulaba un enfoque global que propugnaba el avance en la promoción de la autonomía personal, a través del reconocimiento de la discapacidad como un componente de la diversidad humana.</w:t>
      </w:r>
    </w:p>
  </w:footnote>
  <w:footnote w:id="47">
    <w:p w:rsidR="005E1103" w:rsidRDefault="005E1103" w:rsidP="00664415">
      <w:pPr>
        <w:pStyle w:val="Textonotapie"/>
      </w:pPr>
      <w:r>
        <w:rPr>
          <w:rStyle w:val="Refdenotaalpie"/>
        </w:rPr>
        <w:footnoteRef/>
      </w:r>
      <w:r>
        <w:t xml:space="preserve"> </w:t>
      </w:r>
      <w:hyperlink r:id="rId5" w:history="1">
        <w:r w:rsidRPr="0075056D">
          <w:rPr>
            <w:rStyle w:val="Hipervnculo"/>
          </w:rPr>
          <w:t>https://asociaciondoce.com/2016/03/09/guia-de-atencion-a-la-discapacidad-2016-fundacion-universia/</w:t>
        </w:r>
      </w:hyperlink>
      <w:r>
        <w:t>. Consultada 29 agosto 2016.</w:t>
      </w:r>
    </w:p>
  </w:footnote>
  <w:footnote w:id="48">
    <w:p w:rsidR="005E1103" w:rsidRPr="00E34B85" w:rsidRDefault="005E1103" w:rsidP="00664415">
      <w:pPr>
        <w:pStyle w:val="Textonotapie"/>
        <w:jc w:val="both"/>
        <w:rPr>
          <w:color w:val="000000"/>
          <w:shd w:val="clear" w:color="auto" w:fill="FFFFFF"/>
        </w:rPr>
      </w:pPr>
      <w:r>
        <w:rPr>
          <w:rStyle w:val="Refdenotaalpie"/>
        </w:rPr>
        <w:footnoteRef/>
      </w:r>
      <w:r>
        <w:t xml:space="preserve"> Consultar </w:t>
      </w:r>
      <w:r w:rsidRPr="00F0092F">
        <w:rPr>
          <w:color w:val="000000"/>
          <w:shd w:val="clear" w:color="auto" w:fill="FFFFFF"/>
        </w:rPr>
        <w:t>la Guía de Atención a la Discapacidad en la Universidad 2016</w:t>
      </w:r>
      <w:r>
        <w:rPr>
          <w:color w:val="000000"/>
          <w:shd w:val="clear" w:color="auto" w:fill="FFFFFF"/>
        </w:rPr>
        <w:t xml:space="preserve"> donde se ofrece información sobre ayudas al estudio y centros de atención a las personas con discapacidad en todas las universidades de España.</w:t>
      </w:r>
    </w:p>
  </w:footnote>
  <w:footnote w:id="49">
    <w:p w:rsidR="005E1103" w:rsidRDefault="005E1103" w:rsidP="0046263B">
      <w:pPr>
        <w:pStyle w:val="Textonotapie"/>
        <w:jc w:val="both"/>
      </w:pPr>
      <w:r>
        <w:rPr>
          <w:rStyle w:val="Refdenotaalpie"/>
        </w:rPr>
        <w:footnoteRef/>
      </w:r>
      <w:r>
        <w:t xml:space="preserve"> Caballero, Fernando y Díaz, Vicente, “Investigación sobre las necesidades formativas de los docentes en la educación de estudiantes con discapacidad”, Fundación Repsol, (2013), pág. 47.</w:t>
      </w:r>
    </w:p>
  </w:footnote>
  <w:footnote w:id="50">
    <w:p w:rsidR="005E1103" w:rsidRDefault="005E1103" w:rsidP="0046263B">
      <w:pPr>
        <w:pStyle w:val="Textonotapie"/>
        <w:jc w:val="both"/>
      </w:pPr>
      <w:r>
        <w:rPr>
          <w:rStyle w:val="Refdenotaalpie"/>
        </w:rPr>
        <w:footnoteRef/>
      </w:r>
      <w:r>
        <w:t xml:space="preserve"> Durán, David y Giné, Climent, “La formación del profesorado para la educación inclusiva: un proceso de desarrollo profesional y de mejora de los centros para atender la diversidad”, Revista Latinoamericana de Educación inclusiva, (2011), pág. 156.</w:t>
      </w:r>
    </w:p>
  </w:footnote>
  <w:footnote w:id="51">
    <w:p w:rsidR="005E1103" w:rsidRPr="00A46639" w:rsidRDefault="005E1103" w:rsidP="0046263B">
      <w:pPr>
        <w:pStyle w:val="Textonotapie"/>
        <w:jc w:val="both"/>
        <w:rPr>
          <w:i/>
        </w:rPr>
      </w:pPr>
      <w:r>
        <w:rPr>
          <w:rStyle w:val="Refdenotaalpie"/>
        </w:rPr>
        <w:footnoteRef/>
      </w:r>
      <w:r>
        <w:t xml:space="preserve"> María del Mar García Garrido, Licenciada en Periodismo por la UCM, tiene un tipo de leucodistrofia sin diagnosticar: </w:t>
      </w:r>
      <w:r w:rsidRPr="00A46639">
        <w:rPr>
          <w:i/>
        </w:rPr>
        <w:t>“Recuerdo en segundo de Periodismo que tuve que examinarme con un Profesor de Publicidad de la asignatura. Hasta aquí no hay nada anormal, pero cuando terminé mi examen me dijo: “Mi asignatura no será la única que suspendas, ¿qué estás haciendo en la Universidad?”. Salí del despacho con una impotencia muy grande. Luego en septiembre fui a recuperar la asignatura y cuando acabé le dije un par de cosas que tenía que tener en cuenta. Fueron estas: “Tiene la inmensa suerte de haberle hecho estas preguntas a una persona como yo, que me considero valiente y digo siempre lo que pienso para poder ayudar a los que vienen detrás. Si hubiera sido otra persona con menos fuerza en sí misma… la hunde”.</w:t>
      </w:r>
    </w:p>
  </w:footnote>
  <w:footnote w:id="52">
    <w:p w:rsidR="005E1103" w:rsidRPr="00D00E8B" w:rsidRDefault="005E1103" w:rsidP="0046263B">
      <w:pPr>
        <w:pStyle w:val="Textonotapie"/>
        <w:jc w:val="both"/>
      </w:pPr>
      <w:r>
        <w:rPr>
          <w:rStyle w:val="Refdenotaalpie"/>
        </w:rPr>
        <w:footnoteRef/>
      </w:r>
      <w:r w:rsidRPr="00D00E8B">
        <w:t xml:space="preserve"> </w:t>
      </w:r>
      <w:r w:rsidRPr="00CF51A1">
        <w:rPr>
          <w:i/>
        </w:rPr>
        <w:t>European Agency for Development in Special Needs Education</w:t>
      </w:r>
      <w:r w:rsidRPr="00D00E8B">
        <w:t xml:space="preserve">, </w:t>
      </w:r>
      <w:r>
        <w:t>“</w:t>
      </w:r>
      <w:r w:rsidRPr="00D00E8B">
        <w:t>Formac</w:t>
      </w:r>
      <w:r>
        <w:t>i</w:t>
      </w:r>
      <w:r w:rsidRPr="00D00E8B">
        <w:t>ón del profesorado para la educaci</w:t>
      </w:r>
      <w:r>
        <w:t xml:space="preserve">ón inclusiva. Perfil profesional del docente en la educación inclusiva”,(2012), pág. 14. </w:t>
      </w:r>
      <w:hyperlink r:id="rId6" w:history="1">
        <w:r w:rsidRPr="00D00E8B">
          <w:rPr>
            <w:rStyle w:val="Hipervnculo"/>
          </w:rPr>
          <w:t>https://www.european-agency.org/sites/default/files/te4i-profile-of-inclusive-teachers_Profile-of-Inclusive-Teachers-ES.pdf</w:t>
        </w:r>
      </w:hyperlink>
    </w:p>
  </w:footnote>
  <w:footnote w:id="53">
    <w:p w:rsidR="005E1103" w:rsidRPr="00D00E8B" w:rsidRDefault="005E1103" w:rsidP="0046263B">
      <w:pPr>
        <w:pStyle w:val="Textonotapie"/>
        <w:jc w:val="both"/>
      </w:pPr>
      <w:r>
        <w:rPr>
          <w:rStyle w:val="Refdenotaalpie"/>
        </w:rPr>
        <w:footnoteRef/>
      </w:r>
      <w:r>
        <w:t xml:space="preserve"> </w:t>
      </w:r>
      <w:r w:rsidRPr="00AC0029">
        <w:rPr>
          <w:i/>
        </w:rPr>
        <w:t>Ibidem</w:t>
      </w:r>
      <w:r>
        <w:t xml:space="preserve">, pág. 13. </w:t>
      </w:r>
      <w:hyperlink r:id="rId7" w:history="1">
        <w:r w:rsidRPr="00D00E8B">
          <w:rPr>
            <w:rStyle w:val="Hipervnculo"/>
          </w:rPr>
          <w:t>https://www.european-agency.org/sites/default/files/te4i-profile-of-inclusive-teachers_Profile-of-Inclusive-Teachers-ES.pdf</w:t>
        </w:r>
      </w:hyperlink>
    </w:p>
    <w:p w:rsidR="005E1103" w:rsidRDefault="005E1103" w:rsidP="0046263B">
      <w:pPr>
        <w:pStyle w:val="Textonotapie"/>
      </w:pPr>
    </w:p>
  </w:footnote>
  <w:footnote w:id="54">
    <w:p w:rsidR="005E1103" w:rsidRDefault="005E1103" w:rsidP="0046263B">
      <w:pPr>
        <w:pStyle w:val="Textonotapie"/>
        <w:jc w:val="both"/>
      </w:pPr>
      <w:r>
        <w:rPr>
          <w:rStyle w:val="Refdenotaalpie"/>
        </w:rPr>
        <w:footnoteRef/>
      </w:r>
      <w:r>
        <w:t xml:space="preserve"> Durán, David y Giné, Climent, “La formación…” </w:t>
      </w:r>
      <w:r w:rsidRPr="00AC0029">
        <w:rPr>
          <w:i/>
        </w:rPr>
        <w:t>op. cit.</w:t>
      </w:r>
      <w:r>
        <w:t>, pág. 159.</w:t>
      </w:r>
    </w:p>
  </w:footnote>
  <w:footnote w:id="55">
    <w:p w:rsidR="005E1103" w:rsidRDefault="005E1103" w:rsidP="0046263B">
      <w:pPr>
        <w:pStyle w:val="Textonotapie"/>
        <w:jc w:val="both"/>
      </w:pPr>
      <w:r>
        <w:rPr>
          <w:rStyle w:val="Refdenotaalpie"/>
        </w:rPr>
        <w:footnoteRef/>
      </w:r>
      <w:r>
        <w:t xml:space="preserve"> Caballero, Fernando y Díaz, Vicente, “Investigación sobre…” </w:t>
      </w:r>
      <w:r w:rsidRPr="00AC0029">
        <w:rPr>
          <w:i/>
        </w:rPr>
        <w:t>op.cit</w:t>
      </w:r>
      <w:r>
        <w:t>.,  pág. 12.</w:t>
      </w:r>
    </w:p>
  </w:footnote>
  <w:footnote w:id="56">
    <w:p w:rsidR="005E1103" w:rsidRDefault="005E1103" w:rsidP="0046263B">
      <w:pPr>
        <w:pStyle w:val="Textonotapie"/>
        <w:jc w:val="both"/>
      </w:pPr>
      <w:r w:rsidRPr="00AC0029">
        <w:rPr>
          <w:rStyle w:val="Refdenotaalpie"/>
        </w:rPr>
        <w:footnoteRef/>
      </w:r>
      <w:r>
        <w:t xml:space="preserve"> Ortego, José Luis</w:t>
      </w:r>
      <w:r>
        <w:rPr>
          <w:lang w:val="es-ES_tradnl"/>
        </w:rPr>
        <w:t xml:space="preserve">, “La adaptación del Curriculum en la universidad”, VV. AA., </w:t>
      </w:r>
      <w:r w:rsidRPr="00FF544F">
        <w:rPr>
          <w:i/>
          <w:lang w:val="es-ES_tradnl"/>
        </w:rPr>
        <w:t>Atención educativa a la diversidad</w:t>
      </w:r>
      <w:r>
        <w:rPr>
          <w:lang w:val="es-ES_tradnl"/>
        </w:rPr>
        <w:t xml:space="preserve">, La Coruña, Universidade da Coruña, (2001), pág. 616. </w:t>
      </w:r>
    </w:p>
  </w:footnote>
  <w:footnote w:id="57">
    <w:p w:rsidR="005E1103" w:rsidRPr="00FF544F" w:rsidRDefault="005E1103" w:rsidP="0046263B">
      <w:pPr>
        <w:pStyle w:val="Textonotapie"/>
        <w:jc w:val="both"/>
        <w:rPr>
          <w:lang w:val="es-ES_tradnl"/>
        </w:rPr>
      </w:pPr>
      <w:r>
        <w:rPr>
          <w:rStyle w:val="Refdenotaalpie"/>
        </w:rPr>
        <w:footnoteRef/>
      </w:r>
      <w:r>
        <w:t xml:space="preserve"> </w:t>
      </w:r>
      <w:r w:rsidRPr="009844D8">
        <w:rPr>
          <w:i/>
        </w:rPr>
        <w:t>Ibidem</w:t>
      </w:r>
      <w:r>
        <w:t xml:space="preserve">, pág. 616.  </w:t>
      </w:r>
    </w:p>
  </w:footnote>
  <w:footnote w:id="58">
    <w:p w:rsidR="005E1103" w:rsidRPr="00FF544F" w:rsidRDefault="005E1103" w:rsidP="0046263B">
      <w:pPr>
        <w:pStyle w:val="Textonotapie"/>
        <w:jc w:val="both"/>
        <w:rPr>
          <w:lang w:val="es-ES_tradnl"/>
        </w:rPr>
      </w:pPr>
      <w:r>
        <w:rPr>
          <w:rStyle w:val="Refdenotaalpie"/>
        </w:rPr>
        <w:footnoteRef/>
      </w:r>
      <w:r>
        <w:t xml:space="preserve"> </w:t>
      </w:r>
      <w:r>
        <w:rPr>
          <w:lang w:val="es-ES_tradnl"/>
        </w:rPr>
        <w:t>La Universidad debe ser entendida no como una entidad cuya labor se circunscribe a las aulas, sino como una comunidad en la que profesores y alumnos intercambian conocimientos y experiencias. En este sentido, la aportación de las personas con discapacidad es no solo deseable, sino insustituible.</w:t>
      </w:r>
    </w:p>
  </w:footnote>
  <w:footnote w:id="59">
    <w:p w:rsidR="005E1103" w:rsidRDefault="005E1103" w:rsidP="0046263B">
      <w:pPr>
        <w:pStyle w:val="Textonotapie"/>
        <w:jc w:val="both"/>
      </w:pPr>
      <w:r>
        <w:rPr>
          <w:rStyle w:val="Refdenotaalpie"/>
        </w:rPr>
        <w:footnoteRef/>
      </w:r>
      <w:r>
        <w:t xml:space="preserve"> Es de destacar que una de las competencias básicas sea la de autonomía.</w:t>
      </w:r>
    </w:p>
  </w:footnote>
  <w:footnote w:id="60">
    <w:p w:rsidR="005E1103" w:rsidRDefault="005E1103" w:rsidP="0046263B">
      <w:pPr>
        <w:pStyle w:val="Textonotapie"/>
        <w:jc w:val="both"/>
      </w:pPr>
      <w:r>
        <w:rPr>
          <w:rStyle w:val="Refdenotaalpie"/>
        </w:rPr>
        <w:footnoteRef/>
      </w:r>
      <w:r>
        <w:t xml:space="preserve"> </w:t>
      </w:r>
      <w:r w:rsidRPr="004A17B1">
        <w:t xml:space="preserve">Según el Real Decreto 1892/2008, de 14 de noviembre, por el que se regulan las condiciones para el acceso a las enseñanzas universitarias oficiales de grado y los procedimientos de admisión a las universidades públicas españolas, las </w:t>
      </w:r>
      <w:r w:rsidRPr="00857454">
        <w:rPr>
          <w:bCs/>
        </w:rPr>
        <w:t>pruebas de acceso</w:t>
      </w:r>
      <w:r w:rsidRPr="004A17B1">
        <w:t xml:space="preserve"> deberán ser adaptadas con las medidas oportunas que consistirán "</w:t>
      </w:r>
      <w:r w:rsidRPr="004A17B1">
        <w:rPr>
          <w:i/>
          <w:iCs/>
        </w:rPr>
        <w:t>en la adaptación de los tiempos, la elaboración de modelos especiales de exámenes y la puesta a disposición del estudiante de los medios materiales y humanos, de las asistencias y apoyos y de las ayudas técnicas que precise para la realización de la prueba de acceso, así como en la garantía de accesibilidad de la información y comunicación de los procesos y la del recinto o espacio físico donde ésta se desarrolle</w:t>
      </w:r>
      <w:r w:rsidRPr="004A17B1">
        <w:t>". La determinación de dichas medidas se hará "basándose en las adaptaciones curriculares cursadas en bachillerato, las cuales estarán debidamente informadas por los correspondientes servicios de orientación".</w:t>
      </w:r>
    </w:p>
  </w:footnote>
  <w:footnote w:id="61">
    <w:p w:rsidR="005E1103" w:rsidRDefault="005E1103" w:rsidP="0046263B">
      <w:pPr>
        <w:pStyle w:val="Textonotapie"/>
        <w:jc w:val="both"/>
      </w:pPr>
      <w:r>
        <w:rPr>
          <w:rStyle w:val="Refdenotaalpie"/>
        </w:rPr>
        <w:footnoteRef/>
      </w:r>
      <w:r>
        <w:t xml:space="preserve"> En todo este proceso, fue fundamental la ayuda de su logopeda, directora de la Fundación Oír es Clave, Carmen Abascal. </w:t>
      </w:r>
      <w:hyperlink r:id="rId8" w:history="1">
        <w:r w:rsidRPr="0013606A">
          <w:rPr>
            <w:rStyle w:val="Hipervnculo"/>
          </w:rPr>
          <w:t>http://www.oiresclave.org/</w:t>
        </w:r>
      </w:hyperlink>
    </w:p>
    <w:p w:rsidR="005E1103" w:rsidRPr="00736862" w:rsidRDefault="005E1103" w:rsidP="0046263B">
      <w:pPr>
        <w:pStyle w:val="Textonotapie"/>
        <w:jc w:val="both"/>
      </w:pPr>
    </w:p>
  </w:footnote>
  <w:footnote w:id="62">
    <w:p w:rsidR="005E1103" w:rsidRPr="0011563F" w:rsidRDefault="005E1103" w:rsidP="00AD3030">
      <w:pPr>
        <w:pStyle w:val="Textonotapie"/>
        <w:spacing w:before="60"/>
        <w:jc w:val="both"/>
      </w:pPr>
      <w:r w:rsidRPr="0011563F">
        <w:rPr>
          <w:rStyle w:val="Refdenotaalpie"/>
        </w:rPr>
        <w:footnoteRef/>
      </w:r>
      <w:r w:rsidRPr="0011563F">
        <w:t xml:space="preserve"> </w:t>
      </w:r>
      <w:r>
        <w:t>Aquella que permite</w:t>
      </w:r>
      <w:r w:rsidRPr="0011563F">
        <w:t xml:space="preserve"> desarrollar innovaciones transferibles a las empresas para mejorar sus rendimientos productivos.</w:t>
      </w:r>
      <w:r w:rsidRPr="0011563F">
        <w:rPr>
          <w:rFonts w:eastAsiaTheme="minorHAnsi"/>
          <w:lang w:eastAsia="en-US"/>
        </w:rPr>
        <w:t xml:space="preserve"> </w:t>
      </w:r>
    </w:p>
  </w:footnote>
  <w:footnote w:id="63">
    <w:p w:rsidR="005E1103" w:rsidRPr="0011563F" w:rsidRDefault="005E1103" w:rsidP="00AD3030">
      <w:pPr>
        <w:pStyle w:val="Textonotapie"/>
        <w:spacing w:before="60"/>
        <w:jc w:val="both"/>
      </w:pPr>
      <w:r w:rsidRPr="0011563F">
        <w:rPr>
          <w:rStyle w:val="Refdenotaalpie"/>
        </w:rPr>
        <w:footnoteRef/>
      </w:r>
      <w:r w:rsidRPr="0011563F">
        <w:t xml:space="preserve"> Triple hélice de la investigación </w:t>
      </w:r>
      <w:r w:rsidRPr="0011563F">
        <w:rPr>
          <w:rFonts w:eastAsia="SimSun"/>
        </w:rPr>
        <w:t xml:space="preserve">propuesto por Etzkowitz o Leydesdorff, reconociendo un especial rol a las instituciones de educación superior en el desarrollo de </w:t>
      </w:r>
      <w:r>
        <w:rPr>
          <w:rFonts w:eastAsia="SimSun"/>
        </w:rPr>
        <w:t xml:space="preserve">la </w:t>
      </w:r>
      <w:r w:rsidRPr="0011563F">
        <w:rPr>
          <w:rFonts w:eastAsia="SimSun"/>
        </w:rPr>
        <w:t>investigación básica que permita a las empresas explorar nuevas oportunidades tecnológicas y comerciales</w:t>
      </w:r>
      <w:r>
        <w:rPr>
          <w:rFonts w:eastAsia="SimSun"/>
        </w:rPr>
        <w:t>.</w:t>
      </w:r>
    </w:p>
  </w:footnote>
  <w:footnote w:id="64">
    <w:p w:rsidR="005E1103" w:rsidRPr="0011563F" w:rsidRDefault="005E1103" w:rsidP="00AD3030">
      <w:pPr>
        <w:pStyle w:val="Textonotapie"/>
        <w:spacing w:before="60"/>
        <w:jc w:val="both"/>
      </w:pPr>
      <w:r w:rsidRPr="0011563F">
        <w:rPr>
          <w:rStyle w:val="Refdenotaalpie"/>
        </w:rPr>
        <w:footnoteRef/>
      </w:r>
      <w:r w:rsidRPr="0011563F">
        <w:t xml:space="preserve"> </w:t>
      </w:r>
      <w:r w:rsidRPr="00F537A8">
        <w:rPr>
          <w:i/>
        </w:rPr>
        <w:t>Vi</w:t>
      </w:r>
      <w:r w:rsidRPr="0011563F">
        <w:rPr>
          <w:i/>
        </w:rPr>
        <w:t xml:space="preserve">d. </w:t>
      </w:r>
      <w:r w:rsidRPr="0011563F">
        <w:t xml:space="preserve">PÉREZ BUENO, L.C. y SASTRE, A. (2009) (Dir). </w:t>
      </w:r>
      <w:r w:rsidRPr="0011563F">
        <w:rPr>
          <w:i/>
          <w:iCs/>
        </w:rPr>
        <w:t>Derechos Humanos y Discapacidad</w:t>
      </w:r>
      <w:r w:rsidRPr="0011563F">
        <w:t xml:space="preserve">. Los derechos sociales de las personas con discapacidad deberían ser considerados de primera generación y, en línea con lo que sostiene la doctrina progresista </w:t>
      </w:r>
      <w:r>
        <w:t>-</w:t>
      </w:r>
      <w:r w:rsidRPr="0011563F">
        <w:t>Vidal</w:t>
      </w:r>
      <w:r>
        <w:t xml:space="preserve"> </w:t>
      </w:r>
      <w:r w:rsidRPr="0011563F">
        <w:t>Gil, Sastre, Ferrajoli, Pérez Luño o Pisarello-, ser complementarios o de continuidad de los derechos civiles o de primera generación.</w:t>
      </w:r>
    </w:p>
  </w:footnote>
  <w:footnote w:id="65">
    <w:p w:rsidR="005E1103" w:rsidRPr="0011563F" w:rsidRDefault="005E1103" w:rsidP="00AD3030">
      <w:pPr>
        <w:pStyle w:val="Textonotapie"/>
        <w:spacing w:before="60"/>
        <w:jc w:val="both"/>
      </w:pPr>
      <w:r w:rsidRPr="0011563F">
        <w:rPr>
          <w:rStyle w:val="Refdenotaalpie"/>
        </w:rPr>
        <w:footnoteRef/>
      </w:r>
      <w:r w:rsidRPr="0011563F">
        <w:t xml:space="preserve"> </w:t>
      </w:r>
      <w:r w:rsidRPr="0011563F">
        <w:rPr>
          <w:bCs/>
        </w:rPr>
        <w:t>Si trasladáramos este modelo económico desde el ámbito empresarial –en el que ya se han constatado resultados muy positivos– al universitario, podría medirse el estado de bienestar de todos los miembros de la comunidad universitaria de acuerdo a factores como la satisfacción del alumno, la calidad de la enseñanza y de los servicios, la motivación de los trabajadores o la conciliación en el trabajo.</w:t>
      </w:r>
    </w:p>
  </w:footnote>
  <w:footnote w:id="66">
    <w:p w:rsidR="005E1103" w:rsidRPr="0011563F" w:rsidRDefault="005E1103" w:rsidP="00AD3030">
      <w:pPr>
        <w:pStyle w:val="Textonotapie"/>
        <w:spacing w:before="60" w:after="120"/>
        <w:jc w:val="both"/>
      </w:pPr>
      <w:r w:rsidRPr="0011563F">
        <w:rPr>
          <w:rStyle w:val="Refdenotaalpie"/>
        </w:rPr>
        <w:footnoteRef/>
      </w:r>
      <w:r w:rsidRPr="0011563F">
        <w:t xml:space="preserve"> </w:t>
      </w:r>
      <w:r w:rsidRPr="0011563F">
        <w:rPr>
          <w:i/>
        </w:rPr>
        <w:t xml:space="preserve">Vid. </w:t>
      </w:r>
      <w:r w:rsidRPr="0011563F">
        <w:t xml:space="preserve">FELBER, C. </w:t>
      </w:r>
      <w:r w:rsidRPr="0011563F">
        <w:rPr>
          <w:i/>
        </w:rPr>
        <w:t>La Economía del Bien Común</w:t>
      </w:r>
      <w:r w:rsidRPr="0011563F">
        <w:t>. Matriz del Bien Común. Pp. 58 y 599. Felber propone esta matriz de medición para que el balance con el que las empresas o en este caso concreto las instituciones rindan cuentas a la sociedad que les acoge, cumpliendo con ocho criterios obligatorios: compromiso, totalidad, capacidad de medición, comparabilidad, claridad, de carácter público, auditoría externa y consecuencias jurídicas.</w:t>
      </w:r>
    </w:p>
  </w:footnote>
  <w:footnote w:id="67">
    <w:p w:rsidR="005E1103" w:rsidRDefault="005E1103" w:rsidP="008949B1">
      <w:pPr>
        <w:pStyle w:val="Standard"/>
        <w:tabs>
          <w:tab w:val="right" w:pos="8504"/>
        </w:tabs>
        <w:spacing w:line="360" w:lineRule="auto"/>
      </w:pPr>
      <w:r>
        <w:rPr>
          <w:rStyle w:val="Refdenotaalpie"/>
        </w:rPr>
        <w:footnoteRef/>
      </w:r>
      <w:r>
        <w:t xml:space="preserve"> </w:t>
      </w:r>
      <w:r>
        <w:rPr>
          <w:sz w:val="20"/>
        </w:rPr>
        <w:t>Las Tecnologías de la información y la comunicación en la formación docente. Guía de planificación. División de Educación Superior, 2004, UNESCO.</w:t>
      </w:r>
    </w:p>
    <w:p w:rsidR="005E1103" w:rsidRDefault="005E1103" w:rsidP="008949B1">
      <w:pPr>
        <w:pStyle w:val="Textonotapie"/>
      </w:pPr>
    </w:p>
  </w:footnote>
  <w:footnote w:id="68">
    <w:p w:rsidR="005E1103" w:rsidRPr="00B63D17" w:rsidRDefault="005E1103" w:rsidP="00033066">
      <w:pPr>
        <w:pStyle w:val="Textonotapie"/>
      </w:pPr>
      <w:r>
        <w:rPr>
          <w:rStyle w:val="Refdenotaalpie"/>
        </w:rPr>
        <w:footnoteRef/>
      </w:r>
      <w:r>
        <w:t xml:space="preserve"> Financiado por el Ministerio de Industria, Energía y Turismo. </w:t>
      </w:r>
    </w:p>
  </w:footnote>
  <w:footnote w:id="69">
    <w:p w:rsidR="005E1103" w:rsidRPr="00992DE5" w:rsidRDefault="005E1103" w:rsidP="00033066">
      <w:pPr>
        <w:pStyle w:val="Textonotapie"/>
        <w:spacing w:line="360" w:lineRule="auto"/>
      </w:pPr>
      <w:r w:rsidRPr="00992DE5">
        <w:rPr>
          <w:rStyle w:val="Refdenotaalpie"/>
        </w:rPr>
        <w:footnoteRef/>
      </w:r>
      <w:r w:rsidRPr="00992DE5">
        <w:t xml:space="preserve"> Término utilizad</w:t>
      </w:r>
      <w:r>
        <w:t xml:space="preserve">o en el propio estudio que incluye a las personas con diversidad intelectual. </w:t>
      </w:r>
    </w:p>
  </w:footnote>
  <w:footnote w:id="70">
    <w:p w:rsidR="005E1103" w:rsidRPr="007956F6" w:rsidRDefault="005E1103" w:rsidP="00033066">
      <w:pPr>
        <w:pStyle w:val="Textonotapie"/>
        <w:rPr>
          <w:sz w:val="16"/>
          <w:szCs w:val="16"/>
        </w:rPr>
      </w:pPr>
      <w:r w:rsidRPr="007956F6">
        <w:rPr>
          <w:rStyle w:val="Refdenotaalpie"/>
          <w:sz w:val="16"/>
          <w:szCs w:val="16"/>
        </w:rPr>
        <w:footnoteRef/>
      </w:r>
      <w:r w:rsidRPr="007956F6">
        <w:rPr>
          <w:sz w:val="16"/>
          <w:szCs w:val="16"/>
        </w:rPr>
        <w:t xml:space="preserve"> https://www.asus.com/es/Networking/RTAC87U/</w:t>
      </w:r>
    </w:p>
  </w:footnote>
  <w:footnote w:id="71">
    <w:p w:rsidR="005E1103" w:rsidRPr="007956F6" w:rsidRDefault="005E1103" w:rsidP="00033066">
      <w:pPr>
        <w:pStyle w:val="Textonotapie"/>
        <w:rPr>
          <w:sz w:val="16"/>
          <w:szCs w:val="16"/>
        </w:rPr>
      </w:pPr>
      <w:r w:rsidRPr="007956F6">
        <w:rPr>
          <w:rStyle w:val="Refdenotaalpie"/>
          <w:sz w:val="16"/>
          <w:szCs w:val="16"/>
        </w:rPr>
        <w:footnoteRef/>
      </w:r>
      <w:r w:rsidRPr="007956F6">
        <w:rPr>
          <w:sz w:val="16"/>
          <w:szCs w:val="16"/>
        </w:rPr>
        <w:t xml:space="preserve"> http://www.tp-link.es/products/details/TL-WR710N.html</w:t>
      </w:r>
    </w:p>
  </w:footnote>
  <w:footnote w:id="72">
    <w:p w:rsidR="005E1103" w:rsidRPr="001E7970" w:rsidRDefault="005E1103" w:rsidP="00033066">
      <w:pPr>
        <w:pStyle w:val="Textonotapie"/>
        <w:rPr>
          <w:sz w:val="16"/>
          <w:szCs w:val="16"/>
        </w:rPr>
      </w:pPr>
      <w:r w:rsidRPr="001E7970">
        <w:rPr>
          <w:rStyle w:val="Refdenotaalpie"/>
          <w:sz w:val="16"/>
          <w:szCs w:val="16"/>
        </w:rPr>
        <w:footnoteRef/>
      </w:r>
      <w:r w:rsidRPr="001E7970">
        <w:rPr>
          <w:sz w:val="16"/>
          <w:szCs w:val="16"/>
        </w:rPr>
        <w:t xml:space="preserve"> http://www.plantronics.com/es/product/savi-400?skuId=sku6530078</w:t>
      </w:r>
    </w:p>
  </w:footnote>
  <w:footnote w:id="73">
    <w:p w:rsidR="005E1103" w:rsidRPr="009D634C" w:rsidRDefault="005E1103" w:rsidP="00033066">
      <w:pPr>
        <w:pStyle w:val="Textonotapie"/>
        <w:rPr>
          <w:sz w:val="16"/>
          <w:szCs w:val="16"/>
        </w:rPr>
      </w:pPr>
      <w:r w:rsidRPr="009D634C">
        <w:rPr>
          <w:rStyle w:val="Refdenotaalpie"/>
          <w:sz w:val="16"/>
          <w:szCs w:val="16"/>
        </w:rPr>
        <w:footnoteRef/>
      </w:r>
      <w:r w:rsidRPr="009D634C">
        <w:rPr>
          <w:sz w:val="16"/>
          <w:szCs w:val="16"/>
        </w:rPr>
        <w:t xml:space="preserve"> </w:t>
      </w:r>
      <w:r>
        <w:rPr>
          <w:sz w:val="16"/>
          <w:szCs w:val="16"/>
        </w:rPr>
        <w:t>Entre los posibles motivos se encuentran la saturación de la red, alguna regla de firewall o que los mensajes de broadcast estuvieran limitados.</w:t>
      </w:r>
    </w:p>
  </w:footnote>
  <w:footnote w:id="74">
    <w:p w:rsidR="005E1103" w:rsidRDefault="005E1103" w:rsidP="00033066">
      <w:pPr>
        <w:pStyle w:val="Textonotapie"/>
      </w:pPr>
      <w:r>
        <w:rPr>
          <w:rStyle w:val="Refdenotaalpie"/>
        </w:rPr>
        <w:footnoteRef/>
      </w:r>
      <w:r>
        <w:t xml:space="preserve"> </w:t>
      </w:r>
      <w:r w:rsidRPr="00313E34">
        <w:t>http://nil.fdi.ucm.es/</w:t>
      </w:r>
    </w:p>
  </w:footnote>
  <w:footnote w:id="75">
    <w:p w:rsidR="005E1103" w:rsidRDefault="005E1103" w:rsidP="00033066">
      <w:pPr>
        <w:pStyle w:val="Textonotapie"/>
      </w:pPr>
      <w:r>
        <w:rPr>
          <w:rStyle w:val="Refdenotaalpie"/>
        </w:rPr>
        <w:footnoteRef/>
      </w:r>
      <w:r>
        <w:t xml:space="preserve"> </w:t>
      </w:r>
      <w:r w:rsidRPr="0084592E">
        <w:t>http://hypatia.fdi.ucm.es/proyecto/web/navegafacil.php</w:t>
      </w:r>
    </w:p>
  </w:footnote>
  <w:footnote w:id="76">
    <w:p w:rsidR="005E1103" w:rsidRDefault="005E1103" w:rsidP="00033066">
      <w:pPr>
        <w:pStyle w:val="Textonotapie"/>
      </w:pPr>
      <w:r>
        <w:rPr>
          <w:rStyle w:val="Refdenotaalpie"/>
        </w:rPr>
        <w:footnoteRef/>
      </w:r>
      <w:r>
        <w:t xml:space="preserve"> </w:t>
      </w:r>
      <w:r w:rsidRPr="00D076A6">
        <w:t>http://eprints.ucm.es/26500/</w:t>
      </w:r>
    </w:p>
  </w:footnote>
  <w:footnote w:id="77">
    <w:p w:rsidR="005E1103" w:rsidRDefault="005E1103" w:rsidP="00033066">
      <w:pPr>
        <w:pStyle w:val="Textonotapie"/>
      </w:pPr>
      <w:r>
        <w:rPr>
          <w:rStyle w:val="Refdenotaalpie"/>
        </w:rPr>
        <w:footnoteRef/>
      </w:r>
      <w:r>
        <w:t xml:space="preserve"> </w:t>
      </w:r>
      <w:r w:rsidRPr="00D076A6">
        <w:t>http://eprints.ucm.es/30164/</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E1103" w:rsidRDefault="005E1103">
    <w:pPr>
      <w:pStyle w:val="Encabezado"/>
    </w:pPr>
    <w:r>
      <w:rPr>
        <w:noProof/>
        <w:lang w:eastAsia="es-ES"/>
      </w:rPr>
      <w:drawing>
        <wp:anchor distT="0" distB="0" distL="114300" distR="114300" simplePos="0" relativeHeight="251657216" behindDoc="0" locked="0" layoutInCell="1" allowOverlap="1" wp14:anchorId="3A89A342" wp14:editId="4D48F544">
          <wp:simplePos x="0" y="0"/>
          <wp:positionH relativeFrom="column">
            <wp:posOffset>5324475</wp:posOffset>
          </wp:positionH>
          <wp:positionV relativeFrom="paragraph">
            <wp:posOffset>-342900</wp:posOffset>
          </wp:positionV>
          <wp:extent cx="1619885" cy="480085"/>
          <wp:effectExtent l="0" t="0" r="5715" b="2540"/>
          <wp:wrapNone/>
          <wp:docPr id="3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5"/>
                  <pic:cNvPicPr>
                    <a:picLocks noChangeAspect="1" noChangeArrowheads="1"/>
                  </pic:cNvPicPr>
                </pic:nvPicPr>
                <pic:blipFill>
                  <a:blip r:embed="rId1">
                    <a:alphaModFix/>
                    <a:extLst>
                      <a:ext uri="{28A0092B-C50C-407E-A947-70E740481C1C}">
                        <a14:useLocalDpi xmlns:a14="http://schemas.microsoft.com/office/drawing/2010/main" val="0"/>
                      </a:ext>
                    </a:extLst>
                  </a:blip>
                  <a:srcRect/>
                  <a:stretch>
                    <a:fillRect/>
                  </a:stretch>
                </pic:blipFill>
                <pic:spPr bwMode="auto">
                  <a:xfrm>
                    <a:off x="0" y="0"/>
                    <a:ext cx="1619885" cy="48008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E1103" w:rsidRDefault="005E1103">
    <w:pPr>
      <w:pStyle w:val="Encabezado"/>
    </w:pPr>
    <w:r>
      <w:rPr>
        <w:noProof/>
        <w:lang w:eastAsia="es-ES"/>
      </w:rPr>
      <w:drawing>
        <wp:anchor distT="0" distB="0" distL="114300" distR="114300" simplePos="0" relativeHeight="251658240" behindDoc="0" locked="0" layoutInCell="1" allowOverlap="1" wp14:anchorId="02F606D3" wp14:editId="33708D51">
          <wp:simplePos x="0" y="0"/>
          <wp:positionH relativeFrom="column">
            <wp:posOffset>5324475</wp:posOffset>
          </wp:positionH>
          <wp:positionV relativeFrom="paragraph">
            <wp:posOffset>-342900</wp:posOffset>
          </wp:positionV>
          <wp:extent cx="1619885" cy="480085"/>
          <wp:effectExtent l="0" t="0" r="5715" b="2540"/>
          <wp:wrapNone/>
          <wp:docPr id="3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5"/>
                  <pic:cNvPicPr>
                    <a:picLocks noChangeAspect="1" noChangeArrowheads="1"/>
                  </pic:cNvPicPr>
                </pic:nvPicPr>
                <pic:blipFill>
                  <a:blip r:embed="rId1">
                    <a:alphaModFix/>
                    <a:extLst>
                      <a:ext uri="{28A0092B-C50C-407E-A947-70E740481C1C}">
                        <a14:useLocalDpi xmlns:a14="http://schemas.microsoft.com/office/drawing/2010/main" val="0"/>
                      </a:ext>
                    </a:extLst>
                  </a:blip>
                  <a:srcRect/>
                  <a:stretch>
                    <a:fillRect/>
                  </a:stretch>
                </pic:blipFill>
                <pic:spPr bwMode="auto">
                  <a:xfrm>
                    <a:off x="0" y="0"/>
                    <a:ext cx="1619885" cy="48008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E1103" w:rsidRDefault="005E1103">
    <w:pPr>
      <w:pStyle w:val="Encabezado"/>
    </w:pPr>
    <w:r>
      <w:rPr>
        <w:noProof/>
        <w:lang w:eastAsia="es-ES"/>
      </w:rPr>
      <w:drawing>
        <wp:anchor distT="0" distB="0" distL="114300" distR="114300" simplePos="0" relativeHeight="251656192" behindDoc="0" locked="0" layoutInCell="1" allowOverlap="1" wp14:anchorId="558EE099" wp14:editId="654B2B3E">
          <wp:simplePos x="0" y="0"/>
          <wp:positionH relativeFrom="column">
            <wp:posOffset>4372292</wp:posOffset>
          </wp:positionH>
          <wp:positionV relativeFrom="paragraph">
            <wp:posOffset>-206692</wp:posOffset>
          </wp:positionV>
          <wp:extent cx="1619885" cy="480085"/>
          <wp:effectExtent l="0" t="0" r="0" b="0"/>
          <wp:wrapNone/>
          <wp:docPr id="1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5"/>
                  <pic:cNvPicPr>
                    <a:picLocks noChangeAspect="1" noChangeArrowheads="1"/>
                  </pic:cNvPicPr>
                </pic:nvPicPr>
                <pic:blipFill>
                  <a:blip r:embed="rId1">
                    <a:alphaModFix/>
                    <a:extLst>
                      <a:ext uri="{28A0092B-C50C-407E-A947-70E740481C1C}">
                        <a14:useLocalDpi xmlns:a14="http://schemas.microsoft.com/office/drawing/2010/main" val="0"/>
                      </a:ext>
                    </a:extLst>
                  </a:blip>
                  <a:srcRect/>
                  <a:stretch>
                    <a:fillRect/>
                  </a:stretch>
                </pic:blipFill>
                <pic:spPr bwMode="auto">
                  <a:xfrm>
                    <a:off x="0" y="0"/>
                    <a:ext cx="1619885" cy="48008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6B9848FE"/>
    <w:lvl w:ilvl="0">
      <w:start w:val="1"/>
      <w:numFmt w:val="bullet"/>
      <w:pStyle w:val="Listaconvietas2"/>
      <w:lvlText w:val=""/>
      <w:lvlJc w:val="left"/>
      <w:pPr>
        <w:tabs>
          <w:tab w:val="num" w:pos="643"/>
        </w:tabs>
        <w:ind w:left="643" w:hanging="360"/>
      </w:pPr>
      <w:rPr>
        <w:rFonts w:ascii="Symbol" w:hAnsi="Symbol" w:hint="default"/>
      </w:rPr>
    </w:lvl>
  </w:abstractNum>
  <w:abstractNum w:abstractNumId="1">
    <w:nsid w:val="FFFFFF88"/>
    <w:multiLevelType w:val="singleLevel"/>
    <w:tmpl w:val="677A157E"/>
    <w:lvl w:ilvl="0">
      <w:start w:val="1"/>
      <w:numFmt w:val="decimal"/>
      <w:pStyle w:val="Listaconnmeros"/>
      <w:lvlText w:val="%1."/>
      <w:lvlJc w:val="left"/>
      <w:pPr>
        <w:tabs>
          <w:tab w:val="num" w:pos="360"/>
        </w:tabs>
        <w:ind w:left="360" w:hanging="360"/>
      </w:pPr>
    </w:lvl>
  </w:abstractNum>
  <w:abstractNum w:abstractNumId="2">
    <w:nsid w:val="0000001C"/>
    <w:multiLevelType w:val="singleLevel"/>
    <w:tmpl w:val="0000001C"/>
    <w:name w:val="WW8Num35"/>
    <w:lvl w:ilvl="0">
      <w:start w:val="1"/>
      <w:numFmt w:val="lowerLetter"/>
      <w:lvlText w:val="%1."/>
      <w:lvlJc w:val="left"/>
      <w:pPr>
        <w:tabs>
          <w:tab w:val="num" w:pos="0"/>
        </w:tabs>
        <w:ind w:left="720" w:hanging="360"/>
      </w:pPr>
      <w:rPr>
        <w:rFonts w:ascii="Cambria" w:hAnsi="Cambria" w:cs="Cambria" w:hint="default"/>
        <w:b/>
        <w:sz w:val="24"/>
        <w:szCs w:val="24"/>
        <w:lang w:val="es-ES" w:eastAsia="en-US" w:bidi="en-US"/>
      </w:rPr>
    </w:lvl>
  </w:abstractNum>
  <w:abstractNum w:abstractNumId="3">
    <w:nsid w:val="005453E9"/>
    <w:multiLevelType w:val="hybridMultilevel"/>
    <w:tmpl w:val="25D00EF0"/>
    <w:lvl w:ilvl="0" w:tplc="F0020B42">
      <w:start w:val="1"/>
      <w:numFmt w:val="bullet"/>
      <w:lvlText w:val="-"/>
      <w:lvlJc w:val="left"/>
      <w:pPr>
        <w:ind w:left="720" w:hanging="360"/>
      </w:pPr>
      <w:rPr>
        <w:rFonts w:ascii="Times New Roman" w:eastAsiaTheme="minorHAnsi" w:hAnsi="Times New Roman" w:cs="Times New Roman"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01BD5609"/>
    <w:multiLevelType w:val="hybridMultilevel"/>
    <w:tmpl w:val="9DE83656"/>
    <w:lvl w:ilvl="0" w:tplc="E81E45D0">
      <w:start w:val="1"/>
      <w:numFmt w:val="decimal"/>
      <w:lvlText w:val="%1."/>
      <w:lvlJc w:val="left"/>
      <w:pPr>
        <w:tabs>
          <w:tab w:val="num" w:pos="720"/>
        </w:tabs>
        <w:ind w:left="720" w:hanging="360"/>
      </w:pPr>
    </w:lvl>
    <w:lvl w:ilvl="1" w:tplc="C5FAB7B0" w:tentative="1">
      <w:start w:val="1"/>
      <w:numFmt w:val="decimal"/>
      <w:lvlText w:val="%2."/>
      <w:lvlJc w:val="left"/>
      <w:pPr>
        <w:tabs>
          <w:tab w:val="num" w:pos="1440"/>
        </w:tabs>
        <w:ind w:left="1440" w:hanging="360"/>
      </w:pPr>
    </w:lvl>
    <w:lvl w:ilvl="2" w:tplc="66289F76" w:tentative="1">
      <w:start w:val="1"/>
      <w:numFmt w:val="decimal"/>
      <w:lvlText w:val="%3."/>
      <w:lvlJc w:val="left"/>
      <w:pPr>
        <w:tabs>
          <w:tab w:val="num" w:pos="2160"/>
        </w:tabs>
        <w:ind w:left="2160" w:hanging="360"/>
      </w:pPr>
    </w:lvl>
    <w:lvl w:ilvl="3" w:tplc="E5C43ED8" w:tentative="1">
      <w:start w:val="1"/>
      <w:numFmt w:val="decimal"/>
      <w:lvlText w:val="%4."/>
      <w:lvlJc w:val="left"/>
      <w:pPr>
        <w:tabs>
          <w:tab w:val="num" w:pos="2880"/>
        </w:tabs>
        <w:ind w:left="2880" w:hanging="360"/>
      </w:pPr>
    </w:lvl>
    <w:lvl w:ilvl="4" w:tplc="6974FD08" w:tentative="1">
      <w:start w:val="1"/>
      <w:numFmt w:val="decimal"/>
      <w:lvlText w:val="%5."/>
      <w:lvlJc w:val="left"/>
      <w:pPr>
        <w:tabs>
          <w:tab w:val="num" w:pos="3600"/>
        </w:tabs>
        <w:ind w:left="3600" w:hanging="360"/>
      </w:pPr>
    </w:lvl>
    <w:lvl w:ilvl="5" w:tplc="B5FAA67A" w:tentative="1">
      <w:start w:val="1"/>
      <w:numFmt w:val="decimal"/>
      <w:lvlText w:val="%6."/>
      <w:lvlJc w:val="left"/>
      <w:pPr>
        <w:tabs>
          <w:tab w:val="num" w:pos="4320"/>
        </w:tabs>
        <w:ind w:left="4320" w:hanging="360"/>
      </w:pPr>
    </w:lvl>
    <w:lvl w:ilvl="6" w:tplc="0654271E" w:tentative="1">
      <w:start w:val="1"/>
      <w:numFmt w:val="decimal"/>
      <w:lvlText w:val="%7."/>
      <w:lvlJc w:val="left"/>
      <w:pPr>
        <w:tabs>
          <w:tab w:val="num" w:pos="5040"/>
        </w:tabs>
        <w:ind w:left="5040" w:hanging="360"/>
      </w:pPr>
    </w:lvl>
    <w:lvl w:ilvl="7" w:tplc="25C6680C" w:tentative="1">
      <w:start w:val="1"/>
      <w:numFmt w:val="decimal"/>
      <w:lvlText w:val="%8."/>
      <w:lvlJc w:val="left"/>
      <w:pPr>
        <w:tabs>
          <w:tab w:val="num" w:pos="5760"/>
        </w:tabs>
        <w:ind w:left="5760" w:hanging="360"/>
      </w:pPr>
    </w:lvl>
    <w:lvl w:ilvl="8" w:tplc="F01ACF02" w:tentative="1">
      <w:start w:val="1"/>
      <w:numFmt w:val="decimal"/>
      <w:lvlText w:val="%9."/>
      <w:lvlJc w:val="left"/>
      <w:pPr>
        <w:tabs>
          <w:tab w:val="num" w:pos="6480"/>
        </w:tabs>
        <w:ind w:left="6480" w:hanging="360"/>
      </w:pPr>
    </w:lvl>
  </w:abstractNum>
  <w:abstractNum w:abstractNumId="5">
    <w:nsid w:val="02897B92"/>
    <w:multiLevelType w:val="hybridMultilevel"/>
    <w:tmpl w:val="D0FAC82E"/>
    <w:lvl w:ilvl="0" w:tplc="0C0A0001">
      <w:start w:val="1"/>
      <w:numFmt w:val="bullet"/>
      <w:lvlText w:val=""/>
      <w:lvlJc w:val="left"/>
      <w:pPr>
        <w:ind w:left="765" w:hanging="360"/>
      </w:pPr>
      <w:rPr>
        <w:rFonts w:ascii="Symbol" w:hAnsi="Symbol" w:hint="default"/>
      </w:rPr>
    </w:lvl>
    <w:lvl w:ilvl="1" w:tplc="0C0A0003" w:tentative="1">
      <w:start w:val="1"/>
      <w:numFmt w:val="bullet"/>
      <w:lvlText w:val="o"/>
      <w:lvlJc w:val="left"/>
      <w:pPr>
        <w:ind w:left="1485" w:hanging="360"/>
      </w:pPr>
      <w:rPr>
        <w:rFonts w:ascii="Courier New" w:hAnsi="Courier New" w:hint="default"/>
      </w:rPr>
    </w:lvl>
    <w:lvl w:ilvl="2" w:tplc="0C0A0005" w:tentative="1">
      <w:start w:val="1"/>
      <w:numFmt w:val="bullet"/>
      <w:lvlText w:val=""/>
      <w:lvlJc w:val="left"/>
      <w:pPr>
        <w:ind w:left="2205" w:hanging="360"/>
      </w:pPr>
      <w:rPr>
        <w:rFonts w:ascii="Wingdings" w:hAnsi="Wingdings" w:hint="default"/>
      </w:rPr>
    </w:lvl>
    <w:lvl w:ilvl="3" w:tplc="0C0A0001" w:tentative="1">
      <w:start w:val="1"/>
      <w:numFmt w:val="bullet"/>
      <w:lvlText w:val=""/>
      <w:lvlJc w:val="left"/>
      <w:pPr>
        <w:ind w:left="2925" w:hanging="360"/>
      </w:pPr>
      <w:rPr>
        <w:rFonts w:ascii="Symbol" w:hAnsi="Symbol" w:hint="default"/>
      </w:rPr>
    </w:lvl>
    <w:lvl w:ilvl="4" w:tplc="0C0A0003" w:tentative="1">
      <w:start w:val="1"/>
      <w:numFmt w:val="bullet"/>
      <w:lvlText w:val="o"/>
      <w:lvlJc w:val="left"/>
      <w:pPr>
        <w:ind w:left="3645" w:hanging="360"/>
      </w:pPr>
      <w:rPr>
        <w:rFonts w:ascii="Courier New" w:hAnsi="Courier New" w:hint="default"/>
      </w:rPr>
    </w:lvl>
    <w:lvl w:ilvl="5" w:tplc="0C0A0005" w:tentative="1">
      <w:start w:val="1"/>
      <w:numFmt w:val="bullet"/>
      <w:lvlText w:val=""/>
      <w:lvlJc w:val="left"/>
      <w:pPr>
        <w:ind w:left="4365" w:hanging="360"/>
      </w:pPr>
      <w:rPr>
        <w:rFonts w:ascii="Wingdings" w:hAnsi="Wingdings" w:hint="default"/>
      </w:rPr>
    </w:lvl>
    <w:lvl w:ilvl="6" w:tplc="0C0A0001" w:tentative="1">
      <w:start w:val="1"/>
      <w:numFmt w:val="bullet"/>
      <w:lvlText w:val=""/>
      <w:lvlJc w:val="left"/>
      <w:pPr>
        <w:ind w:left="5085" w:hanging="360"/>
      </w:pPr>
      <w:rPr>
        <w:rFonts w:ascii="Symbol" w:hAnsi="Symbol" w:hint="default"/>
      </w:rPr>
    </w:lvl>
    <w:lvl w:ilvl="7" w:tplc="0C0A0003" w:tentative="1">
      <w:start w:val="1"/>
      <w:numFmt w:val="bullet"/>
      <w:lvlText w:val="o"/>
      <w:lvlJc w:val="left"/>
      <w:pPr>
        <w:ind w:left="5805" w:hanging="360"/>
      </w:pPr>
      <w:rPr>
        <w:rFonts w:ascii="Courier New" w:hAnsi="Courier New" w:hint="default"/>
      </w:rPr>
    </w:lvl>
    <w:lvl w:ilvl="8" w:tplc="0C0A0005" w:tentative="1">
      <w:start w:val="1"/>
      <w:numFmt w:val="bullet"/>
      <w:lvlText w:val=""/>
      <w:lvlJc w:val="left"/>
      <w:pPr>
        <w:ind w:left="6525" w:hanging="360"/>
      </w:pPr>
      <w:rPr>
        <w:rFonts w:ascii="Wingdings" w:hAnsi="Wingdings" w:hint="default"/>
      </w:rPr>
    </w:lvl>
  </w:abstractNum>
  <w:abstractNum w:abstractNumId="6">
    <w:nsid w:val="03A32113"/>
    <w:multiLevelType w:val="hybridMultilevel"/>
    <w:tmpl w:val="D8DCFE54"/>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7">
    <w:nsid w:val="03AC0865"/>
    <w:multiLevelType w:val="hybridMultilevel"/>
    <w:tmpl w:val="82020744"/>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nsid w:val="04D3326F"/>
    <w:multiLevelType w:val="hybridMultilevel"/>
    <w:tmpl w:val="D8AE0C9E"/>
    <w:lvl w:ilvl="0" w:tplc="16284A4C">
      <w:numFmt w:val="bullet"/>
      <w:lvlText w:val=""/>
      <w:lvlJc w:val="left"/>
      <w:pPr>
        <w:ind w:left="720" w:hanging="360"/>
      </w:pPr>
      <w:rPr>
        <w:rFonts w:ascii="Symbol" w:eastAsiaTheme="minorHAnsi" w:hAnsi="Symbol" w:cs="Aria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9">
    <w:nsid w:val="05AD7183"/>
    <w:multiLevelType w:val="hybridMultilevel"/>
    <w:tmpl w:val="10F26038"/>
    <w:lvl w:ilvl="0" w:tplc="0C0A0003">
      <w:start w:val="1"/>
      <w:numFmt w:val="bullet"/>
      <w:lvlText w:val="o"/>
      <w:lvlJc w:val="left"/>
      <w:pPr>
        <w:ind w:left="1440" w:hanging="360"/>
      </w:pPr>
      <w:rPr>
        <w:rFonts w:ascii="Courier New" w:hAnsi="Courier New" w:cs="Courier New"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0">
    <w:nsid w:val="060C1757"/>
    <w:multiLevelType w:val="hybridMultilevel"/>
    <w:tmpl w:val="057E2AC6"/>
    <w:lvl w:ilvl="0" w:tplc="040A000F">
      <w:start w:val="1"/>
      <w:numFmt w:val="decimal"/>
      <w:lvlText w:val="%1."/>
      <w:lvlJc w:val="left"/>
      <w:pPr>
        <w:ind w:left="720" w:hanging="360"/>
      </w:pPr>
      <w:rPr>
        <w:rFonts w:hint="default"/>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1">
    <w:nsid w:val="06B208B7"/>
    <w:multiLevelType w:val="multilevel"/>
    <w:tmpl w:val="46825BF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nsid w:val="0793456D"/>
    <w:multiLevelType w:val="hybridMultilevel"/>
    <w:tmpl w:val="5EA0819E"/>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08B12D1E"/>
    <w:multiLevelType w:val="hybridMultilevel"/>
    <w:tmpl w:val="D2521EC8"/>
    <w:lvl w:ilvl="0" w:tplc="B71C45DC">
      <w:start w:val="1"/>
      <w:numFmt w:val="decimal"/>
      <w:lvlText w:val="%1."/>
      <w:lvlJc w:val="left"/>
      <w:pPr>
        <w:ind w:left="360" w:hanging="360"/>
      </w:pPr>
      <w:rPr>
        <w:rFonts w:hint="default"/>
        <w:color w:val="auto"/>
        <w:sz w:val="22"/>
      </w:r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4">
    <w:nsid w:val="09606BA2"/>
    <w:multiLevelType w:val="multilevel"/>
    <w:tmpl w:val="EFD8CA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097500F7"/>
    <w:multiLevelType w:val="hybridMultilevel"/>
    <w:tmpl w:val="B6F8D446"/>
    <w:lvl w:ilvl="0" w:tplc="C16E376A">
      <w:start w:val="7"/>
      <w:numFmt w:val="bullet"/>
      <w:lvlText w:val="-"/>
      <w:lvlJc w:val="left"/>
      <w:pPr>
        <w:ind w:left="360" w:hanging="360"/>
      </w:pPr>
      <w:rPr>
        <w:rFonts w:ascii="Times New Roman" w:eastAsiaTheme="minorEastAsia"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nsid w:val="0A4D59F8"/>
    <w:multiLevelType w:val="hybridMultilevel"/>
    <w:tmpl w:val="7654E7FA"/>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nsid w:val="0BE15BF7"/>
    <w:multiLevelType w:val="hybridMultilevel"/>
    <w:tmpl w:val="B726C94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nsid w:val="0C3F76B3"/>
    <w:multiLevelType w:val="hybridMultilevel"/>
    <w:tmpl w:val="1D7A3D4E"/>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nsid w:val="0C623DAB"/>
    <w:multiLevelType w:val="hybridMultilevel"/>
    <w:tmpl w:val="76C289AE"/>
    <w:lvl w:ilvl="0" w:tplc="040A000F">
      <w:start w:val="1"/>
      <w:numFmt w:val="decimal"/>
      <w:lvlText w:val="%1."/>
      <w:lvlJc w:val="left"/>
      <w:pPr>
        <w:ind w:left="720" w:hanging="360"/>
      </w:pPr>
      <w:rPr>
        <w:rFonts w:cs="Times New Roman" w:hint="default"/>
      </w:rPr>
    </w:lvl>
    <w:lvl w:ilvl="1" w:tplc="040A0019" w:tentative="1">
      <w:start w:val="1"/>
      <w:numFmt w:val="lowerLetter"/>
      <w:lvlText w:val="%2."/>
      <w:lvlJc w:val="left"/>
      <w:pPr>
        <w:ind w:left="1440" w:hanging="360"/>
      </w:pPr>
      <w:rPr>
        <w:rFonts w:cs="Times New Roman"/>
      </w:rPr>
    </w:lvl>
    <w:lvl w:ilvl="2" w:tplc="040A001B" w:tentative="1">
      <w:start w:val="1"/>
      <w:numFmt w:val="lowerRoman"/>
      <w:lvlText w:val="%3."/>
      <w:lvlJc w:val="right"/>
      <w:pPr>
        <w:ind w:left="2160" w:hanging="180"/>
      </w:pPr>
      <w:rPr>
        <w:rFonts w:cs="Times New Roman"/>
      </w:rPr>
    </w:lvl>
    <w:lvl w:ilvl="3" w:tplc="040A000F" w:tentative="1">
      <w:start w:val="1"/>
      <w:numFmt w:val="decimal"/>
      <w:lvlText w:val="%4."/>
      <w:lvlJc w:val="left"/>
      <w:pPr>
        <w:ind w:left="2880" w:hanging="360"/>
      </w:pPr>
      <w:rPr>
        <w:rFonts w:cs="Times New Roman"/>
      </w:rPr>
    </w:lvl>
    <w:lvl w:ilvl="4" w:tplc="040A0019" w:tentative="1">
      <w:start w:val="1"/>
      <w:numFmt w:val="lowerLetter"/>
      <w:lvlText w:val="%5."/>
      <w:lvlJc w:val="left"/>
      <w:pPr>
        <w:ind w:left="3600" w:hanging="360"/>
      </w:pPr>
      <w:rPr>
        <w:rFonts w:cs="Times New Roman"/>
      </w:rPr>
    </w:lvl>
    <w:lvl w:ilvl="5" w:tplc="040A001B" w:tentative="1">
      <w:start w:val="1"/>
      <w:numFmt w:val="lowerRoman"/>
      <w:lvlText w:val="%6."/>
      <w:lvlJc w:val="right"/>
      <w:pPr>
        <w:ind w:left="4320" w:hanging="180"/>
      </w:pPr>
      <w:rPr>
        <w:rFonts w:cs="Times New Roman"/>
      </w:rPr>
    </w:lvl>
    <w:lvl w:ilvl="6" w:tplc="040A000F" w:tentative="1">
      <w:start w:val="1"/>
      <w:numFmt w:val="decimal"/>
      <w:lvlText w:val="%7."/>
      <w:lvlJc w:val="left"/>
      <w:pPr>
        <w:ind w:left="5040" w:hanging="360"/>
      </w:pPr>
      <w:rPr>
        <w:rFonts w:cs="Times New Roman"/>
      </w:rPr>
    </w:lvl>
    <w:lvl w:ilvl="7" w:tplc="040A0019" w:tentative="1">
      <w:start w:val="1"/>
      <w:numFmt w:val="lowerLetter"/>
      <w:lvlText w:val="%8."/>
      <w:lvlJc w:val="left"/>
      <w:pPr>
        <w:ind w:left="5760" w:hanging="360"/>
      </w:pPr>
      <w:rPr>
        <w:rFonts w:cs="Times New Roman"/>
      </w:rPr>
    </w:lvl>
    <w:lvl w:ilvl="8" w:tplc="040A001B" w:tentative="1">
      <w:start w:val="1"/>
      <w:numFmt w:val="lowerRoman"/>
      <w:lvlText w:val="%9."/>
      <w:lvlJc w:val="right"/>
      <w:pPr>
        <w:ind w:left="6480" w:hanging="180"/>
      </w:pPr>
      <w:rPr>
        <w:rFonts w:cs="Times New Roman"/>
      </w:rPr>
    </w:lvl>
  </w:abstractNum>
  <w:abstractNum w:abstractNumId="20">
    <w:nsid w:val="0C6F2E2E"/>
    <w:multiLevelType w:val="hybridMultilevel"/>
    <w:tmpl w:val="CF36D76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1">
    <w:nsid w:val="0C7527D8"/>
    <w:multiLevelType w:val="hybridMultilevel"/>
    <w:tmpl w:val="66FC3966"/>
    <w:lvl w:ilvl="0" w:tplc="0C0A0001">
      <w:start w:val="1"/>
      <w:numFmt w:val="bullet"/>
      <w:lvlText w:val=""/>
      <w:lvlJc w:val="left"/>
      <w:pPr>
        <w:ind w:left="1117" w:hanging="360"/>
      </w:pPr>
      <w:rPr>
        <w:rFonts w:ascii="Symbol" w:hAnsi="Symbol" w:hint="default"/>
      </w:rPr>
    </w:lvl>
    <w:lvl w:ilvl="1" w:tplc="0C0A0003" w:tentative="1">
      <w:start w:val="1"/>
      <w:numFmt w:val="bullet"/>
      <w:lvlText w:val="o"/>
      <w:lvlJc w:val="left"/>
      <w:pPr>
        <w:ind w:left="1837" w:hanging="360"/>
      </w:pPr>
      <w:rPr>
        <w:rFonts w:ascii="Courier New" w:hAnsi="Courier New" w:hint="default"/>
      </w:rPr>
    </w:lvl>
    <w:lvl w:ilvl="2" w:tplc="0C0A0005" w:tentative="1">
      <w:start w:val="1"/>
      <w:numFmt w:val="bullet"/>
      <w:lvlText w:val=""/>
      <w:lvlJc w:val="left"/>
      <w:pPr>
        <w:ind w:left="2557" w:hanging="360"/>
      </w:pPr>
      <w:rPr>
        <w:rFonts w:ascii="Wingdings" w:hAnsi="Wingdings" w:hint="default"/>
      </w:rPr>
    </w:lvl>
    <w:lvl w:ilvl="3" w:tplc="0C0A0001" w:tentative="1">
      <w:start w:val="1"/>
      <w:numFmt w:val="bullet"/>
      <w:lvlText w:val=""/>
      <w:lvlJc w:val="left"/>
      <w:pPr>
        <w:ind w:left="3277" w:hanging="360"/>
      </w:pPr>
      <w:rPr>
        <w:rFonts w:ascii="Symbol" w:hAnsi="Symbol" w:hint="default"/>
      </w:rPr>
    </w:lvl>
    <w:lvl w:ilvl="4" w:tplc="0C0A0003" w:tentative="1">
      <w:start w:val="1"/>
      <w:numFmt w:val="bullet"/>
      <w:lvlText w:val="o"/>
      <w:lvlJc w:val="left"/>
      <w:pPr>
        <w:ind w:left="3997" w:hanging="360"/>
      </w:pPr>
      <w:rPr>
        <w:rFonts w:ascii="Courier New" w:hAnsi="Courier New" w:hint="default"/>
      </w:rPr>
    </w:lvl>
    <w:lvl w:ilvl="5" w:tplc="0C0A0005" w:tentative="1">
      <w:start w:val="1"/>
      <w:numFmt w:val="bullet"/>
      <w:lvlText w:val=""/>
      <w:lvlJc w:val="left"/>
      <w:pPr>
        <w:ind w:left="4717" w:hanging="360"/>
      </w:pPr>
      <w:rPr>
        <w:rFonts w:ascii="Wingdings" w:hAnsi="Wingdings" w:hint="default"/>
      </w:rPr>
    </w:lvl>
    <w:lvl w:ilvl="6" w:tplc="0C0A0001" w:tentative="1">
      <w:start w:val="1"/>
      <w:numFmt w:val="bullet"/>
      <w:lvlText w:val=""/>
      <w:lvlJc w:val="left"/>
      <w:pPr>
        <w:ind w:left="5437" w:hanging="360"/>
      </w:pPr>
      <w:rPr>
        <w:rFonts w:ascii="Symbol" w:hAnsi="Symbol" w:hint="default"/>
      </w:rPr>
    </w:lvl>
    <w:lvl w:ilvl="7" w:tplc="0C0A0003" w:tentative="1">
      <w:start w:val="1"/>
      <w:numFmt w:val="bullet"/>
      <w:lvlText w:val="o"/>
      <w:lvlJc w:val="left"/>
      <w:pPr>
        <w:ind w:left="6157" w:hanging="360"/>
      </w:pPr>
      <w:rPr>
        <w:rFonts w:ascii="Courier New" w:hAnsi="Courier New" w:hint="default"/>
      </w:rPr>
    </w:lvl>
    <w:lvl w:ilvl="8" w:tplc="0C0A0005" w:tentative="1">
      <w:start w:val="1"/>
      <w:numFmt w:val="bullet"/>
      <w:lvlText w:val=""/>
      <w:lvlJc w:val="left"/>
      <w:pPr>
        <w:ind w:left="6877" w:hanging="360"/>
      </w:pPr>
      <w:rPr>
        <w:rFonts w:ascii="Wingdings" w:hAnsi="Wingdings" w:hint="default"/>
      </w:rPr>
    </w:lvl>
  </w:abstractNum>
  <w:abstractNum w:abstractNumId="22">
    <w:nsid w:val="0D2A42A5"/>
    <w:multiLevelType w:val="multilevel"/>
    <w:tmpl w:val="CAC0D488"/>
    <w:lvl w:ilvl="0">
      <w:numFmt w:val="bullet"/>
      <w:lvlText w:val=""/>
      <w:lvlJc w:val="left"/>
      <w:rPr>
        <w:rFonts w:ascii="Symbol" w:hAnsi="Symbol"/>
        <w:color w:val="4472C4"/>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23">
    <w:nsid w:val="0D465BDA"/>
    <w:multiLevelType w:val="hybridMultilevel"/>
    <w:tmpl w:val="0314543A"/>
    <w:lvl w:ilvl="0" w:tplc="0C0A0005">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4">
    <w:nsid w:val="0D6C0F69"/>
    <w:multiLevelType w:val="hybridMultilevel"/>
    <w:tmpl w:val="69D8EDCA"/>
    <w:lvl w:ilvl="0" w:tplc="B71C45DC">
      <w:start w:val="1"/>
      <w:numFmt w:val="decimal"/>
      <w:lvlText w:val="%1."/>
      <w:lvlJc w:val="left"/>
      <w:pPr>
        <w:ind w:left="360" w:hanging="360"/>
      </w:pPr>
      <w:rPr>
        <w:rFonts w:hint="default"/>
        <w:color w:val="auto"/>
        <w:sz w:val="22"/>
      </w:r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5">
    <w:nsid w:val="104A2988"/>
    <w:multiLevelType w:val="hybridMultilevel"/>
    <w:tmpl w:val="F48E87D6"/>
    <w:lvl w:ilvl="0" w:tplc="B71C45DC">
      <w:start w:val="1"/>
      <w:numFmt w:val="decimal"/>
      <w:lvlText w:val="%1."/>
      <w:lvlJc w:val="left"/>
      <w:pPr>
        <w:ind w:left="720" w:hanging="360"/>
      </w:pPr>
      <w:rPr>
        <w:rFonts w:hint="default"/>
        <w:color w:val="auto"/>
        <w:sz w:val="22"/>
      </w:rPr>
    </w:lvl>
    <w:lvl w:ilvl="1" w:tplc="B71C45DC">
      <w:start w:val="1"/>
      <w:numFmt w:val="decimal"/>
      <w:lvlText w:val="%2."/>
      <w:lvlJc w:val="left"/>
      <w:pPr>
        <w:ind w:left="1440" w:hanging="360"/>
      </w:pPr>
      <w:rPr>
        <w:rFonts w:hint="default"/>
        <w:color w:val="auto"/>
        <w:sz w:val="22"/>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
    <w:nsid w:val="11E70708"/>
    <w:multiLevelType w:val="hybridMultilevel"/>
    <w:tmpl w:val="F27ABBB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7">
    <w:nsid w:val="120F7ADD"/>
    <w:multiLevelType w:val="hybridMultilevel"/>
    <w:tmpl w:val="074E9380"/>
    <w:lvl w:ilvl="0" w:tplc="5C4C67E4">
      <w:start w:val="1"/>
      <w:numFmt w:val="decimal"/>
      <w:lvlText w:val="%1-"/>
      <w:lvlJc w:val="left"/>
      <w:pPr>
        <w:ind w:left="720" w:hanging="360"/>
      </w:pPr>
      <w:rPr>
        <w:rFonts w:cs="Times New Roman" w:hint="default"/>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28">
    <w:nsid w:val="12660FC4"/>
    <w:multiLevelType w:val="hybridMultilevel"/>
    <w:tmpl w:val="1B9ED89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nsid w:val="12B96D6D"/>
    <w:multiLevelType w:val="hybridMultilevel"/>
    <w:tmpl w:val="5A1C5246"/>
    <w:lvl w:ilvl="0" w:tplc="0C0A0013">
      <w:start w:val="1"/>
      <w:numFmt w:val="upperRoman"/>
      <w:lvlText w:val="%1."/>
      <w:lvlJc w:val="right"/>
      <w:pPr>
        <w:ind w:left="720" w:hanging="360"/>
      </w:pPr>
    </w:lvl>
    <w:lvl w:ilvl="1" w:tplc="ED183B48">
      <w:start w:val="1"/>
      <w:numFmt w:val="bullet"/>
      <w:lvlText w:val="‒"/>
      <w:lvlJc w:val="left"/>
      <w:pPr>
        <w:ind w:left="1440" w:hanging="360"/>
      </w:pPr>
      <w:rPr>
        <w:rFonts w:ascii="Calibri" w:hAnsi="Calibri" w:hint="default"/>
        <w:color w:val="auto"/>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0">
    <w:nsid w:val="12C5314C"/>
    <w:multiLevelType w:val="hybridMultilevel"/>
    <w:tmpl w:val="F90AC14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nsid w:val="14AA7E90"/>
    <w:multiLevelType w:val="hybridMultilevel"/>
    <w:tmpl w:val="17821E5E"/>
    <w:lvl w:ilvl="0" w:tplc="322C0940">
      <w:numFmt w:val="bullet"/>
      <w:lvlText w:val="-"/>
      <w:lvlJc w:val="left"/>
      <w:pPr>
        <w:ind w:left="720" w:hanging="360"/>
      </w:pPr>
      <w:rPr>
        <w:rFonts w:ascii="Arial" w:eastAsia="Times New Roman" w:hAnsi="Arial" w:cs="Aria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nsid w:val="15115E7A"/>
    <w:multiLevelType w:val="hybridMultilevel"/>
    <w:tmpl w:val="4E4053AC"/>
    <w:lvl w:ilvl="0" w:tplc="2C0A000F">
      <w:start w:val="1"/>
      <w:numFmt w:val="decimal"/>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33">
    <w:nsid w:val="153C5E04"/>
    <w:multiLevelType w:val="hybridMultilevel"/>
    <w:tmpl w:val="1A160C2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4">
    <w:nsid w:val="15AA3E6E"/>
    <w:multiLevelType w:val="hybridMultilevel"/>
    <w:tmpl w:val="7E12DE8C"/>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5">
    <w:nsid w:val="15AA4E53"/>
    <w:multiLevelType w:val="hybridMultilevel"/>
    <w:tmpl w:val="B0240AD0"/>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nsid w:val="15F57F6C"/>
    <w:multiLevelType w:val="hybridMultilevel"/>
    <w:tmpl w:val="52BA4226"/>
    <w:lvl w:ilvl="0" w:tplc="0C0A0017">
      <w:start w:val="1"/>
      <w:numFmt w:val="lowerLetter"/>
      <w:lvlText w:val="%1)"/>
      <w:lvlJc w:val="left"/>
      <w:pPr>
        <w:ind w:left="1068" w:hanging="360"/>
      </w:p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37">
    <w:nsid w:val="16BB3978"/>
    <w:multiLevelType w:val="hybridMultilevel"/>
    <w:tmpl w:val="745A1C5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nsid w:val="18047D62"/>
    <w:multiLevelType w:val="hybridMultilevel"/>
    <w:tmpl w:val="E8D6103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9">
    <w:nsid w:val="181C207E"/>
    <w:multiLevelType w:val="hybridMultilevel"/>
    <w:tmpl w:val="B560C85A"/>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0">
    <w:nsid w:val="1A6F3A8A"/>
    <w:multiLevelType w:val="hybridMultilevel"/>
    <w:tmpl w:val="28A25D38"/>
    <w:lvl w:ilvl="0" w:tplc="FA74DD0C">
      <w:start w:val="1"/>
      <w:numFmt w:val="decimal"/>
      <w:lvlText w:val="%1."/>
      <w:lvlJc w:val="left"/>
      <w:pPr>
        <w:ind w:left="420" w:hanging="360"/>
      </w:pPr>
      <w:rPr>
        <w:rFonts w:hint="default"/>
        <w:color w:val="222222"/>
      </w:rPr>
    </w:lvl>
    <w:lvl w:ilvl="1" w:tplc="080A0019" w:tentative="1">
      <w:start w:val="1"/>
      <w:numFmt w:val="lowerLetter"/>
      <w:lvlText w:val="%2."/>
      <w:lvlJc w:val="left"/>
      <w:pPr>
        <w:ind w:left="1140" w:hanging="360"/>
      </w:pPr>
    </w:lvl>
    <w:lvl w:ilvl="2" w:tplc="080A001B" w:tentative="1">
      <w:start w:val="1"/>
      <w:numFmt w:val="lowerRoman"/>
      <w:lvlText w:val="%3."/>
      <w:lvlJc w:val="right"/>
      <w:pPr>
        <w:ind w:left="1860" w:hanging="180"/>
      </w:pPr>
    </w:lvl>
    <w:lvl w:ilvl="3" w:tplc="080A000F" w:tentative="1">
      <w:start w:val="1"/>
      <w:numFmt w:val="decimal"/>
      <w:lvlText w:val="%4."/>
      <w:lvlJc w:val="left"/>
      <w:pPr>
        <w:ind w:left="2580" w:hanging="360"/>
      </w:pPr>
    </w:lvl>
    <w:lvl w:ilvl="4" w:tplc="080A0019" w:tentative="1">
      <w:start w:val="1"/>
      <w:numFmt w:val="lowerLetter"/>
      <w:lvlText w:val="%5."/>
      <w:lvlJc w:val="left"/>
      <w:pPr>
        <w:ind w:left="3300" w:hanging="360"/>
      </w:pPr>
    </w:lvl>
    <w:lvl w:ilvl="5" w:tplc="080A001B" w:tentative="1">
      <w:start w:val="1"/>
      <w:numFmt w:val="lowerRoman"/>
      <w:lvlText w:val="%6."/>
      <w:lvlJc w:val="right"/>
      <w:pPr>
        <w:ind w:left="4020" w:hanging="180"/>
      </w:pPr>
    </w:lvl>
    <w:lvl w:ilvl="6" w:tplc="080A000F" w:tentative="1">
      <w:start w:val="1"/>
      <w:numFmt w:val="decimal"/>
      <w:lvlText w:val="%7."/>
      <w:lvlJc w:val="left"/>
      <w:pPr>
        <w:ind w:left="4740" w:hanging="360"/>
      </w:pPr>
    </w:lvl>
    <w:lvl w:ilvl="7" w:tplc="080A0019" w:tentative="1">
      <w:start w:val="1"/>
      <w:numFmt w:val="lowerLetter"/>
      <w:lvlText w:val="%8."/>
      <w:lvlJc w:val="left"/>
      <w:pPr>
        <w:ind w:left="5460" w:hanging="360"/>
      </w:pPr>
    </w:lvl>
    <w:lvl w:ilvl="8" w:tplc="080A001B" w:tentative="1">
      <w:start w:val="1"/>
      <w:numFmt w:val="lowerRoman"/>
      <w:lvlText w:val="%9."/>
      <w:lvlJc w:val="right"/>
      <w:pPr>
        <w:ind w:left="6180" w:hanging="180"/>
      </w:pPr>
    </w:lvl>
  </w:abstractNum>
  <w:abstractNum w:abstractNumId="41">
    <w:nsid w:val="1B053716"/>
    <w:multiLevelType w:val="hybridMultilevel"/>
    <w:tmpl w:val="8A1A8DAA"/>
    <w:lvl w:ilvl="0" w:tplc="FC1C5A5A">
      <w:numFmt w:val="bullet"/>
      <w:lvlText w:val="-"/>
      <w:lvlJc w:val="left"/>
      <w:pPr>
        <w:tabs>
          <w:tab w:val="num" w:pos="720"/>
        </w:tabs>
        <w:ind w:left="720" w:hanging="360"/>
      </w:pPr>
      <w:rPr>
        <w:rFonts w:ascii="Arial" w:eastAsia="Times New Roman" w:hAnsi="Aria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2">
    <w:nsid w:val="1B6D4F2D"/>
    <w:multiLevelType w:val="hybridMultilevel"/>
    <w:tmpl w:val="891C7BEE"/>
    <w:lvl w:ilvl="0" w:tplc="06C2BFA4">
      <w:numFmt w:val="bullet"/>
      <w:lvlText w:val="-"/>
      <w:lvlJc w:val="left"/>
      <w:pPr>
        <w:ind w:left="720" w:hanging="360"/>
      </w:pPr>
      <w:rPr>
        <w:rFonts w:ascii="Calibri" w:eastAsiaTheme="minorHAnsi" w:hAnsi="Calibri"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3">
    <w:nsid w:val="1D2144D6"/>
    <w:multiLevelType w:val="multilevel"/>
    <w:tmpl w:val="F24CE128"/>
    <w:styleLink w:val="WWNum10"/>
    <w:lvl w:ilvl="0">
      <w:numFmt w:val="bullet"/>
      <w:lvlText w:val=""/>
      <w:lvlJc w:val="left"/>
      <w:rPr>
        <w:rFonts w:ascii="Wingdings 3" w:hAnsi="Wingdings 3"/>
        <w:color w:val="00000A"/>
        <w:sz w:val="28"/>
        <w:szCs w:val="24"/>
      </w:rPr>
    </w:lvl>
    <w:lvl w:ilvl="1">
      <w:numFmt w:val="bullet"/>
      <w:lvlText w:val="o"/>
      <w:lvlJc w:val="left"/>
      <w:rPr>
        <w:rFonts w:ascii="Courier New" w:hAnsi="Courier New" w:cs="Courier New"/>
        <w:b/>
        <w:sz w:val="24"/>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b/>
        <w:sz w:val="24"/>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b/>
        <w:sz w:val="24"/>
      </w:rPr>
    </w:lvl>
    <w:lvl w:ilvl="8">
      <w:numFmt w:val="bullet"/>
      <w:lvlText w:val=""/>
      <w:lvlJc w:val="left"/>
      <w:rPr>
        <w:rFonts w:ascii="Wingdings" w:hAnsi="Wingdings"/>
      </w:rPr>
    </w:lvl>
  </w:abstractNum>
  <w:abstractNum w:abstractNumId="44">
    <w:nsid w:val="1E1E26C7"/>
    <w:multiLevelType w:val="hybridMultilevel"/>
    <w:tmpl w:val="B3402946"/>
    <w:lvl w:ilvl="0" w:tplc="CB4C9DE2">
      <w:numFmt w:val="bullet"/>
      <w:lvlText w:val=""/>
      <w:lvlJc w:val="left"/>
      <w:pPr>
        <w:ind w:left="833" w:hanging="348"/>
      </w:pPr>
      <w:rPr>
        <w:rFonts w:ascii="Symbol" w:eastAsia="Symbol" w:hAnsi="Symbol" w:cs="Symbol" w:hint="default"/>
        <w:w w:val="100"/>
        <w:sz w:val="24"/>
        <w:szCs w:val="24"/>
      </w:rPr>
    </w:lvl>
    <w:lvl w:ilvl="1" w:tplc="7682FA0E">
      <w:numFmt w:val="bullet"/>
      <w:lvlText w:val="•"/>
      <w:lvlJc w:val="left"/>
      <w:pPr>
        <w:ind w:left="960" w:hanging="348"/>
      </w:pPr>
      <w:rPr>
        <w:rFonts w:hint="default"/>
      </w:rPr>
    </w:lvl>
    <w:lvl w:ilvl="2" w:tplc="A63E322C">
      <w:numFmt w:val="bullet"/>
      <w:lvlText w:val="•"/>
      <w:lvlJc w:val="left"/>
      <w:pPr>
        <w:ind w:left="1986" w:hanging="348"/>
      </w:pPr>
      <w:rPr>
        <w:rFonts w:hint="default"/>
      </w:rPr>
    </w:lvl>
    <w:lvl w:ilvl="3" w:tplc="4A58653A">
      <w:numFmt w:val="bullet"/>
      <w:lvlText w:val="•"/>
      <w:lvlJc w:val="left"/>
      <w:pPr>
        <w:ind w:left="3013" w:hanging="348"/>
      </w:pPr>
      <w:rPr>
        <w:rFonts w:hint="default"/>
      </w:rPr>
    </w:lvl>
    <w:lvl w:ilvl="4" w:tplc="D7A0D312">
      <w:numFmt w:val="bullet"/>
      <w:lvlText w:val="•"/>
      <w:lvlJc w:val="left"/>
      <w:pPr>
        <w:ind w:left="4040" w:hanging="348"/>
      </w:pPr>
      <w:rPr>
        <w:rFonts w:hint="default"/>
      </w:rPr>
    </w:lvl>
    <w:lvl w:ilvl="5" w:tplc="0E10F7EC">
      <w:numFmt w:val="bullet"/>
      <w:lvlText w:val="•"/>
      <w:lvlJc w:val="left"/>
      <w:pPr>
        <w:ind w:left="5066" w:hanging="348"/>
      </w:pPr>
      <w:rPr>
        <w:rFonts w:hint="default"/>
      </w:rPr>
    </w:lvl>
    <w:lvl w:ilvl="6" w:tplc="AD54DCB4">
      <w:numFmt w:val="bullet"/>
      <w:lvlText w:val="•"/>
      <w:lvlJc w:val="left"/>
      <w:pPr>
        <w:ind w:left="6093" w:hanging="348"/>
      </w:pPr>
      <w:rPr>
        <w:rFonts w:hint="default"/>
      </w:rPr>
    </w:lvl>
    <w:lvl w:ilvl="7" w:tplc="8B8A9134">
      <w:numFmt w:val="bullet"/>
      <w:lvlText w:val="•"/>
      <w:lvlJc w:val="left"/>
      <w:pPr>
        <w:ind w:left="7120" w:hanging="348"/>
      </w:pPr>
      <w:rPr>
        <w:rFonts w:hint="default"/>
      </w:rPr>
    </w:lvl>
    <w:lvl w:ilvl="8" w:tplc="1F72B906">
      <w:numFmt w:val="bullet"/>
      <w:lvlText w:val="•"/>
      <w:lvlJc w:val="left"/>
      <w:pPr>
        <w:ind w:left="8146" w:hanging="348"/>
      </w:pPr>
      <w:rPr>
        <w:rFonts w:hint="default"/>
      </w:rPr>
    </w:lvl>
  </w:abstractNum>
  <w:abstractNum w:abstractNumId="45">
    <w:nsid w:val="1E555CF3"/>
    <w:multiLevelType w:val="hybridMultilevel"/>
    <w:tmpl w:val="566CE6D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6">
    <w:nsid w:val="1E985D3D"/>
    <w:multiLevelType w:val="hybridMultilevel"/>
    <w:tmpl w:val="DD824280"/>
    <w:lvl w:ilvl="0" w:tplc="5F5E2124">
      <w:start w:val="2"/>
      <w:numFmt w:val="bullet"/>
      <w:lvlText w:val="-"/>
      <w:lvlJc w:val="left"/>
      <w:pPr>
        <w:ind w:left="720" w:hanging="360"/>
      </w:pPr>
      <w:rPr>
        <w:rFonts w:ascii="Times New Roman" w:eastAsia="Helvetica Neue" w:hAnsi="Times New Roman"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7">
    <w:nsid w:val="1ED62806"/>
    <w:multiLevelType w:val="hybridMultilevel"/>
    <w:tmpl w:val="B09A70B0"/>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8">
    <w:nsid w:val="1FAC4057"/>
    <w:multiLevelType w:val="hybridMultilevel"/>
    <w:tmpl w:val="05C0FE36"/>
    <w:lvl w:ilvl="0" w:tplc="57887C46">
      <w:start w:val="1"/>
      <w:numFmt w:val="decimal"/>
      <w:lvlText w:val="(%1)"/>
      <w:lvlJc w:val="left"/>
      <w:pPr>
        <w:ind w:left="656" w:hanging="372"/>
      </w:pPr>
      <w:rPr>
        <w:rFonts w:hint="default"/>
      </w:rPr>
    </w:lvl>
    <w:lvl w:ilvl="1" w:tplc="0C0A0019" w:tentative="1">
      <w:start w:val="1"/>
      <w:numFmt w:val="lowerLetter"/>
      <w:lvlText w:val="%2."/>
      <w:lvlJc w:val="left"/>
      <w:pPr>
        <w:ind w:left="1364" w:hanging="360"/>
      </w:pPr>
    </w:lvl>
    <w:lvl w:ilvl="2" w:tplc="0C0A001B" w:tentative="1">
      <w:start w:val="1"/>
      <w:numFmt w:val="lowerRoman"/>
      <w:lvlText w:val="%3."/>
      <w:lvlJc w:val="right"/>
      <w:pPr>
        <w:ind w:left="2084" w:hanging="180"/>
      </w:pPr>
    </w:lvl>
    <w:lvl w:ilvl="3" w:tplc="0C0A000F" w:tentative="1">
      <w:start w:val="1"/>
      <w:numFmt w:val="decimal"/>
      <w:lvlText w:val="%4."/>
      <w:lvlJc w:val="left"/>
      <w:pPr>
        <w:ind w:left="2804" w:hanging="360"/>
      </w:pPr>
    </w:lvl>
    <w:lvl w:ilvl="4" w:tplc="0C0A0019" w:tentative="1">
      <w:start w:val="1"/>
      <w:numFmt w:val="lowerLetter"/>
      <w:lvlText w:val="%5."/>
      <w:lvlJc w:val="left"/>
      <w:pPr>
        <w:ind w:left="3524" w:hanging="360"/>
      </w:pPr>
    </w:lvl>
    <w:lvl w:ilvl="5" w:tplc="0C0A001B" w:tentative="1">
      <w:start w:val="1"/>
      <w:numFmt w:val="lowerRoman"/>
      <w:lvlText w:val="%6."/>
      <w:lvlJc w:val="right"/>
      <w:pPr>
        <w:ind w:left="4244" w:hanging="180"/>
      </w:pPr>
    </w:lvl>
    <w:lvl w:ilvl="6" w:tplc="0C0A000F" w:tentative="1">
      <w:start w:val="1"/>
      <w:numFmt w:val="decimal"/>
      <w:lvlText w:val="%7."/>
      <w:lvlJc w:val="left"/>
      <w:pPr>
        <w:ind w:left="4964" w:hanging="360"/>
      </w:pPr>
    </w:lvl>
    <w:lvl w:ilvl="7" w:tplc="0C0A0019" w:tentative="1">
      <w:start w:val="1"/>
      <w:numFmt w:val="lowerLetter"/>
      <w:lvlText w:val="%8."/>
      <w:lvlJc w:val="left"/>
      <w:pPr>
        <w:ind w:left="5684" w:hanging="360"/>
      </w:pPr>
    </w:lvl>
    <w:lvl w:ilvl="8" w:tplc="0C0A001B" w:tentative="1">
      <w:start w:val="1"/>
      <w:numFmt w:val="lowerRoman"/>
      <w:lvlText w:val="%9."/>
      <w:lvlJc w:val="right"/>
      <w:pPr>
        <w:ind w:left="6404" w:hanging="180"/>
      </w:pPr>
    </w:lvl>
  </w:abstractNum>
  <w:abstractNum w:abstractNumId="49">
    <w:nsid w:val="20424011"/>
    <w:multiLevelType w:val="hybridMultilevel"/>
    <w:tmpl w:val="F18C497C"/>
    <w:lvl w:ilvl="0" w:tplc="CA0A78D4">
      <w:start w:val="2"/>
      <w:numFmt w:val="bullet"/>
      <w:lvlText w:val="-"/>
      <w:lvlJc w:val="left"/>
      <w:pPr>
        <w:ind w:left="1068" w:hanging="360"/>
      </w:pPr>
      <w:rPr>
        <w:rFonts w:ascii="Times New Roman" w:eastAsiaTheme="minorHAnsi" w:hAnsi="Times New Roman" w:cs="Times New Roman"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50">
    <w:nsid w:val="243F409A"/>
    <w:multiLevelType w:val="hybridMultilevel"/>
    <w:tmpl w:val="1CF8D042"/>
    <w:lvl w:ilvl="0" w:tplc="ECFAF426">
      <w:numFmt w:val="bullet"/>
      <w:lvlText w:val="-"/>
      <w:lvlJc w:val="left"/>
      <w:pPr>
        <w:ind w:left="720" w:hanging="360"/>
      </w:pPr>
      <w:rPr>
        <w:rFonts w:ascii="Times New Roman" w:eastAsiaTheme="minorHAnsi" w:hAnsi="Times New Roman"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1">
    <w:nsid w:val="24E64DC8"/>
    <w:multiLevelType w:val="hybridMultilevel"/>
    <w:tmpl w:val="EF2AA320"/>
    <w:lvl w:ilvl="0" w:tplc="CE66A242">
      <w:start w:val="1"/>
      <w:numFmt w:val="decimal"/>
      <w:lvlText w:val="(%1)"/>
      <w:lvlJc w:val="left"/>
      <w:pPr>
        <w:ind w:left="786" w:hanging="360"/>
      </w:pPr>
      <w:rPr>
        <w:rFonts w:hint="default"/>
      </w:rPr>
    </w:lvl>
    <w:lvl w:ilvl="1" w:tplc="0C0A0019" w:tentative="1">
      <w:start w:val="1"/>
      <w:numFmt w:val="lowerLetter"/>
      <w:lvlText w:val="%2."/>
      <w:lvlJc w:val="left"/>
      <w:pPr>
        <w:ind w:left="1506" w:hanging="360"/>
      </w:pPr>
    </w:lvl>
    <w:lvl w:ilvl="2" w:tplc="0C0A001B" w:tentative="1">
      <w:start w:val="1"/>
      <w:numFmt w:val="lowerRoman"/>
      <w:lvlText w:val="%3."/>
      <w:lvlJc w:val="right"/>
      <w:pPr>
        <w:ind w:left="2226" w:hanging="180"/>
      </w:pPr>
    </w:lvl>
    <w:lvl w:ilvl="3" w:tplc="0C0A000F" w:tentative="1">
      <w:start w:val="1"/>
      <w:numFmt w:val="decimal"/>
      <w:lvlText w:val="%4."/>
      <w:lvlJc w:val="left"/>
      <w:pPr>
        <w:ind w:left="2946" w:hanging="360"/>
      </w:pPr>
    </w:lvl>
    <w:lvl w:ilvl="4" w:tplc="0C0A0019" w:tentative="1">
      <w:start w:val="1"/>
      <w:numFmt w:val="lowerLetter"/>
      <w:lvlText w:val="%5."/>
      <w:lvlJc w:val="left"/>
      <w:pPr>
        <w:ind w:left="3666" w:hanging="360"/>
      </w:pPr>
    </w:lvl>
    <w:lvl w:ilvl="5" w:tplc="0C0A001B" w:tentative="1">
      <w:start w:val="1"/>
      <w:numFmt w:val="lowerRoman"/>
      <w:lvlText w:val="%6."/>
      <w:lvlJc w:val="right"/>
      <w:pPr>
        <w:ind w:left="4386" w:hanging="180"/>
      </w:pPr>
    </w:lvl>
    <w:lvl w:ilvl="6" w:tplc="0C0A000F" w:tentative="1">
      <w:start w:val="1"/>
      <w:numFmt w:val="decimal"/>
      <w:lvlText w:val="%7."/>
      <w:lvlJc w:val="left"/>
      <w:pPr>
        <w:ind w:left="5106" w:hanging="360"/>
      </w:pPr>
    </w:lvl>
    <w:lvl w:ilvl="7" w:tplc="0C0A0019" w:tentative="1">
      <w:start w:val="1"/>
      <w:numFmt w:val="lowerLetter"/>
      <w:lvlText w:val="%8."/>
      <w:lvlJc w:val="left"/>
      <w:pPr>
        <w:ind w:left="5826" w:hanging="360"/>
      </w:pPr>
    </w:lvl>
    <w:lvl w:ilvl="8" w:tplc="0C0A001B" w:tentative="1">
      <w:start w:val="1"/>
      <w:numFmt w:val="lowerRoman"/>
      <w:lvlText w:val="%9."/>
      <w:lvlJc w:val="right"/>
      <w:pPr>
        <w:ind w:left="6546" w:hanging="180"/>
      </w:pPr>
    </w:lvl>
  </w:abstractNum>
  <w:abstractNum w:abstractNumId="52">
    <w:nsid w:val="25D22678"/>
    <w:multiLevelType w:val="hybridMultilevel"/>
    <w:tmpl w:val="1A36D6EA"/>
    <w:lvl w:ilvl="0" w:tplc="C9AECA9C">
      <w:start w:val="1"/>
      <w:numFmt w:val="bullet"/>
      <w:lvlText w:val="•"/>
      <w:lvlJc w:val="left"/>
      <w:pPr>
        <w:tabs>
          <w:tab w:val="num" w:pos="720"/>
        </w:tabs>
        <w:ind w:left="720" w:hanging="360"/>
      </w:pPr>
      <w:rPr>
        <w:rFonts w:ascii="Arial" w:hAnsi="Arial" w:hint="default"/>
      </w:rPr>
    </w:lvl>
    <w:lvl w:ilvl="1" w:tplc="6A666870" w:tentative="1">
      <w:start w:val="1"/>
      <w:numFmt w:val="bullet"/>
      <w:lvlText w:val="•"/>
      <w:lvlJc w:val="left"/>
      <w:pPr>
        <w:tabs>
          <w:tab w:val="num" w:pos="1440"/>
        </w:tabs>
        <w:ind w:left="1440" w:hanging="360"/>
      </w:pPr>
      <w:rPr>
        <w:rFonts w:ascii="Arial" w:hAnsi="Arial" w:hint="default"/>
      </w:rPr>
    </w:lvl>
    <w:lvl w:ilvl="2" w:tplc="E682CE7C" w:tentative="1">
      <w:start w:val="1"/>
      <w:numFmt w:val="bullet"/>
      <w:lvlText w:val="•"/>
      <w:lvlJc w:val="left"/>
      <w:pPr>
        <w:tabs>
          <w:tab w:val="num" w:pos="2160"/>
        </w:tabs>
        <w:ind w:left="2160" w:hanging="360"/>
      </w:pPr>
      <w:rPr>
        <w:rFonts w:ascii="Arial" w:hAnsi="Arial" w:hint="default"/>
      </w:rPr>
    </w:lvl>
    <w:lvl w:ilvl="3" w:tplc="1C00B56A" w:tentative="1">
      <w:start w:val="1"/>
      <w:numFmt w:val="bullet"/>
      <w:lvlText w:val="•"/>
      <w:lvlJc w:val="left"/>
      <w:pPr>
        <w:tabs>
          <w:tab w:val="num" w:pos="2880"/>
        </w:tabs>
        <w:ind w:left="2880" w:hanging="360"/>
      </w:pPr>
      <w:rPr>
        <w:rFonts w:ascii="Arial" w:hAnsi="Arial" w:hint="default"/>
      </w:rPr>
    </w:lvl>
    <w:lvl w:ilvl="4" w:tplc="236EBA9E" w:tentative="1">
      <w:start w:val="1"/>
      <w:numFmt w:val="bullet"/>
      <w:lvlText w:val="•"/>
      <w:lvlJc w:val="left"/>
      <w:pPr>
        <w:tabs>
          <w:tab w:val="num" w:pos="3600"/>
        </w:tabs>
        <w:ind w:left="3600" w:hanging="360"/>
      </w:pPr>
      <w:rPr>
        <w:rFonts w:ascii="Arial" w:hAnsi="Arial" w:hint="default"/>
      </w:rPr>
    </w:lvl>
    <w:lvl w:ilvl="5" w:tplc="C9C4E16C" w:tentative="1">
      <w:start w:val="1"/>
      <w:numFmt w:val="bullet"/>
      <w:lvlText w:val="•"/>
      <w:lvlJc w:val="left"/>
      <w:pPr>
        <w:tabs>
          <w:tab w:val="num" w:pos="4320"/>
        </w:tabs>
        <w:ind w:left="4320" w:hanging="360"/>
      </w:pPr>
      <w:rPr>
        <w:rFonts w:ascii="Arial" w:hAnsi="Arial" w:hint="default"/>
      </w:rPr>
    </w:lvl>
    <w:lvl w:ilvl="6" w:tplc="8FD8D746" w:tentative="1">
      <w:start w:val="1"/>
      <w:numFmt w:val="bullet"/>
      <w:lvlText w:val="•"/>
      <w:lvlJc w:val="left"/>
      <w:pPr>
        <w:tabs>
          <w:tab w:val="num" w:pos="5040"/>
        </w:tabs>
        <w:ind w:left="5040" w:hanging="360"/>
      </w:pPr>
      <w:rPr>
        <w:rFonts w:ascii="Arial" w:hAnsi="Arial" w:hint="default"/>
      </w:rPr>
    </w:lvl>
    <w:lvl w:ilvl="7" w:tplc="31C84A76" w:tentative="1">
      <w:start w:val="1"/>
      <w:numFmt w:val="bullet"/>
      <w:lvlText w:val="•"/>
      <w:lvlJc w:val="left"/>
      <w:pPr>
        <w:tabs>
          <w:tab w:val="num" w:pos="5760"/>
        </w:tabs>
        <w:ind w:left="5760" w:hanging="360"/>
      </w:pPr>
      <w:rPr>
        <w:rFonts w:ascii="Arial" w:hAnsi="Arial" w:hint="default"/>
      </w:rPr>
    </w:lvl>
    <w:lvl w:ilvl="8" w:tplc="FA94BE08" w:tentative="1">
      <w:start w:val="1"/>
      <w:numFmt w:val="bullet"/>
      <w:lvlText w:val="•"/>
      <w:lvlJc w:val="left"/>
      <w:pPr>
        <w:tabs>
          <w:tab w:val="num" w:pos="6480"/>
        </w:tabs>
        <w:ind w:left="6480" w:hanging="360"/>
      </w:pPr>
      <w:rPr>
        <w:rFonts w:ascii="Arial" w:hAnsi="Arial" w:hint="default"/>
      </w:rPr>
    </w:lvl>
  </w:abstractNum>
  <w:abstractNum w:abstractNumId="53">
    <w:nsid w:val="26136178"/>
    <w:multiLevelType w:val="multilevel"/>
    <w:tmpl w:val="E5B030D2"/>
    <w:styleLink w:val="WWNum11"/>
    <w:lvl w:ilvl="0">
      <w:numFmt w:val="bullet"/>
      <w:lvlText w:val=""/>
      <w:lvlJc w:val="left"/>
      <w:rPr>
        <w:rFonts w:ascii="Wingdings 3" w:hAnsi="Wingdings 3"/>
        <w:sz w:val="28"/>
      </w:rPr>
    </w:lvl>
    <w:lvl w:ilvl="1">
      <w:numFmt w:val="bullet"/>
      <w:lvlText w:val="o"/>
      <w:lvlJc w:val="left"/>
      <w:rPr>
        <w:rFonts w:ascii="Courier New" w:hAnsi="Courier New" w:cs="Courier New"/>
        <w:b/>
        <w:sz w:val="24"/>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b/>
        <w:sz w:val="24"/>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b/>
        <w:sz w:val="24"/>
      </w:rPr>
    </w:lvl>
    <w:lvl w:ilvl="8">
      <w:numFmt w:val="bullet"/>
      <w:lvlText w:val=""/>
      <w:lvlJc w:val="left"/>
      <w:rPr>
        <w:rFonts w:ascii="Wingdings" w:hAnsi="Wingdings"/>
      </w:rPr>
    </w:lvl>
  </w:abstractNum>
  <w:abstractNum w:abstractNumId="54">
    <w:nsid w:val="28295481"/>
    <w:multiLevelType w:val="hybridMultilevel"/>
    <w:tmpl w:val="5A1C64B0"/>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5">
    <w:nsid w:val="282975EF"/>
    <w:multiLevelType w:val="hybridMultilevel"/>
    <w:tmpl w:val="574C663E"/>
    <w:lvl w:ilvl="0" w:tplc="ED183B48">
      <w:start w:val="1"/>
      <w:numFmt w:val="bullet"/>
      <w:lvlText w:val="‒"/>
      <w:lvlJc w:val="left"/>
      <w:pPr>
        <w:ind w:left="720" w:hanging="360"/>
      </w:pPr>
      <w:rPr>
        <w:rFonts w:ascii="Calibri" w:hAnsi="Calibri"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6">
    <w:nsid w:val="29A736AD"/>
    <w:multiLevelType w:val="hybridMultilevel"/>
    <w:tmpl w:val="872634BE"/>
    <w:lvl w:ilvl="0" w:tplc="FC1C5A5A">
      <w:numFmt w:val="bullet"/>
      <w:lvlText w:val="-"/>
      <w:lvlJc w:val="left"/>
      <w:pPr>
        <w:ind w:left="1485" w:hanging="360"/>
      </w:pPr>
      <w:rPr>
        <w:rFonts w:ascii="Arial" w:eastAsia="Times New Roman" w:hAnsi="Arial" w:hint="default"/>
      </w:rPr>
    </w:lvl>
    <w:lvl w:ilvl="1" w:tplc="0C0A0003" w:tentative="1">
      <w:start w:val="1"/>
      <w:numFmt w:val="bullet"/>
      <w:lvlText w:val="o"/>
      <w:lvlJc w:val="left"/>
      <w:pPr>
        <w:ind w:left="2205" w:hanging="360"/>
      </w:pPr>
      <w:rPr>
        <w:rFonts w:ascii="Courier New" w:hAnsi="Courier New" w:hint="default"/>
      </w:rPr>
    </w:lvl>
    <w:lvl w:ilvl="2" w:tplc="0C0A0005" w:tentative="1">
      <w:start w:val="1"/>
      <w:numFmt w:val="bullet"/>
      <w:lvlText w:val=""/>
      <w:lvlJc w:val="left"/>
      <w:pPr>
        <w:ind w:left="2925" w:hanging="360"/>
      </w:pPr>
      <w:rPr>
        <w:rFonts w:ascii="Wingdings" w:hAnsi="Wingdings" w:hint="default"/>
      </w:rPr>
    </w:lvl>
    <w:lvl w:ilvl="3" w:tplc="0C0A0001" w:tentative="1">
      <w:start w:val="1"/>
      <w:numFmt w:val="bullet"/>
      <w:lvlText w:val=""/>
      <w:lvlJc w:val="left"/>
      <w:pPr>
        <w:ind w:left="3645" w:hanging="360"/>
      </w:pPr>
      <w:rPr>
        <w:rFonts w:ascii="Symbol" w:hAnsi="Symbol" w:hint="default"/>
      </w:rPr>
    </w:lvl>
    <w:lvl w:ilvl="4" w:tplc="0C0A0003" w:tentative="1">
      <w:start w:val="1"/>
      <w:numFmt w:val="bullet"/>
      <w:lvlText w:val="o"/>
      <w:lvlJc w:val="left"/>
      <w:pPr>
        <w:ind w:left="4365" w:hanging="360"/>
      </w:pPr>
      <w:rPr>
        <w:rFonts w:ascii="Courier New" w:hAnsi="Courier New" w:hint="default"/>
      </w:rPr>
    </w:lvl>
    <w:lvl w:ilvl="5" w:tplc="0C0A0005" w:tentative="1">
      <w:start w:val="1"/>
      <w:numFmt w:val="bullet"/>
      <w:lvlText w:val=""/>
      <w:lvlJc w:val="left"/>
      <w:pPr>
        <w:ind w:left="5085" w:hanging="360"/>
      </w:pPr>
      <w:rPr>
        <w:rFonts w:ascii="Wingdings" w:hAnsi="Wingdings" w:hint="default"/>
      </w:rPr>
    </w:lvl>
    <w:lvl w:ilvl="6" w:tplc="0C0A0001" w:tentative="1">
      <w:start w:val="1"/>
      <w:numFmt w:val="bullet"/>
      <w:lvlText w:val=""/>
      <w:lvlJc w:val="left"/>
      <w:pPr>
        <w:ind w:left="5805" w:hanging="360"/>
      </w:pPr>
      <w:rPr>
        <w:rFonts w:ascii="Symbol" w:hAnsi="Symbol" w:hint="default"/>
      </w:rPr>
    </w:lvl>
    <w:lvl w:ilvl="7" w:tplc="0C0A0003" w:tentative="1">
      <w:start w:val="1"/>
      <w:numFmt w:val="bullet"/>
      <w:lvlText w:val="o"/>
      <w:lvlJc w:val="left"/>
      <w:pPr>
        <w:ind w:left="6525" w:hanging="360"/>
      </w:pPr>
      <w:rPr>
        <w:rFonts w:ascii="Courier New" w:hAnsi="Courier New" w:hint="default"/>
      </w:rPr>
    </w:lvl>
    <w:lvl w:ilvl="8" w:tplc="0C0A0005" w:tentative="1">
      <w:start w:val="1"/>
      <w:numFmt w:val="bullet"/>
      <w:lvlText w:val=""/>
      <w:lvlJc w:val="left"/>
      <w:pPr>
        <w:ind w:left="7245" w:hanging="360"/>
      </w:pPr>
      <w:rPr>
        <w:rFonts w:ascii="Wingdings" w:hAnsi="Wingdings" w:hint="default"/>
      </w:rPr>
    </w:lvl>
  </w:abstractNum>
  <w:abstractNum w:abstractNumId="57">
    <w:nsid w:val="2B9A6315"/>
    <w:multiLevelType w:val="hybridMultilevel"/>
    <w:tmpl w:val="F62EE4C4"/>
    <w:lvl w:ilvl="0" w:tplc="0C0A0003">
      <w:start w:val="1"/>
      <w:numFmt w:val="bullet"/>
      <w:lvlText w:val="o"/>
      <w:lvlJc w:val="left"/>
      <w:pPr>
        <w:tabs>
          <w:tab w:val="num" w:pos="720"/>
        </w:tabs>
        <w:ind w:left="720" w:hanging="360"/>
      </w:pPr>
      <w:rPr>
        <w:rFonts w:ascii="Courier New" w:hAnsi="Courier New" w:cs="Courier New"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8">
    <w:nsid w:val="2BC732EB"/>
    <w:multiLevelType w:val="hybridMultilevel"/>
    <w:tmpl w:val="7E9CC114"/>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59">
    <w:nsid w:val="2D6001BC"/>
    <w:multiLevelType w:val="hybridMultilevel"/>
    <w:tmpl w:val="7D742716"/>
    <w:lvl w:ilvl="0" w:tplc="0C0A0001">
      <w:start w:val="1"/>
      <w:numFmt w:val="bullet"/>
      <w:lvlText w:val=""/>
      <w:lvlJc w:val="left"/>
      <w:pPr>
        <w:ind w:left="767" w:hanging="360"/>
      </w:pPr>
      <w:rPr>
        <w:rFonts w:ascii="Symbol" w:hAnsi="Symbol" w:hint="default"/>
      </w:rPr>
    </w:lvl>
    <w:lvl w:ilvl="1" w:tplc="0C0A0003" w:tentative="1">
      <w:start w:val="1"/>
      <w:numFmt w:val="bullet"/>
      <w:lvlText w:val="o"/>
      <w:lvlJc w:val="left"/>
      <w:pPr>
        <w:ind w:left="1487" w:hanging="360"/>
      </w:pPr>
      <w:rPr>
        <w:rFonts w:ascii="Courier New" w:hAnsi="Courier New" w:cs="Courier New" w:hint="default"/>
      </w:rPr>
    </w:lvl>
    <w:lvl w:ilvl="2" w:tplc="0C0A0005" w:tentative="1">
      <w:start w:val="1"/>
      <w:numFmt w:val="bullet"/>
      <w:lvlText w:val=""/>
      <w:lvlJc w:val="left"/>
      <w:pPr>
        <w:ind w:left="2207" w:hanging="360"/>
      </w:pPr>
      <w:rPr>
        <w:rFonts w:ascii="Wingdings" w:hAnsi="Wingdings" w:hint="default"/>
      </w:rPr>
    </w:lvl>
    <w:lvl w:ilvl="3" w:tplc="0C0A0001" w:tentative="1">
      <w:start w:val="1"/>
      <w:numFmt w:val="bullet"/>
      <w:lvlText w:val=""/>
      <w:lvlJc w:val="left"/>
      <w:pPr>
        <w:ind w:left="2927" w:hanging="360"/>
      </w:pPr>
      <w:rPr>
        <w:rFonts w:ascii="Symbol" w:hAnsi="Symbol" w:hint="default"/>
      </w:rPr>
    </w:lvl>
    <w:lvl w:ilvl="4" w:tplc="0C0A0003" w:tentative="1">
      <w:start w:val="1"/>
      <w:numFmt w:val="bullet"/>
      <w:lvlText w:val="o"/>
      <w:lvlJc w:val="left"/>
      <w:pPr>
        <w:ind w:left="3647" w:hanging="360"/>
      </w:pPr>
      <w:rPr>
        <w:rFonts w:ascii="Courier New" w:hAnsi="Courier New" w:cs="Courier New" w:hint="default"/>
      </w:rPr>
    </w:lvl>
    <w:lvl w:ilvl="5" w:tplc="0C0A0005" w:tentative="1">
      <w:start w:val="1"/>
      <w:numFmt w:val="bullet"/>
      <w:lvlText w:val=""/>
      <w:lvlJc w:val="left"/>
      <w:pPr>
        <w:ind w:left="4367" w:hanging="360"/>
      </w:pPr>
      <w:rPr>
        <w:rFonts w:ascii="Wingdings" w:hAnsi="Wingdings" w:hint="default"/>
      </w:rPr>
    </w:lvl>
    <w:lvl w:ilvl="6" w:tplc="0C0A0001" w:tentative="1">
      <w:start w:val="1"/>
      <w:numFmt w:val="bullet"/>
      <w:lvlText w:val=""/>
      <w:lvlJc w:val="left"/>
      <w:pPr>
        <w:ind w:left="5087" w:hanging="360"/>
      </w:pPr>
      <w:rPr>
        <w:rFonts w:ascii="Symbol" w:hAnsi="Symbol" w:hint="default"/>
      </w:rPr>
    </w:lvl>
    <w:lvl w:ilvl="7" w:tplc="0C0A0003" w:tentative="1">
      <w:start w:val="1"/>
      <w:numFmt w:val="bullet"/>
      <w:lvlText w:val="o"/>
      <w:lvlJc w:val="left"/>
      <w:pPr>
        <w:ind w:left="5807" w:hanging="360"/>
      </w:pPr>
      <w:rPr>
        <w:rFonts w:ascii="Courier New" w:hAnsi="Courier New" w:cs="Courier New" w:hint="default"/>
      </w:rPr>
    </w:lvl>
    <w:lvl w:ilvl="8" w:tplc="0C0A0005" w:tentative="1">
      <w:start w:val="1"/>
      <w:numFmt w:val="bullet"/>
      <w:lvlText w:val=""/>
      <w:lvlJc w:val="left"/>
      <w:pPr>
        <w:ind w:left="6527" w:hanging="360"/>
      </w:pPr>
      <w:rPr>
        <w:rFonts w:ascii="Wingdings" w:hAnsi="Wingdings" w:hint="default"/>
      </w:rPr>
    </w:lvl>
  </w:abstractNum>
  <w:abstractNum w:abstractNumId="60">
    <w:nsid w:val="2F7305A4"/>
    <w:multiLevelType w:val="multilevel"/>
    <w:tmpl w:val="391651F8"/>
    <w:lvl w:ilvl="0">
      <w:numFmt w:val="bullet"/>
      <w:lvlText w:val=""/>
      <w:lvlJc w:val="left"/>
      <w:rPr>
        <w:rFonts w:ascii="Wingdings" w:hAnsi="Wingdings"/>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61">
    <w:nsid w:val="321C1C6B"/>
    <w:multiLevelType w:val="hybridMultilevel"/>
    <w:tmpl w:val="FBB6F774"/>
    <w:lvl w:ilvl="0" w:tplc="0C0A000D">
      <w:start w:val="1"/>
      <w:numFmt w:val="bullet"/>
      <w:lvlText w:val=""/>
      <w:lvlJc w:val="left"/>
      <w:pPr>
        <w:ind w:left="885" w:hanging="360"/>
      </w:pPr>
      <w:rPr>
        <w:rFonts w:ascii="Wingdings" w:hAnsi="Wingdings" w:hint="default"/>
      </w:rPr>
    </w:lvl>
    <w:lvl w:ilvl="1" w:tplc="0C0A0003" w:tentative="1">
      <w:start w:val="1"/>
      <w:numFmt w:val="bullet"/>
      <w:lvlText w:val="o"/>
      <w:lvlJc w:val="left"/>
      <w:pPr>
        <w:ind w:left="1605" w:hanging="360"/>
      </w:pPr>
      <w:rPr>
        <w:rFonts w:ascii="Courier New" w:hAnsi="Courier New" w:hint="default"/>
      </w:rPr>
    </w:lvl>
    <w:lvl w:ilvl="2" w:tplc="0C0A0005" w:tentative="1">
      <w:start w:val="1"/>
      <w:numFmt w:val="bullet"/>
      <w:lvlText w:val=""/>
      <w:lvlJc w:val="left"/>
      <w:pPr>
        <w:ind w:left="2325" w:hanging="360"/>
      </w:pPr>
      <w:rPr>
        <w:rFonts w:ascii="Wingdings" w:hAnsi="Wingdings" w:hint="default"/>
      </w:rPr>
    </w:lvl>
    <w:lvl w:ilvl="3" w:tplc="0C0A0001" w:tentative="1">
      <w:start w:val="1"/>
      <w:numFmt w:val="bullet"/>
      <w:lvlText w:val=""/>
      <w:lvlJc w:val="left"/>
      <w:pPr>
        <w:ind w:left="3045" w:hanging="360"/>
      </w:pPr>
      <w:rPr>
        <w:rFonts w:ascii="Symbol" w:hAnsi="Symbol" w:hint="default"/>
      </w:rPr>
    </w:lvl>
    <w:lvl w:ilvl="4" w:tplc="0C0A0003" w:tentative="1">
      <w:start w:val="1"/>
      <w:numFmt w:val="bullet"/>
      <w:lvlText w:val="o"/>
      <w:lvlJc w:val="left"/>
      <w:pPr>
        <w:ind w:left="3765" w:hanging="360"/>
      </w:pPr>
      <w:rPr>
        <w:rFonts w:ascii="Courier New" w:hAnsi="Courier New" w:hint="default"/>
      </w:rPr>
    </w:lvl>
    <w:lvl w:ilvl="5" w:tplc="0C0A0005" w:tentative="1">
      <w:start w:val="1"/>
      <w:numFmt w:val="bullet"/>
      <w:lvlText w:val=""/>
      <w:lvlJc w:val="left"/>
      <w:pPr>
        <w:ind w:left="4485" w:hanging="360"/>
      </w:pPr>
      <w:rPr>
        <w:rFonts w:ascii="Wingdings" w:hAnsi="Wingdings" w:hint="default"/>
      </w:rPr>
    </w:lvl>
    <w:lvl w:ilvl="6" w:tplc="0C0A0001" w:tentative="1">
      <w:start w:val="1"/>
      <w:numFmt w:val="bullet"/>
      <w:lvlText w:val=""/>
      <w:lvlJc w:val="left"/>
      <w:pPr>
        <w:ind w:left="5205" w:hanging="360"/>
      </w:pPr>
      <w:rPr>
        <w:rFonts w:ascii="Symbol" w:hAnsi="Symbol" w:hint="default"/>
      </w:rPr>
    </w:lvl>
    <w:lvl w:ilvl="7" w:tplc="0C0A0003" w:tentative="1">
      <w:start w:val="1"/>
      <w:numFmt w:val="bullet"/>
      <w:lvlText w:val="o"/>
      <w:lvlJc w:val="left"/>
      <w:pPr>
        <w:ind w:left="5925" w:hanging="360"/>
      </w:pPr>
      <w:rPr>
        <w:rFonts w:ascii="Courier New" w:hAnsi="Courier New" w:hint="default"/>
      </w:rPr>
    </w:lvl>
    <w:lvl w:ilvl="8" w:tplc="0C0A0005" w:tentative="1">
      <w:start w:val="1"/>
      <w:numFmt w:val="bullet"/>
      <w:lvlText w:val=""/>
      <w:lvlJc w:val="left"/>
      <w:pPr>
        <w:ind w:left="6645" w:hanging="360"/>
      </w:pPr>
      <w:rPr>
        <w:rFonts w:ascii="Wingdings" w:hAnsi="Wingdings" w:hint="default"/>
      </w:rPr>
    </w:lvl>
  </w:abstractNum>
  <w:abstractNum w:abstractNumId="62">
    <w:nsid w:val="32773652"/>
    <w:multiLevelType w:val="multilevel"/>
    <w:tmpl w:val="474EC9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3">
    <w:nsid w:val="331D3007"/>
    <w:multiLevelType w:val="hybridMultilevel"/>
    <w:tmpl w:val="F48E87D6"/>
    <w:lvl w:ilvl="0" w:tplc="B71C45DC">
      <w:start w:val="1"/>
      <w:numFmt w:val="decimal"/>
      <w:lvlText w:val="%1."/>
      <w:lvlJc w:val="left"/>
      <w:pPr>
        <w:ind w:left="720" w:hanging="360"/>
      </w:pPr>
      <w:rPr>
        <w:rFonts w:hint="default"/>
        <w:color w:val="auto"/>
        <w:sz w:val="22"/>
      </w:rPr>
    </w:lvl>
    <w:lvl w:ilvl="1" w:tplc="B71C45DC">
      <w:start w:val="1"/>
      <w:numFmt w:val="decimal"/>
      <w:lvlText w:val="%2."/>
      <w:lvlJc w:val="left"/>
      <w:pPr>
        <w:ind w:left="1440" w:hanging="360"/>
      </w:pPr>
      <w:rPr>
        <w:rFonts w:hint="default"/>
        <w:color w:val="auto"/>
        <w:sz w:val="22"/>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4">
    <w:nsid w:val="34E60CDB"/>
    <w:multiLevelType w:val="multilevel"/>
    <w:tmpl w:val="C1903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nsid w:val="34EC10B1"/>
    <w:multiLevelType w:val="hybridMultilevel"/>
    <w:tmpl w:val="98487178"/>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6">
    <w:nsid w:val="35925C40"/>
    <w:multiLevelType w:val="hybridMultilevel"/>
    <w:tmpl w:val="8908716E"/>
    <w:lvl w:ilvl="0" w:tplc="04090003">
      <w:start w:val="1"/>
      <w:numFmt w:val="bullet"/>
      <w:lvlText w:val="o"/>
      <w:lvlJc w:val="left"/>
      <w:pPr>
        <w:ind w:left="360" w:hanging="360"/>
      </w:pPr>
      <w:rPr>
        <w:rFonts w:ascii="Courier New" w:hAnsi="Courier New"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7">
    <w:nsid w:val="36A21B4D"/>
    <w:multiLevelType w:val="hybridMultilevel"/>
    <w:tmpl w:val="4DB8F02E"/>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68">
    <w:nsid w:val="37FE39FA"/>
    <w:multiLevelType w:val="hybridMultilevel"/>
    <w:tmpl w:val="42FAF35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9">
    <w:nsid w:val="38665551"/>
    <w:multiLevelType w:val="hybridMultilevel"/>
    <w:tmpl w:val="9F7C00A6"/>
    <w:lvl w:ilvl="0" w:tplc="0C0A0019">
      <w:start w:val="1"/>
      <w:numFmt w:val="lowerLetter"/>
      <w:lvlText w:val="%1."/>
      <w:lvlJc w:val="left"/>
      <w:pPr>
        <w:ind w:left="720" w:hanging="360"/>
      </w:pPr>
      <w:rPr>
        <w:rFonts w:cs="Times New Roman"/>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70">
    <w:nsid w:val="38D27D3C"/>
    <w:multiLevelType w:val="hybridMultilevel"/>
    <w:tmpl w:val="97F04AEA"/>
    <w:lvl w:ilvl="0" w:tplc="240A0001">
      <w:start w:val="1"/>
      <w:numFmt w:val="bullet"/>
      <w:lvlText w:val=""/>
      <w:lvlJc w:val="left"/>
      <w:pPr>
        <w:ind w:left="1068" w:hanging="360"/>
      </w:pPr>
      <w:rPr>
        <w:rFonts w:ascii="Symbol" w:hAnsi="Symbol" w:hint="default"/>
      </w:rPr>
    </w:lvl>
    <w:lvl w:ilvl="1" w:tplc="240A0003" w:tentative="1">
      <w:start w:val="1"/>
      <w:numFmt w:val="bullet"/>
      <w:lvlText w:val="o"/>
      <w:lvlJc w:val="left"/>
      <w:pPr>
        <w:ind w:left="1788" w:hanging="360"/>
      </w:pPr>
      <w:rPr>
        <w:rFonts w:ascii="Courier New" w:hAnsi="Courier New" w:cs="Courier New" w:hint="default"/>
      </w:rPr>
    </w:lvl>
    <w:lvl w:ilvl="2" w:tplc="240A0005" w:tentative="1">
      <w:start w:val="1"/>
      <w:numFmt w:val="bullet"/>
      <w:lvlText w:val=""/>
      <w:lvlJc w:val="left"/>
      <w:pPr>
        <w:ind w:left="2508" w:hanging="360"/>
      </w:pPr>
      <w:rPr>
        <w:rFonts w:ascii="Wingdings" w:hAnsi="Wingdings" w:hint="default"/>
      </w:rPr>
    </w:lvl>
    <w:lvl w:ilvl="3" w:tplc="240A0001" w:tentative="1">
      <w:start w:val="1"/>
      <w:numFmt w:val="bullet"/>
      <w:lvlText w:val=""/>
      <w:lvlJc w:val="left"/>
      <w:pPr>
        <w:ind w:left="3228" w:hanging="360"/>
      </w:pPr>
      <w:rPr>
        <w:rFonts w:ascii="Symbol" w:hAnsi="Symbol" w:hint="default"/>
      </w:rPr>
    </w:lvl>
    <w:lvl w:ilvl="4" w:tplc="240A0003" w:tentative="1">
      <w:start w:val="1"/>
      <w:numFmt w:val="bullet"/>
      <w:lvlText w:val="o"/>
      <w:lvlJc w:val="left"/>
      <w:pPr>
        <w:ind w:left="3948" w:hanging="360"/>
      </w:pPr>
      <w:rPr>
        <w:rFonts w:ascii="Courier New" w:hAnsi="Courier New" w:cs="Courier New" w:hint="default"/>
      </w:rPr>
    </w:lvl>
    <w:lvl w:ilvl="5" w:tplc="240A0005" w:tentative="1">
      <w:start w:val="1"/>
      <w:numFmt w:val="bullet"/>
      <w:lvlText w:val=""/>
      <w:lvlJc w:val="left"/>
      <w:pPr>
        <w:ind w:left="4668" w:hanging="360"/>
      </w:pPr>
      <w:rPr>
        <w:rFonts w:ascii="Wingdings" w:hAnsi="Wingdings" w:hint="default"/>
      </w:rPr>
    </w:lvl>
    <w:lvl w:ilvl="6" w:tplc="240A0001" w:tentative="1">
      <w:start w:val="1"/>
      <w:numFmt w:val="bullet"/>
      <w:lvlText w:val=""/>
      <w:lvlJc w:val="left"/>
      <w:pPr>
        <w:ind w:left="5388" w:hanging="360"/>
      </w:pPr>
      <w:rPr>
        <w:rFonts w:ascii="Symbol" w:hAnsi="Symbol" w:hint="default"/>
      </w:rPr>
    </w:lvl>
    <w:lvl w:ilvl="7" w:tplc="240A0003" w:tentative="1">
      <w:start w:val="1"/>
      <w:numFmt w:val="bullet"/>
      <w:lvlText w:val="o"/>
      <w:lvlJc w:val="left"/>
      <w:pPr>
        <w:ind w:left="6108" w:hanging="360"/>
      </w:pPr>
      <w:rPr>
        <w:rFonts w:ascii="Courier New" w:hAnsi="Courier New" w:cs="Courier New" w:hint="default"/>
      </w:rPr>
    </w:lvl>
    <w:lvl w:ilvl="8" w:tplc="240A0005" w:tentative="1">
      <w:start w:val="1"/>
      <w:numFmt w:val="bullet"/>
      <w:lvlText w:val=""/>
      <w:lvlJc w:val="left"/>
      <w:pPr>
        <w:ind w:left="6828" w:hanging="360"/>
      </w:pPr>
      <w:rPr>
        <w:rFonts w:ascii="Wingdings" w:hAnsi="Wingdings" w:hint="default"/>
      </w:rPr>
    </w:lvl>
  </w:abstractNum>
  <w:abstractNum w:abstractNumId="71">
    <w:nsid w:val="3A840810"/>
    <w:multiLevelType w:val="hybridMultilevel"/>
    <w:tmpl w:val="1A405A38"/>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72">
    <w:nsid w:val="3B0E38E2"/>
    <w:multiLevelType w:val="hybridMultilevel"/>
    <w:tmpl w:val="E6FABD7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3">
    <w:nsid w:val="3C0268F4"/>
    <w:multiLevelType w:val="hybridMultilevel"/>
    <w:tmpl w:val="44721628"/>
    <w:lvl w:ilvl="0" w:tplc="B71C45DC">
      <w:start w:val="1"/>
      <w:numFmt w:val="decimal"/>
      <w:lvlText w:val="%1."/>
      <w:lvlJc w:val="left"/>
      <w:pPr>
        <w:ind w:left="360" w:hanging="360"/>
      </w:pPr>
      <w:rPr>
        <w:rFonts w:hint="default"/>
        <w:color w:val="auto"/>
        <w:sz w:val="22"/>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74">
    <w:nsid w:val="3C457118"/>
    <w:multiLevelType w:val="hybridMultilevel"/>
    <w:tmpl w:val="118A5F28"/>
    <w:lvl w:ilvl="0" w:tplc="0403000F">
      <w:start w:val="1"/>
      <w:numFmt w:val="decimal"/>
      <w:lvlText w:val="%1."/>
      <w:lvlJc w:val="left"/>
      <w:pPr>
        <w:ind w:left="720" w:hanging="360"/>
      </w:pPr>
      <w:rPr>
        <w:rFonts w:hint="default"/>
      </w:rPr>
    </w:lvl>
    <w:lvl w:ilvl="1" w:tplc="04030019" w:tentative="1">
      <w:start w:val="1"/>
      <w:numFmt w:val="lowerLetter"/>
      <w:lvlText w:val="%2."/>
      <w:lvlJc w:val="left"/>
      <w:pPr>
        <w:ind w:left="1440" w:hanging="360"/>
      </w:pPr>
    </w:lvl>
    <w:lvl w:ilvl="2" w:tplc="0403001B" w:tentative="1">
      <w:start w:val="1"/>
      <w:numFmt w:val="lowerRoman"/>
      <w:lvlText w:val="%3."/>
      <w:lvlJc w:val="right"/>
      <w:pPr>
        <w:ind w:left="2160" w:hanging="180"/>
      </w:pPr>
    </w:lvl>
    <w:lvl w:ilvl="3" w:tplc="0403000F" w:tentative="1">
      <w:start w:val="1"/>
      <w:numFmt w:val="decimal"/>
      <w:lvlText w:val="%4."/>
      <w:lvlJc w:val="left"/>
      <w:pPr>
        <w:ind w:left="2880" w:hanging="360"/>
      </w:pPr>
    </w:lvl>
    <w:lvl w:ilvl="4" w:tplc="04030019" w:tentative="1">
      <w:start w:val="1"/>
      <w:numFmt w:val="lowerLetter"/>
      <w:lvlText w:val="%5."/>
      <w:lvlJc w:val="left"/>
      <w:pPr>
        <w:ind w:left="3600" w:hanging="360"/>
      </w:pPr>
    </w:lvl>
    <w:lvl w:ilvl="5" w:tplc="0403001B" w:tentative="1">
      <w:start w:val="1"/>
      <w:numFmt w:val="lowerRoman"/>
      <w:lvlText w:val="%6."/>
      <w:lvlJc w:val="right"/>
      <w:pPr>
        <w:ind w:left="4320" w:hanging="180"/>
      </w:pPr>
    </w:lvl>
    <w:lvl w:ilvl="6" w:tplc="0403000F" w:tentative="1">
      <w:start w:val="1"/>
      <w:numFmt w:val="decimal"/>
      <w:lvlText w:val="%7."/>
      <w:lvlJc w:val="left"/>
      <w:pPr>
        <w:ind w:left="5040" w:hanging="360"/>
      </w:pPr>
    </w:lvl>
    <w:lvl w:ilvl="7" w:tplc="04030019" w:tentative="1">
      <w:start w:val="1"/>
      <w:numFmt w:val="lowerLetter"/>
      <w:lvlText w:val="%8."/>
      <w:lvlJc w:val="left"/>
      <w:pPr>
        <w:ind w:left="5760" w:hanging="360"/>
      </w:pPr>
    </w:lvl>
    <w:lvl w:ilvl="8" w:tplc="0403001B" w:tentative="1">
      <w:start w:val="1"/>
      <w:numFmt w:val="lowerRoman"/>
      <w:lvlText w:val="%9."/>
      <w:lvlJc w:val="right"/>
      <w:pPr>
        <w:ind w:left="6480" w:hanging="180"/>
      </w:pPr>
    </w:lvl>
  </w:abstractNum>
  <w:abstractNum w:abstractNumId="75">
    <w:nsid w:val="3D85568E"/>
    <w:multiLevelType w:val="multilevel"/>
    <w:tmpl w:val="0882D97C"/>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i w:val="0"/>
        <w:sz w:val="24"/>
      </w:rPr>
    </w:lvl>
    <w:lvl w:ilvl="2">
      <w:start w:val="1"/>
      <w:numFmt w:val="decimal"/>
      <w:lvlText w:val="%1.%2.%3."/>
      <w:lvlJc w:val="left"/>
      <w:pPr>
        <w:ind w:left="930" w:hanging="504"/>
      </w:pPr>
      <w:rPr>
        <w:rFonts w:hint="default"/>
        <w:b/>
        <w:i/>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6">
    <w:nsid w:val="3E307B52"/>
    <w:multiLevelType w:val="hybridMultilevel"/>
    <w:tmpl w:val="AA0AD31C"/>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7">
    <w:nsid w:val="3F184596"/>
    <w:multiLevelType w:val="hybridMultilevel"/>
    <w:tmpl w:val="D9F65F16"/>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8">
    <w:nsid w:val="3FF6799C"/>
    <w:multiLevelType w:val="hybridMultilevel"/>
    <w:tmpl w:val="53C2AEC0"/>
    <w:lvl w:ilvl="0" w:tplc="0C0A0013">
      <w:start w:val="1"/>
      <w:numFmt w:val="upperRoman"/>
      <w:lvlText w:val="%1."/>
      <w:lvlJc w:val="righ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9">
    <w:nsid w:val="409C6A3B"/>
    <w:multiLevelType w:val="hybridMultilevel"/>
    <w:tmpl w:val="ECD67458"/>
    <w:lvl w:ilvl="0" w:tplc="C16E376A">
      <w:start w:val="7"/>
      <w:numFmt w:val="bullet"/>
      <w:lvlText w:val="-"/>
      <w:lvlJc w:val="left"/>
      <w:pPr>
        <w:ind w:left="360" w:hanging="360"/>
      </w:pPr>
      <w:rPr>
        <w:rFonts w:ascii="Times New Roman" w:eastAsiaTheme="minorEastAsia" w:hAnsi="Times New Roman" w:cs="Times New Roman" w:hint="default"/>
      </w:rPr>
    </w:lvl>
    <w:lvl w:ilvl="1" w:tplc="0C0A0003">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80">
    <w:nsid w:val="41372275"/>
    <w:multiLevelType w:val="hybridMultilevel"/>
    <w:tmpl w:val="3F4EF63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1">
    <w:nsid w:val="41C73272"/>
    <w:multiLevelType w:val="hybridMultilevel"/>
    <w:tmpl w:val="DBFCE21E"/>
    <w:lvl w:ilvl="0" w:tplc="0C0A0003">
      <w:start w:val="1"/>
      <w:numFmt w:val="bullet"/>
      <w:lvlText w:val="o"/>
      <w:lvlJc w:val="left"/>
      <w:pPr>
        <w:ind w:left="1440" w:hanging="360"/>
      </w:pPr>
      <w:rPr>
        <w:rFonts w:ascii="Courier New" w:hAnsi="Courier New" w:cs="Courier New"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82">
    <w:nsid w:val="42AC7D97"/>
    <w:multiLevelType w:val="hybridMultilevel"/>
    <w:tmpl w:val="A2C61CA6"/>
    <w:lvl w:ilvl="0" w:tplc="04090003">
      <w:start w:val="1"/>
      <w:numFmt w:val="bullet"/>
      <w:lvlText w:val="o"/>
      <w:lvlJc w:val="left"/>
      <w:pPr>
        <w:ind w:left="360" w:hanging="360"/>
      </w:pPr>
      <w:rPr>
        <w:rFonts w:ascii="Courier New" w:hAnsi="Courier New"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3">
    <w:nsid w:val="444677A0"/>
    <w:multiLevelType w:val="hybridMultilevel"/>
    <w:tmpl w:val="2DD245B2"/>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84">
    <w:nsid w:val="44DA2307"/>
    <w:multiLevelType w:val="hybridMultilevel"/>
    <w:tmpl w:val="DAEAC04C"/>
    <w:lvl w:ilvl="0" w:tplc="2BB64332">
      <w:start w:val="1"/>
      <w:numFmt w:val="bullet"/>
      <w:lvlText w:val=""/>
      <w:lvlJc w:val="left"/>
      <w:pPr>
        <w:ind w:left="720" w:hanging="360"/>
      </w:pPr>
      <w:rPr>
        <w:rFonts w:ascii="Wingdings" w:hAnsi="Wingdings" w:hint="default"/>
        <w:color w:val="4F6228"/>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5">
    <w:nsid w:val="4518749E"/>
    <w:multiLevelType w:val="multilevel"/>
    <w:tmpl w:val="2294D02E"/>
    <w:lvl w:ilvl="0">
      <w:start w:val="1"/>
      <w:numFmt w:val="decimal"/>
      <w:lvlText w:val="%1."/>
      <w:lvlJc w:val="left"/>
      <w:pPr>
        <w:ind w:left="420" w:hanging="42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86">
    <w:nsid w:val="4571505F"/>
    <w:multiLevelType w:val="hybridMultilevel"/>
    <w:tmpl w:val="A2A2ACF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7">
    <w:nsid w:val="45B5048A"/>
    <w:multiLevelType w:val="hybridMultilevel"/>
    <w:tmpl w:val="AC720176"/>
    <w:lvl w:ilvl="0" w:tplc="62E8BDC6">
      <w:start w:val="1"/>
      <w:numFmt w:val="decimal"/>
      <w:lvlText w:val="%1."/>
      <w:lvlJc w:val="left"/>
      <w:pPr>
        <w:ind w:left="833" w:hanging="348"/>
      </w:pPr>
      <w:rPr>
        <w:rFonts w:ascii="Times New Roman" w:eastAsia="Times New Roman" w:hAnsi="Times New Roman" w:cs="Times New Roman" w:hint="default"/>
        <w:b/>
        <w:bCs/>
        <w:spacing w:val="-30"/>
        <w:w w:val="99"/>
        <w:sz w:val="24"/>
        <w:szCs w:val="24"/>
      </w:rPr>
    </w:lvl>
    <w:lvl w:ilvl="1" w:tplc="F5508626">
      <w:numFmt w:val="bullet"/>
      <w:lvlText w:val="•"/>
      <w:lvlJc w:val="left"/>
      <w:pPr>
        <w:ind w:left="840" w:hanging="348"/>
      </w:pPr>
      <w:rPr>
        <w:rFonts w:hint="default"/>
      </w:rPr>
    </w:lvl>
    <w:lvl w:ilvl="2" w:tplc="DA4040FC">
      <w:numFmt w:val="bullet"/>
      <w:lvlText w:val="•"/>
      <w:lvlJc w:val="left"/>
      <w:pPr>
        <w:ind w:left="1880" w:hanging="348"/>
      </w:pPr>
      <w:rPr>
        <w:rFonts w:hint="default"/>
      </w:rPr>
    </w:lvl>
    <w:lvl w:ilvl="3" w:tplc="69EE30EA">
      <w:numFmt w:val="bullet"/>
      <w:lvlText w:val="•"/>
      <w:lvlJc w:val="left"/>
      <w:pPr>
        <w:ind w:left="2920" w:hanging="348"/>
      </w:pPr>
      <w:rPr>
        <w:rFonts w:hint="default"/>
      </w:rPr>
    </w:lvl>
    <w:lvl w:ilvl="4" w:tplc="C94047DA">
      <w:numFmt w:val="bullet"/>
      <w:lvlText w:val="•"/>
      <w:lvlJc w:val="left"/>
      <w:pPr>
        <w:ind w:left="3960" w:hanging="348"/>
      </w:pPr>
      <w:rPr>
        <w:rFonts w:hint="default"/>
      </w:rPr>
    </w:lvl>
    <w:lvl w:ilvl="5" w:tplc="0902D5D6">
      <w:numFmt w:val="bullet"/>
      <w:lvlText w:val="•"/>
      <w:lvlJc w:val="left"/>
      <w:pPr>
        <w:ind w:left="5000" w:hanging="348"/>
      </w:pPr>
      <w:rPr>
        <w:rFonts w:hint="default"/>
      </w:rPr>
    </w:lvl>
    <w:lvl w:ilvl="6" w:tplc="284AF488">
      <w:numFmt w:val="bullet"/>
      <w:lvlText w:val="•"/>
      <w:lvlJc w:val="left"/>
      <w:pPr>
        <w:ind w:left="6040" w:hanging="348"/>
      </w:pPr>
      <w:rPr>
        <w:rFonts w:hint="default"/>
      </w:rPr>
    </w:lvl>
    <w:lvl w:ilvl="7" w:tplc="9AC61920">
      <w:numFmt w:val="bullet"/>
      <w:lvlText w:val="•"/>
      <w:lvlJc w:val="left"/>
      <w:pPr>
        <w:ind w:left="7080" w:hanging="348"/>
      </w:pPr>
      <w:rPr>
        <w:rFonts w:hint="default"/>
      </w:rPr>
    </w:lvl>
    <w:lvl w:ilvl="8" w:tplc="5B8215B6">
      <w:numFmt w:val="bullet"/>
      <w:lvlText w:val="•"/>
      <w:lvlJc w:val="left"/>
      <w:pPr>
        <w:ind w:left="8120" w:hanging="348"/>
      </w:pPr>
      <w:rPr>
        <w:rFonts w:hint="default"/>
      </w:rPr>
    </w:lvl>
  </w:abstractNum>
  <w:abstractNum w:abstractNumId="88">
    <w:nsid w:val="46057B84"/>
    <w:multiLevelType w:val="hybridMultilevel"/>
    <w:tmpl w:val="A7CEFDBA"/>
    <w:lvl w:ilvl="0" w:tplc="7826AE90">
      <w:start w:val="1"/>
      <w:numFmt w:val="decimal"/>
      <w:lvlText w:val="%1."/>
      <w:lvlJc w:val="left"/>
      <w:pPr>
        <w:ind w:left="720" w:hanging="360"/>
      </w:pPr>
      <w:rPr>
        <w:rFonts w:hint="default"/>
        <w:b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9">
    <w:nsid w:val="4668456F"/>
    <w:multiLevelType w:val="hybridMultilevel"/>
    <w:tmpl w:val="F9D4E2B8"/>
    <w:lvl w:ilvl="0" w:tplc="142898AE">
      <w:start w:val="14"/>
      <w:numFmt w:val="bullet"/>
      <w:lvlText w:val="•"/>
      <w:lvlJc w:val="left"/>
      <w:pPr>
        <w:ind w:left="1065" w:hanging="705"/>
      </w:pPr>
      <w:rPr>
        <w:rFonts w:ascii="Calibri" w:eastAsia="Calibri"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0">
    <w:nsid w:val="468634A6"/>
    <w:multiLevelType w:val="hybridMultilevel"/>
    <w:tmpl w:val="291EC48C"/>
    <w:lvl w:ilvl="0" w:tplc="0C0A0005">
      <w:start w:val="1"/>
      <w:numFmt w:val="bullet"/>
      <w:lvlText w:val=""/>
      <w:lvlJc w:val="left"/>
      <w:pPr>
        <w:tabs>
          <w:tab w:val="num" w:pos="1080"/>
        </w:tabs>
        <w:ind w:left="1080" w:hanging="360"/>
      </w:pPr>
      <w:rPr>
        <w:rFonts w:ascii="Wingdings" w:hAnsi="Wingdings" w:hint="default"/>
      </w:rPr>
    </w:lvl>
    <w:lvl w:ilvl="1" w:tplc="0C0A0003" w:tentative="1">
      <w:start w:val="1"/>
      <w:numFmt w:val="bullet"/>
      <w:lvlText w:val="o"/>
      <w:lvlJc w:val="left"/>
      <w:pPr>
        <w:tabs>
          <w:tab w:val="num" w:pos="1800"/>
        </w:tabs>
        <w:ind w:left="1800" w:hanging="360"/>
      </w:pPr>
      <w:rPr>
        <w:rFonts w:ascii="Courier New" w:hAnsi="Courier New" w:cs="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cs="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cs="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91">
    <w:nsid w:val="47BD58F2"/>
    <w:multiLevelType w:val="hybridMultilevel"/>
    <w:tmpl w:val="01DCBFA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2">
    <w:nsid w:val="482D24FD"/>
    <w:multiLevelType w:val="hybridMultilevel"/>
    <w:tmpl w:val="D54EB338"/>
    <w:lvl w:ilvl="0" w:tplc="C248EE18">
      <w:start w:val="1"/>
      <w:numFmt w:val="decimal"/>
      <w:lvlText w:val="%1."/>
      <w:lvlJc w:val="left"/>
      <w:pPr>
        <w:tabs>
          <w:tab w:val="num" w:pos="1080"/>
        </w:tabs>
        <w:ind w:left="1080" w:hanging="360"/>
      </w:pPr>
      <w:rPr>
        <w:rFonts w:hint="default"/>
      </w:rPr>
    </w:lvl>
    <w:lvl w:ilvl="1" w:tplc="0C0A0019" w:tentative="1">
      <w:start w:val="1"/>
      <w:numFmt w:val="lowerLetter"/>
      <w:lvlText w:val="%2."/>
      <w:lvlJc w:val="left"/>
      <w:pPr>
        <w:tabs>
          <w:tab w:val="num" w:pos="1800"/>
        </w:tabs>
        <w:ind w:left="1800" w:hanging="360"/>
      </w:pPr>
    </w:lvl>
    <w:lvl w:ilvl="2" w:tplc="0C0A001B" w:tentative="1">
      <w:start w:val="1"/>
      <w:numFmt w:val="lowerRoman"/>
      <w:lvlText w:val="%3."/>
      <w:lvlJc w:val="right"/>
      <w:pPr>
        <w:tabs>
          <w:tab w:val="num" w:pos="2520"/>
        </w:tabs>
        <w:ind w:left="2520" w:hanging="180"/>
      </w:pPr>
    </w:lvl>
    <w:lvl w:ilvl="3" w:tplc="0C0A000F" w:tentative="1">
      <w:start w:val="1"/>
      <w:numFmt w:val="decimal"/>
      <w:lvlText w:val="%4."/>
      <w:lvlJc w:val="left"/>
      <w:pPr>
        <w:tabs>
          <w:tab w:val="num" w:pos="3240"/>
        </w:tabs>
        <w:ind w:left="3240" w:hanging="360"/>
      </w:pPr>
    </w:lvl>
    <w:lvl w:ilvl="4" w:tplc="0C0A0019" w:tentative="1">
      <w:start w:val="1"/>
      <w:numFmt w:val="lowerLetter"/>
      <w:lvlText w:val="%5."/>
      <w:lvlJc w:val="left"/>
      <w:pPr>
        <w:tabs>
          <w:tab w:val="num" w:pos="3960"/>
        </w:tabs>
        <w:ind w:left="3960" w:hanging="360"/>
      </w:pPr>
    </w:lvl>
    <w:lvl w:ilvl="5" w:tplc="0C0A001B" w:tentative="1">
      <w:start w:val="1"/>
      <w:numFmt w:val="lowerRoman"/>
      <w:lvlText w:val="%6."/>
      <w:lvlJc w:val="right"/>
      <w:pPr>
        <w:tabs>
          <w:tab w:val="num" w:pos="4680"/>
        </w:tabs>
        <w:ind w:left="4680" w:hanging="180"/>
      </w:pPr>
    </w:lvl>
    <w:lvl w:ilvl="6" w:tplc="0C0A000F" w:tentative="1">
      <w:start w:val="1"/>
      <w:numFmt w:val="decimal"/>
      <w:lvlText w:val="%7."/>
      <w:lvlJc w:val="left"/>
      <w:pPr>
        <w:tabs>
          <w:tab w:val="num" w:pos="5400"/>
        </w:tabs>
        <w:ind w:left="5400" w:hanging="360"/>
      </w:pPr>
    </w:lvl>
    <w:lvl w:ilvl="7" w:tplc="0C0A0019" w:tentative="1">
      <w:start w:val="1"/>
      <w:numFmt w:val="lowerLetter"/>
      <w:lvlText w:val="%8."/>
      <w:lvlJc w:val="left"/>
      <w:pPr>
        <w:tabs>
          <w:tab w:val="num" w:pos="6120"/>
        </w:tabs>
        <w:ind w:left="6120" w:hanging="360"/>
      </w:pPr>
    </w:lvl>
    <w:lvl w:ilvl="8" w:tplc="0C0A001B" w:tentative="1">
      <w:start w:val="1"/>
      <w:numFmt w:val="lowerRoman"/>
      <w:lvlText w:val="%9."/>
      <w:lvlJc w:val="right"/>
      <w:pPr>
        <w:tabs>
          <w:tab w:val="num" w:pos="6840"/>
        </w:tabs>
        <w:ind w:left="6840" w:hanging="180"/>
      </w:pPr>
    </w:lvl>
  </w:abstractNum>
  <w:abstractNum w:abstractNumId="93">
    <w:nsid w:val="4958077C"/>
    <w:multiLevelType w:val="hybridMultilevel"/>
    <w:tmpl w:val="BFCEEECC"/>
    <w:lvl w:ilvl="0" w:tplc="2C0A0001">
      <w:start w:val="1"/>
      <w:numFmt w:val="bullet"/>
      <w:lvlText w:val=""/>
      <w:lvlJc w:val="left"/>
      <w:pPr>
        <w:ind w:left="502"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94">
    <w:nsid w:val="499473B4"/>
    <w:multiLevelType w:val="hybridMultilevel"/>
    <w:tmpl w:val="28D855C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5">
    <w:nsid w:val="4A491AFD"/>
    <w:multiLevelType w:val="multilevel"/>
    <w:tmpl w:val="1CA4024A"/>
    <w:lvl w:ilvl="0">
      <w:numFmt w:val="bullet"/>
      <w:lvlText w:val=""/>
      <w:lvlJc w:val="left"/>
      <w:rPr>
        <w:rFonts w:ascii="Symbol" w:hAnsi="Symbol"/>
        <w:color w:val="4472C4"/>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96">
    <w:nsid w:val="4C0474E9"/>
    <w:multiLevelType w:val="hybridMultilevel"/>
    <w:tmpl w:val="D19E5684"/>
    <w:lvl w:ilvl="0" w:tplc="0C0A0001">
      <w:start w:val="1"/>
      <w:numFmt w:val="bullet"/>
      <w:lvlText w:val=""/>
      <w:lvlJc w:val="left"/>
      <w:pPr>
        <w:ind w:left="1117" w:hanging="360"/>
      </w:pPr>
      <w:rPr>
        <w:rFonts w:ascii="Symbol" w:hAnsi="Symbol" w:hint="default"/>
      </w:rPr>
    </w:lvl>
    <w:lvl w:ilvl="1" w:tplc="0C0A0003" w:tentative="1">
      <w:start w:val="1"/>
      <w:numFmt w:val="bullet"/>
      <w:lvlText w:val="o"/>
      <w:lvlJc w:val="left"/>
      <w:pPr>
        <w:ind w:left="1837" w:hanging="360"/>
      </w:pPr>
      <w:rPr>
        <w:rFonts w:ascii="Courier New" w:hAnsi="Courier New" w:hint="default"/>
      </w:rPr>
    </w:lvl>
    <w:lvl w:ilvl="2" w:tplc="0C0A0005" w:tentative="1">
      <w:start w:val="1"/>
      <w:numFmt w:val="bullet"/>
      <w:lvlText w:val=""/>
      <w:lvlJc w:val="left"/>
      <w:pPr>
        <w:ind w:left="2557" w:hanging="360"/>
      </w:pPr>
      <w:rPr>
        <w:rFonts w:ascii="Wingdings" w:hAnsi="Wingdings" w:hint="default"/>
      </w:rPr>
    </w:lvl>
    <w:lvl w:ilvl="3" w:tplc="0C0A0001" w:tentative="1">
      <w:start w:val="1"/>
      <w:numFmt w:val="bullet"/>
      <w:lvlText w:val=""/>
      <w:lvlJc w:val="left"/>
      <w:pPr>
        <w:ind w:left="3277" w:hanging="360"/>
      </w:pPr>
      <w:rPr>
        <w:rFonts w:ascii="Symbol" w:hAnsi="Symbol" w:hint="default"/>
      </w:rPr>
    </w:lvl>
    <w:lvl w:ilvl="4" w:tplc="0C0A0003" w:tentative="1">
      <w:start w:val="1"/>
      <w:numFmt w:val="bullet"/>
      <w:lvlText w:val="o"/>
      <w:lvlJc w:val="left"/>
      <w:pPr>
        <w:ind w:left="3997" w:hanging="360"/>
      </w:pPr>
      <w:rPr>
        <w:rFonts w:ascii="Courier New" w:hAnsi="Courier New" w:hint="default"/>
      </w:rPr>
    </w:lvl>
    <w:lvl w:ilvl="5" w:tplc="0C0A0005" w:tentative="1">
      <w:start w:val="1"/>
      <w:numFmt w:val="bullet"/>
      <w:lvlText w:val=""/>
      <w:lvlJc w:val="left"/>
      <w:pPr>
        <w:ind w:left="4717" w:hanging="360"/>
      </w:pPr>
      <w:rPr>
        <w:rFonts w:ascii="Wingdings" w:hAnsi="Wingdings" w:hint="default"/>
      </w:rPr>
    </w:lvl>
    <w:lvl w:ilvl="6" w:tplc="0C0A0001" w:tentative="1">
      <w:start w:val="1"/>
      <w:numFmt w:val="bullet"/>
      <w:lvlText w:val=""/>
      <w:lvlJc w:val="left"/>
      <w:pPr>
        <w:ind w:left="5437" w:hanging="360"/>
      </w:pPr>
      <w:rPr>
        <w:rFonts w:ascii="Symbol" w:hAnsi="Symbol" w:hint="default"/>
      </w:rPr>
    </w:lvl>
    <w:lvl w:ilvl="7" w:tplc="0C0A0003" w:tentative="1">
      <w:start w:val="1"/>
      <w:numFmt w:val="bullet"/>
      <w:lvlText w:val="o"/>
      <w:lvlJc w:val="left"/>
      <w:pPr>
        <w:ind w:left="6157" w:hanging="360"/>
      </w:pPr>
      <w:rPr>
        <w:rFonts w:ascii="Courier New" w:hAnsi="Courier New" w:hint="default"/>
      </w:rPr>
    </w:lvl>
    <w:lvl w:ilvl="8" w:tplc="0C0A0005" w:tentative="1">
      <w:start w:val="1"/>
      <w:numFmt w:val="bullet"/>
      <w:lvlText w:val=""/>
      <w:lvlJc w:val="left"/>
      <w:pPr>
        <w:ind w:left="6877" w:hanging="360"/>
      </w:pPr>
      <w:rPr>
        <w:rFonts w:ascii="Wingdings" w:hAnsi="Wingdings" w:hint="default"/>
      </w:rPr>
    </w:lvl>
  </w:abstractNum>
  <w:abstractNum w:abstractNumId="97">
    <w:nsid w:val="4F151B18"/>
    <w:multiLevelType w:val="hybridMultilevel"/>
    <w:tmpl w:val="51102564"/>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8">
    <w:nsid w:val="4F287CEB"/>
    <w:multiLevelType w:val="hybridMultilevel"/>
    <w:tmpl w:val="19ECDCD6"/>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9">
    <w:nsid w:val="4F7C1F0C"/>
    <w:multiLevelType w:val="hybridMultilevel"/>
    <w:tmpl w:val="1E002942"/>
    <w:lvl w:ilvl="0" w:tplc="0C0A000F">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00">
    <w:nsid w:val="4FB6462E"/>
    <w:multiLevelType w:val="hybridMultilevel"/>
    <w:tmpl w:val="84CC1C54"/>
    <w:lvl w:ilvl="0" w:tplc="C16288B8">
      <w:start w:val="1"/>
      <w:numFmt w:val="decimal"/>
      <w:lvlText w:val="%1-"/>
      <w:lvlJc w:val="left"/>
      <w:pPr>
        <w:ind w:left="360" w:hanging="360"/>
      </w:pPr>
      <w:rPr>
        <w:rFonts w:hint="default"/>
      </w:r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01">
    <w:nsid w:val="505103A0"/>
    <w:multiLevelType w:val="hybridMultilevel"/>
    <w:tmpl w:val="69D8EDCA"/>
    <w:lvl w:ilvl="0" w:tplc="B71C45DC">
      <w:start w:val="1"/>
      <w:numFmt w:val="decimal"/>
      <w:lvlText w:val="%1."/>
      <w:lvlJc w:val="left"/>
      <w:pPr>
        <w:ind w:left="720" w:hanging="360"/>
      </w:pPr>
      <w:rPr>
        <w:rFonts w:hint="default"/>
        <w:color w:val="auto"/>
        <w:sz w:val="22"/>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2">
    <w:nsid w:val="50D11984"/>
    <w:multiLevelType w:val="multilevel"/>
    <w:tmpl w:val="743E136A"/>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3">
    <w:nsid w:val="51F97576"/>
    <w:multiLevelType w:val="multilevel"/>
    <w:tmpl w:val="A8FA2BD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4">
    <w:nsid w:val="568907BD"/>
    <w:multiLevelType w:val="hybridMultilevel"/>
    <w:tmpl w:val="0308B99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5">
    <w:nsid w:val="56CE6682"/>
    <w:multiLevelType w:val="hybridMultilevel"/>
    <w:tmpl w:val="2D207DA0"/>
    <w:lvl w:ilvl="0" w:tplc="C5526EDA">
      <w:start w:val="1"/>
      <w:numFmt w:val="bullet"/>
      <w:lvlText w:val=""/>
      <w:lvlJc w:val="left"/>
      <w:pPr>
        <w:tabs>
          <w:tab w:val="num" w:pos="720"/>
        </w:tabs>
        <w:ind w:left="720" w:hanging="360"/>
      </w:pPr>
      <w:rPr>
        <w:rFonts w:ascii="Symbol" w:hAnsi="Symbol" w:hint="default"/>
        <w:color w:val="auto"/>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06">
    <w:nsid w:val="5758063E"/>
    <w:multiLevelType w:val="hybridMultilevel"/>
    <w:tmpl w:val="9B14F346"/>
    <w:lvl w:ilvl="0" w:tplc="040A000F">
      <w:start w:val="1"/>
      <w:numFmt w:val="decimal"/>
      <w:lvlText w:val="%1."/>
      <w:lvlJc w:val="left"/>
      <w:pPr>
        <w:ind w:left="36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07">
    <w:nsid w:val="577C0305"/>
    <w:multiLevelType w:val="hybridMultilevel"/>
    <w:tmpl w:val="0A965D54"/>
    <w:lvl w:ilvl="0" w:tplc="0C0A0017">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08">
    <w:nsid w:val="59ED31B2"/>
    <w:multiLevelType w:val="hybridMultilevel"/>
    <w:tmpl w:val="8ACACE9C"/>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9">
    <w:nsid w:val="59EE4F8A"/>
    <w:multiLevelType w:val="hybridMultilevel"/>
    <w:tmpl w:val="60062424"/>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10">
    <w:nsid w:val="5BD96BF8"/>
    <w:multiLevelType w:val="hybridMultilevel"/>
    <w:tmpl w:val="76D2C65A"/>
    <w:lvl w:ilvl="0" w:tplc="0456C424">
      <w:start w:val="1"/>
      <w:numFmt w:val="bullet"/>
      <w:pStyle w:val="Bulletedlis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111">
    <w:nsid w:val="5D6A75B4"/>
    <w:multiLevelType w:val="hybridMultilevel"/>
    <w:tmpl w:val="B3DC73AA"/>
    <w:lvl w:ilvl="0" w:tplc="DCF8ABA0">
      <w:start w:val="4"/>
      <w:numFmt w:val="bullet"/>
      <w:lvlText w:val="-"/>
      <w:lvlJc w:val="left"/>
      <w:pPr>
        <w:ind w:left="720" w:hanging="360"/>
      </w:pPr>
      <w:rPr>
        <w:rFonts w:ascii="Calibri" w:eastAsia="Times New Roman" w:hAnsi="Calibri"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2">
    <w:nsid w:val="5E2B562A"/>
    <w:multiLevelType w:val="multilevel"/>
    <w:tmpl w:val="CBE0E2CE"/>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13">
    <w:nsid w:val="5ED278A9"/>
    <w:multiLevelType w:val="multilevel"/>
    <w:tmpl w:val="93B65B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nsid w:val="5F3F2DDE"/>
    <w:multiLevelType w:val="hybridMultilevel"/>
    <w:tmpl w:val="8E8AE5B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5">
    <w:nsid w:val="601145AD"/>
    <w:multiLevelType w:val="multilevel"/>
    <w:tmpl w:val="90BC07F0"/>
    <w:styleLink w:val="WWNum6"/>
    <w:lvl w:ilvl="0">
      <w:numFmt w:val="bullet"/>
      <w:lvlText w:val=""/>
      <w:lvlJc w:val="left"/>
      <w:rPr>
        <w:rFonts w:ascii="Symbol" w:hAnsi="Symbol"/>
      </w:rPr>
    </w:lvl>
    <w:lvl w:ilvl="1">
      <w:numFmt w:val="bullet"/>
      <w:lvlText w:val="o"/>
      <w:lvlJc w:val="left"/>
      <w:rPr>
        <w:rFonts w:ascii="Courier New" w:hAnsi="Courier New" w:cs="Courier New"/>
        <w:b/>
        <w:sz w:val="24"/>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b/>
        <w:sz w:val="24"/>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b/>
        <w:sz w:val="24"/>
      </w:rPr>
    </w:lvl>
    <w:lvl w:ilvl="8">
      <w:numFmt w:val="bullet"/>
      <w:lvlText w:val=""/>
      <w:lvlJc w:val="left"/>
      <w:rPr>
        <w:rFonts w:ascii="Wingdings" w:hAnsi="Wingdings"/>
      </w:rPr>
    </w:lvl>
  </w:abstractNum>
  <w:abstractNum w:abstractNumId="116">
    <w:nsid w:val="619D136B"/>
    <w:multiLevelType w:val="hybridMultilevel"/>
    <w:tmpl w:val="C5E20C9C"/>
    <w:lvl w:ilvl="0" w:tplc="0C0A000F">
      <w:start w:val="1"/>
      <w:numFmt w:val="decimal"/>
      <w:lvlText w:val="%1."/>
      <w:lvlJc w:val="left"/>
      <w:pPr>
        <w:ind w:left="360" w:hanging="360"/>
      </w:pPr>
    </w:lvl>
    <w:lvl w:ilvl="1" w:tplc="344466D8">
      <w:start w:val="1"/>
      <w:numFmt w:val="decimal"/>
      <w:lvlText w:val="%2"/>
      <w:lvlJc w:val="left"/>
      <w:pPr>
        <w:ind w:left="1080" w:hanging="360"/>
      </w:pPr>
      <w:rPr>
        <w:rFonts w:hint="default"/>
      </w:r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17">
    <w:nsid w:val="626C055C"/>
    <w:multiLevelType w:val="hybridMultilevel"/>
    <w:tmpl w:val="B8728C6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8">
    <w:nsid w:val="62CB57F1"/>
    <w:multiLevelType w:val="multilevel"/>
    <w:tmpl w:val="F4D094D0"/>
    <w:lvl w:ilvl="0">
      <w:start w:val="2"/>
      <w:numFmt w:val="decimal"/>
      <w:lvlText w:val="%1."/>
      <w:lvlJc w:val="left"/>
      <w:pPr>
        <w:ind w:left="420" w:hanging="42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19">
    <w:nsid w:val="640B3F11"/>
    <w:multiLevelType w:val="hybridMultilevel"/>
    <w:tmpl w:val="7228C2F0"/>
    <w:lvl w:ilvl="0" w:tplc="0C0A000F">
      <w:start w:val="1"/>
      <w:numFmt w:val="decimal"/>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20">
    <w:nsid w:val="65C87EE2"/>
    <w:multiLevelType w:val="hybridMultilevel"/>
    <w:tmpl w:val="8B7226EA"/>
    <w:lvl w:ilvl="0" w:tplc="93E675DA">
      <w:start w:val="1"/>
      <w:numFmt w:val="upperLetter"/>
      <w:lvlText w:val="%1-"/>
      <w:lvlJc w:val="left"/>
      <w:pPr>
        <w:ind w:left="960" w:hanging="360"/>
      </w:pPr>
      <w:rPr>
        <w:rFonts w:cs="Times New Roman" w:hint="default"/>
      </w:rPr>
    </w:lvl>
    <w:lvl w:ilvl="1" w:tplc="0C0A0019" w:tentative="1">
      <w:start w:val="1"/>
      <w:numFmt w:val="lowerLetter"/>
      <w:lvlText w:val="%2."/>
      <w:lvlJc w:val="left"/>
      <w:pPr>
        <w:ind w:left="1680" w:hanging="360"/>
      </w:pPr>
      <w:rPr>
        <w:rFonts w:cs="Times New Roman"/>
      </w:rPr>
    </w:lvl>
    <w:lvl w:ilvl="2" w:tplc="0C0A001B" w:tentative="1">
      <w:start w:val="1"/>
      <w:numFmt w:val="lowerRoman"/>
      <w:lvlText w:val="%3."/>
      <w:lvlJc w:val="right"/>
      <w:pPr>
        <w:ind w:left="2400" w:hanging="180"/>
      </w:pPr>
      <w:rPr>
        <w:rFonts w:cs="Times New Roman"/>
      </w:rPr>
    </w:lvl>
    <w:lvl w:ilvl="3" w:tplc="0C0A000F" w:tentative="1">
      <w:start w:val="1"/>
      <w:numFmt w:val="decimal"/>
      <w:lvlText w:val="%4."/>
      <w:lvlJc w:val="left"/>
      <w:pPr>
        <w:ind w:left="3120" w:hanging="360"/>
      </w:pPr>
      <w:rPr>
        <w:rFonts w:cs="Times New Roman"/>
      </w:rPr>
    </w:lvl>
    <w:lvl w:ilvl="4" w:tplc="0C0A0019" w:tentative="1">
      <w:start w:val="1"/>
      <w:numFmt w:val="lowerLetter"/>
      <w:lvlText w:val="%5."/>
      <w:lvlJc w:val="left"/>
      <w:pPr>
        <w:ind w:left="3840" w:hanging="360"/>
      </w:pPr>
      <w:rPr>
        <w:rFonts w:cs="Times New Roman"/>
      </w:rPr>
    </w:lvl>
    <w:lvl w:ilvl="5" w:tplc="0C0A001B" w:tentative="1">
      <w:start w:val="1"/>
      <w:numFmt w:val="lowerRoman"/>
      <w:lvlText w:val="%6."/>
      <w:lvlJc w:val="right"/>
      <w:pPr>
        <w:ind w:left="4560" w:hanging="180"/>
      </w:pPr>
      <w:rPr>
        <w:rFonts w:cs="Times New Roman"/>
      </w:rPr>
    </w:lvl>
    <w:lvl w:ilvl="6" w:tplc="0C0A000F" w:tentative="1">
      <w:start w:val="1"/>
      <w:numFmt w:val="decimal"/>
      <w:lvlText w:val="%7."/>
      <w:lvlJc w:val="left"/>
      <w:pPr>
        <w:ind w:left="5280" w:hanging="360"/>
      </w:pPr>
      <w:rPr>
        <w:rFonts w:cs="Times New Roman"/>
      </w:rPr>
    </w:lvl>
    <w:lvl w:ilvl="7" w:tplc="0C0A0019" w:tentative="1">
      <w:start w:val="1"/>
      <w:numFmt w:val="lowerLetter"/>
      <w:lvlText w:val="%8."/>
      <w:lvlJc w:val="left"/>
      <w:pPr>
        <w:ind w:left="6000" w:hanging="360"/>
      </w:pPr>
      <w:rPr>
        <w:rFonts w:cs="Times New Roman"/>
      </w:rPr>
    </w:lvl>
    <w:lvl w:ilvl="8" w:tplc="0C0A001B" w:tentative="1">
      <w:start w:val="1"/>
      <w:numFmt w:val="lowerRoman"/>
      <w:lvlText w:val="%9."/>
      <w:lvlJc w:val="right"/>
      <w:pPr>
        <w:ind w:left="6720" w:hanging="180"/>
      </w:pPr>
      <w:rPr>
        <w:rFonts w:cs="Times New Roman"/>
      </w:rPr>
    </w:lvl>
  </w:abstractNum>
  <w:abstractNum w:abstractNumId="121">
    <w:nsid w:val="66A45BF0"/>
    <w:multiLevelType w:val="multilevel"/>
    <w:tmpl w:val="8176EF22"/>
    <w:lvl w:ilvl="0">
      <w:start w:val="1"/>
      <w:numFmt w:val="decimal"/>
      <w:lvlText w:val="%1."/>
      <w:lvlJc w:val="left"/>
      <w:pPr>
        <w:ind w:left="1069" w:hanging="360"/>
      </w:pPr>
      <w:rPr>
        <w:rFonts w:hint="default"/>
      </w:rPr>
    </w:lvl>
    <w:lvl w:ilvl="1">
      <w:start w:val="2"/>
      <w:numFmt w:val="decimal"/>
      <w:isLgl/>
      <w:lvlText w:val="%1.%2."/>
      <w:lvlJc w:val="left"/>
      <w:pPr>
        <w:ind w:left="1069" w:hanging="360"/>
      </w:pPr>
      <w:rPr>
        <w:rFonts w:hint="default"/>
        <w:b/>
      </w:rPr>
    </w:lvl>
    <w:lvl w:ilvl="2">
      <w:start w:val="1"/>
      <w:numFmt w:val="decimal"/>
      <w:isLgl/>
      <w:lvlText w:val="%1.%2.%3."/>
      <w:lvlJc w:val="left"/>
      <w:pPr>
        <w:ind w:left="1429" w:hanging="720"/>
      </w:pPr>
      <w:rPr>
        <w:rFonts w:hint="default"/>
        <w:b/>
      </w:rPr>
    </w:lvl>
    <w:lvl w:ilvl="3">
      <w:start w:val="1"/>
      <w:numFmt w:val="decimal"/>
      <w:isLgl/>
      <w:lvlText w:val="%1.%2.%3.%4."/>
      <w:lvlJc w:val="left"/>
      <w:pPr>
        <w:ind w:left="1429" w:hanging="720"/>
      </w:pPr>
      <w:rPr>
        <w:rFonts w:hint="default"/>
        <w:b/>
      </w:rPr>
    </w:lvl>
    <w:lvl w:ilvl="4">
      <w:start w:val="1"/>
      <w:numFmt w:val="decimal"/>
      <w:isLgl/>
      <w:lvlText w:val="%1.%2.%3.%4.%5."/>
      <w:lvlJc w:val="left"/>
      <w:pPr>
        <w:ind w:left="1789" w:hanging="1080"/>
      </w:pPr>
      <w:rPr>
        <w:rFonts w:hint="default"/>
        <w:b/>
      </w:rPr>
    </w:lvl>
    <w:lvl w:ilvl="5">
      <w:start w:val="1"/>
      <w:numFmt w:val="decimal"/>
      <w:isLgl/>
      <w:lvlText w:val="%1.%2.%3.%4.%5.%6."/>
      <w:lvlJc w:val="left"/>
      <w:pPr>
        <w:ind w:left="1789" w:hanging="1080"/>
      </w:pPr>
      <w:rPr>
        <w:rFonts w:hint="default"/>
        <w:b/>
      </w:rPr>
    </w:lvl>
    <w:lvl w:ilvl="6">
      <w:start w:val="1"/>
      <w:numFmt w:val="decimal"/>
      <w:isLgl/>
      <w:lvlText w:val="%1.%2.%3.%4.%5.%6.%7."/>
      <w:lvlJc w:val="left"/>
      <w:pPr>
        <w:ind w:left="2149" w:hanging="1440"/>
      </w:pPr>
      <w:rPr>
        <w:rFonts w:hint="default"/>
        <w:b/>
      </w:rPr>
    </w:lvl>
    <w:lvl w:ilvl="7">
      <w:start w:val="1"/>
      <w:numFmt w:val="decimal"/>
      <w:isLgl/>
      <w:lvlText w:val="%1.%2.%3.%4.%5.%6.%7.%8."/>
      <w:lvlJc w:val="left"/>
      <w:pPr>
        <w:ind w:left="2149" w:hanging="1440"/>
      </w:pPr>
      <w:rPr>
        <w:rFonts w:hint="default"/>
        <w:b/>
      </w:rPr>
    </w:lvl>
    <w:lvl w:ilvl="8">
      <w:start w:val="1"/>
      <w:numFmt w:val="decimal"/>
      <w:isLgl/>
      <w:lvlText w:val="%1.%2.%3.%4.%5.%6.%7.%8.%9."/>
      <w:lvlJc w:val="left"/>
      <w:pPr>
        <w:ind w:left="2509" w:hanging="1800"/>
      </w:pPr>
      <w:rPr>
        <w:rFonts w:hint="default"/>
        <w:b/>
      </w:rPr>
    </w:lvl>
  </w:abstractNum>
  <w:abstractNum w:abstractNumId="122">
    <w:nsid w:val="67102DC4"/>
    <w:multiLevelType w:val="hybridMultilevel"/>
    <w:tmpl w:val="DD466EBE"/>
    <w:lvl w:ilvl="0" w:tplc="0C0A000B">
      <w:start w:val="1"/>
      <w:numFmt w:val="bullet"/>
      <w:lvlText w:val=""/>
      <w:lvlJc w:val="left"/>
      <w:pPr>
        <w:ind w:left="643"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3">
    <w:nsid w:val="6711520A"/>
    <w:multiLevelType w:val="multilevel"/>
    <w:tmpl w:val="D00A8B60"/>
    <w:lvl w:ilvl="0">
      <w:start w:val="13"/>
      <w:numFmt w:val="upperLetter"/>
      <w:lvlText w:val="%1"/>
      <w:lvlJc w:val="left"/>
      <w:pPr>
        <w:ind w:left="3080" w:hanging="408"/>
      </w:pPr>
      <w:rPr>
        <w:rFonts w:hint="default"/>
      </w:rPr>
    </w:lvl>
    <w:lvl w:ilvl="1">
      <w:start w:val="19"/>
      <w:numFmt w:val="upperLetter"/>
      <w:lvlText w:val="%1.%2"/>
      <w:lvlJc w:val="left"/>
      <w:pPr>
        <w:ind w:left="3080" w:hanging="408"/>
      </w:pPr>
      <w:rPr>
        <w:rFonts w:ascii="Times New Roman" w:eastAsia="Times New Roman" w:hAnsi="Times New Roman" w:cs="Times New Roman" w:hint="default"/>
        <w:w w:val="99"/>
        <w:sz w:val="24"/>
        <w:szCs w:val="24"/>
      </w:rPr>
    </w:lvl>
    <w:lvl w:ilvl="2">
      <w:start w:val="1"/>
      <w:numFmt w:val="decimal"/>
      <w:lvlText w:val="(%3)"/>
      <w:lvlJc w:val="left"/>
      <w:pPr>
        <w:ind w:left="4052" w:hanging="348"/>
        <w:jc w:val="right"/>
      </w:pPr>
      <w:rPr>
        <w:rFonts w:hint="default"/>
        <w:w w:val="99"/>
      </w:rPr>
    </w:lvl>
    <w:lvl w:ilvl="3">
      <w:numFmt w:val="bullet"/>
      <w:lvlText w:val="•"/>
      <w:lvlJc w:val="left"/>
      <w:pPr>
        <w:ind w:left="5397" w:hanging="348"/>
      </w:pPr>
      <w:rPr>
        <w:rFonts w:hint="default"/>
      </w:rPr>
    </w:lvl>
    <w:lvl w:ilvl="4">
      <w:numFmt w:val="bullet"/>
      <w:lvlText w:val="•"/>
      <w:lvlJc w:val="left"/>
      <w:pPr>
        <w:ind w:left="6066" w:hanging="348"/>
      </w:pPr>
      <w:rPr>
        <w:rFonts w:hint="default"/>
      </w:rPr>
    </w:lvl>
    <w:lvl w:ilvl="5">
      <w:numFmt w:val="bullet"/>
      <w:lvlText w:val="•"/>
      <w:lvlJc w:val="left"/>
      <w:pPr>
        <w:ind w:left="6735" w:hanging="348"/>
      </w:pPr>
      <w:rPr>
        <w:rFonts w:hint="default"/>
      </w:rPr>
    </w:lvl>
    <w:lvl w:ilvl="6">
      <w:numFmt w:val="bullet"/>
      <w:lvlText w:val="•"/>
      <w:lvlJc w:val="left"/>
      <w:pPr>
        <w:ind w:left="7404" w:hanging="348"/>
      </w:pPr>
      <w:rPr>
        <w:rFonts w:hint="default"/>
      </w:rPr>
    </w:lvl>
    <w:lvl w:ilvl="7">
      <w:numFmt w:val="bullet"/>
      <w:lvlText w:val="•"/>
      <w:lvlJc w:val="left"/>
      <w:pPr>
        <w:ind w:left="8073" w:hanging="348"/>
      </w:pPr>
      <w:rPr>
        <w:rFonts w:hint="default"/>
      </w:rPr>
    </w:lvl>
    <w:lvl w:ilvl="8">
      <w:numFmt w:val="bullet"/>
      <w:lvlText w:val="•"/>
      <w:lvlJc w:val="left"/>
      <w:pPr>
        <w:ind w:left="8742" w:hanging="348"/>
      </w:pPr>
      <w:rPr>
        <w:rFonts w:hint="default"/>
      </w:rPr>
    </w:lvl>
  </w:abstractNum>
  <w:abstractNum w:abstractNumId="124">
    <w:nsid w:val="673E0E0E"/>
    <w:multiLevelType w:val="hybridMultilevel"/>
    <w:tmpl w:val="DFD4525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5">
    <w:nsid w:val="67865CE0"/>
    <w:multiLevelType w:val="hybridMultilevel"/>
    <w:tmpl w:val="FB325B8C"/>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26">
    <w:nsid w:val="67B25446"/>
    <w:multiLevelType w:val="hybridMultilevel"/>
    <w:tmpl w:val="8340ADB8"/>
    <w:lvl w:ilvl="0" w:tplc="0C0A0001">
      <w:start w:val="3"/>
      <w:numFmt w:val="bullet"/>
      <w:lvlText w:val=""/>
      <w:lvlJc w:val="left"/>
      <w:pPr>
        <w:tabs>
          <w:tab w:val="num" w:pos="720"/>
        </w:tabs>
        <w:ind w:left="720" w:hanging="360"/>
      </w:pPr>
      <w:rPr>
        <w:rFonts w:ascii="Symbol" w:eastAsia="Times New Roman" w:hAnsi="Symbol" w:cs="Times New Roman"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27">
    <w:nsid w:val="68B410BA"/>
    <w:multiLevelType w:val="multilevel"/>
    <w:tmpl w:val="A77E0F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nsid w:val="6B26554A"/>
    <w:multiLevelType w:val="hybridMultilevel"/>
    <w:tmpl w:val="210638F6"/>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9">
    <w:nsid w:val="6CAA117D"/>
    <w:multiLevelType w:val="hybridMultilevel"/>
    <w:tmpl w:val="5CF45ACA"/>
    <w:lvl w:ilvl="0" w:tplc="7E26F868">
      <w:start w:val="1"/>
      <w:numFmt w:val="bullet"/>
      <w:lvlText w:val="•"/>
      <w:lvlJc w:val="left"/>
      <w:pPr>
        <w:tabs>
          <w:tab w:val="num" w:pos="720"/>
        </w:tabs>
        <w:ind w:left="720" w:hanging="360"/>
      </w:pPr>
      <w:rPr>
        <w:rFonts w:ascii="Arial" w:hAnsi="Arial" w:hint="default"/>
      </w:rPr>
    </w:lvl>
    <w:lvl w:ilvl="1" w:tplc="6CD6C26A" w:tentative="1">
      <w:start w:val="1"/>
      <w:numFmt w:val="bullet"/>
      <w:lvlText w:val="•"/>
      <w:lvlJc w:val="left"/>
      <w:pPr>
        <w:tabs>
          <w:tab w:val="num" w:pos="1440"/>
        </w:tabs>
        <w:ind w:left="1440" w:hanging="360"/>
      </w:pPr>
      <w:rPr>
        <w:rFonts w:ascii="Arial" w:hAnsi="Arial" w:hint="default"/>
      </w:rPr>
    </w:lvl>
    <w:lvl w:ilvl="2" w:tplc="DFE8670E" w:tentative="1">
      <w:start w:val="1"/>
      <w:numFmt w:val="bullet"/>
      <w:lvlText w:val="•"/>
      <w:lvlJc w:val="left"/>
      <w:pPr>
        <w:tabs>
          <w:tab w:val="num" w:pos="2160"/>
        </w:tabs>
        <w:ind w:left="2160" w:hanging="360"/>
      </w:pPr>
      <w:rPr>
        <w:rFonts w:ascii="Arial" w:hAnsi="Arial" w:hint="default"/>
      </w:rPr>
    </w:lvl>
    <w:lvl w:ilvl="3" w:tplc="FC640FD6" w:tentative="1">
      <w:start w:val="1"/>
      <w:numFmt w:val="bullet"/>
      <w:lvlText w:val="•"/>
      <w:lvlJc w:val="left"/>
      <w:pPr>
        <w:tabs>
          <w:tab w:val="num" w:pos="2880"/>
        </w:tabs>
        <w:ind w:left="2880" w:hanging="360"/>
      </w:pPr>
      <w:rPr>
        <w:rFonts w:ascii="Arial" w:hAnsi="Arial" w:hint="default"/>
      </w:rPr>
    </w:lvl>
    <w:lvl w:ilvl="4" w:tplc="038213AA" w:tentative="1">
      <w:start w:val="1"/>
      <w:numFmt w:val="bullet"/>
      <w:lvlText w:val="•"/>
      <w:lvlJc w:val="left"/>
      <w:pPr>
        <w:tabs>
          <w:tab w:val="num" w:pos="3600"/>
        </w:tabs>
        <w:ind w:left="3600" w:hanging="360"/>
      </w:pPr>
      <w:rPr>
        <w:rFonts w:ascii="Arial" w:hAnsi="Arial" w:hint="default"/>
      </w:rPr>
    </w:lvl>
    <w:lvl w:ilvl="5" w:tplc="B8460EF8" w:tentative="1">
      <w:start w:val="1"/>
      <w:numFmt w:val="bullet"/>
      <w:lvlText w:val="•"/>
      <w:lvlJc w:val="left"/>
      <w:pPr>
        <w:tabs>
          <w:tab w:val="num" w:pos="4320"/>
        </w:tabs>
        <w:ind w:left="4320" w:hanging="360"/>
      </w:pPr>
      <w:rPr>
        <w:rFonts w:ascii="Arial" w:hAnsi="Arial" w:hint="default"/>
      </w:rPr>
    </w:lvl>
    <w:lvl w:ilvl="6" w:tplc="95F205F2" w:tentative="1">
      <w:start w:val="1"/>
      <w:numFmt w:val="bullet"/>
      <w:lvlText w:val="•"/>
      <w:lvlJc w:val="left"/>
      <w:pPr>
        <w:tabs>
          <w:tab w:val="num" w:pos="5040"/>
        </w:tabs>
        <w:ind w:left="5040" w:hanging="360"/>
      </w:pPr>
      <w:rPr>
        <w:rFonts w:ascii="Arial" w:hAnsi="Arial" w:hint="default"/>
      </w:rPr>
    </w:lvl>
    <w:lvl w:ilvl="7" w:tplc="8F18F26A" w:tentative="1">
      <w:start w:val="1"/>
      <w:numFmt w:val="bullet"/>
      <w:lvlText w:val="•"/>
      <w:lvlJc w:val="left"/>
      <w:pPr>
        <w:tabs>
          <w:tab w:val="num" w:pos="5760"/>
        </w:tabs>
        <w:ind w:left="5760" w:hanging="360"/>
      </w:pPr>
      <w:rPr>
        <w:rFonts w:ascii="Arial" w:hAnsi="Arial" w:hint="default"/>
      </w:rPr>
    </w:lvl>
    <w:lvl w:ilvl="8" w:tplc="54CEF222" w:tentative="1">
      <w:start w:val="1"/>
      <w:numFmt w:val="bullet"/>
      <w:lvlText w:val="•"/>
      <w:lvlJc w:val="left"/>
      <w:pPr>
        <w:tabs>
          <w:tab w:val="num" w:pos="6480"/>
        </w:tabs>
        <w:ind w:left="6480" w:hanging="360"/>
      </w:pPr>
      <w:rPr>
        <w:rFonts w:ascii="Arial" w:hAnsi="Arial" w:hint="default"/>
      </w:rPr>
    </w:lvl>
  </w:abstractNum>
  <w:abstractNum w:abstractNumId="130">
    <w:nsid w:val="6CC16C90"/>
    <w:multiLevelType w:val="hybridMultilevel"/>
    <w:tmpl w:val="E184427C"/>
    <w:lvl w:ilvl="0" w:tplc="75D85066">
      <w:numFmt w:val="bullet"/>
      <w:lvlText w:val=""/>
      <w:lvlJc w:val="left"/>
      <w:pPr>
        <w:ind w:left="720" w:hanging="360"/>
      </w:pPr>
      <w:rPr>
        <w:rFonts w:ascii="Symbol" w:eastAsiaTheme="minorHAnsi" w:hAnsi="Symbol"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31">
    <w:nsid w:val="6D301C06"/>
    <w:multiLevelType w:val="hybridMultilevel"/>
    <w:tmpl w:val="8F982754"/>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2">
    <w:nsid w:val="6FC82645"/>
    <w:multiLevelType w:val="hybridMultilevel"/>
    <w:tmpl w:val="2E4A1BE2"/>
    <w:lvl w:ilvl="0" w:tplc="5A0A8D5A">
      <w:numFmt w:val="bullet"/>
      <w:lvlText w:val="-"/>
      <w:lvlJc w:val="left"/>
      <w:pPr>
        <w:ind w:left="720" w:hanging="360"/>
      </w:pPr>
      <w:rPr>
        <w:rFonts w:ascii="Calibri" w:eastAsiaTheme="minorHAnsi" w:hAnsi="Calibri" w:cs="Calibri"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3">
    <w:nsid w:val="705E23A9"/>
    <w:multiLevelType w:val="hybridMultilevel"/>
    <w:tmpl w:val="A22E5024"/>
    <w:lvl w:ilvl="0" w:tplc="EDA228C8">
      <w:start w:val="1"/>
      <w:numFmt w:val="bullet"/>
      <w:lvlText w:val="•"/>
      <w:lvlJc w:val="left"/>
      <w:pPr>
        <w:ind w:left="1440" w:hanging="360"/>
      </w:pPr>
      <w:rPr>
        <w:rFonts w:ascii="Times New Roman" w:hAnsi="Times New Roman" w:hint="default"/>
      </w:rPr>
    </w:lvl>
    <w:lvl w:ilvl="1" w:tplc="0C0A0003" w:tentative="1">
      <w:start w:val="1"/>
      <w:numFmt w:val="bullet"/>
      <w:lvlText w:val="o"/>
      <w:lvlJc w:val="left"/>
      <w:pPr>
        <w:ind w:left="2160" w:hanging="360"/>
      </w:pPr>
      <w:rPr>
        <w:rFonts w:ascii="Courier New" w:hAnsi="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34">
    <w:nsid w:val="74D31581"/>
    <w:multiLevelType w:val="multilevel"/>
    <w:tmpl w:val="3612CEB2"/>
    <w:styleLink w:val="WWNum8"/>
    <w:lvl w:ilvl="0">
      <w:numFmt w:val="bullet"/>
      <w:lvlText w:val=""/>
      <w:lvlJc w:val="left"/>
      <w:rPr>
        <w:rFonts w:ascii="Symbol" w:hAnsi="Symbol"/>
        <w:color w:val="4472C4"/>
      </w:rPr>
    </w:lvl>
    <w:lvl w:ilvl="1">
      <w:numFmt w:val="bullet"/>
      <w:lvlText w:val="o"/>
      <w:lvlJc w:val="left"/>
      <w:rPr>
        <w:rFonts w:ascii="Courier New" w:hAnsi="Courier New" w:cs="Courier New"/>
        <w:b/>
        <w:sz w:val="24"/>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b/>
        <w:sz w:val="24"/>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b/>
        <w:sz w:val="24"/>
      </w:rPr>
    </w:lvl>
    <w:lvl w:ilvl="8">
      <w:numFmt w:val="bullet"/>
      <w:lvlText w:val=""/>
      <w:lvlJc w:val="left"/>
      <w:rPr>
        <w:rFonts w:ascii="Wingdings" w:hAnsi="Wingdings"/>
      </w:rPr>
    </w:lvl>
  </w:abstractNum>
  <w:abstractNum w:abstractNumId="135">
    <w:nsid w:val="750E7582"/>
    <w:multiLevelType w:val="hybridMultilevel"/>
    <w:tmpl w:val="F80A4766"/>
    <w:lvl w:ilvl="0" w:tplc="0C0A0019">
      <w:start w:val="1"/>
      <w:numFmt w:val="lowerLetter"/>
      <w:lvlText w:val="%1."/>
      <w:lvlJc w:val="left"/>
      <w:pPr>
        <w:tabs>
          <w:tab w:val="num" w:pos="720"/>
        </w:tabs>
        <w:ind w:left="720" w:hanging="360"/>
      </w:pPr>
      <w:rPr>
        <w:rFonts w:hint="default"/>
      </w:rPr>
    </w:lvl>
    <w:lvl w:ilvl="1" w:tplc="0C0A0019">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36">
    <w:nsid w:val="75BA365E"/>
    <w:multiLevelType w:val="hybridMultilevel"/>
    <w:tmpl w:val="7D6408AC"/>
    <w:lvl w:ilvl="0" w:tplc="CC069FF8">
      <w:start w:val="2"/>
      <w:numFmt w:val="bullet"/>
      <w:lvlText w:val="-"/>
      <w:lvlJc w:val="left"/>
      <w:pPr>
        <w:ind w:left="720" w:hanging="360"/>
      </w:pPr>
      <w:rPr>
        <w:rFonts w:ascii="Times New Roman" w:eastAsiaTheme="minorHAns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7">
    <w:nsid w:val="77D21804"/>
    <w:multiLevelType w:val="hybridMultilevel"/>
    <w:tmpl w:val="1AA80620"/>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38">
    <w:nsid w:val="780E0908"/>
    <w:multiLevelType w:val="multilevel"/>
    <w:tmpl w:val="F95CD8DA"/>
    <w:lvl w:ilvl="0">
      <w:start w:val="1"/>
      <w:numFmt w:val="decimal"/>
      <w:lvlText w:val="%1."/>
      <w:lvlJc w:val="left"/>
      <w:pPr>
        <w:ind w:left="720" w:hanging="360"/>
      </w:pPr>
      <w:rPr>
        <w:rFonts w:ascii="Times New Roman" w:eastAsia="Times New Roman" w:hAnsi="Times New Roman" w:cs="Arial"/>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9">
    <w:nsid w:val="782D1E17"/>
    <w:multiLevelType w:val="hybridMultilevel"/>
    <w:tmpl w:val="C4929102"/>
    <w:lvl w:ilvl="0" w:tplc="0C0A000F">
      <w:start w:val="2"/>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0">
    <w:nsid w:val="786F09CE"/>
    <w:multiLevelType w:val="hybridMultilevel"/>
    <w:tmpl w:val="8E2EE55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1">
    <w:nsid w:val="78D3777B"/>
    <w:multiLevelType w:val="hybridMultilevel"/>
    <w:tmpl w:val="13CAB13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2">
    <w:nsid w:val="792251BE"/>
    <w:multiLevelType w:val="hybridMultilevel"/>
    <w:tmpl w:val="A30ED8D6"/>
    <w:lvl w:ilvl="0" w:tplc="4E1ABAB0">
      <w:start w:val="3"/>
      <w:numFmt w:val="bullet"/>
      <w:lvlText w:val="-"/>
      <w:lvlJc w:val="left"/>
      <w:pPr>
        <w:ind w:left="720" w:hanging="360"/>
      </w:pPr>
      <w:rPr>
        <w:rFonts w:ascii="Times New Roman" w:eastAsiaTheme="minorHAns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3">
    <w:nsid w:val="79A21C8E"/>
    <w:multiLevelType w:val="hybridMultilevel"/>
    <w:tmpl w:val="6A5007D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4">
    <w:nsid w:val="79F1557E"/>
    <w:multiLevelType w:val="hybridMultilevel"/>
    <w:tmpl w:val="6770C27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5">
    <w:nsid w:val="7AEB5D6B"/>
    <w:multiLevelType w:val="multilevel"/>
    <w:tmpl w:val="371A516E"/>
    <w:lvl w:ilvl="0">
      <w:numFmt w:val="bullet"/>
      <w:lvlText w:val=""/>
      <w:lvlJc w:val="left"/>
      <w:rPr>
        <w:rFonts w:ascii="Symbol" w:hAnsi="Symbol"/>
        <w:color w:val="4472C4"/>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46">
    <w:nsid w:val="7B1C2345"/>
    <w:multiLevelType w:val="hybridMultilevel"/>
    <w:tmpl w:val="72327242"/>
    <w:lvl w:ilvl="0" w:tplc="0403000B">
      <w:start w:val="1"/>
      <w:numFmt w:val="bullet"/>
      <w:lvlText w:val=""/>
      <w:lvlJc w:val="left"/>
      <w:pPr>
        <w:ind w:left="720" w:hanging="360"/>
      </w:pPr>
      <w:rPr>
        <w:rFonts w:ascii="Wingdings" w:hAnsi="Wingdings"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147">
    <w:nsid w:val="7D3C2D85"/>
    <w:multiLevelType w:val="hybridMultilevel"/>
    <w:tmpl w:val="94087A7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8">
    <w:nsid w:val="7DA0477A"/>
    <w:multiLevelType w:val="hybridMultilevel"/>
    <w:tmpl w:val="9B9E80E4"/>
    <w:lvl w:ilvl="0" w:tplc="0C0A0001">
      <w:start w:val="1"/>
      <w:numFmt w:val="bullet"/>
      <w:lvlText w:val=""/>
      <w:lvlJc w:val="left"/>
      <w:pPr>
        <w:ind w:left="2220" w:hanging="360"/>
      </w:pPr>
      <w:rPr>
        <w:rFonts w:ascii="Symbol" w:hAnsi="Symbol" w:hint="default"/>
      </w:rPr>
    </w:lvl>
    <w:lvl w:ilvl="1" w:tplc="0C0A0003" w:tentative="1">
      <w:start w:val="1"/>
      <w:numFmt w:val="bullet"/>
      <w:lvlText w:val="o"/>
      <w:lvlJc w:val="left"/>
      <w:pPr>
        <w:ind w:left="2940" w:hanging="360"/>
      </w:pPr>
      <w:rPr>
        <w:rFonts w:ascii="Courier New" w:hAnsi="Courier New" w:cs="Courier New" w:hint="default"/>
      </w:rPr>
    </w:lvl>
    <w:lvl w:ilvl="2" w:tplc="0C0A0005" w:tentative="1">
      <w:start w:val="1"/>
      <w:numFmt w:val="bullet"/>
      <w:lvlText w:val=""/>
      <w:lvlJc w:val="left"/>
      <w:pPr>
        <w:ind w:left="3660" w:hanging="360"/>
      </w:pPr>
      <w:rPr>
        <w:rFonts w:ascii="Wingdings" w:hAnsi="Wingdings" w:hint="default"/>
      </w:rPr>
    </w:lvl>
    <w:lvl w:ilvl="3" w:tplc="0C0A0001" w:tentative="1">
      <w:start w:val="1"/>
      <w:numFmt w:val="bullet"/>
      <w:lvlText w:val=""/>
      <w:lvlJc w:val="left"/>
      <w:pPr>
        <w:ind w:left="4380" w:hanging="360"/>
      </w:pPr>
      <w:rPr>
        <w:rFonts w:ascii="Symbol" w:hAnsi="Symbol" w:hint="default"/>
      </w:rPr>
    </w:lvl>
    <w:lvl w:ilvl="4" w:tplc="0C0A0003" w:tentative="1">
      <w:start w:val="1"/>
      <w:numFmt w:val="bullet"/>
      <w:lvlText w:val="o"/>
      <w:lvlJc w:val="left"/>
      <w:pPr>
        <w:ind w:left="5100" w:hanging="360"/>
      </w:pPr>
      <w:rPr>
        <w:rFonts w:ascii="Courier New" w:hAnsi="Courier New" w:cs="Courier New" w:hint="default"/>
      </w:rPr>
    </w:lvl>
    <w:lvl w:ilvl="5" w:tplc="0C0A0005" w:tentative="1">
      <w:start w:val="1"/>
      <w:numFmt w:val="bullet"/>
      <w:lvlText w:val=""/>
      <w:lvlJc w:val="left"/>
      <w:pPr>
        <w:ind w:left="5820" w:hanging="360"/>
      </w:pPr>
      <w:rPr>
        <w:rFonts w:ascii="Wingdings" w:hAnsi="Wingdings" w:hint="default"/>
      </w:rPr>
    </w:lvl>
    <w:lvl w:ilvl="6" w:tplc="0C0A0001" w:tentative="1">
      <w:start w:val="1"/>
      <w:numFmt w:val="bullet"/>
      <w:lvlText w:val=""/>
      <w:lvlJc w:val="left"/>
      <w:pPr>
        <w:ind w:left="6540" w:hanging="360"/>
      </w:pPr>
      <w:rPr>
        <w:rFonts w:ascii="Symbol" w:hAnsi="Symbol" w:hint="default"/>
      </w:rPr>
    </w:lvl>
    <w:lvl w:ilvl="7" w:tplc="0C0A0003" w:tentative="1">
      <w:start w:val="1"/>
      <w:numFmt w:val="bullet"/>
      <w:lvlText w:val="o"/>
      <w:lvlJc w:val="left"/>
      <w:pPr>
        <w:ind w:left="7260" w:hanging="360"/>
      </w:pPr>
      <w:rPr>
        <w:rFonts w:ascii="Courier New" w:hAnsi="Courier New" w:cs="Courier New" w:hint="default"/>
      </w:rPr>
    </w:lvl>
    <w:lvl w:ilvl="8" w:tplc="0C0A0005" w:tentative="1">
      <w:start w:val="1"/>
      <w:numFmt w:val="bullet"/>
      <w:lvlText w:val=""/>
      <w:lvlJc w:val="left"/>
      <w:pPr>
        <w:ind w:left="7980" w:hanging="360"/>
      </w:pPr>
      <w:rPr>
        <w:rFonts w:ascii="Wingdings" w:hAnsi="Wingdings" w:hint="default"/>
      </w:rPr>
    </w:lvl>
  </w:abstractNum>
  <w:abstractNum w:abstractNumId="149">
    <w:nsid w:val="7F733C08"/>
    <w:multiLevelType w:val="hybridMultilevel"/>
    <w:tmpl w:val="5C10317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17"/>
  </w:num>
  <w:num w:numId="2">
    <w:abstractNumId w:val="39"/>
  </w:num>
  <w:num w:numId="3">
    <w:abstractNumId w:val="79"/>
  </w:num>
  <w:num w:numId="4">
    <w:abstractNumId w:val="119"/>
  </w:num>
  <w:num w:numId="5">
    <w:abstractNumId w:val="67"/>
  </w:num>
  <w:num w:numId="6">
    <w:abstractNumId w:val="15"/>
  </w:num>
  <w:num w:numId="7">
    <w:abstractNumId w:val="65"/>
  </w:num>
  <w:num w:numId="8">
    <w:abstractNumId w:val="88"/>
  </w:num>
  <w:num w:numId="9">
    <w:abstractNumId w:val="21"/>
  </w:num>
  <w:num w:numId="10">
    <w:abstractNumId w:val="96"/>
  </w:num>
  <w:num w:numId="11">
    <w:abstractNumId w:val="59"/>
  </w:num>
  <w:num w:numId="12">
    <w:abstractNumId w:val="99"/>
  </w:num>
  <w:num w:numId="13">
    <w:abstractNumId w:val="90"/>
  </w:num>
  <w:num w:numId="14">
    <w:abstractNumId w:val="23"/>
  </w:num>
  <w:num w:numId="15">
    <w:abstractNumId w:val="84"/>
  </w:num>
  <w:num w:numId="16">
    <w:abstractNumId w:val="131"/>
  </w:num>
  <w:num w:numId="17">
    <w:abstractNumId w:val="125"/>
  </w:num>
  <w:num w:numId="18">
    <w:abstractNumId w:val="104"/>
  </w:num>
  <w:num w:numId="19">
    <w:abstractNumId w:val="46"/>
  </w:num>
  <w:num w:numId="20">
    <w:abstractNumId w:val="105"/>
  </w:num>
  <w:num w:numId="21">
    <w:abstractNumId w:val="147"/>
  </w:num>
  <w:num w:numId="22">
    <w:abstractNumId w:val="136"/>
  </w:num>
  <w:num w:numId="23">
    <w:abstractNumId w:val="33"/>
  </w:num>
  <w:num w:numId="24">
    <w:abstractNumId w:val="26"/>
  </w:num>
  <w:num w:numId="25">
    <w:abstractNumId w:val="78"/>
  </w:num>
  <w:num w:numId="26">
    <w:abstractNumId w:val="29"/>
  </w:num>
  <w:num w:numId="27">
    <w:abstractNumId w:val="55"/>
  </w:num>
  <w:num w:numId="28">
    <w:abstractNumId w:val="73"/>
  </w:num>
  <w:num w:numId="29">
    <w:abstractNumId w:val="108"/>
  </w:num>
  <w:num w:numId="30">
    <w:abstractNumId w:val="13"/>
  </w:num>
  <w:num w:numId="31">
    <w:abstractNumId w:val="25"/>
  </w:num>
  <w:num w:numId="32">
    <w:abstractNumId w:val="24"/>
  </w:num>
  <w:num w:numId="33">
    <w:abstractNumId w:val="101"/>
  </w:num>
  <w:num w:numId="34">
    <w:abstractNumId w:val="36"/>
  </w:num>
  <w:num w:numId="35">
    <w:abstractNumId w:val="63"/>
  </w:num>
  <w:num w:numId="36">
    <w:abstractNumId w:val="47"/>
  </w:num>
  <w:num w:numId="37">
    <w:abstractNumId w:val="20"/>
  </w:num>
  <w:num w:numId="38">
    <w:abstractNumId w:val="102"/>
  </w:num>
  <w:num w:numId="39">
    <w:abstractNumId w:val="6"/>
  </w:num>
  <w:num w:numId="40">
    <w:abstractNumId w:val="93"/>
  </w:num>
  <w:num w:numId="41">
    <w:abstractNumId w:val="71"/>
  </w:num>
  <w:num w:numId="42">
    <w:abstractNumId w:val="144"/>
  </w:num>
  <w:num w:numId="43">
    <w:abstractNumId w:val="17"/>
  </w:num>
  <w:num w:numId="44">
    <w:abstractNumId w:val="28"/>
  </w:num>
  <w:num w:numId="45">
    <w:abstractNumId w:val="30"/>
  </w:num>
  <w:num w:numId="46">
    <w:abstractNumId w:val="114"/>
  </w:num>
  <w:num w:numId="47">
    <w:abstractNumId w:val="45"/>
  </w:num>
  <w:num w:numId="48">
    <w:abstractNumId w:val="110"/>
  </w:num>
  <w:num w:numId="49">
    <w:abstractNumId w:val="138"/>
  </w:num>
  <w:num w:numId="50">
    <w:abstractNumId w:val="77"/>
  </w:num>
  <w:num w:numId="51">
    <w:abstractNumId w:val="50"/>
  </w:num>
  <w:num w:numId="52">
    <w:abstractNumId w:val="87"/>
  </w:num>
  <w:num w:numId="53">
    <w:abstractNumId w:val="44"/>
  </w:num>
  <w:num w:numId="54">
    <w:abstractNumId w:val="123"/>
  </w:num>
  <w:num w:numId="55">
    <w:abstractNumId w:val="124"/>
  </w:num>
  <w:num w:numId="56">
    <w:abstractNumId w:val="122"/>
  </w:num>
  <w:num w:numId="57">
    <w:abstractNumId w:val="146"/>
  </w:num>
  <w:num w:numId="58">
    <w:abstractNumId w:val="49"/>
  </w:num>
  <w:num w:numId="59">
    <w:abstractNumId w:val="54"/>
  </w:num>
  <w:num w:numId="60">
    <w:abstractNumId w:val="76"/>
  </w:num>
  <w:num w:numId="61">
    <w:abstractNumId w:val="98"/>
  </w:num>
  <w:num w:numId="62">
    <w:abstractNumId w:val="12"/>
  </w:num>
  <w:num w:numId="63">
    <w:abstractNumId w:val="9"/>
  </w:num>
  <w:num w:numId="64">
    <w:abstractNumId w:val="148"/>
  </w:num>
  <w:num w:numId="65">
    <w:abstractNumId w:val="81"/>
  </w:num>
  <w:num w:numId="66">
    <w:abstractNumId w:val="38"/>
  </w:num>
  <w:num w:numId="67">
    <w:abstractNumId w:val="11"/>
  </w:num>
  <w:num w:numId="68">
    <w:abstractNumId w:val="86"/>
  </w:num>
  <w:num w:numId="69">
    <w:abstractNumId w:val="7"/>
  </w:num>
  <w:num w:numId="70">
    <w:abstractNumId w:val="82"/>
  </w:num>
  <w:num w:numId="71">
    <w:abstractNumId w:val="66"/>
  </w:num>
  <w:num w:numId="72">
    <w:abstractNumId w:val="68"/>
  </w:num>
  <w:num w:numId="73">
    <w:abstractNumId w:val="111"/>
  </w:num>
  <w:num w:numId="74">
    <w:abstractNumId w:val="61"/>
  </w:num>
  <w:num w:numId="75">
    <w:abstractNumId w:val="141"/>
  </w:num>
  <w:num w:numId="76">
    <w:abstractNumId w:val="133"/>
  </w:num>
  <w:num w:numId="77">
    <w:abstractNumId w:val="41"/>
  </w:num>
  <w:num w:numId="78">
    <w:abstractNumId w:val="5"/>
  </w:num>
  <w:num w:numId="79">
    <w:abstractNumId w:val="35"/>
  </w:num>
  <w:num w:numId="80">
    <w:abstractNumId w:val="56"/>
  </w:num>
  <w:num w:numId="81">
    <w:abstractNumId w:val="27"/>
  </w:num>
  <w:num w:numId="82">
    <w:abstractNumId w:val="69"/>
  </w:num>
  <w:num w:numId="83">
    <w:abstractNumId w:val="120"/>
  </w:num>
  <w:num w:numId="84">
    <w:abstractNumId w:val="42"/>
  </w:num>
  <w:num w:numId="85">
    <w:abstractNumId w:val="3"/>
  </w:num>
  <w:num w:numId="86">
    <w:abstractNumId w:val="4"/>
  </w:num>
  <w:num w:numId="87">
    <w:abstractNumId w:val="139"/>
  </w:num>
  <w:num w:numId="88">
    <w:abstractNumId w:val="74"/>
  </w:num>
  <w:num w:numId="89">
    <w:abstractNumId w:val="37"/>
  </w:num>
  <w:num w:numId="90">
    <w:abstractNumId w:val="94"/>
  </w:num>
  <w:num w:numId="91">
    <w:abstractNumId w:val="70"/>
  </w:num>
  <w:num w:numId="92">
    <w:abstractNumId w:val="2"/>
  </w:num>
  <w:num w:numId="93">
    <w:abstractNumId w:val="52"/>
  </w:num>
  <w:num w:numId="94">
    <w:abstractNumId w:val="129"/>
  </w:num>
  <w:num w:numId="95">
    <w:abstractNumId w:val="32"/>
  </w:num>
  <w:num w:numId="96">
    <w:abstractNumId w:val="113"/>
  </w:num>
  <w:num w:numId="97">
    <w:abstractNumId w:val="64"/>
  </w:num>
  <w:num w:numId="98">
    <w:abstractNumId w:val="127"/>
  </w:num>
  <w:num w:numId="99">
    <w:abstractNumId w:val="14"/>
  </w:num>
  <w:num w:numId="100">
    <w:abstractNumId w:val="135"/>
  </w:num>
  <w:num w:numId="101">
    <w:abstractNumId w:val="126"/>
  </w:num>
  <w:num w:numId="102">
    <w:abstractNumId w:val="57"/>
  </w:num>
  <w:num w:numId="103">
    <w:abstractNumId w:val="128"/>
  </w:num>
  <w:num w:numId="104">
    <w:abstractNumId w:val="10"/>
  </w:num>
  <w:num w:numId="105">
    <w:abstractNumId w:val="19"/>
  </w:num>
  <w:num w:numId="106">
    <w:abstractNumId w:val="100"/>
  </w:num>
  <w:num w:numId="107">
    <w:abstractNumId w:val="106"/>
  </w:num>
  <w:num w:numId="108">
    <w:abstractNumId w:val="31"/>
  </w:num>
  <w:num w:numId="109">
    <w:abstractNumId w:val="75"/>
  </w:num>
  <w:num w:numId="110">
    <w:abstractNumId w:val="62"/>
  </w:num>
  <w:num w:numId="111">
    <w:abstractNumId w:val="34"/>
  </w:num>
  <w:num w:numId="112">
    <w:abstractNumId w:val="109"/>
  </w:num>
  <w:num w:numId="113">
    <w:abstractNumId w:val="115"/>
  </w:num>
  <w:num w:numId="114">
    <w:abstractNumId w:val="134"/>
  </w:num>
  <w:num w:numId="115">
    <w:abstractNumId w:val="43"/>
  </w:num>
  <w:num w:numId="116">
    <w:abstractNumId w:val="53"/>
  </w:num>
  <w:num w:numId="117">
    <w:abstractNumId w:val="95"/>
  </w:num>
  <w:num w:numId="118">
    <w:abstractNumId w:val="22"/>
  </w:num>
  <w:num w:numId="119">
    <w:abstractNumId w:val="145"/>
  </w:num>
  <w:num w:numId="120">
    <w:abstractNumId w:val="60"/>
  </w:num>
  <w:num w:numId="121">
    <w:abstractNumId w:val="142"/>
  </w:num>
  <w:num w:numId="122">
    <w:abstractNumId w:val="92"/>
  </w:num>
  <w:num w:numId="123">
    <w:abstractNumId w:val="18"/>
  </w:num>
  <w:num w:numId="124">
    <w:abstractNumId w:val="140"/>
  </w:num>
  <w:num w:numId="125">
    <w:abstractNumId w:val="143"/>
  </w:num>
  <w:num w:numId="126">
    <w:abstractNumId w:val="80"/>
  </w:num>
  <w:num w:numId="127">
    <w:abstractNumId w:val="97"/>
  </w:num>
  <w:num w:numId="128">
    <w:abstractNumId w:val="16"/>
  </w:num>
  <w:num w:numId="129">
    <w:abstractNumId w:val="72"/>
  </w:num>
  <w:num w:numId="130">
    <w:abstractNumId w:val="91"/>
  </w:num>
  <w:num w:numId="131">
    <w:abstractNumId w:val="130"/>
  </w:num>
  <w:num w:numId="132">
    <w:abstractNumId w:val="48"/>
  </w:num>
  <w:num w:numId="133">
    <w:abstractNumId w:val="51"/>
  </w:num>
  <w:num w:numId="134">
    <w:abstractNumId w:val="58"/>
  </w:num>
  <w:num w:numId="135">
    <w:abstractNumId w:val="8"/>
  </w:num>
  <w:num w:numId="136">
    <w:abstractNumId w:val="40"/>
  </w:num>
  <w:num w:numId="137">
    <w:abstractNumId w:val="0"/>
  </w:num>
  <w:num w:numId="138">
    <w:abstractNumId w:val="116"/>
  </w:num>
  <w:num w:numId="139">
    <w:abstractNumId w:val="149"/>
  </w:num>
  <w:num w:numId="140">
    <w:abstractNumId w:val="83"/>
  </w:num>
  <w:num w:numId="141">
    <w:abstractNumId w:val="137"/>
  </w:num>
  <w:num w:numId="142">
    <w:abstractNumId w:val="107"/>
  </w:num>
  <w:num w:numId="143">
    <w:abstractNumId w:val="89"/>
  </w:num>
  <w:num w:numId="144">
    <w:abstractNumId w:val="1"/>
  </w:num>
  <w:num w:numId="145">
    <w:abstractNumId w:val="103"/>
  </w:num>
  <w:num w:numId="146">
    <w:abstractNumId w:val="121"/>
  </w:num>
  <w:num w:numId="147">
    <w:abstractNumId w:val="132"/>
  </w:num>
  <w:num w:numId="148">
    <w:abstractNumId w:val="112"/>
  </w:num>
  <w:num w:numId="149">
    <w:abstractNumId w:val="85"/>
  </w:num>
  <w:num w:numId="150">
    <w:abstractNumId w:val="118"/>
  </w:num>
  <w:numIdMacAtCleanup w:val="1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07C83"/>
    <w:rsid w:val="00011A19"/>
    <w:rsid w:val="00033066"/>
    <w:rsid w:val="000D037B"/>
    <w:rsid w:val="00125A15"/>
    <w:rsid w:val="00125D27"/>
    <w:rsid w:val="00143EB9"/>
    <w:rsid w:val="00171440"/>
    <w:rsid w:val="002E3AAA"/>
    <w:rsid w:val="003321BB"/>
    <w:rsid w:val="003904C9"/>
    <w:rsid w:val="003B20DC"/>
    <w:rsid w:val="00420F8D"/>
    <w:rsid w:val="004266C5"/>
    <w:rsid w:val="0046263B"/>
    <w:rsid w:val="0048210E"/>
    <w:rsid w:val="005B53EA"/>
    <w:rsid w:val="005B72C1"/>
    <w:rsid w:val="005C2465"/>
    <w:rsid w:val="005E1103"/>
    <w:rsid w:val="00664415"/>
    <w:rsid w:val="006A7F21"/>
    <w:rsid w:val="006B2C7C"/>
    <w:rsid w:val="007032EF"/>
    <w:rsid w:val="007B19F2"/>
    <w:rsid w:val="008111AB"/>
    <w:rsid w:val="008949B1"/>
    <w:rsid w:val="00954B58"/>
    <w:rsid w:val="00995D7A"/>
    <w:rsid w:val="009B60AB"/>
    <w:rsid w:val="00A0003F"/>
    <w:rsid w:val="00A420C3"/>
    <w:rsid w:val="00AA6682"/>
    <w:rsid w:val="00AB65A1"/>
    <w:rsid w:val="00AD3030"/>
    <w:rsid w:val="00B50386"/>
    <w:rsid w:val="00B5048F"/>
    <w:rsid w:val="00B63F56"/>
    <w:rsid w:val="00BA2141"/>
    <w:rsid w:val="00BF6455"/>
    <w:rsid w:val="00C26750"/>
    <w:rsid w:val="00C273FC"/>
    <w:rsid w:val="00C71AF3"/>
    <w:rsid w:val="00C94FAA"/>
    <w:rsid w:val="00CA4288"/>
    <w:rsid w:val="00D80C03"/>
    <w:rsid w:val="00D8776D"/>
    <w:rsid w:val="00DE3270"/>
    <w:rsid w:val="00DF59FF"/>
    <w:rsid w:val="00E10A46"/>
    <w:rsid w:val="00E142CC"/>
    <w:rsid w:val="00E17A21"/>
    <w:rsid w:val="00E2569D"/>
    <w:rsid w:val="00EE2E62"/>
    <w:rsid w:val="00EE68E8"/>
    <w:rsid w:val="00F07C83"/>
    <w:rsid w:val="00F21529"/>
    <w:rsid w:val="00F73A2C"/>
    <w:rsid w:val="00F76679"/>
    <w:rsid w:val="00FC568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Title" w:semiHidden="0" w:uiPriority="10" w:unhideWhenUsed="0" w:qFormat="1"/>
    <w:lsdException w:name="Default Paragraph Font" w:uiPriority="1"/>
    <w:lsdException w:name="Body Text" w:uiPriority="0"/>
    <w:lsdException w:name="Subtitle" w:semiHidden="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9"/>
    <w:qFormat/>
    <w:rsid w:val="00AB65A1"/>
    <w:pPr>
      <w:keepNext/>
      <w:keepLines/>
      <w:spacing w:before="480" w:after="0" w:line="276" w:lineRule="auto"/>
      <w:outlineLvl w:val="0"/>
    </w:pPr>
    <w:rPr>
      <w:rFonts w:asciiTheme="majorHAnsi" w:eastAsiaTheme="majorEastAsia" w:hAnsiTheme="majorHAnsi" w:cstheme="majorBidi"/>
      <w:b/>
      <w:bCs/>
      <w:color w:val="2E74B5" w:themeColor="accent1" w:themeShade="BF"/>
      <w:sz w:val="28"/>
      <w:szCs w:val="28"/>
    </w:rPr>
  </w:style>
  <w:style w:type="paragraph" w:styleId="Ttulo2">
    <w:name w:val="heading 2"/>
    <w:basedOn w:val="Normal"/>
    <w:next w:val="Normal"/>
    <w:link w:val="Ttulo2Car"/>
    <w:uiPriority w:val="99"/>
    <w:unhideWhenUsed/>
    <w:qFormat/>
    <w:rsid w:val="00AB65A1"/>
    <w:pPr>
      <w:keepNext/>
      <w:keepLines/>
      <w:spacing w:before="200" w:after="0" w:line="276" w:lineRule="auto"/>
      <w:outlineLvl w:val="1"/>
    </w:pPr>
    <w:rPr>
      <w:rFonts w:asciiTheme="majorHAnsi" w:eastAsiaTheme="majorEastAsia" w:hAnsiTheme="majorHAnsi" w:cstheme="majorBidi"/>
      <w:b/>
      <w:bCs/>
      <w:color w:val="5B9BD5" w:themeColor="accent1"/>
      <w:sz w:val="26"/>
      <w:szCs w:val="26"/>
    </w:rPr>
  </w:style>
  <w:style w:type="paragraph" w:styleId="Ttulo3">
    <w:name w:val="heading 3"/>
    <w:basedOn w:val="Normal"/>
    <w:next w:val="Normal"/>
    <w:link w:val="Ttulo3Car"/>
    <w:uiPriority w:val="9"/>
    <w:semiHidden/>
    <w:unhideWhenUsed/>
    <w:qFormat/>
    <w:rsid w:val="00C71AF3"/>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semiHidden/>
    <w:unhideWhenUsed/>
    <w:qFormat/>
    <w:rsid w:val="00033066"/>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AB65A1"/>
    <w:rPr>
      <w:color w:val="0563C1" w:themeColor="hyperlink"/>
      <w:u w:val="single"/>
    </w:rPr>
  </w:style>
  <w:style w:type="paragraph" w:styleId="NormalWeb">
    <w:name w:val="Normal (Web)"/>
    <w:basedOn w:val="Normal"/>
    <w:uiPriority w:val="99"/>
    <w:rsid w:val="00AB65A1"/>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styleId="Textoindependiente">
    <w:name w:val="Body Text"/>
    <w:basedOn w:val="Normal"/>
    <w:link w:val="TextoindependienteCar"/>
    <w:rsid w:val="00AB65A1"/>
    <w:pPr>
      <w:widowControl w:val="0"/>
      <w:suppressAutoHyphens/>
      <w:spacing w:after="120" w:line="240" w:lineRule="auto"/>
    </w:pPr>
    <w:rPr>
      <w:rFonts w:ascii="Times New Roman" w:eastAsia="Times New Roman" w:hAnsi="Times New Roman" w:cs="Times New Roman"/>
      <w:kern w:val="1"/>
      <w:sz w:val="24"/>
      <w:szCs w:val="20"/>
      <w:lang w:eastAsia="ar-SA"/>
    </w:rPr>
  </w:style>
  <w:style w:type="character" w:customStyle="1" w:styleId="TextoindependienteCar">
    <w:name w:val="Texto independiente Car"/>
    <w:basedOn w:val="Fuentedeprrafopredeter"/>
    <w:link w:val="Textoindependiente"/>
    <w:rsid w:val="00AB65A1"/>
    <w:rPr>
      <w:rFonts w:ascii="Times New Roman" w:eastAsia="Times New Roman" w:hAnsi="Times New Roman" w:cs="Times New Roman"/>
      <w:kern w:val="1"/>
      <w:sz w:val="24"/>
      <w:szCs w:val="20"/>
      <w:lang w:eastAsia="ar-SA"/>
    </w:rPr>
  </w:style>
  <w:style w:type="paragraph" w:styleId="Textonotaalfinal">
    <w:name w:val="endnote text"/>
    <w:basedOn w:val="Normal"/>
    <w:link w:val="TextonotaalfinalCar"/>
    <w:uiPriority w:val="99"/>
    <w:semiHidden/>
    <w:unhideWhenUsed/>
    <w:rsid w:val="00AB65A1"/>
    <w:pPr>
      <w:widowControl w:val="0"/>
      <w:spacing w:after="0" w:line="240" w:lineRule="auto"/>
    </w:pPr>
    <w:rPr>
      <w:sz w:val="20"/>
      <w:szCs w:val="20"/>
      <w:lang w:val="en-US"/>
    </w:rPr>
  </w:style>
  <w:style w:type="character" w:customStyle="1" w:styleId="TextonotaalfinalCar">
    <w:name w:val="Texto nota al final Car"/>
    <w:basedOn w:val="Fuentedeprrafopredeter"/>
    <w:link w:val="Textonotaalfinal"/>
    <w:uiPriority w:val="99"/>
    <w:semiHidden/>
    <w:rsid w:val="00AB65A1"/>
    <w:rPr>
      <w:sz w:val="20"/>
      <w:szCs w:val="20"/>
      <w:lang w:val="en-US"/>
    </w:rPr>
  </w:style>
  <w:style w:type="character" w:customStyle="1" w:styleId="Ttulo1Car">
    <w:name w:val="Título 1 Car"/>
    <w:basedOn w:val="Fuentedeprrafopredeter"/>
    <w:link w:val="Ttulo1"/>
    <w:uiPriority w:val="99"/>
    <w:rsid w:val="00AB65A1"/>
    <w:rPr>
      <w:rFonts w:asciiTheme="majorHAnsi" w:eastAsiaTheme="majorEastAsia" w:hAnsiTheme="majorHAnsi" w:cstheme="majorBidi"/>
      <w:b/>
      <w:bCs/>
      <w:color w:val="2E74B5" w:themeColor="accent1" w:themeShade="BF"/>
      <w:sz w:val="28"/>
      <w:szCs w:val="28"/>
    </w:rPr>
  </w:style>
  <w:style w:type="character" w:customStyle="1" w:styleId="Ttulo2Car">
    <w:name w:val="Título 2 Car"/>
    <w:basedOn w:val="Fuentedeprrafopredeter"/>
    <w:link w:val="Ttulo2"/>
    <w:uiPriority w:val="99"/>
    <w:rsid w:val="00AB65A1"/>
    <w:rPr>
      <w:rFonts w:asciiTheme="majorHAnsi" w:eastAsiaTheme="majorEastAsia" w:hAnsiTheme="majorHAnsi" w:cstheme="majorBidi"/>
      <w:b/>
      <w:bCs/>
      <w:color w:val="5B9BD5" w:themeColor="accent1"/>
      <w:sz w:val="26"/>
      <w:szCs w:val="26"/>
    </w:rPr>
  </w:style>
  <w:style w:type="paragraph" w:styleId="Prrafodelista">
    <w:name w:val="List Paragraph"/>
    <w:basedOn w:val="Normal"/>
    <w:link w:val="PrrafodelistaCar"/>
    <w:uiPriority w:val="34"/>
    <w:qFormat/>
    <w:rsid w:val="00AB65A1"/>
    <w:pPr>
      <w:spacing w:before="120" w:after="0" w:line="240" w:lineRule="auto"/>
      <w:ind w:left="720"/>
      <w:contextualSpacing/>
    </w:pPr>
    <w:rPr>
      <w:rFonts w:ascii="Calibri" w:eastAsia="Calibri" w:hAnsi="Calibri" w:cs="Times New Roman"/>
    </w:rPr>
  </w:style>
  <w:style w:type="paragraph" w:styleId="Textonotapie">
    <w:name w:val="footnote text"/>
    <w:basedOn w:val="Normal"/>
    <w:link w:val="TextonotapieCar"/>
    <w:uiPriority w:val="99"/>
    <w:qFormat/>
    <w:rsid w:val="00AB65A1"/>
    <w:pPr>
      <w:widowControl w:val="0"/>
      <w:suppressLineNumbers/>
      <w:suppressAutoHyphens/>
      <w:autoSpaceDN w:val="0"/>
      <w:spacing w:after="0" w:line="240" w:lineRule="auto"/>
      <w:ind w:left="283" w:hanging="283"/>
      <w:textAlignment w:val="baseline"/>
    </w:pPr>
    <w:rPr>
      <w:rFonts w:ascii="Times New Roman" w:eastAsia="Times New Roman" w:hAnsi="Times New Roman" w:cs="Times New Roman"/>
      <w:kern w:val="3"/>
      <w:sz w:val="20"/>
      <w:szCs w:val="20"/>
      <w:lang w:eastAsia="es-ES"/>
    </w:rPr>
  </w:style>
  <w:style w:type="character" w:customStyle="1" w:styleId="TextonotapieCar">
    <w:name w:val="Texto nota pie Car"/>
    <w:basedOn w:val="Fuentedeprrafopredeter"/>
    <w:link w:val="Textonotapie"/>
    <w:uiPriority w:val="99"/>
    <w:rsid w:val="00AB65A1"/>
    <w:rPr>
      <w:rFonts w:ascii="Times New Roman" w:eastAsia="Times New Roman" w:hAnsi="Times New Roman" w:cs="Times New Roman"/>
      <w:kern w:val="3"/>
      <w:sz w:val="20"/>
      <w:szCs w:val="20"/>
      <w:lang w:eastAsia="es-ES"/>
    </w:rPr>
  </w:style>
  <w:style w:type="character" w:styleId="Refdenotaalpie">
    <w:name w:val="footnote reference"/>
    <w:uiPriority w:val="99"/>
    <w:rsid w:val="00AB65A1"/>
    <w:rPr>
      <w:position w:val="0"/>
      <w:vertAlign w:val="superscript"/>
    </w:rPr>
  </w:style>
  <w:style w:type="character" w:customStyle="1" w:styleId="PrrafodelistaCar">
    <w:name w:val="Párrafo de lista Car"/>
    <w:basedOn w:val="Fuentedeprrafopredeter"/>
    <w:link w:val="Prrafodelista"/>
    <w:uiPriority w:val="34"/>
    <w:rsid w:val="00AB65A1"/>
    <w:rPr>
      <w:rFonts w:ascii="Calibri" w:eastAsia="Calibri" w:hAnsi="Calibri" w:cs="Times New Roman"/>
    </w:rPr>
  </w:style>
  <w:style w:type="character" w:customStyle="1" w:styleId="Ttulo3Car">
    <w:name w:val="Título 3 Car"/>
    <w:basedOn w:val="Fuentedeprrafopredeter"/>
    <w:link w:val="Ttulo3"/>
    <w:uiPriority w:val="9"/>
    <w:semiHidden/>
    <w:rsid w:val="00C71AF3"/>
    <w:rPr>
      <w:rFonts w:asciiTheme="majorHAnsi" w:eastAsiaTheme="majorEastAsia" w:hAnsiTheme="majorHAnsi" w:cstheme="majorBidi"/>
      <w:color w:val="1F4D78" w:themeColor="accent1" w:themeShade="7F"/>
      <w:sz w:val="24"/>
      <w:szCs w:val="24"/>
    </w:rPr>
  </w:style>
  <w:style w:type="paragraph" w:styleId="Epgrafe">
    <w:name w:val="caption"/>
    <w:basedOn w:val="Normal"/>
    <w:next w:val="Normal"/>
    <w:uiPriority w:val="35"/>
    <w:unhideWhenUsed/>
    <w:qFormat/>
    <w:rsid w:val="00C71AF3"/>
    <w:pPr>
      <w:spacing w:after="200" w:line="240" w:lineRule="auto"/>
      <w:jc w:val="both"/>
    </w:pPr>
    <w:rPr>
      <w:rFonts w:ascii="Times New Roman" w:hAnsi="Times New Roman"/>
      <w:b/>
      <w:iCs/>
      <w:sz w:val="20"/>
      <w:szCs w:val="18"/>
      <w:lang w:val="en-GB"/>
    </w:rPr>
  </w:style>
  <w:style w:type="table" w:styleId="Listaclara-nfasis5">
    <w:name w:val="Light List Accent 5"/>
    <w:basedOn w:val="Tablanormal"/>
    <w:uiPriority w:val="61"/>
    <w:rsid w:val="00C71AF3"/>
    <w:pPr>
      <w:spacing w:after="0" w:line="240" w:lineRule="auto"/>
      <w:ind w:firstLine="709"/>
      <w:jc w:val="both"/>
    </w:p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paragraph" w:styleId="Sinespaciado">
    <w:name w:val="No Spacing"/>
    <w:link w:val="SinespaciadoCar"/>
    <w:uiPriority w:val="1"/>
    <w:qFormat/>
    <w:rsid w:val="00C71AF3"/>
    <w:pPr>
      <w:pBdr>
        <w:top w:val="nil"/>
        <w:left w:val="nil"/>
        <w:bottom w:val="nil"/>
        <w:right w:val="nil"/>
        <w:between w:val="nil"/>
        <w:bar w:val="nil"/>
      </w:pBdr>
      <w:spacing w:after="200" w:line="276" w:lineRule="auto"/>
    </w:pPr>
    <w:rPr>
      <w:rFonts w:ascii="Calibri" w:eastAsia="Calibri" w:hAnsi="Calibri" w:cs="Calibri"/>
      <w:color w:val="000000"/>
      <w:u w:color="000000"/>
      <w:bdr w:val="nil"/>
      <w:lang w:val="es-ES_tradnl" w:eastAsia="es-ES"/>
    </w:rPr>
  </w:style>
  <w:style w:type="character" w:customStyle="1" w:styleId="SinespaciadoCar">
    <w:name w:val="Sin espaciado Car"/>
    <w:link w:val="Sinespaciado"/>
    <w:uiPriority w:val="1"/>
    <w:rsid w:val="00C71AF3"/>
    <w:rPr>
      <w:rFonts w:ascii="Calibri" w:eastAsia="Calibri" w:hAnsi="Calibri" w:cs="Calibri"/>
      <w:color w:val="000000"/>
      <w:u w:color="000000"/>
      <w:bdr w:val="nil"/>
      <w:lang w:val="es-ES_tradnl" w:eastAsia="es-ES"/>
    </w:rPr>
  </w:style>
  <w:style w:type="paragraph" w:customStyle="1" w:styleId="Default">
    <w:name w:val="Default"/>
    <w:rsid w:val="00C71AF3"/>
    <w:pPr>
      <w:autoSpaceDE w:val="0"/>
      <w:autoSpaceDN w:val="0"/>
      <w:adjustRightInd w:val="0"/>
      <w:spacing w:after="0" w:line="240" w:lineRule="auto"/>
    </w:pPr>
    <w:rPr>
      <w:rFonts w:ascii="Times New Roman" w:hAnsi="Times New Roman" w:cs="Times New Roman"/>
      <w:color w:val="000000"/>
      <w:sz w:val="24"/>
      <w:szCs w:val="24"/>
      <w:lang w:val="fr-CA"/>
    </w:rPr>
  </w:style>
  <w:style w:type="character" w:customStyle="1" w:styleId="not41">
    <w:name w:val="not41"/>
    <w:basedOn w:val="Fuentedeprrafopredeter"/>
    <w:uiPriority w:val="99"/>
    <w:rsid w:val="00C71AF3"/>
    <w:rPr>
      <w:rFonts w:ascii="Arial" w:hAnsi="Arial" w:cs="Arial"/>
      <w:color w:val="000000"/>
      <w:sz w:val="22"/>
      <w:szCs w:val="22"/>
    </w:rPr>
  </w:style>
  <w:style w:type="character" w:styleId="Textoennegrita">
    <w:name w:val="Strong"/>
    <w:basedOn w:val="Fuentedeprrafopredeter"/>
    <w:uiPriority w:val="22"/>
    <w:qFormat/>
    <w:rsid w:val="00C71AF3"/>
    <w:rPr>
      <w:rFonts w:cs="Times New Roman"/>
      <w:b/>
    </w:rPr>
  </w:style>
  <w:style w:type="character" w:customStyle="1" w:styleId="apple-converted-space">
    <w:name w:val="apple-converted-space"/>
    <w:basedOn w:val="Fuentedeprrafopredeter"/>
    <w:rsid w:val="00C71AF3"/>
  </w:style>
  <w:style w:type="paragraph" w:customStyle="1" w:styleId="P">
    <w:name w:val="P"/>
    <w:basedOn w:val="Normal"/>
    <w:link w:val="PCar"/>
    <w:rsid w:val="007B19F2"/>
    <w:pPr>
      <w:spacing w:before="100" w:beforeAutospacing="1" w:after="100" w:afterAutospacing="1" w:line="360" w:lineRule="auto"/>
      <w:jc w:val="both"/>
    </w:pPr>
    <w:rPr>
      <w:rFonts w:ascii="Arial" w:eastAsia="Times New Roman" w:hAnsi="Arial" w:cs="Times New Roman"/>
      <w:sz w:val="18"/>
      <w:szCs w:val="24"/>
      <w:lang w:val="es-ES_tradnl" w:eastAsia="es-ES"/>
    </w:rPr>
  </w:style>
  <w:style w:type="character" w:customStyle="1" w:styleId="PCar">
    <w:name w:val="P Car"/>
    <w:link w:val="P"/>
    <w:rsid w:val="007B19F2"/>
    <w:rPr>
      <w:rFonts w:ascii="Arial" w:eastAsia="Times New Roman" w:hAnsi="Arial" w:cs="Times New Roman"/>
      <w:sz w:val="18"/>
      <w:szCs w:val="24"/>
      <w:lang w:val="es-ES_tradnl" w:eastAsia="es-ES"/>
    </w:rPr>
  </w:style>
  <w:style w:type="paragraph" w:styleId="Encabezado">
    <w:name w:val="header"/>
    <w:basedOn w:val="Normal"/>
    <w:link w:val="EncabezadoCar"/>
    <w:uiPriority w:val="99"/>
    <w:unhideWhenUsed/>
    <w:rsid w:val="00B5048F"/>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B5048F"/>
  </w:style>
  <w:style w:type="paragraph" w:styleId="Piedepgina">
    <w:name w:val="footer"/>
    <w:basedOn w:val="Normal"/>
    <w:link w:val="PiedepginaCar"/>
    <w:uiPriority w:val="99"/>
    <w:unhideWhenUsed/>
    <w:rsid w:val="00B5048F"/>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B5048F"/>
  </w:style>
  <w:style w:type="paragraph" w:styleId="Bibliografa">
    <w:name w:val="Bibliography"/>
    <w:basedOn w:val="Normal"/>
    <w:next w:val="Normal"/>
    <w:uiPriority w:val="37"/>
    <w:unhideWhenUsed/>
    <w:rsid w:val="00DF59FF"/>
  </w:style>
  <w:style w:type="paragraph" w:styleId="TDC1">
    <w:name w:val="toc 1"/>
    <w:basedOn w:val="Normal"/>
    <w:next w:val="Normal"/>
    <w:autoRedefine/>
    <w:uiPriority w:val="39"/>
    <w:unhideWhenUsed/>
    <w:rsid w:val="00DF59FF"/>
    <w:pPr>
      <w:spacing w:after="60" w:line="360" w:lineRule="auto"/>
      <w:jc w:val="both"/>
    </w:pPr>
    <w:rPr>
      <w:rFonts w:ascii="Times New Roman" w:hAnsi="Times New Roman"/>
      <w:sz w:val="24"/>
      <w:lang w:val="en-GB"/>
    </w:rPr>
  </w:style>
  <w:style w:type="paragraph" w:styleId="TDC2">
    <w:name w:val="toc 2"/>
    <w:basedOn w:val="Normal"/>
    <w:next w:val="Normal"/>
    <w:autoRedefine/>
    <w:uiPriority w:val="39"/>
    <w:unhideWhenUsed/>
    <w:rsid w:val="00DF59FF"/>
    <w:pPr>
      <w:spacing w:after="60" w:line="360" w:lineRule="auto"/>
      <w:ind w:left="238"/>
      <w:jc w:val="both"/>
    </w:pPr>
    <w:rPr>
      <w:rFonts w:ascii="Times New Roman" w:hAnsi="Times New Roman"/>
      <w:sz w:val="24"/>
      <w:lang w:val="en-GB"/>
    </w:rPr>
  </w:style>
  <w:style w:type="paragraph" w:styleId="TDC3">
    <w:name w:val="toc 3"/>
    <w:basedOn w:val="Normal"/>
    <w:next w:val="Normal"/>
    <w:autoRedefine/>
    <w:uiPriority w:val="39"/>
    <w:unhideWhenUsed/>
    <w:rsid w:val="00DF59FF"/>
    <w:pPr>
      <w:spacing w:after="100"/>
      <w:ind w:left="440"/>
    </w:pPr>
  </w:style>
  <w:style w:type="paragraph" w:styleId="Textosinformato">
    <w:name w:val="Plain Text"/>
    <w:basedOn w:val="Normal"/>
    <w:link w:val="TextosinformatoCar"/>
    <w:uiPriority w:val="99"/>
    <w:unhideWhenUsed/>
    <w:rsid w:val="00DF59FF"/>
    <w:pPr>
      <w:spacing w:after="0" w:line="240" w:lineRule="auto"/>
    </w:pPr>
    <w:rPr>
      <w:rFonts w:ascii="Verdana" w:eastAsia="Calibri" w:hAnsi="Verdana" w:cs="Times New Roman"/>
      <w:sz w:val="28"/>
      <w:szCs w:val="21"/>
    </w:rPr>
  </w:style>
  <w:style w:type="character" w:customStyle="1" w:styleId="TextosinformatoCar">
    <w:name w:val="Texto sin formato Car"/>
    <w:basedOn w:val="Fuentedeprrafopredeter"/>
    <w:link w:val="Textosinformato"/>
    <w:uiPriority w:val="99"/>
    <w:rsid w:val="00DF59FF"/>
    <w:rPr>
      <w:rFonts w:ascii="Verdana" w:eastAsia="Calibri" w:hAnsi="Verdana" w:cs="Times New Roman"/>
      <w:sz w:val="28"/>
      <w:szCs w:val="21"/>
    </w:rPr>
  </w:style>
  <w:style w:type="paragraph" w:customStyle="1" w:styleId="Cuerpo">
    <w:name w:val="Cuerpo"/>
    <w:rsid w:val="00DF59FF"/>
    <w:pPr>
      <w:spacing w:before="80" w:after="180" w:line="288" w:lineRule="auto"/>
    </w:pPr>
    <w:rPr>
      <w:rFonts w:ascii="Hoefler Text" w:eastAsia="ヒラギノ角ゴ Pro W3" w:hAnsi="Hoefler Text" w:cs="Times New Roman"/>
      <w:color w:val="000000"/>
      <w:sz w:val="24"/>
      <w:szCs w:val="20"/>
      <w:lang w:eastAsia="es-ES"/>
    </w:rPr>
  </w:style>
  <w:style w:type="paragraph" w:customStyle="1" w:styleId="Tabletitle">
    <w:name w:val="Table title"/>
    <w:basedOn w:val="Normal"/>
    <w:next w:val="Normal"/>
    <w:qFormat/>
    <w:rsid w:val="00DF59FF"/>
    <w:pPr>
      <w:spacing w:before="240" w:after="0" w:line="360" w:lineRule="auto"/>
    </w:pPr>
    <w:rPr>
      <w:rFonts w:ascii="Times New Roman" w:eastAsia="Times New Roman" w:hAnsi="Times New Roman" w:cs="Times New Roman"/>
      <w:sz w:val="24"/>
      <w:szCs w:val="24"/>
      <w:lang w:val="en-GB" w:eastAsia="en-GB"/>
    </w:rPr>
  </w:style>
  <w:style w:type="paragraph" w:customStyle="1" w:styleId="Paragraph">
    <w:name w:val="Paragraph"/>
    <w:basedOn w:val="Normal"/>
    <w:next w:val="Newparagraph"/>
    <w:qFormat/>
    <w:rsid w:val="00DF59FF"/>
    <w:pPr>
      <w:widowControl w:val="0"/>
      <w:spacing w:before="240" w:after="0" w:line="480" w:lineRule="auto"/>
    </w:pPr>
    <w:rPr>
      <w:rFonts w:ascii="Times New Roman" w:eastAsia="Times New Roman" w:hAnsi="Times New Roman" w:cs="Times New Roman"/>
      <w:sz w:val="24"/>
      <w:szCs w:val="24"/>
      <w:lang w:val="en-GB" w:eastAsia="en-GB"/>
    </w:rPr>
  </w:style>
  <w:style w:type="paragraph" w:customStyle="1" w:styleId="Newparagraph">
    <w:name w:val="New paragraph"/>
    <w:basedOn w:val="Normal"/>
    <w:qFormat/>
    <w:rsid w:val="00DF59FF"/>
    <w:pPr>
      <w:spacing w:after="0" w:line="480" w:lineRule="auto"/>
      <w:ind w:firstLine="720"/>
    </w:pPr>
    <w:rPr>
      <w:rFonts w:ascii="Times New Roman" w:eastAsia="Times New Roman" w:hAnsi="Times New Roman" w:cs="Times New Roman"/>
      <w:sz w:val="24"/>
      <w:szCs w:val="24"/>
      <w:lang w:val="en-GB" w:eastAsia="en-GB"/>
    </w:rPr>
  </w:style>
  <w:style w:type="paragraph" w:customStyle="1" w:styleId="Bulletedlist">
    <w:name w:val="Bulleted list"/>
    <w:basedOn w:val="Paragraph"/>
    <w:next w:val="Paragraph"/>
    <w:qFormat/>
    <w:rsid w:val="00DF59FF"/>
    <w:pPr>
      <w:widowControl/>
      <w:numPr>
        <w:numId w:val="48"/>
      </w:numPr>
      <w:spacing w:after="240"/>
      <w:contextualSpacing/>
    </w:pPr>
  </w:style>
  <w:style w:type="paragraph" w:customStyle="1" w:styleId="Normal1">
    <w:name w:val="Normal1"/>
    <w:rsid w:val="00DF59FF"/>
    <w:pPr>
      <w:spacing w:after="0" w:line="276" w:lineRule="auto"/>
    </w:pPr>
    <w:rPr>
      <w:rFonts w:ascii="Arial" w:eastAsia="Arial" w:hAnsi="Arial" w:cs="Arial"/>
      <w:color w:val="000000"/>
      <w:szCs w:val="20"/>
      <w:lang w:eastAsia="es-ES"/>
    </w:rPr>
  </w:style>
  <w:style w:type="paragraph" w:styleId="Textoindependiente2">
    <w:name w:val="Body Text 2"/>
    <w:basedOn w:val="Normal"/>
    <w:link w:val="Textoindependiente2Car"/>
    <w:uiPriority w:val="99"/>
    <w:unhideWhenUsed/>
    <w:rsid w:val="009B60AB"/>
    <w:pPr>
      <w:spacing w:after="120" w:line="480" w:lineRule="auto"/>
    </w:pPr>
  </w:style>
  <w:style w:type="character" w:customStyle="1" w:styleId="Textoindependiente2Car">
    <w:name w:val="Texto independiente 2 Car"/>
    <w:basedOn w:val="Fuentedeprrafopredeter"/>
    <w:link w:val="Textoindependiente2"/>
    <w:uiPriority w:val="99"/>
    <w:rsid w:val="009B60AB"/>
  </w:style>
  <w:style w:type="table" w:customStyle="1" w:styleId="TableNormal">
    <w:name w:val="Table Normal"/>
    <w:uiPriority w:val="2"/>
    <w:semiHidden/>
    <w:unhideWhenUsed/>
    <w:qFormat/>
    <w:rsid w:val="009B60A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9B60AB"/>
    <w:pPr>
      <w:widowControl w:val="0"/>
      <w:autoSpaceDE w:val="0"/>
      <w:autoSpaceDN w:val="0"/>
      <w:spacing w:before="28" w:after="0" w:line="240" w:lineRule="auto"/>
      <w:jc w:val="center"/>
    </w:pPr>
    <w:rPr>
      <w:rFonts w:ascii="Times New Roman" w:eastAsia="Times New Roman" w:hAnsi="Times New Roman" w:cs="Times New Roman"/>
      <w:lang w:val="en-US"/>
    </w:rPr>
  </w:style>
  <w:style w:type="character" w:customStyle="1" w:styleId="st1">
    <w:name w:val="st1"/>
    <w:basedOn w:val="Fuentedeprrafopredeter"/>
    <w:rsid w:val="009B60AB"/>
  </w:style>
  <w:style w:type="table" w:styleId="Tablaconcuadrcula">
    <w:name w:val="Table Grid"/>
    <w:basedOn w:val="Tablanormal"/>
    <w:uiPriority w:val="59"/>
    <w:rsid w:val="009B60AB"/>
    <w:pPr>
      <w:spacing w:after="0" w:line="240" w:lineRule="auto"/>
    </w:pPr>
    <w:rPr>
      <w:lang w:val="sv-S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tulo">
    <w:name w:val="Subtitle"/>
    <w:basedOn w:val="Normal"/>
    <w:next w:val="Normal"/>
    <w:link w:val="SubttuloCar"/>
    <w:uiPriority w:val="99"/>
    <w:qFormat/>
    <w:rsid w:val="004266C5"/>
    <w:pPr>
      <w:spacing w:after="60" w:line="276" w:lineRule="auto"/>
      <w:jc w:val="center"/>
      <w:outlineLvl w:val="1"/>
    </w:pPr>
    <w:rPr>
      <w:rFonts w:ascii="Cambria" w:eastAsia="MS Mincho" w:hAnsi="Cambria" w:cs="Times New Roman"/>
      <w:sz w:val="24"/>
      <w:szCs w:val="24"/>
    </w:rPr>
  </w:style>
  <w:style w:type="character" w:customStyle="1" w:styleId="SubttuloCar">
    <w:name w:val="Subtítulo Car"/>
    <w:basedOn w:val="Fuentedeprrafopredeter"/>
    <w:link w:val="Subttulo"/>
    <w:uiPriority w:val="99"/>
    <w:rsid w:val="004266C5"/>
    <w:rPr>
      <w:rFonts w:ascii="Cambria" w:eastAsia="MS Mincho" w:hAnsi="Cambria" w:cs="Times New Roman"/>
      <w:sz w:val="24"/>
      <w:szCs w:val="24"/>
    </w:rPr>
  </w:style>
  <w:style w:type="paragraph" w:customStyle="1" w:styleId="SingleTxtG">
    <w:name w:val="_ Single Txt_G"/>
    <w:basedOn w:val="Normal"/>
    <w:uiPriority w:val="99"/>
    <w:rsid w:val="004266C5"/>
    <w:pPr>
      <w:spacing w:after="120" w:line="240" w:lineRule="atLeast"/>
      <w:ind w:left="1134" w:right="1134"/>
      <w:jc w:val="both"/>
    </w:pPr>
    <w:rPr>
      <w:rFonts w:ascii="Times New Roman" w:eastAsia="MS Mincho" w:hAnsi="Times New Roman" w:cs="Times New Roman"/>
      <w:sz w:val="20"/>
      <w:szCs w:val="20"/>
      <w:lang w:eastAsia="es-ES"/>
    </w:rPr>
  </w:style>
  <w:style w:type="character" w:styleId="Ttulodellibro">
    <w:name w:val="Book Title"/>
    <w:uiPriority w:val="99"/>
    <w:qFormat/>
    <w:rsid w:val="004266C5"/>
    <w:rPr>
      <w:rFonts w:cs="Times New Roman"/>
      <w:b/>
      <w:bCs/>
      <w:smallCaps/>
      <w:spacing w:val="5"/>
    </w:rPr>
  </w:style>
  <w:style w:type="character" w:customStyle="1" w:styleId="a-size-large">
    <w:name w:val="a-size-large"/>
    <w:uiPriority w:val="99"/>
    <w:rsid w:val="004266C5"/>
    <w:rPr>
      <w:rFonts w:cs="Times New Roman"/>
    </w:rPr>
  </w:style>
  <w:style w:type="character" w:customStyle="1" w:styleId="a-declarative">
    <w:name w:val="a-declarative"/>
    <w:uiPriority w:val="99"/>
    <w:rsid w:val="004266C5"/>
    <w:rPr>
      <w:rFonts w:cs="Times New Roman"/>
    </w:rPr>
  </w:style>
  <w:style w:type="paragraph" w:customStyle="1" w:styleId="Pa9">
    <w:name w:val="Pa9"/>
    <w:basedOn w:val="Normal"/>
    <w:next w:val="Normal"/>
    <w:rsid w:val="00664415"/>
    <w:pPr>
      <w:autoSpaceDE w:val="0"/>
      <w:autoSpaceDN w:val="0"/>
      <w:adjustRightInd w:val="0"/>
      <w:spacing w:after="0" w:line="201" w:lineRule="atLeast"/>
    </w:pPr>
    <w:rPr>
      <w:rFonts w:ascii="Arial" w:eastAsia="Calibri" w:hAnsi="Arial" w:cs="Arial"/>
      <w:sz w:val="24"/>
      <w:szCs w:val="24"/>
      <w:lang w:val="es-ES_tradnl" w:eastAsia="ca-ES"/>
    </w:rPr>
  </w:style>
  <w:style w:type="paragraph" w:customStyle="1" w:styleId="Pa35">
    <w:name w:val="Pa35"/>
    <w:basedOn w:val="Normal"/>
    <w:next w:val="Normal"/>
    <w:uiPriority w:val="99"/>
    <w:rsid w:val="00664415"/>
    <w:pPr>
      <w:autoSpaceDE w:val="0"/>
      <w:autoSpaceDN w:val="0"/>
      <w:adjustRightInd w:val="0"/>
      <w:spacing w:after="0" w:line="241" w:lineRule="atLeast"/>
    </w:pPr>
    <w:rPr>
      <w:rFonts w:ascii="Myriad Pro" w:eastAsia="Times New Roman" w:hAnsi="Myriad Pro" w:cs="Times New Roman"/>
      <w:sz w:val="24"/>
      <w:szCs w:val="24"/>
      <w:lang w:val="ca-ES" w:eastAsia="ca-ES"/>
    </w:rPr>
  </w:style>
  <w:style w:type="paragraph" w:styleId="HTMLconformatoprevio">
    <w:name w:val="HTML Preformatted"/>
    <w:basedOn w:val="Normal"/>
    <w:link w:val="HTMLconformatoprevioCar"/>
    <w:uiPriority w:val="99"/>
    <w:unhideWhenUsed/>
    <w:rsid w:val="006644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ES"/>
    </w:rPr>
  </w:style>
  <w:style w:type="character" w:customStyle="1" w:styleId="HTMLconformatoprevioCar">
    <w:name w:val="HTML con formato previo Car"/>
    <w:basedOn w:val="Fuentedeprrafopredeter"/>
    <w:link w:val="HTMLconformatoprevio"/>
    <w:uiPriority w:val="99"/>
    <w:rsid w:val="00664415"/>
    <w:rPr>
      <w:rFonts w:ascii="Courier New" w:eastAsia="Times New Roman" w:hAnsi="Courier New" w:cs="Courier New"/>
      <w:sz w:val="20"/>
      <w:szCs w:val="20"/>
      <w:lang w:eastAsia="es-ES"/>
    </w:rPr>
  </w:style>
  <w:style w:type="paragraph" w:customStyle="1" w:styleId="parrafo">
    <w:name w:val="parrafo"/>
    <w:basedOn w:val="Normal"/>
    <w:uiPriority w:val="99"/>
    <w:rsid w:val="00664415"/>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Prrafodelista1">
    <w:name w:val="Párrafo de lista1"/>
    <w:basedOn w:val="Normal"/>
    <w:rsid w:val="0046263B"/>
    <w:pPr>
      <w:suppressAutoHyphens/>
      <w:spacing w:after="0" w:line="100" w:lineRule="atLeast"/>
    </w:pPr>
    <w:rPr>
      <w:rFonts w:ascii="Cambria" w:eastAsia="MS Mincho" w:hAnsi="Cambria" w:cs="Times New Roman"/>
      <w:kern w:val="1"/>
      <w:sz w:val="24"/>
      <w:szCs w:val="24"/>
      <w:lang w:eastAsia="ar-SA"/>
    </w:rPr>
  </w:style>
  <w:style w:type="paragraph" w:styleId="Textoindependiente3">
    <w:name w:val="Body Text 3"/>
    <w:basedOn w:val="Normal"/>
    <w:link w:val="Textoindependiente3Car"/>
    <w:uiPriority w:val="99"/>
    <w:semiHidden/>
    <w:unhideWhenUsed/>
    <w:rsid w:val="0046263B"/>
    <w:pPr>
      <w:spacing w:after="120" w:line="276" w:lineRule="auto"/>
    </w:pPr>
    <w:rPr>
      <w:sz w:val="16"/>
      <w:szCs w:val="16"/>
    </w:rPr>
  </w:style>
  <w:style w:type="character" w:customStyle="1" w:styleId="Textoindependiente3Car">
    <w:name w:val="Texto independiente 3 Car"/>
    <w:basedOn w:val="Fuentedeprrafopredeter"/>
    <w:link w:val="Textoindependiente3"/>
    <w:uiPriority w:val="99"/>
    <w:semiHidden/>
    <w:rsid w:val="0046263B"/>
    <w:rPr>
      <w:sz w:val="16"/>
      <w:szCs w:val="16"/>
    </w:rPr>
  </w:style>
  <w:style w:type="paragraph" w:customStyle="1" w:styleId="NormalJustificado">
    <w:name w:val="Normal + Justificado"/>
    <w:aliases w:val="Primera línea:  1,25 cm,Interlineado:  1,5 líneas"/>
    <w:basedOn w:val="Normal"/>
    <w:link w:val="NormalJustificadoPrimeralnea125cmInterlineado15lneasCar"/>
    <w:rsid w:val="0046263B"/>
    <w:pPr>
      <w:spacing w:after="0" w:line="360" w:lineRule="auto"/>
      <w:jc w:val="both"/>
    </w:pPr>
    <w:rPr>
      <w:rFonts w:ascii="Times New Roman" w:eastAsia="Times New Roman" w:hAnsi="Times New Roman" w:cs="Times New Roman"/>
      <w:sz w:val="24"/>
      <w:szCs w:val="24"/>
      <w:lang w:eastAsia="es-ES"/>
    </w:rPr>
  </w:style>
  <w:style w:type="character" w:customStyle="1" w:styleId="NormalJustificadoPrimeralnea125cmInterlineado15lneasCar">
    <w:name w:val="Normal + Justificado;Primera línea:  1;25 cm;Interlineado:  1;5 líneas Car"/>
    <w:basedOn w:val="Fuentedeprrafopredeter"/>
    <w:link w:val="NormalJustificado"/>
    <w:rsid w:val="0046263B"/>
    <w:rPr>
      <w:rFonts w:ascii="Times New Roman" w:eastAsia="Times New Roman" w:hAnsi="Times New Roman" w:cs="Times New Roman"/>
      <w:sz w:val="24"/>
      <w:szCs w:val="24"/>
      <w:lang w:eastAsia="es-ES"/>
    </w:rPr>
  </w:style>
  <w:style w:type="paragraph" w:customStyle="1" w:styleId="Puesto1">
    <w:name w:val="Puesto1"/>
    <w:basedOn w:val="Normal"/>
    <w:next w:val="Normal"/>
    <w:rsid w:val="008949B1"/>
    <w:pPr>
      <w:keepNext/>
      <w:keepLines/>
      <w:pageBreakBefore/>
      <w:tabs>
        <w:tab w:val="left" w:pos="284"/>
      </w:tabs>
      <w:suppressAutoHyphens/>
      <w:spacing w:after="460" w:line="240" w:lineRule="auto"/>
      <w:ind w:firstLine="227"/>
      <w:jc w:val="center"/>
    </w:pPr>
    <w:rPr>
      <w:rFonts w:ascii="Times" w:eastAsia="Times New Roman" w:hAnsi="Times" w:cs="Times New Roman"/>
      <w:b/>
      <w:sz w:val="28"/>
      <w:szCs w:val="20"/>
      <w:lang w:val="en-US" w:eastAsia="es-ES"/>
    </w:rPr>
  </w:style>
  <w:style w:type="paragraph" w:customStyle="1" w:styleId="Standard">
    <w:name w:val="Standard"/>
    <w:rsid w:val="008949B1"/>
    <w:pPr>
      <w:widowControl w:val="0"/>
      <w:suppressAutoHyphens/>
      <w:autoSpaceDN w:val="0"/>
      <w:spacing w:after="0" w:line="240" w:lineRule="auto"/>
      <w:textAlignment w:val="baseline"/>
    </w:pPr>
    <w:rPr>
      <w:rFonts w:ascii="Times New Roman" w:eastAsia="Times New Roman" w:hAnsi="Times New Roman" w:cs="Times New Roman"/>
      <w:kern w:val="3"/>
      <w:sz w:val="24"/>
      <w:szCs w:val="20"/>
      <w:lang w:eastAsia="es-ES"/>
    </w:rPr>
  </w:style>
  <w:style w:type="numbering" w:customStyle="1" w:styleId="WWNum6">
    <w:name w:val="WWNum6"/>
    <w:basedOn w:val="Sinlista"/>
    <w:rsid w:val="008949B1"/>
    <w:pPr>
      <w:numPr>
        <w:numId w:val="113"/>
      </w:numPr>
    </w:pPr>
  </w:style>
  <w:style w:type="numbering" w:customStyle="1" w:styleId="WWNum8">
    <w:name w:val="WWNum8"/>
    <w:basedOn w:val="Sinlista"/>
    <w:rsid w:val="008949B1"/>
    <w:pPr>
      <w:numPr>
        <w:numId w:val="114"/>
      </w:numPr>
    </w:pPr>
  </w:style>
  <w:style w:type="numbering" w:customStyle="1" w:styleId="WWNum10">
    <w:name w:val="WWNum10"/>
    <w:basedOn w:val="Sinlista"/>
    <w:rsid w:val="008949B1"/>
    <w:pPr>
      <w:numPr>
        <w:numId w:val="115"/>
      </w:numPr>
    </w:pPr>
  </w:style>
  <w:style w:type="numbering" w:customStyle="1" w:styleId="WWNum11">
    <w:name w:val="WWNum11"/>
    <w:basedOn w:val="Sinlista"/>
    <w:rsid w:val="008949B1"/>
    <w:pPr>
      <w:numPr>
        <w:numId w:val="116"/>
      </w:numPr>
    </w:pPr>
  </w:style>
  <w:style w:type="paragraph" w:customStyle="1" w:styleId="Ttulo10">
    <w:name w:val="Título1"/>
    <w:basedOn w:val="Normal"/>
    <w:next w:val="Normal"/>
    <w:qFormat/>
    <w:rsid w:val="00033066"/>
    <w:pPr>
      <w:spacing w:after="720" w:line="360" w:lineRule="auto"/>
      <w:ind w:left="1701" w:right="1701"/>
      <w:jc w:val="center"/>
    </w:pPr>
    <w:rPr>
      <w:rFonts w:ascii="Times New Roman" w:hAnsi="Times New Roman"/>
      <w:sz w:val="24"/>
    </w:rPr>
  </w:style>
  <w:style w:type="paragraph" w:customStyle="1" w:styleId="Piedeimagen">
    <w:name w:val="Pie de imagen"/>
    <w:basedOn w:val="Normal"/>
    <w:qFormat/>
    <w:rsid w:val="00033066"/>
    <w:pPr>
      <w:spacing w:after="240" w:line="240" w:lineRule="auto"/>
      <w:jc w:val="center"/>
    </w:pPr>
    <w:rPr>
      <w:rFonts w:ascii="Times New Roman" w:hAnsi="Times New Roman"/>
      <w:i/>
      <w:sz w:val="20"/>
      <w:szCs w:val="20"/>
    </w:rPr>
  </w:style>
  <w:style w:type="paragraph" w:customStyle="1" w:styleId="TextoTabla">
    <w:name w:val="Texto Tabla"/>
    <w:basedOn w:val="Normal"/>
    <w:qFormat/>
    <w:rsid w:val="00033066"/>
    <w:pPr>
      <w:spacing w:after="0" w:line="360" w:lineRule="auto"/>
    </w:pPr>
    <w:rPr>
      <w:rFonts w:ascii="Times New Roman" w:hAnsi="Times New Roman"/>
      <w:sz w:val="20"/>
    </w:rPr>
  </w:style>
  <w:style w:type="character" w:customStyle="1" w:styleId="Ttulo4Car">
    <w:name w:val="Título 4 Car"/>
    <w:basedOn w:val="Fuentedeprrafopredeter"/>
    <w:link w:val="Ttulo4"/>
    <w:uiPriority w:val="9"/>
    <w:semiHidden/>
    <w:rsid w:val="00033066"/>
    <w:rPr>
      <w:rFonts w:asciiTheme="majorHAnsi" w:eastAsiaTheme="majorEastAsia" w:hAnsiTheme="majorHAnsi" w:cstheme="majorBidi"/>
      <w:i/>
      <w:iCs/>
      <w:color w:val="2E74B5" w:themeColor="accent1" w:themeShade="BF"/>
    </w:rPr>
  </w:style>
  <w:style w:type="paragraph" w:styleId="Listaconvietas2">
    <w:name w:val="List Bullet 2"/>
    <w:basedOn w:val="Normal"/>
    <w:uiPriority w:val="99"/>
    <w:unhideWhenUsed/>
    <w:rsid w:val="00033066"/>
    <w:pPr>
      <w:numPr>
        <w:numId w:val="137"/>
      </w:numPr>
      <w:spacing w:line="360" w:lineRule="auto"/>
      <w:contextualSpacing/>
    </w:pPr>
    <w:rPr>
      <w:rFonts w:ascii="Times New Roman" w:hAnsi="Times New Roman"/>
      <w:sz w:val="24"/>
    </w:rPr>
  </w:style>
  <w:style w:type="paragraph" w:customStyle="1" w:styleId="author">
    <w:name w:val="author"/>
    <w:basedOn w:val="Normal"/>
    <w:next w:val="address"/>
    <w:rsid w:val="00033066"/>
    <w:pPr>
      <w:suppressAutoHyphens/>
      <w:spacing w:after="220" w:line="240" w:lineRule="auto"/>
      <w:ind w:firstLine="227"/>
      <w:jc w:val="center"/>
    </w:pPr>
    <w:rPr>
      <w:rFonts w:ascii="Times" w:eastAsia="Times New Roman" w:hAnsi="Times" w:cs="Times New Roman"/>
      <w:sz w:val="20"/>
      <w:szCs w:val="20"/>
      <w:lang w:val="en-US" w:eastAsia="es-ES"/>
    </w:rPr>
  </w:style>
  <w:style w:type="paragraph" w:customStyle="1" w:styleId="address">
    <w:name w:val="address"/>
    <w:basedOn w:val="Normal"/>
    <w:next w:val="email"/>
    <w:rsid w:val="00033066"/>
    <w:pPr>
      <w:suppressAutoHyphens/>
      <w:spacing w:after="0" w:line="240" w:lineRule="auto"/>
      <w:ind w:firstLine="227"/>
      <w:jc w:val="center"/>
    </w:pPr>
    <w:rPr>
      <w:rFonts w:ascii="Times" w:eastAsia="Times New Roman" w:hAnsi="Times" w:cs="Times New Roman"/>
      <w:sz w:val="18"/>
      <w:szCs w:val="20"/>
      <w:lang w:val="en-US" w:eastAsia="es-ES"/>
    </w:rPr>
  </w:style>
  <w:style w:type="paragraph" w:customStyle="1" w:styleId="email">
    <w:name w:val="email"/>
    <w:basedOn w:val="Normal"/>
    <w:next w:val="Normal"/>
    <w:rsid w:val="00033066"/>
    <w:pPr>
      <w:suppressAutoHyphens/>
      <w:spacing w:after="0" w:line="240" w:lineRule="auto"/>
      <w:ind w:firstLine="227"/>
      <w:jc w:val="center"/>
    </w:pPr>
    <w:rPr>
      <w:rFonts w:ascii="Courier" w:eastAsia="Times New Roman" w:hAnsi="Courier" w:cs="Times New Roman"/>
      <w:sz w:val="18"/>
      <w:szCs w:val="20"/>
      <w:lang w:val="en-US" w:eastAsia="es-ES"/>
    </w:rPr>
  </w:style>
  <w:style w:type="paragraph" w:customStyle="1" w:styleId="p1a">
    <w:name w:val="p1a"/>
    <w:basedOn w:val="Normal"/>
    <w:next w:val="Normal"/>
    <w:rsid w:val="00033066"/>
    <w:pPr>
      <w:suppressAutoHyphens/>
      <w:spacing w:after="0" w:line="240" w:lineRule="auto"/>
      <w:jc w:val="both"/>
    </w:pPr>
    <w:rPr>
      <w:rFonts w:ascii="Times" w:eastAsia="Times New Roman" w:hAnsi="Times" w:cs="Times New Roman"/>
      <w:sz w:val="20"/>
      <w:szCs w:val="20"/>
      <w:lang w:val="en-US" w:eastAsia="es-ES"/>
    </w:rPr>
  </w:style>
  <w:style w:type="paragraph" w:styleId="Citadestacada">
    <w:name w:val="Intense Quote"/>
    <w:basedOn w:val="Normal"/>
    <w:next w:val="Normal"/>
    <w:link w:val="CitadestacadaCar"/>
    <w:uiPriority w:val="30"/>
    <w:qFormat/>
    <w:rsid w:val="003B20DC"/>
    <w:pPr>
      <w:pBdr>
        <w:top w:val="single" w:sz="4" w:space="10" w:color="5B9BD5"/>
        <w:bottom w:val="single" w:sz="4" w:space="10" w:color="5B9BD5"/>
      </w:pBdr>
      <w:spacing w:before="360" w:after="360"/>
      <w:ind w:left="864" w:right="864"/>
      <w:jc w:val="center"/>
    </w:pPr>
    <w:rPr>
      <w:rFonts w:ascii="Calibri" w:eastAsia="Calibri" w:hAnsi="Calibri" w:cs="Times New Roman"/>
      <w:i/>
      <w:iCs/>
      <w:color w:val="5B9BD5"/>
    </w:rPr>
  </w:style>
  <w:style w:type="character" w:customStyle="1" w:styleId="CitadestacadaCar">
    <w:name w:val="Cita destacada Car"/>
    <w:basedOn w:val="Fuentedeprrafopredeter"/>
    <w:link w:val="Citadestacada"/>
    <w:uiPriority w:val="30"/>
    <w:rsid w:val="003B20DC"/>
    <w:rPr>
      <w:rFonts w:ascii="Calibri" w:eastAsia="Calibri" w:hAnsi="Calibri" w:cs="Times New Roman"/>
      <w:i/>
      <w:iCs/>
      <w:color w:val="5B9BD5"/>
    </w:rPr>
  </w:style>
  <w:style w:type="character" w:styleId="Referenciaintensa">
    <w:name w:val="Intense Reference"/>
    <w:uiPriority w:val="32"/>
    <w:qFormat/>
    <w:rsid w:val="003B20DC"/>
    <w:rPr>
      <w:b/>
      <w:bCs/>
      <w:smallCaps/>
      <w:color w:val="5B9BD5"/>
      <w:spacing w:val="5"/>
    </w:rPr>
  </w:style>
  <w:style w:type="paragraph" w:styleId="Listaconnmeros">
    <w:name w:val="List Number"/>
    <w:basedOn w:val="Normal"/>
    <w:uiPriority w:val="99"/>
    <w:semiHidden/>
    <w:unhideWhenUsed/>
    <w:rsid w:val="003B20DC"/>
    <w:pPr>
      <w:numPr>
        <w:numId w:val="144"/>
      </w:numPr>
      <w:spacing w:after="200" w:line="276" w:lineRule="auto"/>
      <w:contextualSpacing/>
    </w:pPr>
    <w:rPr>
      <w:rFonts w:ascii="Calibri" w:eastAsia="Calibri" w:hAnsi="Calibri" w:cs="Times New Roman"/>
      <w:lang w:val="pl-PL"/>
    </w:rPr>
  </w:style>
  <w:style w:type="paragraph" w:styleId="Ttulo">
    <w:name w:val="Title"/>
    <w:basedOn w:val="Normal"/>
    <w:next w:val="Normal"/>
    <w:link w:val="TtuloCar"/>
    <w:uiPriority w:val="10"/>
    <w:qFormat/>
    <w:rsid w:val="003B20DC"/>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tuloCar">
    <w:name w:val="Título Car"/>
    <w:basedOn w:val="Fuentedeprrafopredeter"/>
    <w:link w:val="Ttulo"/>
    <w:uiPriority w:val="10"/>
    <w:rsid w:val="003B20DC"/>
    <w:rPr>
      <w:rFonts w:asciiTheme="majorHAnsi" w:eastAsiaTheme="majorEastAsia" w:hAnsiTheme="majorHAnsi" w:cstheme="majorBidi"/>
      <w:color w:val="323E4F" w:themeColor="text2" w:themeShade="BF"/>
      <w:spacing w:val="5"/>
      <w:kern w:val="28"/>
      <w:sz w:val="52"/>
      <w:szCs w:val="52"/>
    </w:rPr>
  </w:style>
  <w:style w:type="paragraph" w:styleId="Textodeglobo">
    <w:name w:val="Balloon Text"/>
    <w:basedOn w:val="Normal"/>
    <w:link w:val="TextodegloboCar"/>
    <w:uiPriority w:val="99"/>
    <w:semiHidden/>
    <w:unhideWhenUsed/>
    <w:rsid w:val="00BF645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BF6455"/>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Title" w:semiHidden="0" w:uiPriority="10" w:unhideWhenUsed="0" w:qFormat="1"/>
    <w:lsdException w:name="Default Paragraph Font" w:uiPriority="1"/>
    <w:lsdException w:name="Body Text" w:uiPriority="0"/>
    <w:lsdException w:name="Subtitle" w:semiHidden="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9"/>
    <w:qFormat/>
    <w:rsid w:val="00AB65A1"/>
    <w:pPr>
      <w:keepNext/>
      <w:keepLines/>
      <w:spacing w:before="480" w:after="0" w:line="276" w:lineRule="auto"/>
      <w:outlineLvl w:val="0"/>
    </w:pPr>
    <w:rPr>
      <w:rFonts w:asciiTheme="majorHAnsi" w:eastAsiaTheme="majorEastAsia" w:hAnsiTheme="majorHAnsi" w:cstheme="majorBidi"/>
      <w:b/>
      <w:bCs/>
      <w:color w:val="2E74B5" w:themeColor="accent1" w:themeShade="BF"/>
      <w:sz w:val="28"/>
      <w:szCs w:val="28"/>
    </w:rPr>
  </w:style>
  <w:style w:type="paragraph" w:styleId="Ttulo2">
    <w:name w:val="heading 2"/>
    <w:basedOn w:val="Normal"/>
    <w:next w:val="Normal"/>
    <w:link w:val="Ttulo2Car"/>
    <w:uiPriority w:val="99"/>
    <w:unhideWhenUsed/>
    <w:qFormat/>
    <w:rsid w:val="00AB65A1"/>
    <w:pPr>
      <w:keepNext/>
      <w:keepLines/>
      <w:spacing w:before="200" w:after="0" w:line="276" w:lineRule="auto"/>
      <w:outlineLvl w:val="1"/>
    </w:pPr>
    <w:rPr>
      <w:rFonts w:asciiTheme="majorHAnsi" w:eastAsiaTheme="majorEastAsia" w:hAnsiTheme="majorHAnsi" w:cstheme="majorBidi"/>
      <w:b/>
      <w:bCs/>
      <w:color w:val="5B9BD5" w:themeColor="accent1"/>
      <w:sz w:val="26"/>
      <w:szCs w:val="26"/>
    </w:rPr>
  </w:style>
  <w:style w:type="paragraph" w:styleId="Ttulo3">
    <w:name w:val="heading 3"/>
    <w:basedOn w:val="Normal"/>
    <w:next w:val="Normal"/>
    <w:link w:val="Ttulo3Car"/>
    <w:uiPriority w:val="9"/>
    <w:semiHidden/>
    <w:unhideWhenUsed/>
    <w:qFormat/>
    <w:rsid w:val="00C71AF3"/>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semiHidden/>
    <w:unhideWhenUsed/>
    <w:qFormat/>
    <w:rsid w:val="00033066"/>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AB65A1"/>
    <w:rPr>
      <w:color w:val="0563C1" w:themeColor="hyperlink"/>
      <w:u w:val="single"/>
    </w:rPr>
  </w:style>
  <w:style w:type="paragraph" w:styleId="NormalWeb">
    <w:name w:val="Normal (Web)"/>
    <w:basedOn w:val="Normal"/>
    <w:uiPriority w:val="99"/>
    <w:rsid w:val="00AB65A1"/>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styleId="Textoindependiente">
    <w:name w:val="Body Text"/>
    <w:basedOn w:val="Normal"/>
    <w:link w:val="TextoindependienteCar"/>
    <w:rsid w:val="00AB65A1"/>
    <w:pPr>
      <w:widowControl w:val="0"/>
      <w:suppressAutoHyphens/>
      <w:spacing w:after="120" w:line="240" w:lineRule="auto"/>
    </w:pPr>
    <w:rPr>
      <w:rFonts w:ascii="Times New Roman" w:eastAsia="Times New Roman" w:hAnsi="Times New Roman" w:cs="Times New Roman"/>
      <w:kern w:val="1"/>
      <w:sz w:val="24"/>
      <w:szCs w:val="20"/>
      <w:lang w:eastAsia="ar-SA"/>
    </w:rPr>
  </w:style>
  <w:style w:type="character" w:customStyle="1" w:styleId="TextoindependienteCar">
    <w:name w:val="Texto independiente Car"/>
    <w:basedOn w:val="Fuentedeprrafopredeter"/>
    <w:link w:val="Textoindependiente"/>
    <w:rsid w:val="00AB65A1"/>
    <w:rPr>
      <w:rFonts w:ascii="Times New Roman" w:eastAsia="Times New Roman" w:hAnsi="Times New Roman" w:cs="Times New Roman"/>
      <w:kern w:val="1"/>
      <w:sz w:val="24"/>
      <w:szCs w:val="20"/>
      <w:lang w:eastAsia="ar-SA"/>
    </w:rPr>
  </w:style>
  <w:style w:type="paragraph" w:styleId="Textonotaalfinal">
    <w:name w:val="endnote text"/>
    <w:basedOn w:val="Normal"/>
    <w:link w:val="TextonotaalfinalCar"/>
    <w:uiPriority w:val="99"/>
    <w:semiHidden/>
    <w:unhideWhenUsed/>
    <w:rsid w:val="00AB65A1"/>
    <w:pPr>
      <w:widowControl w:val="0"/>
      <w:spacing w:after="0" w:line="240" w:lineRule="auto"/>
    </w:pPr>
    <w:rPr>
      <w:sz w:val="20"/>
      <w:szCs w:val="20"/>
      <w:lang w:val="en-US"/>
    </w:rPr>
  </w:style>
  <w:style w:type="character" w:customStyle="1" w:styleId="TextonotaalfinalCar">
    <w:name w:val="Texto nota al final Car"/>
    <w:basedOn w:val="Fuentedeprrafopredeter"/>
    <w:link w:val="Textonotaalfinal"/>
    <w:uiPriority w:val="99"/>
    <w:semiHidden/>
    <w:rsid w:val="00AB65A1"/>
    <w:rPr>
      <w:sz w:val="20"/>
      <w:szCs w:val="20"/>
      <w:lang w:val="en-US"/>
    </w:rPr>
  </w:style>
  <w:style w:type="character" w:customStyle="1" w:styleId="Ttulo1Car">
    <w:name w:val="Título 1 Car"/>
    <w:basedOn w:val="Fuentedeprrafopredeter"/>
    <w:link w:val="Ttulo1"/>
    <w:uiPriority w:val="99"/>
    <w:rsid w:val="00AB65A1"/>
    <w:rPr>
      <w:rFonts w:asciiTheme="majorHAnsi" w:eastAsiaTheme="majorEastAsia" w:hAnsiTheme="majorHAnsi" w:cstheme="majorBidi"/>
      <w:b/>
      <w:bCs/>
      <w:color w:val="2E74B5" w:themeColor="accent1" w:themeShade="BF"/>
      <w:sz w:val="28"/>
      <w:szCs w:val="28"/>
    </w:rPr>
  </w:style>
  <w:style w:type="character" w:customStyle="1" w:styleId="Ttulo2Car">
    <w:name w:val="Título 2 Car"/>
    <w:basedOn w:val="Fuentedeprrafopredeter"/>
    <w:link w:val="Ttulo2"/>
    <w:uiPriority w:val="99"/>
    <w:rsid w:val="00AB65A1"/>
    <w:rPr>
      <w:rFonts w:asciiTheme="majorHAnsi" w:eastAsiaTheme="majorEastAsia" w:hAnsiTheme="majorHAnsi" w:cstheme="majorBidi"/>
      <w:b/>
      <w:bCs/>
      <w:color w:val="5B9BD5" w:themeColor="accent1"/>
      <w:sz w:val="26"/>
      <w:szCs w:val="26"/>
    </w:rPr>
  </w:style>
  <w:style w:type="paragraph" w:styleId="Prrafodelista">
    <w:name w:val="List Paragraph"/>
    <w:basedOn w:val="Normal"/>
    <w:link w:val="PrrafodelistaCar"/>
    <w:uiPriority w:val="34"/>
    <w:qFormat/>
    <w:rsid w:val="00AB65A1"/>
    <w:pPr>
      <w:spacing w:before="120" w:after="0" w:line="240" w:lineRule="auto"/>
      <w:ind w:left="720"/>
      <w:contextualSpacing/>
    </w:pPr>
    <w:rPr>
      <w:rFonts w:ascii="Calibri" w:eastAsia="Calibri" w:hAnsi="Calibri" w:cs="Times New Roman"/>
    </w:rPr>
  </w:style>
  <w:style w:type="paragraph" w:styleId="Textonotapie">
    <w:name w:val="footnote text"/>
    <w:basedOn w:val="Normal"/>
    <w:link w:val="TextonotapieCar"/>
    <w:uiPriority w:val="99"/>
    <w:qFormat/>
    <w:rsid w:val="00AB65A1"/>
    <w:pPr>
      <w:widowControl w:val="0"/>
      <w:suppressLineNumbers/>
      <w:suppressAutoHyphens/>
      <w:autoSpaceDN w:val="0"/>
      <w:spacing w:after="0" w:line="240" w:lineRule="auto"/>
      <w:ind w:left="283" w:hanging="283"/>
      <w:textAlignment w:val="baseline"/>
    </w:pPr>
    <w:rPr>
      <w:rFonts w:ascii="Times New Roman" w:eastAsia="Times New Roman" w:hAnsi="Times New Roman" w:cs="Times New Roman"/>
      <w:kern w:val="3"/>
      <w:sz w:val="20"/>
      <w:szCs w:val="20"/>
      <w:lang w:eastAsia="es-ES"/>
    </w:rPr>
  </w:style>
  <w:style w:type="character" w:customStyle="1" w:styleId="TextonotapieCar">
    <w:name w:val="Texto nota pie Car"/>
    <w:basedOn w:val="Fuentedeprrafopredeter"/>
    <w:link w:val="Textonotapie"/>
    <w:uiPriority w:val="99"/>
    <w:rsid w:val="00AB65A1"/>
    <w:rPr>
      <w:rFonts w:ascii="Times New Roman" w:eastAsia="Times New Roman" w:hAnsi="Times New Roman" w:cs="Times New Roman"/>
      <w:kern w:val="3"/>
      <w:sz w:val="20"/>
      <w:szCs w:val="20"/>
      <w:lang w:eastAsia="es-ES"/>
    </w:rPr>
  </w:style>
  <w:style w:type="character" w:styleId="Refdenotaalpie">
    <w:name w:val="footnote reference"/>
    <w:uiPriority w:val="99"/>
    <w:rsid w:val="00AB65A1"/>
    <w:rPr>
      <w:position w:val="0"/>
      <w:vertAlign w:val="superscript"/>
    </w:rPr>
  </w:style>
  <w:style w:type="character" w:customStyle="1" w:styleId="PrrafodelistaCar">
    <w:name w:val="Párrafo de lista Car"/>
    <w:basedOn w:val="Fuentedeprrafopredeter"/>
    <w:link w:val="Prrafodelista"/>
    <w:uiPriority w:val="34"/>
    <w:rsid w:val="00AB65A1"/>
    <w:rPr>
      <w:rFonts w:ascii="Calibri" w:eastAsia="Calibri" w:hAnsi="Calibri" w:cs="Times New Roman"/>
    </w:rPr>
  </w:style>
  <w:style w:type="character" w:customStyle="1" w:styleId="Ttulo3Car">
    <w:name w:val="Título 3 Car"/>
    <w:basedOn w:val="Fuentedeprrafopredeter"/>
    <w:link w:val="Ttulo3"/>
    <w:uiPriority w:val="9"/>
    <w:semiHidden/>
    <w:rsid w:val="00C71AF3"/>
    <w:rPr>
      <w:rFonts w:asciiTheme="majorHAnsi" w:eastAsiaTheme="majorEastAsia" w:hAnsiTheme="majorHAnsi" w:cstheme="majorBidi"/>
      <w:color w:val="1F4D78" w:themeColor="accent1" w:themeShade="7F"/>
      <w:sz w:val="24"/>
      <w:szCs w:val="24"/>
    </w:rPr>
  </w:style>
  <w:style w:type="paragraph" w:styleId="Epgrafe">
    <w:name w:val="caption"/>
    <w:basedOn w:val="Normal"/>
    <w:next w:val="Normal"/>
    <w:uiPriority w:val="35"/>
    <w:unhideWhenUsed/>
    <w:qFormat/>
    <w:rsid w:val="00C71AF3"/>
    <w:pPr>
      <w:spacing w:after="200" w:line="240" w:lineRule="auto"/>
      <w:jc w:val="both"/>
    </w:pPr>
    <w:rPr>
      <w:rFonts w:ascii="Times New Roman" w:hAnsi="Times New Roman"/>
      <w:b/>
      <w:iCs/>
      <w:sz w:val="20"/>
      <w:szCs w:val="18"/>
      <w:lang w:val="en-GB"/>
    </w:rPr>
  </w:style>
  <w:style w:type="table" w:styleId="Listaclara-nfasis5">
    <w:name w:val="Light List Accent 5"/>
    <w:basedOn w:val="Tablanormal"/>
    <w:uiPriority w:val="61"/>
    <w:rsid w:val="00C71AF3"/>
    <w:pPr>
      <w:spacing w:after="0" w:line="240" w:lineRule="auto"/>
      <w:ind w:firstLine="709"/>
      <w:jc w:val="both"/>
    </w:p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paragraph" w:styleId="Sinespaciado">
    <w:name w:val="No Spacing"/>
    <w:link w:val="SinespaciadoCar"/>
    <w:uiPriority w:val="1"/>
    <w:qFormat/>
    <w:rsid w:val="00C71AF3"/>
    <w:pPr>
      <w:pBdr>
        <w:top w:val="nil"/>
        <w:left w:val="nil"/>
        <w:bottom w:val="nil"/>
        <w:right w:val="nil"/>
        <w:between w:val="nil"/>
        <w:bar w:val="nil"/>
      </w:pBdr>
      <w:spacing w:after="200" w:line="276" w:lineRule="auto"/>
    </w:pPr>
    <w:rPr>
      <w:rFonts w:ascii="Calibri" w:eastAsia="Calibri" w:hAnsi="Calibri" w:cs="Calibri"/>
      <w:color w:val="000000"/>
      <w:u w:color="000000"/>
      <w:bdr w:val="nil"/>
      <w:lang w:val="es-ES_tradnl" w:eastAsia="es-ES"/>
    </w:rPr>
  </w:style>
  <w:style w:type="character" w:customStyle="1" w:styleId="SinespaciadoCar">
    <w:name w:val="Sin espaciado Car"/>
    <w:link w:val="Sinespaciado"/>
    <w:uiPriority w:val="1"/>
    <w:rsid w:val="00C71AF3"/>
    <w:rPr>
      <w:rFonts w:ascii="Calibri" w:eastAsia="Calibri" w:hAnsi="Calibri" w:cs="Calibri"/>
      <w:color w:val="000000"/>
      <w:u w:color="000000"/>
      <w:bdr w:val="nil"/>
      <w:lang w:val="es-ES_tradnl" w:eastAsia="es-ES"/>
    </w:rPr>
  </w:style>
  <w:style w:type="paragraph" w:customStyle="1" w:styleId="Default">
    <w:name w:val="Default"/>
    <w:rsid w:val="00C71AF3"/>
    <w:pPr>
      <w:autoSpaceDE w:val="0"/>
      <w:autoSpaceDN w:val="0"/>
      <w:adjustRightInd w:val="0"/>
      <w:spacing w:after="0" w:line="240" w:lineRule="auto"/>
    </w:pPr>
    <w:rPr>
      <w:rFonts w:ascii="Times New Roman" w:hAnsi="Times New Roman" w:cs="Times New Roman"/>
      <w:color w:val="000000"/>
      <w:sz w:val="24"/>
      <w:szCs w:val="24"/>
      <w:lang w:val="fr-CA"/>
    </w:rPr>
  </w:style>
  <w:style w:type="character" w:customStyle="1" w:styleId="not41">
    <w:name w:val="not41"/>
    <w:basedOn w:val="Fuentedeprrafopredeter"/>
    <w:uiPriority w:val="99"/>
    <w:rsid w:val="00C71AF3"/>
    <w:rPr>
      <w:rFonts w:ascii="Arial" w:hAnsi="Arial" w:cs="Arial"/>
      <w:color w:val="000000"/>
      <w:sz w:val="22"/>
      <w:szCs w:val="22"/>
    </w:rPr>
  </w:style>
  <w:style w:type="character" w:styleId="Textoennegrita">
    <w:name w:val="Strong"/>
    <w:basedOn w:val="Fuentedeprrafopredeter"/>
    <w:uiPriority w:val="22"/>
    <w:qFormat/>
    <w:rsid w:val="00C71AF3"/>
    <w:rPr>
      <w:rFonts w:cs="Times New Roman"/>
      <w:b/>
    </w:rPr>
  </w:style>
  <w:style w:type="character" w:customStyle="1" w:styleId="apple-converted-space">
    <w:name w:val="apple-converted-space"/>
    <w:basedOn w:val="Fuentedeprrafopredeter"/>
    <w:rsid w:val="00C71AF3"/>
  </w:style>
  <w:style w:type="paragraph" w:customStyle="1" w:styleId="P">
    <w:name w:val="P"/>
    <w:basedOn w:val="Normal"/>
    <w:link w:val="PCar"/>
    <w:rsid w:val="007B19F2"/>
    <w:pPr>
      <w:spacing w:before="100" w:beforeAutospacing="1" w:after="100" w:afterAutospacing="1" w:line="360" w:lineRule="auto"/>
      <w:jc w:val="both"/>
    </w:pPr>
    <w:rPr>
      <w:rFonts w:ascii="Arial" w:eastAsia="Times New Roman" w:hAnsi="Arial" w:cs="Times New Roman"/>
      <w:sz w:val="18"/>
      <w:szCs w:val="24"/>
      <w:lang w:val="es-ES_tradnl" w:eastAsia="es-ES"/>
    </w:rPr>
  </w:style>
  <w:style w:type="character" w:customStyle="1" w:styleId="PCar">
    <w:name w:val="P Car"/>
    <w:link w:val="P"/>
    <w:rsid w:val="007B19F2"/>
    <w:rPr>
      <w:rFonts w:ascii="Arial" w:eastAsia="Times New Roman" w:hAnsi="Arial" w:cs="Times New Roman"/>
      <w:sz w:val="18"/>
      <w:szCs w:val="24"/>
      <w:lang w:val="es-ES_tradnl" w:eastAsia="es-ES"/>
    </w:rPr>
  </w:style>
  <w:style w:type="paragraph" w:styleId="Encabezado">
    <w:name w:val="header"/>
    <w:basedOn w:val="Normal"/>
    <w:link w:val="EncabezadoCar"/>
    <w:uiPriority w:val="99"/>
    <w:unhideWhenUsed/>
    <w:rsid w:val="00B5048F"/>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B5048F"/>
  </w:style>
  <w:style w:type="paragraph" w:styleId="Piedepgina">
    <w:name w:val="footer"/>
    <w:basedOn w:val="Normal"/>
    <w:link w:val="PiedepginaCar"/>
    <w:uiPriority w:val="99"/>
    <w:unhideWhenUsed/>
    <w:rsid w:val="00B5048F"/>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B5048F"/>
  </w:style>
  <w:style w:type="paragraph" w:styleId="Bibliografa">
    <w:name w:val="Bibliography"/>
    <w:basedOn w:val="Normal"/>
    <w:next w:val="Normal"/>
    <w:uiPriority w:val="37"/>
    <w:unhideWhenUsed/>
    <w:rsid w:val="00DF59FF"/>
  </w:style>
  <w:style w:type="paragraph" w:styleId="TDC1">
    <w:name w:val="toc 1"/>
    <w:basedOn w:val="Normal"/>
    <w:next w:val="Normal"/>
    <w:autoRedefine/>
    <w:uiPriority w:val="39"/>
    <w:unhideWhenUsed/>
    <w:rsid w:val="00DF59FF"/>
    <w:pPr>
      <w:spacing w:after="60" w:line="360" w:lineRule="auto"/>
      <w:jc w:val="both"/>
    </w:pPr>
    <w:rPr>
      <w:rFonts w:ascii="Times New Roman" w:hAnsi="Times New Roman"/>
      <w:sz w:val="24"/>
      <w:lang w:val="en-GB"/>
    </w:rPr>
  </w:style>
  <w:style w:type="paragraph" w:styleId="TDC2">
    <w:name w:val="toc 2"/>
    <w:basedOn w:val="Normal"/>
    <w:next w:val="Normal"/>
    <w:autoRedefine/>
    <w:uiPriority w:val="39"/>
    <w:unhideWhenUsed/>
    <w:rsid w:val="00DF59FF"/>
    <w:pPr>
      <w:spacing w:after="60" w:line="360" w:lineRule="auto"/>
      <w:ind w:left="238"/>
      <w:jc w:val="both"/>
    </w:pPr>
    <w:rPr>
      <w:rFonts w:ascii="Times New Roman" w:hAnsi="Times New Roman"/>
      <w:sz w:val="24"/>
      <w:lang w:val="en-GB"/>
    </w:rPr>
  </w:style>
  <w:style w:type="paragraph" w:styleId="TDC3">
    <w:name w:val="toc 3"/>
    <w:basedOn w:val="Normal"/>
    <w:next w:val="Normal"/>
    <w:autoRedefine/>
    <w:uiPriority w:val="39"/>
    <w:unhideWhenUsed/>
    <w:rsid w:val="00DF59FF"/>
    <w:pPr>
      <w:spacing w:after="100"/>
      <w:ind w:left="440"/>
    </w:pPr>
  </w:style>
  <w:style w:type="paragraph" w:styleId="Textosinformato">
    <w:name w:val="Plain Text"/>
    <w:basedOn w:val="Normal"/>
    <w:link w:val="TextosinformatoCar"/>
    <w:uiPriority w:val="99"/>
    <w:unhideWhenUsed/>
    <w:rsid w:val="00DF59FF"/>
    <w:pPr>
      <w:spacing w:after="0" w:line="240" w:lineRule="auto"/>
    </w:pPr>
    <w:rPr>
      <w:rFonts w:ascii="Verdana" w:eastAsia="Calibri" w:hAnsi="Verdana" w:cs="Times New Roman"/>
      <w:sz w:val="28"/>
      <w:szCs w:val="21"/>
    </w:rPr>
  </w:style>
  <w:style w:type="character" w:customStyle="1" w:styleId="TextosinformatoCar">
    <w:name w:val="Texto sin formato Car"/>
    <w:basedOn w:val="Fuentedeprrafopredeter"/>
    <w:link w:val="Textosinformato"/>
    <w:uiPriority w:val="99"/>
    <w:rsid w:val="00DF59FF"/>
    <w:rPr>
      <w:rFonts w:ascii="Verdana" w:eastAsia="Calibri" w:hAnsi="Verdana" w:cs="Times New Roman"/>
      <w:sz w:val="28"/>
      <w:szCs w:val="21"/>
    </w:rPr>
  </w:style>
  <w:style w:type="paragraph" w:customStyle="1" w:styleId="Cuerpo">
    <w:name w:val="Cuerpo"/>
    <w:rsid w:val="00DF59FF"/>
    <w:pPr>
      <w:spacing w:before="80" w:after="180" w:line="288" w:lineRule="auto"/>
    </w:pPr>
    <w:rPr>
      <w:rFonts w:ascii="Hoefler Text" w:eastAsia="ヒラギノ角ゴ Pro W3" w:hAnsi="Hoefler Text" w:cs="Times New Roman"/>
      <w:color w:val="000000"/>
      <w:sz w:val="24"/>
      <w:szCs w:val="20"/>
      <w:lang w:eastAsia="es-ES"/>
    </w:rPr>
  </w:style>
  <w:style w:type="paragraph" w:customStyle="1" w:styleId="Tabletitle">
    <w:name w:val="Table title"/>
    <w:basedOn w:val="Normal"/>
    <w:next w:val="Normal"/>
    <w:qFormat/>
    <w:rsid w:val="00DF59FF"/>
    <w:pPr>
      <w:spacing w:before="240" w:after="0" w:line="360" w:lineRule="auto"/>
    </w:pPr>
    <w:rPr>
      <w:rFonts w:ascii="Times New Roman" w:eastAsia="Times New Roman" w:hAnsi="Times New Roman" w:cs="Times New Roman"/>
      <w:sz w:val="24"/>
      <w:szCs w:val="24"/>
      <w:lang w:val="en-GB" w:eastAsia="en-GB"/>
    </w:rPr>
  </w:style>
  <w:style w:type="paragraph" w:customStyle="1" w:styleId="Paragraph">
    <w:name w:val="Paragraph"/>
    <w:basedOn w:val="Normal"/>
    <w:next w:val="Newparagraph"/>
    <w:qFormat/>
    <w:rsid w:val="00DF59FF"/>
    <w:pPr>
      <w:widowControl w:val="0"/>
      <w:spacing w:before="240" w:after="0" w:line="480" w:lineRule="auto"/>
    </w:pPr>
    <w:rPr>
      <w:rFonts w:ascii="Times New Roman" w:eastAsia="Times New Roman" w:hAnsi="Times New Roman" w:cs="Times New Roman"/>
      <w:sz w:val="24"/>
      <w:szCs w:val="24"/>
      <w:lang w:val="en-GB" w:eastAsia="en-GB"/>
    </w:rPr>
  </w:style>
  <w:style w:type="paragraph" w:customStyle="1" w:styleId="Newparagraph">
    <w:name w:val="New paragraph"/>
    <w:basedOn w:val="Normal"/>
    <w:qFormat/>
    <w:rsid w:val="00DF59FF"/>
    <w:pPr>
      <w:spacing w:after="0" w:line="480" w:lineRule="auto"/>
      <w:ind w:firstLine="720"/>
    </w:pPr>
    <w:rPr>
      <w:rFonts w:ascii="Times New Roman" w:eastAsia="Times New Roman" w:hAnsi="Times New Roman" w:cs="Times New Roman"/>
      <w:sz w:val="24"/>
      <w:szCs w:val="24"/>
      <w:lang w:val="en-GB" w:eastAsia="en-GB"/>
    </w:rPr>
  </w:style>
  <w:style w:type="paragraph" w:customStyle="1" w:styleId="Bulletedlist">
    <w:name w:val="Bulleted list"/>
    <w:basedOn w:val="Paragraph"/>
    <w:next w:val="Paragraph"/>
    <w:qFormat/>
    <w:rsid w:val="00DF59FF"/>
    <w:pPr>
      <w:widowControl/>
      <w:numPr>
        <w:numId w:val="48"/>
      </w:numPr>
      <w:spacing w:after="240"/>
      <w:contextualSpacing/>
    </w:pPr>
  </w:style>
  <w:style w:type="paragraph" w:customStyle="1" w:styleId="Normal1">
    <w:name w:val="Normal1"/>
    <w:rsid w:val="00DF59FF"/>
    <w:pPr>
      <w:spacing w:after="0" w:line="276" w:lineRule="auto"/>
    </w:pPr>
    <w:rPr>
      <w:rFonts w:ascii="Arial" w:eastAsia="Arial" w:hAnsi="Arial" w:cs="Arial"/>
      <w:color w:val="000000"/>
      <w:szCs w:val="20"/>
      <w:lang w:eastAsia="es-ES"/>
    </w:rPr>
  </w:style>
  <w:style w:type="paragraph" w:styleId="Textoindependiente2">
    <w:name w:val="Body Text 2"/>
    <w:basedOn w:val="Normal"/>
    <w:link w:val="Textoindependiente2Car"/>
    <w:uiPriority w:val="99"/>
    <w:unhideWhenUsed/>
    <w:rsid w:val="009B60AB"/>
    <w:pPr>
      <w:spacing w:after="120" w:line="480" w:lineRule="auto"/>
    </w:pPr>
  </w:style>
  <w:style w:type="character" w:customStyle="1" w:styleId="Textoindependiente2Car">
    <w:name w:val="Texto independiente 2 Car"/>
    <w:basedOn w:val="Fuentedeprrafopredeter"/>
    <w:link w:val="Textoindependiente2"/>
    <w:uiPriority w:val="99"/>
    <w:rsid w:val="009B60AB"/>
  </w:style>
  <w:style w:type="table" w:customStyle="1" w:styleId="TableNormal">
    <w:name w:val="Table Normal"/>
    <w:uiPriority w:val="2"/>
    <w:semiHidden/>
    <w:unhideWhenUsed/>
    <w:qFormat/>
    <w:rsid w:val="009B60A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9B60AB"/>
    <w:pPr>
      <w:widowControl w:val="0"/>
      <w:autoSpaceDE w:val="0"/>
      <w:autoSpaceDN w:val="0"/>
      <w:spacing w:before="28" w:after="0" w:line="240" w:lineRule="auto"/>
      <w:jc w:val="center"/>
    </w:pPr>
    <w:rPr>
      <w:rFonts w:ascii="Times New Roman" w:eastAsia="Times New Roman" w:hAnsi="Times New Roman" w:cs="Times New Roman"/>
      <w:lang w:val="en-US"/>
    </w:rPr>
  </w:style>
  <w:style w:type="character" w:customStyle="1" w:styleId="st1">
    <w:name w:val="st1"/>
    <w:basedOn w:val="Fuentedeprrafopredeter"/>
    <w:rsid w:val="009B60AB"/>
  </w:style>
  <w:style w:type="table" w:styleId="Tablaconcuadrcula">
    <w:name w:val="Table Grid"/>
    <w:basedOn w:val="Tablanormal"/>
    <w:uiPriority w:val="59"/>
    <w:rsid w:val="009B60AB"/>
    <w:pPr>
      <w:spacing w:after="0" w:line="240" w:lineRule="auto"/>
    </w:pPr>
    <w:rPr>
      <w:lang w:val="sv-S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tulo">
    <w:name w:val="Subtitle"/>
    <w:basedOn w:val="Normal"/>
    <w:next w:val="Normal"/>
    <w:link w:val="SubttuloCar"/>
    <w:uiPriority w:val="99"/>
    <w:qFormat/>
    <w:rsid w:val="004266C5"/>
    <w:pPr>
      <w:spacing w:after="60" w:line="276" w:lineRule="auto"/>
      <w:jc w:val="center"/>
      <w:outlineLvl w:val="1"/>
    </w:pPr>
    <w:rPr>
      <w:rFonts w:ascii="Cambria" w:eastAsia="MS Mincho" w:hAnsi="Cambria" w:cs="Times New Roman"/>
      <w:sz w:val="24"/>
      <w:szCs w:val="24"/>
    </w:rPr>
  </w:style>
  <w:style w:type="character" w:customStyle="1" w:styleId="SubttuloCar">
    <w:name w:val="Subtítulo Car"/>
    <w:basedOn w:val="Fuentedeprrafopredeter"/>
    <w:link w:val="Subttulo"/>
    <w:uiPriority w:val="99"/>
    <w:rsid w:val="004266C5"/>
    <w:rPr>
      <w:rFonts w:ascii="Cambria" w:eastAsia="MS Mincho" w:hAnsi="Cambria" w:cs="Times New Roman"/>
      <w:sz w:val="24"/>
      <w:szCs w:val="24"/>
    </w:rPr>
  </w:style>
  <w:style w:type="paragraph" w:customStyle="1" w:styleId="SingleTxtG">
    <w:name w:val="_ Single Txt_G"/>
    <w:basedOn w:val="Normal"/>
    <w:uiPriority w:val="99"/>
    <w:rsid w:val="004266C5"/>
    <w:pPr>
      <w:spacing w:after="120" w:line="240" w:lineRule="atLeast"/>
      <w:ind w:left="1134" w:right="1134"/>
      <w:jc w:val="both"/>
    </w:pPr>
    <w:rPr>
      <w:rFonts w:ascii="Times New Roman" w:eastAsia="MS Mincho" w:hAnsi="Times New Roman" w:cs="Times New Roman"/>
      <w:sz w:val="20"/>
      <w:szCs w:val="20"/>
      <w:lang w:eastAsia="es-ES"/>
    </w:rPr>
  </w:style>
  <w:style w:type="character" w:styleId="Ttulodellibro">
    <w:name w:val="Book Title"/>
    <w:uiPriority w:val="99"/>
    <w:qFormat/>
    <w:rsid w:val="004266C5"/>
    <w:rPr>
      <w:rFonts w:cs="Times New Roman"/>
      <w:b/>
      <w:bCs/>
      <w:smallCaps/>
      <w:spacing w:val="5"/>
    </w:rPr>
  </w:style>
  <w:style w:type="character" w:customStyle="1" w:styleId="a-size-large">
    <w:name w:val="a-size-large"/>
    <w:uiPriority w:val="99"/>
    <w:rsid w:val="004266C5"/>
    <w:rPr>
      <w:rFonts w:cs="Times New Roman"/>
    </w:rPr>
  </w:style>
  <w:style w:type="character" w:customStyle="1" w:styleId="a-declarative">
    <w:name w:val="a-declarative"/>
    <w:uiPriority w:val="99"/>
    <w:rsid w:val="004266C5"/>
    <w:rPr>
      <w:rFonts w:cs="Times New Roman"/>
    </w:rPr>
  </w:style>
  <w:style w:type="paragraph" w:customStyle="1" w:styleId="Pa9">
    <w:name w:val="Pa9"/>
    <w:basedOn w:val="Normal"/>
    <w:next w:val="Normal"/>
    <w:rsid w:val="00664415"/>
    <w:pPr>
      <w:autoSpaceDE w:val="0"/>
      <w:autoSpaceDN w:val="0"/>
      <w:adjustRightInd w:val="0"/>
      <w:spacing w:after="0" w:line="201" w:lineRule="atLeast"/>
    </w:pPr>
    <w:rPr>
      <w:rFonts w:ascii="Arial" w:eastAsia="Calibri" w:hAnsi="Arial" w:cs="Arial"/>
      <w:sz w:val="24"/>
      <w:szCs w:val="24"/>
      <w:lang w:val="es-ES_tradnl" w:eastAsia="ca-ES"/>
    </w:rPr>
  </w:style>
  <w:style w:type="paragraph" w:customStyle="1" w:styleId="Pa35">
    <w:name w:val="Pa35"/>
    <w:basedOn w:val="Normal"/>
    <w:next w:val="Normal"/>
    <w:uiPriority w:val="99"/>
    <w:rsid w:val="00664415"/>
    <w:pPr>
      <w:autoSpaceDE w:val="0"/>
      <w:autoSpaceDN w:val="0"/>
      <w:adjustRightInd w:val="0"/>
      <w:spacing w:after="0" w:line="241" w:lineRule="atLeast"/>
    </w:pPr>
    <w:rPr>
      <w:rFonts w:ascii="Myriad Pro" w:eastAsia="Times New Roman" w:hAnsi="Myriad Pro" w:cs="Times New Roman"/>
      <w:sz w:val="24"/>
      <w:szCs w:val="24"/>
      <w:lang w:val="ca-ES" w:eastAsia="ca-ES"/>
    </w:rPr>
  </w:style>
  <w:style w:type="paragraph" w:styleId="HTMLconformatoprevio">
    <w:name w:val="HTML Preformatted"/>
    <w:basedOn w:val="Normal"/>
    <w:link w:val="HTMLconformatoprevioCar"/>
    <w:uiPriority w:val="99"/>
    <w:unhideWhenUsed/>
    <w:rsid w:val="006644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ES"/>
    </w:rPr>
  </w:style>
  <w:style w:type="character" w:customStyle="1" w:styleId="HTMLconformatoprevioCar">
    <w:name w:val="HTML con formato previo Car"/>
    <w:basedOn w:val="Fuentedeprrafopredeter"/>
    <w:link w:val="HTMLconformatoprevio"/>
    <w:uiPriority w:val="99"/>
    <w:rsid w:val="00664415"/>
    <w:rPr>
      <w:rFonts w:ascii="Courier New" w:eastAsia="Times New Roman" w:hAnsi="Courier New" w:cs="Courier New"/>
      <w:sz w:val="20"/>
      <w:szCs w:val="20"/>
      <w:lang w:eastAsia="es-ES"/>
    </w:rPr>
  </w:style>
  <w:style w:type="paragraph" w:customStyle="1" w:styleId="parrafo">
    <w:name w:val="parrafo"/>
    <w:basedOn w:val="Normal"/>
    <w:uiPriority w:val="99"/>
    <w:rsid w:val="00664415"/>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Prrafodelista1">
    <w:name w:val="Párrafo de lista1"/>
    <w:basedOn w:val="Normal"/>
    <w:rsid w:val="0046263B"/>
    <w:pPr>
      <w:suppressAutoHyphens/>
      <w:spacing w:after="0" w:line="100" w:lineRule="atLeast"/>
    </w:pPr>
    <w:rPr>
      <w:rFonts w:ascii="Cambria" w:eastAsia="MS Mincho" w:hAnsi="Cambria" w:cs="Times New Roman"/>
      <w:kern w:val="1"/>
      <w:sz w:val="24"/>
      <w:szCs w:val="24"/>
      <w:lang w:eastAsia="ar-SA"/>
    </w:rPr>
  </w:style>
  <w:style w:type="paragraph" w:styleId="Textoindependiente3">
    <w:name w:val="Body Text 3"/>
    <w:basedOn w:val="Normal"/>
    <w:link w:val="Textoindependiente3Car"/>
    <w:uiPriority w:val="99"/>
    <w:semiHidden/>
    <w:unhideWhenUsed/>
    <w:rsid w:val="0046263B"/>
    <w:pPr>
      <w:spacing w:after="120" w:line="276" w:lineRule="auto"/>
    </w:pPr>
    <w:rPr>
      <w:sz w:val="16"/>
      <w:szCs w:val="16"/>
    </w:rPr>
  </w:style>
  <w:style w:type="character" w:customStyle="1" w:styleId="Textoindependiente3Car">
    <w:name w:val="Texto independiente 3 Car"/>
    <w:basedOn w:val="Fuentedeprrafopredeter"/>
    <w:link w:val="Textoindependiente3"/>
    <w:uiPriority w:val="99"/>
    <w:semiHidden/>
    <w:rsid w:val="0046263B"/>
    <w:rPr>
      <w:sz w:val="16"/>
      <w:szCs w:val="16"/>
    </w:rPr>
  </w:style>
  <w:style w:type="paragraph" w:customStyle="1" w:styleId="NormalJustificado">
    <w:name w:val="Normal + Justificado"/>
    <w:aliases w:val="Primera línea:  1,25 cm,Interlineado:  1,5 líneas"/>
    <w:basedOn w:val="Normal"/>
    <w:link w:val="NormalJustificadoPrimeralnea125cmInterlineado15lneasCar"/>
    <w:rsid w:val="0046263B"/>
    <w:pPr>
      <w:spacing w:after="0" w:line="360" w:lineRule="auto"/>
      <w:jc w:val="both"/>
    </w:pPr>
    <w:rPr>
      <w:rFonts w:ascii="Times New Roman" w:eastAsia="Times New Roman" w:hAnsi="Times New Roman" w:cs="Times New Roman"/>
      <w:sz w:val="24"/>
      <w:szCs w:val="24"/>
      <w:lang w:eastAsia="es-ES"/>
    </w:rPr>
  </w:style>
  <w:style w:type="character" w:customStyle="1" w:styleId="NormalJustificadoPrimeralnea125cmInterlineado15lneasCar">
    <w:name w:val="Normal + Justificado;Primera línea:  1;25 cm;Interlineado:  1;5 líneas Car"/>
    <w:basedOn w:val="Fuentedeprrafopredeter"/>
    <w:link w:val="NormalJustificado"/>
    <w:rsid w:val="0046263B"/>
    <w:rPr>
      <w:rFonts w:ascii="Times New Roman" w:eastAsia="Times New Roman" w:hAnsi="Times New Roman" w:cs="Times New Roman"/>
      <w:sz w:val="24"/>
      <w:szCs w:val="24"/>
      <w:lang w:eastAsia="es-ES"/>
    </w:rPr>
  </w:style>
  <w:style w:type="paragraph" w:customStyle="1" w:styleId="Puesto1">
    <w:name w:val="Puesto1"/>
    <w:basedOn w:val="Normal"/>
    <w:next w:val="Normal"/>
    <w:rsid w:val="008949B1"/>
    <w:pPr>
      <w:keepNext/>
      <w:keepLines/>
      <w:pageBreakBefore/>
      <w:tabs>
        <w:tab w:val="left" w:pos="284"/>
      </w:tabs>
      <w:suppressAutoHyphens/>
      <w:spacing w:after="460" w:line="240" w:lineRule="auto"/>
      <w:ind w:firstLine="227"/>
      <w:jc w:val="center"/>
    </w:pPr>
    <w:rPr>
      <w:rFonts w:ascii="Times" w:eastAsia="Times New Roman" w:hAnsi="Times" w:cs="Times New Roman"/>
      <w:b/>
      <w:sz w:val="28"/>
      <w:szCs w:val="20"/>
      <w:lang w:val="en-US" w:eastAsia="es-ES"/>
    </w:rPr>
  </w:style>
  <w:style w:type="paragraph" w:customStyle="1" w:styleId="Standard">
    <w:name w:val="Standard"/>
    <w:rsid w:val="008949B1"/>
    <w:pPr>
      <w:widowControl w:val="0"/>
      <w:suppressAutoHyphens/>
      <w:autoSpaceDN w:val="0"/>
      <w:spacing w:after="0" w:line="240" w:lineRule="auto"/>
      <w:textAlignment w:val="baseline"/>
    </w:pPr>
    <w:rPr>
      <w:rFonts w:ascii="Times New Roman" w:eastAsia="Times New Roman" w:hAnsi="Times New Roman" w:cs="Times New Roman"/>
      <w:kern w:val="3"/>
      <w:sz w:val="24"/>
      <w:szCs w:val="20"/>
      <w:lang w:eastAsia="es-ES"/>
    </w:rPr>
  </w:style>
  <w:style w:type="numbering" w:customStyle="1" w:styleId="WWNum6">
    <w:name w:val="WWNum6"/>
    <w:basedOn w:val="Sinlista"/>
    <w:rsid w:val="008949B1"/>
    <w:pPr>
      <w:numPr>
        <w:numId w:val="113"/>
      </w:numPr>
    </w:pPr>
  </w:style>
  <w:style w:type="numbering" w:customStyle="1" w:styleId="WWNum8">
    <w:name w:val="WWNum8"/>
    <w:basedOn w:val="Sinlista"/>
    <w:rsid w:val="008949B1"/>
    <w:pPr>
      <w:numPr>
        <w:numId w:val="114"/>
      </w:numPr>
    </w:pPr>
  </w:style>
  <w:style w:type="numbering" w:customStyle="1" w:styleId="WWNum10">
    <w:name w:val="WWNum10"/>
    <w:basedOn w:val="Sinlista"/>
    <w:rsid w:val="008949B1"/>
    <w:pPr>
      <w:numPr>
        <w:numId w:val="115"/>
      </w:numPr>
    </w:pPr>
  </w:style>
  <w:style w:type="numbering" w:customStyle="1" w:styleId="WWNum11">
    <w:name w:val="WWNum11"/>
    <w:basedOn w:val="Sinlista"/>
    <w:rsid w:val="008949B1"/>
    <w:pPr>
      <w:numPr>
        <w:numId w:val="116"/>
      </w:numPr>
    </w:pPr>
  </w:style>
  <w:style w:type="paragraph" w:customStyle="1" w:styleId="Ttulo10">
    <w:name w:val="Título1"/>
    <w:basedOn w:val="Normal"/>
    <w:next w:val="Normal"/>
    <w:qFormat/>
    <w:rsid w:val="00033066"/>
    <w:pPr>
      <w:spacing w:after="720" w:line="360" w:lineRule="auto"/>
      <w:ind w:left="1701" w:right="1701"/>
      <w:jc w:val="center"/>
    </w:pPr>
    <w:rPr>
      <w:rFonts w:ascii="Times New Roman" w:hAnsi="Times New Roman"/>
      <w:sz w:val="24"/>
    </w:rPr>
  </w:style>
  <w:style w:type="paragraph" w:customStyle="1" w:styleId="Piedeimagen">
    <w:name w:val="Pie de imagen"/>
    <w:basedOn w:val="Normal"/>
    <w:qFormat/>
    <w:rsid w:val="00033066"/>
    <w:pPr>
      <w:spacing w:after="240" w:line="240" w:lineRule="auto"/>
      <w:jc w:val="center"/>
    </w:pPr>
    <w:rPr>
      <w:rFonts w:ascii="Times New Roman" w:hAnsi="Times New Roman"/>
      <w:i/>
      <w:sz w:val="20"/>
      <w:szCs w:val="20"/>
    </w:rPr>
  </w:style>
  <w:style w:type="paragraph" w:customStyle="1" w:styleId="TextoTabla">
    <w:name w:val="Texto Tabla"/>
    <w:basedOn w:val="Normal"/>
    <w:qFormat/>
    <w:rsid w:val="00033066"/>
    <w:pPr>
      <w:spacing w:after="0" w:line="360" w:lineRule="auto"/>
    </w:pPr>
    <w:rPr>
      <w:rFonts w:ascii="Times New Roman" w:hAnsi="Times New Roman"/>
      <w:sz w:val="20"/>
    </w:rPr>
  </w:style>
  <w:style w:type="character" w:customStyle="1" w:styleId="Ttulo4Car">
    <w:name w:val="Título 4 Car"/>
    <w:basedOn w:val="Fuentedeprrafopredeter"/>
    <w:link w:val="Ttulo4"/>
    <w:uiPriority w:val="9"/>
    <w:semiHidden/>
    <w:rsid w:val="00033066"/>
    <w:rPr>
      <w:rFonts w:asciiTheme="majorHAnsi" w:eastAsiaTheme="majorEastAsia" w:hAnsiTheme="majorHAnsi" w:cstheme="majorBidi"/>
      <w:i/>
      <w:iCs/>
      <w:color w:val="2E74B5" w:themeColor="accent1" w:themeShade="BF"/>
    </w:rPr>
  </w:style>
  <w:style w:type="paragraph" w:styleId="Listaconvietas2">
    <w:name w:val="List Bullet 2"/>
    <w:basedOn w:val="Normal"/>
    <w:uiPriority w:val="99"/>
    <w:unhideWhenUsed/>
    <w:rsid w:val="00033066"/>
    <w:pPr>
      <w:numPr>
        <w:numId w:val="137"/>
      </w:numPr>
      <w:spacing w:line="360" w:lineRule="auto"/>
      <w:contextualSpacing/>
    </w:pPr>
    <w:rPr>
      <w:rFonts w:ascii="Times New Roman" w:hAnsi="Times New Roman"/>
      <w:sz w:val="24"/>
    </w:rPr>
  </w:style>
  <w:style w:type="paragraph" w:customStyle="1" w:styleId="author">
    <w:name w:val="author"/>
    <w:basedOn w:val="Normal"/>
    <w:next w:val="address"/>
    <w:rsid w:val="00033066"/>
    <w:pPr>
      <w:suppressAutoHyphens/>
      <w:spacing w:after="220" w:line="240" w:lineRule="auto"/>
      <w:ind w:firstLine="227"/>
      <w:jc w:val="center"/>
    </w:pPr>
    <w:rPr>
      <w:rFonts w:ascii="Times" w:eastAsia="Times New Roman" w:hAnsi="Times" w:cs="Times New Roman"/>
      <w:sz w:val="20"/>
      <w:szCs w:val="20"/>
      <w:lang w:val="en-US" w:eastAsia="es-ES"/>
    </w:rPr>
  </w:style>
  <w:style w:type="paragraph" w:customStyle="1" w:styleId="address">
    <w:name w:val="address"/>
    <w:basedOn w:val="Normal"/>
    <w:next w:val="email"/>
    <w:rsid w:val="00033066"/>
    <w:pPr>
      <w:suppressAutoHyphens/>
      <w:spacing w:after="0" w:line="240" w:lineRule="auto"/>
      <w:ind w:firstLine="227"/>
      <w:jc w:val="center"/>
    </w:pPr>
    <w:rPr>
      <w:rFonts w:ascii="Times" w:eastAsia="Times New Roman" w:hAnsi="Times" w:cs="Times New Roman"/>
      <w:sz w:val="18"/>
      <w:szCs w:val="20"/>
      <w:lang w:val="en-US" w:eastAsia="es-ES"/>
    </w:rPr>
  </w:style>
  <w:style w:type="paragraph" w:customStyle="1" w:styleId="email">
    <w:name w:val="email"/>
    <w:basedOn w:val="Normal"/>
    <w:next w:val="Normal"/>
    <w:rsid w:val="00033066"/>
    <w:pPr>
      <w:suppressAutoHyphens/>
      <w:spacing w:after="0" w:line="240" w:lineRule="auto"/>
      <w:ind w:firstLine="227"/>
      <w:jc w:val="center"/>
    </w:pPr>
    <w:rPr>
      <w:rFonts w:ascii="Courier" w:eastAsia="Times New Roman" w:hAnsi="Courier" w:cs="Times New Roman"/>
      <w:sz w:val="18"/>
      <w:szCs w:val="20"/>
      <w:lang w:val="en-US" w:eastAsia="es-ES"/>
    </w:rPr>
  </w:style>
  <w:style w:type="paragraph" w:customStyle="1" w:styleId="p1a">
    <w:name w:val="p1a"/>
    <w:basedOn w:val="Normal"/>
    <w:next w:val="Normal"/>
    <w:rsid w:val="00033066"/>
    <w:pPr>
      <w:suppressAutoHyphens/>
      <w:spacing w:after="0" w:line="240" w:lineRule="auto"/>
      <w:jc w:val="both"/>
    </w:pPr>
    <w:rPr>
      <w:rFonts w:ascii="Times" w:eastAsia="Times New Roman" w:hAnsi="Times" w:cs="Times New Roman"/>
      <w:sz w:val="20"/>
      <w:szCs w:val="20"/>
      <w:lang w:val="en-US" w:eastAsia="es-ES"/>
    </w:rPr>
  </w:style>
  <w:style w:type="paragraph" w:styleId="Citadestacada">
    <w:name w:val="Intense Quote"/>
    <w:basedOn w:val="Normal"/>
    <w:next w:val="Normal"/>
    <w:link w:val="CitadestacadaCar"/>
    <w:uiPriority w:val="30"/>
    <w:qFormat/>
    <w:rsid w:val="003B20DC"/>
    <w:pPr>
      <w:pBdr>
        <w:top w:val="single" w:sz="4" w:space="10" w:color="5B9BD5"/>
        <w:bottom w:val="single" w:sz="4" w:space="10" w:color="5B9BD5"/>
      </w:pBdr>
      <w:spacing w:before="360" w:after="360"/>
      <w:ind w:left="864" w:right="864"/>
      <w:jc w:val="center"/>
    </w:pPr>
    <w:rPr>
      <w:rFonts w:ascii="Calibri" w:eastAsia="Calibri" w:hAnsi="Calibri" w:cs="Times New Roman"/>
      <w:i/>
      <w:iCs/>
      <w:color w:val="5B9BD5"/>
    </w:rPr>
  </w:style>
  <w:style w:type="character" w:customStyle="1" w:styleId="CitadestacadaCar">
    <w:name w:val="Cita destacada Car"/>
    <w:basedOn w:val="Fuentedeprrafopredeter"/>
    <w:link w:val="Citadestacada"/>
    <w:uiPriority w:val="30"/>
    <w:rsid w:val="003B20DC"/>
    <w:rPr>
      <w:rFonts w:ascii="Calibri" w:eastAsia="Calibri" w:hAnsi="Calibri" w:cs="Times New Roman"/>
      <w:i/>
      <w:iCs/>
      <w:color w:val="5B9BD5"/>
    </w:rPr>
  </w:style>
  <w:style w:type="character" w:styleId="Referenciaintensa">
    <w:name w:val="Intense Reference"/>
    <w:uiPriority w:val="32"/>
    <w:qFormat/>
    <w:rsid w:val="003B20DC"/>
    <w:rPr>
      <w:b/>
      <w:bCs/>
      <w:smallCaps/>
      <w:color w:val="5B9BD5"/>
      <w:spacing w:val="5"/>
    </w:rPr>
  </w:style>
  <w:style w:type="paragraph" w:styleId="Listaconnmeros">
    <w:name w:val="List Number"/>
    <w:basedOn w:val="Normal"/>
    <w:uiPriority w:val="99"/>
    <w:semiHidden/>
    <w:unhideWhenUsed/>
    <w:rsid w:val="003B20DC"/>
    <w:pPr>
      <w:numPr>
        <w:numId w:val="144"/>
      </w:numPr>
      <w:spacing w:after="200" w:line="276" w:lineRule="auto"/>
      <w:contextualSpacing/>
    </w:pPr>
    <w:rPr>
      <w:rFonts w:ascii="Calibri" w:eastAsia="Calibri" w:hAnsi="Calibri" w:cs="Times New Roman"/>
      <w:lang w:val="pl-PL"/>
    </w:rPr>
  </w:style>
  <w:style w:type="paragraph" w:styleId="Ttulo">
    <w:name w:val="Title"/>
    <w:basedOn w:val="Normal"/>
    <w:next w:val="Normal"/>
    <w:link w:val="TtuloCar"/>
    <w:uiPriority w:val="10"/>
    <w:qFormat/>
    <w:rsid w:val="003B20DC"/>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tuloCar">
    <w:name w:val="Título Car"/>
    <w:basedOn w:val="Fuentedeprrafopredeter"/>
    <w:link w:val="Ttulo"/>
    <w:uiPriority w:val="10"/>
    <w:rsid w:val="003B20DC"/>
    <w:rPr>
      <w:rFonts w:asciiTheme="majorHAnsi" w:eastAsiaTheme="majorEastAsia" w:hAnsiTheme="majorHAnsi" w:cstheme="majorBidi"/>
      <w:color w:val="323E4F" w:themeColor="text2" w:themeShade="BF"/>
      <w:spacing w:val="5"/>
      <w:kern w:val="28"/>
      <w:sz w:val="52"/>
      <w:szCs w:val="52"/>
    </w:rPr>
  </w:style>
  <w:style w:type="paragraph" w:styleId="Textodeglobo">
    <w:name w:val="Balloon Text"/>
    <w:basedOn w:val="Normal"/>
    <w:link w:val="TextodegloboCar"/>
    <w:uiPriority w:val="99"/>
    <w:semiHidden/>
    <w:unhideWhenUsed/>
    <w:rsid w:val="00BF645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BF645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gruposifu.com/wpcontent/uploads/2015/11/GS_AtlasLaboral_web_reducida.pdf" TargetMode="External"/><Relationship Id="rId21" Type="http://schemas.openxmlformats.org/officeDocument/2006/relationships/hyperlink" Target="http://www.fundacioncermimujeres.es/sites/default/files/debate_general_mujeres_ninas_discapacidad.pdf" TargetMode="External"/><Relationship Id="rId42" Type="http://schemas.openxmlformats.org/officeDocument/2006/relationships/hyperlink" Target="https://www.academia.edu/11092130/BIODANZA_Y_CALIDAD_DE_VIDA._EXPERIENCIA_PIONERA_CON_ADULTOS_CIEGOS?auto=download" TargetMode="External"/><Relationship Id="rId63" Type="http://schemas.openxmlformats.org/officeDocument/2006/relationships/hyperlink" Target="http://www.un.org/sustainabledevelopment/es/objetivos-de-desarrollo-sostenible/" TargetMode="External"/><Relationship Id="rId84" Type="http://schemas.openxmlformats.org/officeDocument/2006/relationships/image" Target="media/image6.jpg"/><Relationship Id="rId138" Type="http://schemas.openxmlformats.org/officeDocument/2006/relationships/hyperlink" Target="http://www.msssi.gob.es/ssi/discapacidad/informacion/planAccionEstrategiaEspanolaDiscapacidad.htm" TargetMode="External"/><Relationship Id="rId159" Type="http://schemas.openxmlformats.org/officeDocument/2006/relationships/image" Target="media/image27.jpeg"/><Relationship Id="rId170" Type="http://schemas.openxmlformats.org/officeDocument/2006/relationships/image" Target="media/image38.tiff"/><Relationship Id="rId191" Type="http://schemas.openxmlformats.org/officeDocument/2006/relationships/hyperlink" Target="https://es.wikipedia.org/wiki/Fnac" TargetMode="External"/><Relationship Id="rId205" Type="http://schemas.openxmlformats.org/officeDocument/2006/relationships/hyperlink" Target="https://play.google.com/store/apps/details?id=es.whatscine.movistar5s" TargetMode="External"/><Relationship Id="rId107" Type="http://schemas.openxmlformats.org/officeDocument/2006/relationships/hyperlink" Target="http://www.rinace.net/rlei/numeros/vol3-num1/art2.html" TargetMode="External"/><Relationship Id="rId11" Type="http://schemas.openxmlformats.org/officeDocument/2006/relationships/image" Target="media/image3.emf"/><Relationship Id="rId32" Type="http://schemas.openxmlformats.org/officeDocument/2006/relationships/hyperlink" Target="http://www.heacademy.ac.uk/assets/documents/research/jacklin.pdf" TargetMode="External"/><Relationship Id="rId37" Type="http://schemas.openxmlformats.org/officeDocument/2006/relationships/hyperlink" Target="http://www.scielo.org.co/pdf/rups/v7n2/v7n2a06.pdf" TargetMode="External"/><Relationship Id="rId53" Type="http://schemas.openxmlformats.org/officeDocument/2006/relationships/hyperlink" Target="http://www.egu.eu/news/231/egu-public-engagement-grants-awarded-to-miguel-gomez-heras-and-solmaz-mohadjer/" TargetMode="External"/><Relationship Id="rId58" Type="http://schemas.openxmlformats.org/officeDocument/2006/relationships/hyperlink" Target="unhttp://www.unesco.org/bpi/pdf/memobpi55_NFE_es.pdf" TargetMode="External"/><Relationship Id="rId74" Type="http://schemas.openxmlformats.org/officeDocument/2006/relationships/hyperlink" Target="http://www.campopsi.com.ar/lecturas/stolkiner.htm" TargetMode="External"/><Relationship Id="rId79" Type="http://schemas.openxmlformats.org/officeDocument/2006/relationships/hyperlink" Target="http://dx.doi.org/10.1109/CGames.2015.7272973" TargetMode="External"/><Relationship Id="rId102" Type="http://schemas.openxmlformats.org/officeDocument/2006/relationships/image" Target="media/image17.emf"/><Relationship Id="rId123" Type="http://schemas.openxmlformats.org/officeDocument/2006/relationships/image" Target="media/image25.png"/><Relationship Id="rId128" Type="http://schemas.openxmlformats.org/officeDocument/2006/relationships/chart" Target="charts/chart6.xml"/><Relationship Id="rId144" Type="http://schemas.openxmlformats.org/officeDocument/2006/relationships/hyperlink" Target="http://www.mapastur.com" TargetMode="External"/><Relationship Id="rId149" Type="http://schemas.openxmlformats.org/officeDocument/2006/relationships/hyperlink" Target="http://www.MapAstur.com" TargetMode="External"/><Relationship Id="rId5" Type="http://schemas.openxmlformats.org/officeDocument/2006/relationships/settings" Target="settings.xml"/><Relationship Id="rId90" Type="http://schemas.openxmlformats.org/officeDocument/2006/relationships/image" Target="media/image12.jpeg"/><Relationship Id="rId95" Type="http://schemas.openxmlformats.org/officeDocument/2006/relationships/hyperlink" Target="https://incluyeteblog.wordpress.com/" TargetMode="External"/><Relationship Id="rId160" Type="http://schemas.openxmlformats.org/officeDocument/2006/relationships/image" Target="media/image28.jpeg"/><Relationship Id="rId165" Type="http://schemas.openxmlformats.org/officeDocument/2006/relationships/image" Target="media/image33.png"/><Relationship Id="rId181" Type="http://schemas.openxmlformats.org/officeDocument/2006/relationships/hyperlink" Target="http://www.un.org/disabilities/documents/convention/convoptprot-s.pdf" TargetMode="External"/><Relationship Id="rId186" Type="http://schemas.openxmlformats.org/officeDocument/2006/relationships/hyperlink" Target="http://www.fnac.es/" TargetMode="External"/><Relationship Id="rId211" Type="http://schemas.openxmlformats.org/officeDocument/2006/relationships/theme" Target="theme/theme1.xml"/><Relationship Id="rId22" Type="http://schemas.openxmlformats.org/officeDocument/2006/relationships/hyperlink" Target="http://www.fundacioncermimujeres.es/sites/default/files/debate_general_mujeres_ninas_discapacidad.pdf" TargetMode="External"/><Relationship Id="rId27" Type="http://schemas.openxmlformats.org/officeDocument/2006/relationships/chart" Target="charts/chart3.xml"/><Relationship Id="rId43" Type="http://schemas.openxmlformats.org/officeDocument/2006/relationships/hyperlink" Target="http://www.siis.net/documentos/ficha/198963.pdf" TargetMode="External"/><Relationship Id="rId48" Type="http://schemas.openxmlformats.org/officeDocument/2006/relationships/hyperlink" Target="http://www.lavanguardia.com/vida/20080513/53462730158/selectividad-mas-apta-para%20hiperactivos.html" TargetMode="External"/><Relationship Id="rId64" Type="http://schemas.openxmlformats.org/officeDocument/2006/relationships/hyperlink" Target="http://www.sapdu.unizar.es/" TargetMode="External"/><Relationship Id="rId69" Type="http://schemas.openxmlformats.org/officeDocument/2006/relationships/hyperlink" Target="http://www.unne.edu.ar/conociendo/doc_normativas/estatuto.pdf" TargetMode="External"/><Relationship Id="rId113" Type="http://schemas.openxmlformats.org/officeDocument/2006/relationships/hyperlink" Target="http://www.who.int/mediacentre/factsheets/fs385/es/" TargetMode="External"/><Relationship Id="rId118" Type="http://schemas.openxmlformats.org/officeDocument/2006/relationships/image" Target="media/image24.emf"/><Relationship Id="rId134" Type="http://schemas.openxmlformats.org/officeDocument/2006/relationships/hyperlink" Target="http://psicologia.udg.edu/Revista/default.htm" TargetMode="External"/><Relationship Id="rId139" Type="http://schemas.openxmlformats.org/officeDocument/2006/relationships/hyperlink" Target="http://www.ciemhcavi.una.ac.cr/index.php/perfil-universitario/academicos/19-msc-maria-antonieta-ozols-rosales" TargetMode="External"/><Relationship Id="rId80" Type="http://schemas.openxmlformats.org/officeDocument/2006/relationships/hyperlink" Target="mailto:gmartinez@correo.cua.uam.mx" TargetMode="External"/><Relationship Id="rId85" Type="http://schemas.openxmlformats.org/officeDocument/2006/relationships/image" Target="media/image7.jpg"/><Relationship Id="rId150" Type="http://schemas.openxmlformats.org/officeDocument/2006/relationships/hyperlink" Target="http://www.cnep2008.com/" TargetMode="External"/><Relationship Id="rId155" Type="http://schemas.openxmlformats.org/officeDocument/2006/relationships/hyperlink" Target="http://comunicarseweb.com.ar/download.php?tipo=acrobat&amp;view=1&amp;dato=1308234290_catedralacaixa_vol11_Final_tcm5-66526.pdf" TargetMode="External"/><Relationship Id="rId171" Type="http://schemas.openxmlformats.org/officeDocument/2006/relationships/image" Target="media/image39.tiff"/><Relationship Id="rId176" Type="http://schemas.openxmlformats.org/officeDocument/2006/relationships/hyperlink" Target="http://www.coventry.ac.uk/" TargetMode="External"/><Relationship Id="rId192" Type="http://schemas.openxmlformats.org/officeDocument/2006/relationships/hyperlink" Target="https://es.wikipedia.org/wiki/Orange_Espa%C3%B1a" TargetMode="External"/><Relationship Id="rId197" Type="http://schemas.openxmlformats.org/officeDocument/2006/relationships/footer" Target="footer2.xml"/><Relationship Id="rId206" Type="http://schemas.openxmlformats.org/officeDocument/2006/relationships/image" Target="media/image49.png"/><Relationship Id="rId201" Type="http://schemas.openxmlformats.org/officeDocument/2006/relationships/image" Target="media/image47.png"/><Relationship Id="rId12" Type="http://schemas.openxmlformats.org/officeDocument/2006/relationships/image" Target="media/image4.emf"/><Relationship Id="rId17" Type="http://schemas.openxmlformats.org/officeDocument/2006/relationships/hyperlink" Target="http://www.revistainclusiones.cl/volumen-2-nb03/oficial-articulo-2015-lic.-soledad-arnau-ripolles.pdf" TargetMode="External"/><Relationship Id="rId33" Type="http://schemas.openxmlformats.org/officeDocument/2006/relationships/hyperlink" Target="http://adb.org/sites/default/files/pub/2012/shadow-education.pdf" TargetMode="External"/><Relationship Id="rId38" Type="http://schemas.openxmlformats.org/officeDocument/2006/relationships/hyperlink" Target="http://digitalcommons.georgiasouthern.edu/etd/572" TargetMode="External"/><Relationship Id="rId59" Type="http://schemas.openxmlformats.org/officeDocument/2006/relationships/hyperlink" Target="http://web.archive.org/web/http:/www.conadis.salud.gob.mx/descargas/pdf/Convencionsobrelosderechosdelaspersonascondiscapacidad.pdf" TargetMode="External"/><Relationship Id="rId103" Type="http://schemas.openxmlformats.org/officeDocument/2006/relationships/image" Target="media/image18.emf"/><Relationship Id="rId108" Type="http://schemas.openxmlformats.org/officeDocument/2006/relationships/hyperlink" Target="http://cdeporte.rediris.es/revista/revista35/artpercepcion152.htm" TargetMode="External"/><Relationship Id="rId124" Type="http://schemas.openxmlformats.org/officeDocument/2006/relationships/hyperlink" Target="http://www.ine.es" TargetMode="External"/><Relationship Id="rId129" Type="http://schemas.openxmlformats.org/officeDocument/2006/relationships/image" Target="media/image26.png"/><Relationship Id="rId54" Type="http://schemas.openxmlformats.org/officeDocument/2006/relationships/hyperlink" Target="http://zeroproject.org/practice/spain-ciencia-sin-barreras/" TargetMode="External"/><Relationship Id="rId70" Type="http://schemas.openxmlformats.org/officeDocument/2006/relationships/hyperlink" Target="http://www.who.int/disabilities/world_report/2011/es/" TargetMode="External"/><Relationship Id="rId75" Type="http://schemas.openxmlformats.org/officeDocument/2006/relationships/hyperlink" Target="http://www.ingurumena.ejgv.euskadi.eus/informacion/lugares-de-interes-geologico/r49-u95/es/" TargetMode="External"/><Relationship Id="rId91" Type="http://schemas.openxmlformats.org/officeDocument/2006/relationships/image" Target="media/image13.jpeg"/><Relationship Id="rId96" Type="http://schemas.openxmlformats.org/officeDocument/2006/relationships/hyperlink" Target="https://treaties.un.org/doc/Publication/MTDSG/Volume%20I/Chapter%20IV/IV-15.en.pdf" TargetMode="External"/><Relationship Id="rId140" Type="http://schemas.openxmlformats.org/officeDocument/2006/relationships/hyperlink" Target="mailto:jesmac@telecable.es" TargetMode="External"/><Relationship Id="rId145" Type="http://schemas.openxmlformats.org/officeDocument/2006/relationships/hyperlink" Target="https://www.facebook.com/pages/HACIENDO-ACCESIBLE-LA-ACCESIBILIDAD/188585834527135" TargetMode="External"/><Relationship Id="rId161" Type="http://schemas.openxmlformats.org/officeDocument/2006/relationships/image" Target="media/image29.png"/><Relationship Id="rId166" Type="http://schemas.openxmlformats.org/officeDocument/2006/relationships/image" Target="media/image34.png"/><Relationship Id="rId182" Type="http://schemas.openxmlformats.org/officeDocument/2006/relationships/hyperlink" Target="http://www.mecd.gob.es/dctm/cee/encuentros/buenapractica.pdf?documentId=0901e72b815f9789" TargetMode="External"/><Relationship Id="rId187" Type="http://schemas.openxmlformats.org/officeDocument/2006/relationships/hyperlink" Target="https://es.wikipedia.org/wiki/Bq_Aquaris"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www.fundacioncermimujeres.es/sites/default/files/debate_general_mujeres_ninas_discapacidad.pdf" TargetMode="External"/><Relationship Id="rId28" Type="http://schemas.openxmlformats.org/officeDocument/2006/relationships/hyperlink" Target="http://pilararanda.info/reflexiones-sobre-la-ugr/la-inclusion-un-valor-de" TargetMode="External"/><Relationship Id="rId49" Type="http://schemas.openxmlformats.org/officeDocument/2006/relationships/hyperlink" Target="http://bdigital.uncu.edu.ar/objetos_digitales/3933/guerrerogalanruedes2.pdf" TargetMode="External"/><Relationship Id="rId114" Type="http://schemas.openxmlformats.org/officeDocument/2006/relationships/hyperlink" Target="http://dx.doi.org/10.1016/S0140-6736(12)61028-9" TargetMode="External"/><Relationship Id="rId119" Type="http://schemas.openxmlformats.org/officeDocument/2006/relationships/hyperlink" Target="http://www.relacioncliente.es/fundacion-konecta-participa-en-un-estudio-sobre-emprendimiento-en-personas-con-discapacidad-21264" TargetMode="External"/><Relationship Id="rId44" Type="http://schemas.openxmlformats.org/officeDocument/2006/relationships/hyperlink" Target="http://www.sindromedown.net/wp-content/uploads/2014/09/146L_14.pdf" TargetMode="External"/><Relationship Id="rId60" Type="http://schemas.openxmlformats.org/officeDocument/2006/relationships/hyperlink" Target="file:///C:\Users\wgreer7\AppData\Local\Microsoft\Windows\Temporary%20Internet%20Files\Content.Outlook\QYOIBBIK\m-enabling.com" TargetMode="External"/><Relationship Id="rId65" Type="http://schemas.openxmlformats.org/officeDocument/2006/relationships/hyperlink" Target="mailto:diversitat@uji.es" TargetMode="External"/><Relationship Id="rId81" Type="http://schemas.openxmlformats.org/officeDocument/2006/relationships/hyperlink" Target="mailto:angelicamtz_mx@yahoo.com.mx" TargetMode="External"/><Relationship Id="rId86" Type="http://schemas.openxmlformats.org/officeDocument/2006/relationships/image" Target="media/image8.emf"/><Relationship Id="rId130" Type="http://schemas.openxmlformats.org/officeDocument/2006/relationships/hyperlink" Target="http://www.udg.edu/EEES/Docencia2010/ProcesdeBolonya/tabid/7189/language/ca-ES/Default.aspx.%20Consultado%20el%2015-9-2016" TargetMode="External"/><Relationship Id="rId135" Type="http://schemas.openxmlformats.org/officeDocument/2006/relationships/hyperlink" Target="http://www2.hu-berlin" TargetMode="External"/><Relationship Id="rId151" Type="http://schemas.openxmlformats.org/officeDocument/2006/relationships/hyperlink" Target="https://www.facebook.com/pages/HACIENDO-ACCESIBLE-LA-ACCESIBILIDAD/188585834527135" TargetMode="External"/><Relationship Id="rId156" Type="http://schemas.openxmlformats.org/officeDocument/2006/relationships/hyperlink" Target="http://www.uv.es/RELIEVE/v12n2/RELIEVEv12n2_6.htm" TargetMode="External"/><Relationship Id="rId177" Type="http://schemas.openxmlformats.org/officeDocument/2006/relationships/hyperlink" Target="http://4-elements.org/" TargetMode="External"/><Relationship Id="rId198" Type="http://schemas.openxmlformats.org/officeDocument/2006/relationships/footer" Target="footer3.xml"/><Relationship Id="rId172" Type="http://schemas.openxmlformats.org/officeDocument/2006/relationships/image" Target="media/image40.tiff"/><Relationship Id="rId193" Type="http://schemas.openxmlformats.org/officeDocument/2006/relationships/hyperlink" Target="https://es.wikipedia.org/wiki/Telefon%C3%ADa_m%C3%B3vil_4G" TargetMode="External"/><Relationship Id="rId202" Type="http://schemas.openxmlformats.org/officeDocument/2006/relationships/hyperlink" Target="http://www.imagenesmusica.es" TargetMode="External"/><Relationship Id="rId207" Type="http://schemas.openxmlformats.org/officeDocument/2006/relationships/footer" Target="footer4.xml"/><Relationship Id="rId13" Type="http://schemas.openxmlformats.org/officeDocument/2006/relationships/hyperlink" Target="http://www.ohchr.org/EN/HRBodies/CRPD/Pages/CRPDIndex.aspx" TargetMode="External"/><Relationship Id="rId18" Type="http://schemas.openxmlformats.org/officeDocument/2006/relationships/hyperlink" Target="https://revistas.ucm.es/index.php/RCED/article/viewFile/RCED0909120013A/15360" TargetMode="External"/><Relationship Id="rId39" Type="http://schemas.openxmlformats.org/officeDocument/2006/relationships/hyperlink" Target="http://www.iin.oea.org/Cursos_a_distancia/Lectura13_disc..UT3.pdf" TargetMode="External"/><Relationship Id="rId109" Type="http://schemas.openxmlformats.org/officeDocument/2006/relationships/hyperlink" Target="http://www.ub.edu/Vcongresinternacionaleducacionfisica/userfiles/file/MesasRedondas/MR3Ja" TargetMode="External"/><Relationship Id="rId34" Type="http://schemas.openxmlformats.org/officeDocument/2006/relationships/hyperlink" Target="http://es.calameo.com/books/0016421041ca1becd9a19" TargetMode="External"/><Relationship Id="rId50" Type="http://schemas.openxmlformats.org/officeDocument/2006/relationships/hyperlink" Target="http://www.infocp.es/view_article.asp?id=3538&amp;cat=38" TargetMode="External"/><Relationship Id="rId55" Type="http://schemas.openxmlformats.org/officeDocument/2006/relationships/hyperlink" Target="http://www.madrimasd.org/informacionIdi/analisis/analisis/analisis.asp?id=65443&amp;origen=notiweb_suplemento&amp;dia_suplemento=martes&amp;seccion=analisis%28martes%29" TargetMode="External"/><Relationship Id="rId76" Type="http://schemas.openxmlformats.org/officeDocument/2006/relationships/hyperlink" Target="http://www.ingurumena.ejgv.euskadi.net/contenidos/informe_estudio/ligs_de_urdaibai_2010/es_doc/adjuntos/INVENTARIO%20de%20LIGs%20de%20URDAIBAI.pdf" TargetMode="External"/><Relationship Id="rId97" Type="http://schemas.openxmlformats.org/officeDocument/2006/relationships/hyperlink" Target="mailto:afisadis@gmail.com" TargetMode="External"/><Relationship Id="rId104" Type="http://schemas.openxmlformats.org/officeDocument/2006/relationships/image" Target="media/image19.emf"/><Relationship Id="rId120" Type="http://schemas.openxmlformats.org/officeDocument/2006/relationships/hyperlink" Target="http://www.unideusto.org/tuningeu/images/stories/Publications/Tuning_brochure_en_espanol_listo.pdf" TargetMode="External"/><Relationship Id="rId125" Type="http://schemas.openxmlformats.org/officeDocument/2006/relationships/hyperlink" Target="http://www.discapacidadcreativa.com" TargetMode="External"/><Relationship Id="rId141" Type="http://schemas.openxmlformats.org/officeDocument/2006/relationships/hyperlink" Target="http://www.mapastur.com/accesible" TargetMode="External"/><Relationship Id="rId146" Type="http://schemas.openxmlformats.org/officeDocument/2006/relationships/hyperlink" Target="https://www.facebook.com/pages/HACIENDO-ACCESIBLE-LA-ACCESIBILIDAD/188585834527135" TargetMode="External"/><Relationship Id="rId167" Type="http://schemas.openxmlformats.org/officeDocument/2006/relationships/image" Target="media/image35.png"/><Relationship Id="rId188" Type="http://schemas.openxmlformats.org/officeDocument/2006/relationships/hyperlink" Target="https://es.wikipedia.org/wiki/Android" TargetMode="External"/><Relationship Id="rId7" Type="http://schemas.openxmlformats.org/officeDocument/2006/relationships/footnotes" Target="footnotes.xml"/><Relationship Id="rId71" Type="http://schemas.openxmlformats.org/officeDocument/2006/relationships/hyperlink" Target="http://arq.unne.edu.ar/carreras/arq_programas/ano_2/planificacion-2014.pdf" TargetMode="External"/><Relationship Id="rId92" Type="http://schemas.openxmlformats.org/officeDocument/2006/relationships/hyperlink" Target="http://www.acessibilidadeinclusao.com.br/" TargetMode="External"/><Relationship Id="rId162" Type="http://schemas.openxmlformats.org/officeDocument/2006/relationships/image" Target="media/image30.png"/><Relationship Id="rId183" Type="http://schemas.openxmlformats.org/officeDocument/2006/relationships/hyperlink" Target="http://accesibilidadweb.dlsi.ua.es/?menu=principios-2.0" TargetMode="External"/><Relationship Id="rId2" Type="http://schemas.openxmlformats.org/officeDocument/2006/relationships/numbering" Target="numbering.xml"/><Relationship Id="rId29" Type="http://schemas.openxmlformats.org/officeDocument/2006/relationships/hyperlink" Target="http://www.guiauniversitaria.fundaciononce.es/" TargetMode="External"/><Relationship Id="rId24" Type="http://schemas.openxmlformats.org/officeDocument/2006/relationships/hyperlink" Target="http://www.fundacioncermimujeres.es/sites/default/files/debate_general_mujeres_ninas_discapacidad.pdf" TargetMode="External"/><Relationship Id="rId40" Type="http://schemas.openxmlformats.org/officeDocument/2006/relationships/hyperlink" Target="https://uvadoc.uva.es/bitstream/10324/4446/1/TFM%20silvia%2019%208%2013.pdf" TargetMode="External"/><Relationship Id="rId45" Type="http://schemas.openxmlformats.org/officeDocument/2006/relationships/hyperlink" Target="http://www.aufop.com/aufop/uploaded_files/articulos/1301588607.pdf" TargetMode="External"/><Relationship Id="rId66" Type="http://schemas.openxmlformats.org/officeDocument/2006/relationships/hyperlink" Target="mailto:" TargetMode="External"/><Relationship Id="rId87" Type="http://schemas.openxmlformats.org/officeDocument/2006/relationships/image" Target="media/image9.jpg"/><Relationship Id="rId110" Type="http://schemas.openxmlformats.org/officeDocument/2006/relationships/hyperlink" Target="http://www.blanquerna.edu/es/grado-ciencias-actividad-fisica-deporte" TargetMode="External"/><Relationship Id="rId115" Type="http://schemas.openxmlformats.org/officeDocument/2006/relationships/image" Target="media/image23.jpeg"/><Relationship Id="rId131" Type="http://schemas.openxmlformats.org/officeDocument/2006/relationships/hyperlink" Target="http://www.revistas.una.ac.cr/index.php/EDUCARE/issue/view/418" TargetMode="External"/><Relationship Id="rId136" Type="http://schemas.openxmlformats.org/officeDocument/2006/relationships/hyperlink" Target="http://webs.uvigo.es/refiedu/" TargetMode="External"/><Relationship Id="rId157" Type="http://schemas.openxmlformats.org/officeDocument/2006/relationships/hyperlink" Target="http://www.cermi.es/es-ES/Biblioteca/Lists/Publicaciones/Attachments/36/Estudio20DiscapacidadTICFundAuna.pdf" TargetMode="External"/><Relationship Id="rId178" Type="http://schemas.openxmlformats.org/officeDocument/2006/relationships/hyperlink" Target="http://www.unibo.it/it" TargetMode="External"/><Relationship Id="rId61" Type="http://schemas.openxmlformats.org/officeDocument/2006/relationships/hyperlink" Target="file:///C:\Users\wgreer7\AppData\Local\Microsoft\Windows\Temporary%20Internet%20Files\Content.Outlook\QYOIBBIK\m-enabling.com" TargetMode="External"/><Relationship Id="rId82" Type="http://schemas.openxmlformats.org/officeDocument/2006/relationships/hyperlink" Target="mailto:gmartinez@correo.cua.uam.mx" TargetMode="External"/><Relationship Id="rId152" Type="http://schemas.openxmlformats.org/officeDocument/2006/relationships/hyperlink" Target="http://www.mapastur.com" TargetMode="External"/><Relationship Id="rId173" Type="http://schemas.openxmlformats.org/officeDocument/2006/relationships/image" Target="media/image41.tiff"/><Relationship Id="rId194" Type="http://schemas.openxmlformats.org/officeDocument/2006/relationships/hyperlink" Target="https://es.wikipedia.org/wiki/Samsung_Galaxy_S6_edge" TargetMode="External"/><Relationship Id="rId199" Type="http://schemas.openxmlformats.org/officeDocument/2006/relationships/image" Target="media/image45.jpeg"/><Relationship Id="rId203" Type="http://schemas.openxmlformats.org/officeDocument/2006/relationships/image" Target="media/image48.png"/><Relationship Id="rId208" Type="http://schemas.openxmlformats.org/officeDocument/2006/relationships/footer" Target="footer5.xml"/><Relationship Id="rId19" Type="http://schemas.openxmlformats.org/officeDocument/2006/relationships/hyperlink" Target="http://www.fundacioncermimujeres.es/sites/default/files/debate_general_mujeres_ninas_discapacidad.pdf" TargetMode="External"/><Relationship Id="rId14" Type="http://schemas.openxmlformats.org/officeDocument/2006/relationships/hyperlink" Target="http://www.ibe.unesco.org/sites/default/files/resources/ibe-crp-inclusiveeducation-2016_eng.pdf" TargetMode="External"/><Relationship Id="rId30" Type="http://schemas.openxmlformats.org/officeDocument/2006/relationships/hyperlink" Target="http://www.washington.edu/doit/" TargetMode="External"/><Relationship Id="rId35" Type="http://schemas.openxmlformats.org/officeDocument/2006/relationships/hyperlink" Target="http://docplayer.es/10449435-Discapacidad-visual-una-sutil-diferencia.html" TargetMode="External"/><Relationship Id="rId56" Type="http://schemas.openxmlformats.org/officeDocument/2006/relationships/hyperlink" Target="https://www.ncsu.edu/ncsu/design/cud/pubs_p/docs/ACC%20Environments.pdf" TargetMode="External"/><Relationship Id="rId77" Type="http://schemas.openxmlformats.org/officeDocument/2006/relationships/hyperlink" Target="http://ocw.innova.uned.es/cartografia/indice_general.htm" TargetMode="External"/><Relationship Id="rId100" Type="http://schemas.openxmlformats.org/officeDocument/2006/relationships/image" Target="media/image16.emf"/><Relationship Id="rId105" Type="http://schemas.openxmlformats.org/officeDocument/2006/relationships/image" Target="media/image20.emf"/><Relationship Id="rId126" Type="http://schemas.openxmlformats.org/officeDocument/2006/relationships/hyperlink" Target="http://www.cermi.es/" TargetMode="External"/><Relationship Id="rId147" Type="http://schemas.openxmlformats.org/officeDocument/2006/relationships/hyperlink" Target="https://www.facebook.com/pages/HACIENDO-ACCESIBLE-LA-ACCESIBILIDAD/188585834527135" TargetMode="External"/><Relationship Id="rId168" Type="http://schemas.openxmlformats.org/officeDocument/2006/relationships/image" Target="media/image36.tiff"/><Relationship Id="rId8" Type="http://schemas.openxmlformats.org/officeDocument/2006/relationships/endnotes" Target="endnotes.xml"/><Relationship Id="rId51" Type="http://schemas.openxmlformats.org/officeDocument/2006/relationships/hyperlink" Target="https://www.researchgate.net/profile/Luis_Gonzalez-Garcia" TargetMode="External"/><Relationship Id="rId72" Type="http://schemas.openxmlformats.org/officeDocument/2006/relationships/hyperlink" Target="http://www.unne.edu.ar/conociendo/doc_normativas/Res178-11.pdf" TargetMode="External"/><Relationship Id="rId93" Type="http://schemas.openxmlformats.org/officeDocument/2006/relationships/hyperlink" Target="http://www.irisprojet.eu/teachersweb/ES/docs/" TargetMode="External"/><Relationship Id="rId98" Type="http://schemas.openxmlformats.org/officeDocument/2006/relationships/header" Target="header1.xml"/><Relationship Id="rId121" Type="http://schemas.openxmlformats.org/officeDocument/2006/relationships/hyperlink" Target="http://www.amazon.com/Robert-L.-Schalock/e/B00IU85L9Y/ref=dp_byline_cont_book_1" TargetMode="External"/><Relationship Id="rId142" Type="http://schemas.openxmlformats.org/officeDocument/2006/relationships/hyperlink" Target="http://www.mapastur.com" TargetMode="External"/><Relationship Id="rId163" Type="http://schemas.openxmlformats.org/officeDocument/2006/relationships/image" Target="media/image31.png"/><Relationship Id="rId184" Type="http://schemas.openxmlformats.org/officeDocument/2006/relationships/hyperlink" Target="http://www.juegosonce.es" TargetMode="External"/><Relationship Id="rId189" Type="http://schemas.openxmlformats.org/officeDocument/2006/relationships/hyperlink" Target="https://es.wikipedia.org/wiki/WhatsApp" TargetMode="External"/><Relationship Id="rId3" Type="http://schemas.openxmlformats.org/officeDocument/2006/relationships/styles" Target="styles.xml"/><Relationship Id="rId25" Type="http://schemas.openxmlformats.org/officeDocument/2006/relationships/chart" Target="charts/chart1.xml"/><Relationship Id="rId46" Type="http://schemas.openxmlformats.org/officeDocument/2006/relationships/hyperlink" Target="http://repositorio.ute.edu.ec/bitstream/123456789/2468/1/52323_1.pdf" TargetMode="External"/><Relationship Id="rId67" Type="http://schemas.openxmlformats.org/officeDocument/2006/relationships/hyperlink" Target="http://www.un.org/spanish/disabilities/default.asp?id=497" TargetMode="External"/><Relationship Id="rId116" Type="http://schemas.openxmlformats.org/officeDocument/2006/relationships/hyperlink" Target="http://www.codehuca.or.cr/discapabrecha.htm" TargetMode="External"/><Relationship Id="rId137" Type="http://schemas.openxmlformats.org/officeDocument/2006/relationships/hyperlink" Target="http://webs.uvigo.es/refiedu/" TargetMode="External"/><Relationship Id="rId158" Type="http://schemas.openxmlformats.org/officeDocument/2006/relationships/hyperlink" Target="mailto:dcarrero@aptent.es" TargetMode="External"/><Relationship Id="rId20" Type="http://schemas.openxmlformats.org/officeDocument/2006/relationships/hyperlink" Target="http://www.fundacionuniversia.net/fichero?id=2471" TargetMode="External"/><Relationship Id="rId41" Type="http://schemas.openxmlformats.org/officeDocument/2006/relationships/hyperlink" Target="http://link.springer.com/article/10.1007/s10897-010-9339-4" TargetMode="External"/><Relationship Id="rId62" Type="http://schemas.openxmlformats.org/officeDocument/2006/relationships/hyperlink" Target="http://web.archive.org/web/http:/www.conadis.salud.gob.mx/descargas/pdf/Convencionsobrelosderechosdelaspersonascondiscapacidad.pdf" TargetMode="External"/><Relationship Id="rId83" Type="http://schemas.openxmlformats.org/officeDocument/2006/relationships/hyperlink" Target="mailto:angelicamtz_mx@yahoo.com.mx" TargetMode="External"/><Relationship Id="rId88" Type="http://schemas.openxmlformats.org/officeDocument/2006/relationships/image" Target="media/image10.jpg"/><Relationship Id="rId111" Type="http://schemas.openxmlformats.org/officeDocument/2006/relationships/image" Target="media/image21.png"/><Relationship Id="rId132" Type="http://schemas.openxmlformats.org/officeDocument/2006/relationships/hyperlink" Target="http://www.educaweb.com/EducaNews/interface/asp/web/NoticiesMostrar.asp?NoticiaID=408&amp;SeccioID=639" TargetMode="External"/><Relationship Id="rId153" Type="http://schemas.openxmlformats.org/officeDocument/2006/relationships/hyperlink" Target="http://www.mapastur.com/" TargetMode="External"/><Relationship Id="rId174" Type="http://schemas.openxmlformats.org/officeDocument/2006/relationships/image" Target="media/image42.png"/><Relationship Id="rId179" Type="http://schemas.openxmlformats.org/officeDocument/2006/relationships/image" Target="media/image43.tiff"/><Relationship Id="rId195" Type="http://schemas.openxmlformats.org/officeDocument/2006/relationships/hyperlink" Target="https://es.wikipedia.org/wiki/Steve_Jobs" TargetMode="External"/><Relationship Id="rId209" Type="http://schemas.openxmlformats.org/officeDocument/2006/relationships/header" Target="header3.xml"/><Relationship Id="rId190" Type="http://schemas.openxmlformats.org/officeDocument/2006/relationships/hyperlink" Target="https://es.wikipedia.org/wiki/Facebook" TargetMode="External"/><Relationship Id="rId204" Type="http://schemas.openxmlformats.org/officeDocument/2006/relationships/hyperlink" Target="https://itunes.apple.com/us/app/movistar+-5s/id1118374039" TargetMode="External"/><Relationship Id="rId15" Type="http://schemas.openxmlformats.org/officeDocument/2006/relationships/image" Target="media/image5.png"/><Relationship Id="rId36" Type="http://schemas.openxmlformats.org/officeDocument/2006/relationships/hyperlink" Target="http://www.feandalucia.ccoo.es/indcontei.aspx?d=5247&amp;s=5&amp;ind=233" TargetMode="External"/><Relationship Id="rId57" Type="http://schemas.openxmlformats.org/officeDocument/2006/relationships/hyperlink" Target="http://www.un.org/ga/search/view_doc.asp?symbol=A/RES/70/1&amp;Lang=S" TargetMode="External"/><Relationship Id="rId106" Type="http://schemas.openxmlformats.org/officeDocument/2006/relationships/hyperlink" Target="http://www.rinace.net/rlei/numeros/vol3-num1/art2.html" TargetMode="External"/><Relationship Id="rId127" Type="http://schemas.openxmlformats.org/officeDocument/2006/relationships/chart" Target="charts/chart5.xml"/><Relationship Id="rId10" Type="http://schemas.openxmlformats.org/officeDocument/2006/relationships/image" Target="media/image2.emf"/><Relationship Id="rId31" Type="http://schemas.openxmlformats.org/officeDocument/2006/relationships/hyperlink" Target="http://arrts.gtcni.org.uk/gtcni/bitstream/2428/49115/2/keele.docds.pdf" TargetMode="External"/><Relationship Id="rId52" Type="http://schemas.openxmlformats.org/officeDocument/2006/relationships/hyperlink" Target="https://www.geolsoc.org.uk/grants" TargetMode="External"/><Relationship Id="rId73" Type="http://schemas.openxmlformats.org/officeDocument/2006/relationships/hyperlink" Target="http://www.uca.edu.ar/uca/common/grupo32/files/2013-Consonancias-Interdisciplina-integraci-n-del-saber.pdf" TargetMode="External"/><Relationship Id="rId78" Type="http://schemas.openxmlformats.org/officeDocument/2006/relationships/hyperlink" Target="http://www.ehu.eus/es/web/discapacidad//ehu-eta-ezgaitasuna-zenbakitan" TargetMode="External"/><Relationship Id="rId94" Type="http://schemas.openxmlformats.org/officeDocument/2006/relationships/image" Target="media/image14.tif"/><Relationship Id="rId99" Type="http://schemas.openxmlformats.org/officeDocument/2006/relationships/footer" Target="footer1.xml"/><Relationship Id="rId101" Type="http://schemas.openxmlformats.org/officeDocument/2006/relationships/header" Target="header2.xml"/><Relationship Id="rId122" Type="http://schemas.openxmlformats.org/officeDocument/2006/relationships/hyperlink" Target="http://www.Ine.es" TargetMode="External"/><Relationship Id="rId143" Type="http://schemas.openxmlformats.org/officeDocument/2006/relationships/hyperlink" Target="https://www.facebook.com/pages/HACIENDO-ACCESIBLE-LA-ACCESIBILIDAD/188585834527135" TargetMode="External"/><Relationship Id="rId148" Type="http://schemas.openxmlformats.org/officeDocument/2006/relationships/hyperlink" Target="http://www.Youtube.es" TargetMode="External"/><Relationship Id="rId164" Type="http://schemas.openxmlformats.org/officeDocument/2006/relationships/image" Target="media/image32.png"/><Relationship Id="rId169" Type="http://schemas.openxmlformats.org/officeDocument/2006/relationships/image" Target="media/image37.tiff"/><Relationship Id="rId185" Type="http://schemas.openxmlformats.org/officeDocument/2006/relationships/hyperlink" Target="https://es.wikipedia.org/wiki/Nokia_6600" TargetMode="External"/><Relationship Id="rId4" Type="http://schemas.microsoft.com/office/2007/relationships/stylesWithEffects" Target="stylesWithEffects.xml"/><Relationship Id="rId9" Type="http://schemas.openxmlformats.org/officeDocument/2006/relationships/image" Target="media/image1.emf"/><Relationship Id="rId180" Type="http://schemas.openxmlformats.org/officeDocument/2006/relationships/image" Target="media/image44.tiff"/><Relationship Id="rId210" Type="http://schemas.openxmlformats.org/officeDocument/2006/relationships/fontTable" Target="fontTable.xml"/><Relationship Id="rId26" Type="http://schemas.openxmlformats.org/officeDocument/2006/relationships/chart" Target="charts/chart2.xml"/><Relationship Id="rId47" Type="http://schemas.openxmlformats.org/officeDocument/2006/relationships/chart" Target="charts/chart4.xml"/><Relationship Id="rId68" Type="http://schemas.openxmlformats.org/officeDocument/2006/relationships/hyperlink" Target="http://www.oei.es/historico/salactsi/cres.htm" TargetMode="External"/><Relationship Id="rId89" Type="http://schemas.openxmlformats.org/officeDocument/2006/relationships/image" Target="media/image11.jpeg"/><Relationship Id="rId112" Type="http://schemas.openxmlformats.org/officeDocument/2006/relationships/image" Target="media/image22.png"/><Relationship Id="rId133" Type="http://schemas.openxmlformats.org/officeDocument/2006/relationships/hyperlink" Target="http://webs.uvigo.es/refiedu/" TargetMode="External"/><Relationship Id="rId154" Type="http://schemas.openxmlformats.org/officeDocument/2006/relationships/hyperlink" Target="http://www.marilia.unesp/acessibilidade" TargetMode="External"/><Relationship Id="rId175" Type="http://schemas.openxmlformats.org/officeDocument/2006/relationships/hyperlink" Target="http://swingproject.eu/" TargetMode="External"/><Relationship Id="rId196" Type="http://schemas.openxmlformats.org/officeDocument/2006/relationships/hyperlink" Target="http://www.once.es/new/sala-de-prensa/imagenes/folder.2008-09-16.4665805294/FOTO%20WEB%20detalle%20nuevo%20tpv%20270X230.jpg/view" TargetMode="External"/><Relationship Id="rId200" Type="http://schemas.openxmlformats.org/officeDocument/2006/relationships/image" Target="media/image46.jpeg"/><Relationship Id="rId16" Type="http://schemas.openxmlformats.org/officeDocument/2006/relationships/hyperlink" Target="http://www.eumed.net/rev/ced/11/sar.htm"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www.oiresclave.org/" TargetMode="External"/><Relationship Id="rId3" Type="http://schemas.openxmlformats.org/officeDocument/2006/relationships/hyperlink" Target="https://www.researchgate.net/profile/Luis_Gonzalez-Garcia" TargetMode="External"/><Relationship Id="rId7" Type="http://schemas.openxmlformats.org/officeDocument/2006/relationships/hyperlink" Target="https://www.european-agency.org/sites/default/files/te4i-profile-of-inclusive-teachers_Profile-of-Inclusive-Teachers-ES.pdf" TargetMode="External"/><Relationship Id="rId2" Type="http://schemas.openxmlformats.org/officeDocument/2006/relationships/hyperlink" Target="http://www.mujeresenred.net/spip.php?article1304" TargetMode="External"/><Relationship Id="rId1" Type="http://schemas.openxmlformats.org/officeDocument/2006/relationships/hyperlink" Target="http://www.fundaciononce.es/es/pagina/universidad-y-discapacidad" TargetMode="External"/><Relationship Id="rId6" Type="http://schemas.openxmlformats.org/officeDocument/2006/relationships/hyperlink" Target="https://www.european-agency.org/sites/default/files/te4i-profile-of-inclusive-teachers_Profile-of-Inclusive-Teachers-ES.pdf" TargetMode="External"/><Relationship Id="rId5" Type="http://schemas.openxmlformats.org/officeDocument/2006/relationships/hyperlink" Target="https://asociaciondoce.com/2016/03/09/guia-de-atencion-a-la-discapacidad-2016-fundacion-universia/" TargetMode="External"/><Relationship Id="rId4" Type="http://schemas.openxmlformats.org/officeDocument/2006/relationships/hyperlink" Target="http://www.msssi.gob.es/ssi/discapacidad/informacion/planAccionEstrategiaEspanolaDiscapacidad.ht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5.emf"/></Relationships>
</file>

<file path=word/_rels/header2.xml.rels><?xml version="1.0" encoding="UTF-8" standalone="yes"?>
<Relationships xmlns="http://schemas.openxmlformats.org/package/2006/relationships"><Relationship Id="rId1" Type="http://schemas.openxmlformats.org/officeDocument/2006/relationships/image" Target="media/image15.emf"/></Relationships>
</file>

<file path=word/_rels/header3.xml.rels><?xml version="1.0" encoding="UTF-8" standalone="yes"?>
<Relationships xmlns="http://schemas.openxmlformats.org/package/2006/relationships"><Relationship Id="rId1" Type="http://schemas.openxmlformats.org/officeDocument/2006/relationships/image" Target="media/image15.emf"/></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gemma:Desktop:carpetas%20de%20tesis:tesis%202.2015:otras%20universidades:an&#225;lisis%20ranking.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Macintosh%20HD:Users:gemma:Desktop:carpetas%20de%20tesis:tesis%202.2015:otras%20universidades:an&#225;lisis%20ranking.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Macintosh%20HD:Users:gemma:Desktop:carpetas%20de%20tesis:tesis%202.2015:otras%20universidades:an&#225;lisis%20ranking.xlsx" TargetMode="External"/></Relationships>
</file>

<file path=word/charts/_rels/chart4.xml.rels><?xml version="1.0" encoding="UTF-8" standalone="yes"?>
<Relationships xmlns="http://schemas.openxmlformats.org/package/2006/relationships"><Relationship Id="rId2" Type="http://schemas.openxmlformats.org/officeDocument/2006/relationships/oleObject" Target="file:///C:\Users\mnjuan\Desktop\PAU.xlsx" TargetMode="External"/><Relationship Id="rId1" Type="http://schemas.openxmlformats.org/officeDocument/2006/relationships/themeOverride" Target="../theme/themeOverride1.xml"/></Relationships>
</file>

<file path=word/charts/_rels/chart5.xml.rels><?xml version="1.0" encoding="UTF-8" standalone="yes"?>
<Relationships xmlns="http://schemas.openxmlformats.org/package/2006/relationships"><Relationship Id="rId1" Type="http://schemas.openxmlformats.org/officeDocument/2006/relationships/package" Target="../embeddings/Hoja_de_c_lculo_de_Microsoft_Excel1.xlsx"/></Relationships>
</file>

<file path=word/charts/_rels/chart6.xml.rels><?xml version="1.0" encoding="UTF-8" standalone="yes"?>
<Relationships xmlns="http://schemas.openxmlformats.org/package/2006/relationships"><Relationship Id="rId1" Type="http://schemas.openxmlformats.org/officeDocument/2006/relationships/package" Target="../embeddings/Hoja_de_c_lculo_de_Microsoft_Excel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0"/>
    </mc:Choice>
    <mc:Fallback>
      <c:style val="20"/>
    </mc:Fallback>
  </mc:AlternateContent>
  <c:chart>
    <c:autoTitleDeleted val="1"/>
    <c:plotArea>
      <c:layout>
        <c:manualLayout>
          <c:layoutTarget val="inner"/>
          <c:xMode val="edge"/>
          <c:yMode val="edge"/>
          <c:x val="7.4630200103570493E-2"/>
          <c:y val="7.1902654867256596E-2"/>
          <c:w val="0.92536979989642898"/>
          <c:h val="0.41983335752385798"/>
        </c:manualLayout>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Internacionales!$E$19:$E$28</c:f>
              <c:strCache>
                <c:ptCount val="10"/>
                <c:pt idx="0">
                  <c:v>1 Harvard University</c:v>
                </c:pt>
                <c:pt idx="1">
                  <c:v>2 Stanford University</c:v>
                </c:pt>
                <c:pt idx="2">
                  <c:v>3 Massachussetts Institute of Technology</c:v>
                </c:pt>
                <c:pt idx="3">
                  <c:v>4 University of Cambridge</c:v>
                </c:pt>
                <c:pt idx="4">
                  <c:v>5 University of Oxford</c:v>
                </c:pt>
                <c:pt idx="5">
                  <c:v>6 Columbia University</c:v>
                </c:pt>
                <c:pt idx="6">
                  <c:v>7 University of California, Berkeley</c:v>
                </c:pt>
                <c:pt idx="7">
                  <c:v>8 University of Chicago</c:v>
                </c:pt>
                <c:pt idx="8">
                  <c:v>9 Princenton University </c:v>
                </c:pt>
                <c:pt idx="9">
                  <c:v>10 Yale University</c:v>
                </c:pt>
              </c:strCache>
            </c:strRef>
          </c:cat>
          <c:val>
            <c:numRef>
              <c:f>Internacionales!$F$19:$F$28</c:f>
              <c:numCache>
                <c:formatCode>General</c:formatCode>
                <c:ptCount val="10"/>
                <c:pt idx="0">
                  <c:v>14</c:v>
                </c:pt>
                <c:pt idx="1">
                  <c:v>14</c:v>
                </c:pt>
                <c:pt idx="2">
                  <c:v>13</c:v>
                </c:pt>
                <c:pt idx="3">
                  <c:v>14</c:v>
                </c:pt>
                <c:pt idx="4">
                  <c:v>12</c:v>
                </c:pt>
                <c:pt idx="5">
                  <c:v>10</c:v>
                </c:pt>
                <c:pt idx="6">
                  <c:v>6</c:v>
                </c:pt>
                <c:pt idx="7">
                  <c:v>9</c:v>
                </c:pt>
                <c:pt idx="8">
                  <c:v>8</c:v>
                </c:pt>
                <c:pt idx="9">
                  <c:v>5</c:v>
                </c:pt>
              </c:numCache>
            </c:numRef>
          </c:val>
          <c:extLst xmlns:c16r2="http://schemas.microsoft.com/office/drawing/2015/06/chart">
            <c:ext xmlns:c16="http://schemas.microsoft.com/office/drawing/2014/chart" uri="{C3380CC4-5D6E-409C-BE32-E72D297353CC}">
              <c16:uniqueId val="{00000000-5272-40E0-A00A-F9AFC8F7AE6D}"/>
            </c:ext>
          </c:extLst>
        </c:ser>
        <c:dLbls>
          <c:showLegendKey val="0"/>
          <c:showVal val="1"/>
          <c:showCatName val="0"/>
          <c:showSerName val="0"/>
          <c:showPercent val="0"/>
          <c:showBubbleSize val="0"/>
        </c:dLbls>
        <c:gapWidth val="150"/>
        <c:overlap val="-25"/>
        <c:axId val="55592064"/>
        <c:axId val="55644160"/>
      </c:barChart>
      <c:catAx>
        <c:axId val="55592064"/>
        <c:scaling>
          <c:orientation val="minMax"/>
        </c:scaling>
        <c:delete val="0"/>
        <c:axPos val="b"/>
        <c:numFmt formatCode="General" sourceLinked="0"/>
        <c:majorTickMark val="none"/>
        <c:minorTickMark val="none"/>
        <c:tickLblPos val="nextTo"/>
        <c:crossAx val="55644160"/>
        <c:crosses val="autoZero"/>
        <c:auto val="1"/>
        <c:lblAlgn val="ctr"/>
        <c:lblOffset val="100"/>
        <c:noMultiLvlLbl val="0"/>
      </c:catAx>
      <c:valAx>
        <c:axId val="55644160"/>
        <c:scaling>
          <c:orientation val="minMax"/>
        </c:scaling>
        <c:delete val="1"/>
        <c:axPos val="l"/>
        <c:numFmt formatCode="General" sourceLinked="1"/>
        <c:majorTickMark val="none"/>
        <c:minorTickMark val="none"/>
        <c:tickLblPos val="nextTo"/>
        <c:crossAx val="55592064"/>
        <c:crosses val="autoZero"/>
        <c:crossBetween val="between"/>
      </c:valAx>
    </c:plotArea>
    <c:plotVisOnly val="1"/>
    <c:dispBlanksAs val="gap"/>
    <c:showDLblsOverMax val="0"/>
  </c:chart>
  <c:txPr>
    <a:bodyPr/>
    <a:lstStyle/>
    <a:p>
      <a:pPr algn="l">
        <a:defRPr sz="900" b="0" i="0" kern="500" spc="-40">
          <a:latin typeface="Times New Roman"/>
        </a:defRPr>
      </a:pPr>
      <a:endParaRPr lang="es-E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0"/>
    </mc:Choice>
    <mc:Fallback>
      <c:style val="20"/>
    </mc:Fallback>
  </mc:AlternateContent>
  <c:chart>
    <c:autoTitleDeleted val="0"/>
    <c:plotArea>
      <c:layout>
        <c:manualLayout>
          <c:layoutTarget val="inner"/>
          <c:xMode val="edge"/>
          <c:yMode val="edge"/>
          <c:x val="9.9738945090472902E-2"/>
          <c:y val="2.7777777777777801E-2"/>
          <c:w val="0.90026105490952701"/>
          <c:h val="0.45558680164979398"/>
        </c:manualLayout>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europeas!$B$14:$B$23</c:f>
              <c:strCache>
                <c:ptCount val="10"/>
                <c:pt idx="0">
                  <c:v>4 University of Cambridge</c:v>
                </c:pt>
                <c:pt idx="1">
                  <c:v>5 University of Oxford</c:v>
                </c:pt>
                <c:pt idx="2">
                  <c:v>18 Swiss Federal Institute of Techmology in Zurich</c:v>
                </c:pt>
                <c:pt idx="3">
                  <c:v>30 University College London</c:v>
                </c:pt>
                <c:pt idx="4">
                  <c:v>35 École normale supeériure-París</c:v>
                </c:pt>
                <c:pt idx="5">
                  <c:v>36. École Polytechnique</c:v>
                </c:pt>
                <c:pt idx="6">
                  <c:v>39 Imperial College London</c:v>
                </c:pt>
                <c:pt idx="7">
                  <c:v>48 Lomonosov Moscow State University</c:v>
                </c:pt>
                <c:pt idx="8">
                  <c:v>50 University of Paris-Sud</c:v>
                </c:pt>
                <c:pt idx="9">
                  <c:v>56 University of  Edinburgh</c:v>
                </c:pt>
              </c:strCache>
            </c:strRef>
          </c:cat>
          <c:val>
            <c:numRef>
              <c:f>europeas!$C$14:$C$23</c:f>
              <c:numCache>
                <c:formatCode>General</c:formatCode>
                <c:ptCount val="10"/>
                <c:pt idx="0">
                  <c:v>14</c:v>
                </c:pt>
                <c:pt idx="1">
                  <c:v>12</c:v>
                </c:pt>
                <c:pt idx="2">
                  <c:v>5</c:v>
                </c:pt>
                <c:pt idx="3">
                  <c:v>14</c:v>
                </c:pt>
                <c:pt idx="4">
                  <c:v>13</c:v>
                </c:pt>
                <c:pt idx="5">
                  <c:v>0</c:v>
                </c:pt>
                <c:pt idx="6">
                  <c:v>13</c:v>
                </c:pt>
                <c:pt idx="7">
                  <c:v>0</c:v>
                </c:pt>
                <c:pt idx="8">
                  <c:v>13</c:v>
                </c:pt>
                <c:pt idx="9">
                  <c:v>10</c:v>
                </c:pt>
              </c:numCache>
            </c:numRef>
          </c:val>
          <c:extLst xmlns:c16r2="http://schemas.microsoft.com/office/drawing/2015/06/chart">
            <c:ext xmlns:c16="http://schemas.microsoft.com/office/drawing/2014/chart" uri="{C3380CC4-5D6E-409C-BE32-E72D297353CC}">
              <c16:uniqueId val="{00000000-EC90-4488-878E-B38FA728227C}"/>
            </c:ext>
          </c:extLst>
        </c:ser>
        <c:dLbls>
          <c:showLegendKey val="0"/>
          <c:showVal val="1"/>
          <c:showCatName val="0"/>
          <c:showSerName val="0"/>
          <c:showPercent val="0"/>
          <c:showBubbleSize val="0"/>
        </c:dLbls>
        <c:gapWidth val="150"/>
        <c:axId val="55650944"/>
        <c:axId val="55662080"/>
      </c:barChart>
      <c:catAx>
        <c:axId val="55650944"/>
        <c:scaling>
          <c:orientation val="minMax"/>
        </c:scaling>
        <c:delete val="0"/>
        <c:axPos val="b"/>
        <c:numFmt formatCode="General" sourceLinked="0"/>
        <c:majorTickMark val="out"/>
        <c:minorTickMark val="none"/>
        <c:tickLblPos val="nextTo"/>
        <c:txPr>
          <a:bodyPr/>
          <a:lstStyle/>
          <a:p>
            <a:pPr>
              <a:defRPr sz="800">
                <a:latin typeface="Times New Roman"/>
                <a:cs typeface="Times New Roman"/>
              </a:defRPr>
            </a:pPr>
            <a:endParaRPr lang="es-ES"/>
          </a:p>
        </c:txPr>
        <c:crossAx val="55662080"/>
        <c:crosses val="autoZero"/>
        <c:auto val="1"/>
        <c:lblAlgn val="ctr"/>
        <c:lblOffset val="100"/>
        <c:noMultiLvlLbl val="0"/>
      </c:catAx>
      <c:valAx>
        <c:axId val="55662080"/>
        <c:scaling>
          <c:orientation val="minMax"/>
        </c:scaling>
        <c:delete val="1"/>
        <c:axPos val="l"/>
        <c:majorGridlines/>
        <c:numFmt formatCode="General" sourceLinked="1"/>
        <c:majorTickMark val="out"/>
        <c:minorTickMark val="none"/>
        <c:tickLblPos val="nextTo"/>
        <c:crossAx val="55650944"/>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manualLayout>
          <c:layoutTarget val="inner"/>
          <c:xMode val="edge"/>
          <c:yMode val="edge"/>
          <c:x val="4.6064134707042202E-2"/>
          <c:y val="6.25E-2"/>
          <c:w val="0.95393586529295804"/>
          <c:h val="0.47834847567131"/>
        </c:manualLayout>
      </c:layout>
      <c:barChart>
        <c:barDir val="col"/>
        <c:grouping val="clustered"/>
        <c:varyColors val="0"/>
        <c:ser>
          <c:idx val="0"/>
          <c:order val="0"/>
          <c:invertIfNegative val="0"/>
          <c:dLbls>
            <c:spPr>
              <a:noFill/>
              <a:ln>
                <a:noFill/>
              </a:ln>
              <a:effectLst/>
            </c:sp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españolas!$B$32:$B$41</c:f>
              <c:strCache>
                <c:ptCount val="10"/>
                <c:pt idx="0">
                  <c:v>120 Barcelona</c:v>
                </c:pt>
                <c:pt idx="1">
                  <c:v>198 Complutense de Madrid</c:v>
                </c:pt>
                <c:pt idx="2">
                  <c:v>254 Autónoma de Barcelona</c:v>
                </c:pt>
                <c:pt idx="3">
                  <c:v>301 Universidad de Valencia</c:v>
                </c:pt>
                <c:pt idx="4">
                  <c:v>309 Autónoma de Madrid</c:v>
                </c:pt>
                <c:pt idx="5">
                  <c:v>347 Navarra</c:v>
                </c:pt>
                <c:pt idx="6">
                  <c:v>356 Universidad de Santiago de Compostela</c:v>
                </c:pt>
                <c:pt idx="7">
                  <c:v>384 Universidad de Sevilla</c:v>
                </c:pt>
                <c:pt idx="8">
                  <c:v>410 Politècnica de Catalunya</c:v>
                </c:pt>
                <c:pt idx="9">
                  <c:v>416 Politécnica de Madrid</c:v>
                </c:pt>
              </c:strCache>
            </c:strRef>
          </c:cat>
          <c:val>
            <c:numRef>
              <c:f>españolas!$C$32:$C$41</c:f>
              <c:numCache>
                <c:formatCode>General</c:formatCode>
                <c:ptCount val="10"/>
                <c:pt idx="0">
                  <c:v>11</c:v>
                </c:pt>
                <c:pt idx="1">
                  <c:v>10</c:v>
                </c:pt>
                <c:pt idx="2">
                  <c:v>13</c:v>
                </c:pt>
                <c:pt idx="3">
                  <c:v>11</c:v>
                </c:pt>
                <c:pt idx="4">
                  <c:v>13</c:v>
                </c:pt>
                <c:pt idx="5">
                  <c:v>4</c:v>
                </c:pt>
                <c:pt idx="6">
                  <c:v>8</c:v>
                </c:pt>
                <c:pt idx="7">
                  <c:v>11</c:v>
                </c:pt>
                <c:pt idx="8">
                  <c:v>4</c:v>
                </c:pt>
                <c:pt idx="9">
                  <c:v>11</c:v>
                </c:pt>
              </c:numCache>
            </c:numRef>
          </c:val>
          <c:extLst xmlns:c16r2="http://schemas.microsoft.com/office/drawing/2015/06/chart">
            <c:ext xmlns:c16="http://schemas.microsoft.com/office/drawing/2014/chart" uri="{C3380CC4-5D6E-409C-BE32-E72D297353CC}">
              <c16:uniqueId val="{00000000-B69C-4E7F-B6AE-AD0A99ED8514}"/>
            </c:ext>
          </c:extLst>
        </c:ser>
        <c:dLbls>
          <c:showLegendKey val="0"/>
          <c:showVal val="0"/>
          <c:showCatName val="0"/>
          <c:showSerName val="0"/>
          <c:showPercent val="0"/>
          <c:showBubbleSize val="0"/>
        </c:dLbls>
        <c:gapWidth val="75"/>
        <c:overlap val="40"/>
        <c:axId val="63674240"/>
        <c:axId val="63675776"/>
      </c:barChart>
      <c:catAx>
        <c:axId val="63674240"/>
        <c:scaling>
          <c:orientation val="minMax"/>
        </c:scaling>
        <c:delete val="0"/>
        <c:axPos val="b"/>
        <c:numFmt formatCode="General" sourceLinked="0"/>
        <c:majorTickMark val="none"/>
        <c:minorTickMark val="none"/>
        <c:tickLblPos val="nextTo"/>
        <c:txPr>
          <a:bodyPr/>
          <a:lstStyle/>
          <a:p>
            <a:pPr>
              <a:defRPr sz="900">
                <a:latin typeface="Times New Roman"/>
                <a:cs typeface="Times New Roman"/>
              </a:defRPr>
            </a:pPr>
            <a:endParaRPr lang="es-ES"/>
          </a:p>
        </c:txPr>
        <c:crossAx val="63675776"/>
        <c:crosses val="autoZero"/>
        <c:auto val="1"/>
        <c:lblAlgn val="ctr"/>
        <c:lblOffset val="100"/>
        <c:noMultiLvlLbl val="0"/>
      </c:catAx>
      <c:valAx>
        <c:axId val="63675776"/>
        <c:scaling>
          <c:orientation val="minMax"/>
        </c:scaling>
        <c:delete val="1"/>
        <c:axPos val="l"/>
        <c:majorGridlines/>
        <c:numFmt formatCode="General" sourceLinked="1"/>
        <c:majorTickMark val="none"/>
        <c:minorTickMark val="none"/>
        <c:tickLblPos val="nextTo"/>
        <c:crossAx val="63674240"/>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tx>
            <c:strRef>
              <c:f>[PAU.xlsx]Hoja1!$B$26</c:f>
              <c:strCache>
                <c:ptCount val="1"/>
                <c:pt idx="0">
                  <c:v>Total</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[PAU.xlsx]Hoja1!$A$27:$A$32</c:f>
              <c:numCache>
                <c:formatCode>General</c:formatCode>
                <c:ptCount val="6"/>
                <c:pt idx="0">
                  <c:v>2009</c:v>
                </c:pt>
                <c:pt idx="1">
                  <c:v>2010</c:v>
                </c:pt>
                <c:pt idx="2">
                  <c:v>2011</c:v>
                </c:pt>
                <c:pt idx="3">
                  <c:v>2012</c:v>
                </c:pt>
                <c:pt idx="4">
                  <c:v>2013</c:v>
                </c:pt>
                <c:pt idx="5">
                  <c:v>2014</c:v>
                </c:pt>
              </c:numCache>
            </c:numRef>
          </c:cat>
          <c:val>
            <c:numRef>
              <c:f>[PAU.xlsx]Hoja1!$B$27:$B$32</c:f>
              <c:numCache>
                <c:formatCode>General</c:formatCode>
                <c:ptCount val="6"/>
                <c:pt idx="0">
                  <c:v>1</c:v>
                </c:pt>
                <c:pt idx="1">
                  <c:v>3</c:v>
                </c:pt>
                <c:pt idx="2">
                  <c:v>10</c:v>
                </c:pt>
                <c:pt idx="3">
                  <c:v>6</c:v>
                </c:pt>
                <c:pt idx="4">
                  <c:v>8</c:v>
                </c:pt>
                <c:pt idx="5">
                  <c:v>15</c:v>
                </c:pt>
              </c:numCache>
            </c:numRef>
          </c:val>
          <c:extLst xmlns:c16r2="http://schemas.microsoft.com/office/drawing/2015/06/chart">
            <c:ext xmlns:c16="http://schemas.microsoft.com/office/drawing/2014/chart" uri="{C3380CC4-5D6E-409C-BE32-E72D297353CC}">
              <c16:uniqueId val="{00000000-920B-4F29-91E3-35DFA2FCB448}"/>
            </c:ext>
          </c:extLst>
        </c:ser>
        <c:ser>
          <c:idx val="1"/>
          <c:order val="1"/>
          <c:tx>
            <c:strRef>
              <c:f>[PAU.xlsx]Hoja1!$C$26</c:f>
              <c:strCache>
                <c:ptCount val="1"/>
                <c:pt idx="0">
                  <c:v>TDA/TADH</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[PAU.xlsx]Hoja1!$A$27:$A$32</c:f>
              <c:numCache>
                <c:formatCode>General</c:formatCode>
                <c:ptCount val="6"/>
                <c:pt idx="0">
                  <c:v>2009</c:v>
                </c:pt>
                <c:pt idx="1">
                  <c:v>2010</c:v>
                </c:pt>
                <c:pt idx="2">
                  <c:v>2011</c:v>
                </c:pt>
                <c:pt idx="3">
                  <c:v>2012</c:v>
                </c:pt>
                <c:pt idx="4">
                  <c:v>2013</c:v>
                </c:pt>
                <c:pt idx="5">
                  <c:v>2014</c:v>
                </c:pt>
              </c:numCache>
            </c:numRef>
          </c:cat>
          <c:val>
            <c:numRef>
              <c:f>[PAU.xlsx]Hoja1!$C$27:$C$32</c:f>
              <c:numCache>
                <c:formatCode>General</c:formatCode>
                <c:ptCount val="6"/>
                <c:pt idx="0">
                  <c:v>1</c:v>
                </c:pt>
                <c:pt idx="1">
                  <c:v>3</c:v>
                </c:pt>
                <c:pt idx="2">
                  <c:v>2</c:v>
                </c:pt>
                <c:pt idx="3">
                  <c:v>2</c:v>
                </c:pt>
                <c:pt idx="4">
                  <c:v>3</c:v>
                </c:pt>
                <c:pt idx="5">
                  <c:v>7</c:v>
                </c:pt>
              </c:numCache>
            </c:numRef>
          </c:val>
          <c:extLst xmlns:c16r2="http://schemas.microsoft.com/office/drawing/2015/06/chart">
            <c:ext xmlns:c16="http://schemas.microsoft.com/office/drawing/2014/chart" uri="{C3380CC4-5D6E-409C-BE32-E72D297353CC}">
              <c16:uniqueId val="{00000001-920B-4F29-91E3-35DFA2FCB448}"/>
            </c:ext>
          </c:extLst>
        </c:ser>
        <c:dLbls>
          <c:showLegendKey val="0"/>
          <c:showVal val="0"/>
          <c:showCatName val="0"/>
          <c:showSerName val="0"/>
          <c:showPercent val="0"/>
          <c:showBubbleSize val="0"/>
        </c:dLbls>
        <c:gapWidth val="150"/>
        <c:axId val="67257472"/>
        <c:axId val="67259008"/>
      </c:barChart>
      <c:catAx>
        <c:axId val="67257472"/>
        <c:scaling>
          <c:orientation val="minMax"/>
        </c:scaling>
        <c:delete val="0"/>
        <c:axPos val="l"/>
        <c:numFmt formatCode="General" sourceLinked="1"/>
        <c:majorTickMark val="out"/>
        <c:minorTickMark val="none"/>
        <c:tickLblPos val="nextTo"/>
        <c:crossAx val="67259008"/>
        <c:crosses val="autoZero"/>
        <c:auto val="1"/>
        <c:lblAlgn val="ctr"/>
        <c:lblOffset val="100"/>
        <c:noMultiLvlLbl val="0"/>
      </c:catAx>
      <c:valAx>
        <c:axId val="67259008"/>
        <c:scaling>
          <c:orientation val="minMax"/>
        </c:scaling>
        <c:delete val="0"/>
        <c:axPos val="b"/>
        <c:majorGridlines/>
        <c:numFmt formatCode="General" sourceLinked="1"/>
        <c:majorTickMark val="out"/>
        <c:minorTickMark val="none"/>
        <c:tickLblPos val="nextTo"/>
        <c:crossAx val="67257472"/>
        <c:crosses val="autoZero"/>
        <c:crossBetween val="between"/>
      </c:valAx>
    </c:plotArea>
    <c:legend>
      <c:legendPos val="r"/>
      <c:overlay val="0"/>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Total Asesorías: 221</a:t>
            </a:r>
          </a:p>
        </c:rich>
      </c:tx>
      <c:layout/>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5.6504063018954401E-2"/>
          <c:y val="0.30855039303350501"/>
          <c:w val="0.91203703703703698"/>
          <c:h val="0.68888201474815702"/>
        </c:manualLayout>
      </c:layout>
      <c:pie3DChart>
        <c:varyColors val="1"/>
        <c:ser>
          <c:idx val="0"/>
          <c:order val="0"/>
          <c:tx>
            <c:strRef>
              <c:f>Hoja1!$B$1</c:f>
              <c:strCache>
                <c:ptCount val="1"/>
                <c:pt idx="0">
                  <c:v>221</c:v>
                </c:pt>
              </c:strCache>
            </c:strRef>
          </c:tx>
          <c:explosion val="25"/>
          <c:dLbls>
            <c:dLbl>
              <c:idx val="0"/>
              <c:layout/>
              <c:tx>
                <c:rich>
                  <a:bodyPr/>
                  <a:lstStyle/>
                  <a:p>
                    <a:r>
                      <a:rPr lang="en-US" sz="800" b="1">
                        <a:solidFill>
                          <a:schemeClr val="bg1"/>
                        </a:solidFill>
                        <a:latin typeface="Arial" panose="020B0604020202020204" pitchFamily="34" charset="0"/>
                        <a:cs typeface="Arial" panose="020B0604020202020204" pitchFamily="34" charset="0"/>
                      </a:rPr>
                      <a:t>4%</a:t>
                    </a:r>
                    <a:endParaRPr lang="en-US" sz="1000" b="1">
                      <a:solidFill>
                        <a:schemeClr val="bg1"/>
                      </a:solidFill>
                      <a:latin typeface="Arial" panose="020B0604020202020204" pitchFamily="34" charset="0"/>
                      <a:cs typeface="Arial" panose="020B0604020202020204" pitchFamily="34" charset="0"/>
                    </a:endParaRPr>
                  </a:p>
                </c:rich>
              </c:tx>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DB23-4315-9D41-EEB683754ED3}"/>
                </c:ext>
              </c:extLst>
            </c:dLbl>
            <c:dLbl>
              <c:idx val="1"/>
              <c:layout>
                <c:manualLayout>
                  <c:x val="4.3400043744531901E-2"/>
                  <c:y val="-0.28719070421199"/>
                </c:manualLayout>
              </c:layout>
              <c:tx>
                <c:rich>
                  <a:bodyPr/>
                  <a:lstStyle/>
                  <a:p>
                    <a:r>
                      <a:rPr lang="en-US" sz="800" b="1">
                        <a:solidFill>
                          <a:schemeClr val="bg1"/>
                        </a:solidFill>
                        <a:latin typeface="Arial" panose="020B0604020202020204" pitchFamily="34" charset="0"/>
                        <a:cs typeface="Arial" panose="020B0604020202020204" pitchFamily="34" charset="0"/>
                      </a:rPr>
                      <a:t>96%</a:t>
                    </a:r>
                    <a:endParaRPr lang="en-US" sz="1100" b="1">
                      <a:solidFill>
                        <a:schemeClr val="bg1"/>
                      </a:solidFill>
                      <a:latin typeface="Arial" panose="020B0604020202020204" pitchFamily="34" charset="0"/>
                      <a:cs typeface="Arial" panose="020B0604020202020204" pitchFamily="34" charset="0"/>
                    </a:endParaRPr>
                  </a:p>
                </c:rich>
              </c:tx>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DB23-4315-9D41-EEB683754ED3}"/>
                </c:ext>
              </c:extLst>
            </c:dLbl>
            <c:spPr>
              <a:noFill/>
              <a:ln>
                <a:noFill/>
              </a:ln>
              <a:effectLst/>
            </c:spPr>
            <c:txPr>
              <a:bodyPr/>
              <a:lstStyle/>
              <a:p>
                <a:pPr>
                  <a:defRPr sz="800"/>
                </a:pPr>
                <a:endParaRPr lang="es-ES"/>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Hoja1!$A$2:$A$5</c:f>
              <c:strCache>
                <c:ptCount val="2"/>
                <c:pt idx="0">
                  <c:v>Alumnos PDF</c:v>
                </c:pt>
                <c:pt idx="1">
                  <c:v>Alumnos sin PDF</c:v>
                </c:pt>
              </c:strCache>
            </c:strRef>
          </c:cat>
          <c:val>
            <c:numRef>
              <c:f>Hoja1!$B$2:$B$5</c:f>
              <c:numCache>
                <c:formatCode>General</c:formatCode>
                <c:ptCount val="4"/>
                <c:pt idx="0">
                  <c:v>8</c:v>
                </c:pt>
                <c:pt idx="1">
                  <c:v>213</c:v>
                </c:pt>
              </c:numCache>
            </c:numRef>
          </c:val>
          <c:extLst xmlns:c16r2="http://schemas.microsoft.com/office/drawing/2015/06/chart">
            <c:ext xmlns:c16="http://schemas.microsoft.com/office/drawing/2014/chart" uri="{C3380CC4-5D6E-409C-BE32-E72D297353CC}">
              <c16:uniqueId val="{00000002-DB23-4315-9D41-EEB683754ED3}"/>
            </c:ext>
          </c:extLst>
        </c:ser>
        <c:dLbls>
          <c:showLegendKey val="0"/>
          <c:showVal val="0"/>
          <c:showCatName val="0"/>
          <c:showSerName val="0"/>
          <c:showPercent val="1"/>
          <c:showBubbleSize val="0"/>
          <c:showLeaderLines val="1"/>
        </c:dLbls>
      </c:pie3DChart>
    </c:plotArea>
    <c:legend>
      <c:legendPos val="t"/>
      <c:legendEntry>
        <c:idx val="2"/>
        <c:delete val="1"/>
      </c:legendEntry>
      <c:legendEntry>
        <c:idx val="3"/>
        <c:delete val="1"/>
      </c:legendEntry>
      <c:layout/>
      <c:overlay val="0"/>
    </c:legend>
    <c:plotVisOnly val="1"/>
    <c:dispBlanksAs val="zero"/>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8.9608239980905793E-2"/>
          <c:y val="0.20528978167824599"/>
          <c:w val="0.79619960375751198"/>
          <c:h val="0.69810486660482696"/>
        </c:manualLayout>
      </c:layout>
      <c:pie3DChart>
        <c:varyColors val="1"/>
        <c:ser>
          <c:idx val="0"/>
          <c:order val="0"/>
          <c:tx>
            <c:strRef>
              <c:f>Hoja1!$B$1</c:f>
              <c:strCache>
                <c:ptCount val="1"/>
                <c:pt idx="0">
                  <c:v>Ventas</c:v>
                </c:pt>
              </c:strCache>
            </c:strRef>
          </c:tx>
          <c:explosion val="25"/>
          <c:dLbls>
            <c:dLbl>
              <c:idx val="0"/>
              <c:layout>
                <c:manualLayout>
                  <c:x val="-0.138501871139313"/>
                  <c:y val="3.6672554339579097E-2"/>
                </c:manualLayout>
              </c:layout>
              <c:tx>
                <c:rich>
                  <a:bodyPr/>
                  <a:lstStyle/>
                  <a:p>
                    <a:r>
                      <a:rPr lang="en-US" sz="800" b="1">
                        <a:solidFill>
                          <a:schemeClr val="bg1"/>
                        </a:solidFill>
                        <a:latin typeface="Arial" panose="020B0604020202020204" pitchFamily="34" charset="0"/>
                        <a:cs typeface="Arial" panose="020B0604020202020204" pitchFamily="34" charset="0"/>
                      </a:rPr>
                      <a:t>3 (37%)</a:t>
                    </a:r>
                    <a:endParaRPr lang="en-US" sz="1100" b="1">
                      <a:solidFill>
                        <a:schemeClr val="bg1"/>
                      </a:solidFill>
                      <a:latin typeface="Arial" panose="020B0604020202020204" pitchFamily="34" charset="0"/>
                      <a:cs typeface="Arial" panose="020B0604020202020204" pitchFamily="34" charset="0"/>
                    </a:endParaRPr>
                  </a:p>
                </c:rich>
              </c:tx>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A709-474D-B1C8-02D1F04B4327}"/>
                </c:ext>
              </c:extLst>
            </c:dLbl>
            <c:dLbl>
              <c:idx val="1"/>
              <c:layout>
                <c:manualLayout>
                  <c:x val="-8.8642720130313199E-2"/>
                  <c:y val="-0.21892334492658599"/>
                </c:manualLayout>
              </c:layout>
              <c:tx>
                <c:rich>
                  <a:bodyPr/>
                  <a:lstStyle/>
                  <a:p>
                    <a:r>
                      <a:rPr lang="en-US" sz="800" b="1">
                        <a:solidFill>
                          <a:schemeClr val="bg1"/>
                        </a:solidFill>
                        <a:latin typeface="Arial" panose="020B0604020202020204" pitchFamily="34" charset="0"/>
                        <a:cs typeface="Arial" panose="020B0604020202020204" pitchFamily="34" charset="0"/>
                      </a:rPr>
                      <a:t>1 (12%)</a:t>
                    </a:r>
                    <a:endParaRPr lang="en-US" sz="1100" b="1">
                      <a:solidFill>
                        <a:schemeClr val="bg1"/>
                      </a:solidFill>
                      <a:latin typeface="Arial" panose="020B0604020202020204" pitchFamily="34" charset="0"/>
                      <a:cs typeface="Arial" panose="020B0604020202020204" pitchFamily="34" charset="0"/>
                    </a:endParaRPr>
                  </a:p>
                </c:rich>
              </c:tx>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A709-474D-B1C8-02D1F04B4327}"/>
                </c:ext>
              </c:extLst>
            </c:dLbl>
            <c:dLbl>
              <c:idx val="2"/>
              <c:layout>
                <c:manualLayout>
                  <c:x val="9.9682769014994205E-2"/>
                  <c:y val="-0.21583990385490801"/>
                </c:manualLayout>
              </c:layout>
              <c:tx>
                <c:rich>
                  <a:bodyPr/>
                  <a:lstStyle/>
                  <a:p>
                    <a:r>
                      <a:rPr lang="en-US" sz="800" b="1">
                        <a:solidFill>
                          <a:schemeClr val="bg1"/>
                        </a:solidFill>
                        <a:latin typeface="Arial" panose="020B0604020202020204" pitchFamily="34" charset="0"/>
                        <a:cs typeface="Arial" panose="020B0604020202020204" pitchFamily="34" charset="0"/>
                      </a:rPr>
                      <a:t>1 (13%)</a:t>
                    </a:r>
                    <a:endParaRPr lang="en-US" sz="1100" b="1">
                      <a:solidFill>
                        <a:schemeClr val="bg1"/>
                      </a:solidFill>
                      <a:latin typeface="Arial" panose="020B0604020202020204" pitchFamily="34" charset="0"/>
                      <a:cs typeface="Arial" panose="020B0604020202020204" pitchFamily="34" charset="0"/>
                    </a:endParaRPr>
                  </a:p>
                </c:rich>
              </c:tx>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A709-474D-B1C8-02D1F04B4327}"/>
                </c:ext>
              </c:extLst>
            </c:dLbl>
            <c:dLbl>
              <c:idx val="3"/>
              <c:layout>
                <c:manualLayout>
                  <c:x val="0.13547094497539899"/>
                  <c:y val="-8.6347761166851805E-2"/>
                </c:manualLayout>
              </c:layout>
              <c:tx>
                <c:rich>
                  <a:bodyPr/>
                  <a:lstStyle/>
                  <a:p>
                    <a:r>
                      <a:rPr lang="en-US" sz="800" b="1">
                        <a:solidFill>
                          <a:schemeClr val="bg1"/>
                        </a:solidFill>
                      </a:rPr>
                      <a:t>2 (25%)</a:t>
                    </a:r>
                    <a:endParaRPr lang="en-US" b="1">
                      <a:solidFill>
                        <a:schemeClr val="bg1"/>
                      </a:solidFill>
                    </a:endParaRPr>
                  </a:p>
                </c:rich>
              </c:tx>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A709-474D-B1C8-02D1F04B4327}"/>
                </c:ext>
              </c:extLst>
            </c:dLbl>
            <c:dLbl>
              <c:idx val="4"/>
              <c:layout>
                <c:manualLayout>
                  <c:x val="7.8192192845820394E-2"/>
                  <c:y val="7.6262238165474006E-2"/>
                </c:manualLayout>
              </c:layout>
              <c:tx>
                <c:rich>
                  <a:bodyPr/>
                  <a:lstStyle/>
                  <a:p>
                    <a:r>
                      <a:rPr lang="en-US" sz="800" b="1">
                        <a:solidFill>
                          <a:schemeClr val="bg1"/>
                        </a:solidFill>
                        <a:latin typeface="Arial" panose="020B0604020202020204" pitchFamily="34" charset="0"/>
                        <a:cs typeface="Arial" panose="020B0604020202020204" pitchFamily="34" charset="0"/>
                      </a:rPr>
                      <a:t>1 (13%)</a:t>
                    </a:r>
                    <a:endParaRPr lang="en-US" sz="1100" b="1">
                      <a:solidFill>
                        <a:schemeClr val="bg1"/>
                      </a:solidFill>
                      <a:latin typeface="Arial" panose="020B0604020202020204" pitchFamily="34" charset="0"/>
                      <a:cs typeface="Arial" panose="020B0604020202020204" pitchFamily="34" charset="0"/>
                    </a:endParaRPr>
                  </a:p>
                </c:rich>
              </c:tx>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A709-474D-B1C8-02D1F04B4327}"/>
                </c:ext>
              </c:extLst>
            </c:dLbl>
            <c:spPr>
              <a:noFill/>
              <a:ln>
                <a:noFill/>
              </a:ln>
              <a:effectLst/>
            </c:spPr>
            <c:txPr>
              <a:bodyPr/>
              <a:lstStyle/>
              <a:p>
                <a:pPr>
                  <a:defRPr sz="800"/>
                </a:pPr>
                <a:endParaRPr lang="es-ES"/>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Hoja1!$A$2:$A$6</c:f>
              <c:strCache>
                <c:ptCount val="5"/>
                <c:pt idx="0">
                  <c:v>Paralisis Cerebral</c:v>
                </c:pt>
                <c:pt idx="1">
                  <c:v>Enf. Rara (Albinismo)</c:v>
                </c:pt>
                <c:pt idx="2">
                  <c:v>Invidente</c:v>
                </c:pt>
                <c:pt idx="3">
                  <c:v>S. Dwon</c:v>
                </c:pt>
                <c:pt idx="4">
                  <c:v>Lesión Medular</c:v>
                </c:pt>
              </c:strCache>
            </c:strRef>
          </c:cat>
          <c:val>
            <c:numRef>
              <c:f>Hoja1!$B$2:$B$6</c:f>
              <c:numCache>
                <c:formatCode>General</c:formatCode>
                <c:ptCount val="5"/>
                <c:pt idx="0">
                  <c:v>3</c:v>
                </c:pt>
                <c:pt idx="1">
                  <c:v>1</c:v>
                </c:pt>
                <c:pt idx="2">
                  <c:v>1</c:v>
                </c:pt>
                <c:pt idx="3">
                  <c:v>2</c:v>
                </c:pt>
                <c:pt idx="4">
                  <c:v>1</c:v>
                </c:pt>
              </c:numCache>
            </c:numRef>
          </c:val>
          <c:extLst xmlns:c16r2="http://schemas.microsoft.com/office/drawing/2015/06/chart">
            <c:ext xmlns:c16="http://schemas.microsoft.com/office/drawing/2014/chart" uri="{C3380CC4-5D6E-409C-BE32-E72D297353CC}">
              <c16:uniqueId val="{00000005-A709-474D-B1C8-02D1F04B4327}"/>
            </c:ext>
          </c:extLst>
        </c:ser>
        <c:dLbls>
          <c:showLegendKey val="0"/>
          <c:showVal val="0"/>
          <c:showCatName val="0"/>
          <c:showSerName val="0"/>
          <c:showPercent val="1"/>
          <c:showBubbleSize val="0"/>
          <c:showLeaderLines val="1"/>
        </c:dLbls>
      </c:pie3DChart>
    </c:plotArea>
    <c:legend>
      <c:legendPos val="t"/>
      <c:layout/>
      <c:overlay val="0"/>
    </c:legend>
    <c:plotVisOnly val="1"/>
    <c:dispBlanksAs val="zero"/>
    <c:showDLblsOverMax val="0"/>
  </c:chart>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
  <b:Source>
    <b:Tag>Jef07</b:Tag>
    <b:SourceType>Misc</b:SourceType>
    <b:Guid>{96F9F2B5-310F-46C9-9544-038A1AA098A2}</b:Guid>
    <b:Title>LOMLOU. Ley Orgánica 4/2007 que modifica la Ley Orgánica de Universidades</b:Title>
    <b:Year>2007</b:Year>
    <b:Publisher>BOE</b:Publisher>
    <b:Author>
      <b:Author>
        <b:Corporate>Jefatura del Estado</b:Corporate>
      </b:Author>
    </b:Author>
    <b:Month>abril</b:Month>
    <b:Day>12</b:Day>
    <b:CountryRegion>España</b:CountryRegion>
    <b:Comments>Disposición adicional vigésimo cuarta, apartado 5</b:Comments>
    <b:RefOrder>1</b:RefOrder>
  </b:Source>
  <b:Source>
    <b:Tag>MSS13</b:Tag>
    <b:SourceType>Misc</b:SourceType>
    <b:Guid>{72FB99B7-75EB-4A49-A6E7-0432F01D2604}</b:Guid>
    <b:Author>
      <b:Author>
        <b:Corporate>Ministerio de Sanidad Servicios Sociales e Igualdad</b:Corporate>
      </b:Author>
    </b:Author>
    <b:Title>RDL 1/2013 por el que se aprueba el Texto Refundido de la Ley General de los derechos de las personas con discapacidad y de su inclusión social</b:Title>
    <b:Year>2013</b:Year>
    <b:Publisher>BOE</b:Publisher>
    <b:Month>noviembre</b:Month>
    <b:Day>29</b:Day>
    <b:RefOrder>2</b:RefOrder>
  </b:Source>
  <b:Source>
    <b:Tag>IMS06</b:Tag>
    <b:SourceType>Book</b:SourceType>
    <b:Guid>{2D9866B9-A52E-4A8D-8BEE-0E7E62496FC1}</b:Guid>
    <b:Author>
      <b:Author>
        <b:Corporate>IMSERSO, Fundación ONCE, EIDD -Spain</b:Corporate>
      </b:Author>
    </b:Author>
    <b:Title>Libro Blanco del Diseño para Todos en la Universidad</b:Title>
    <b:Year>2006</b:Year>
    <b:RefOrder>3</b:RefOrder>
  </b:Source>
  <b:Source>
    <b:Tag>IMS10</b:Tag>
    <b:SourceType>Book</b:SourceType>
    <b:Guid>{B978F13F-F77C-4959-B0C9-82A7F349C51E}</b:Guid>
    <b:Title>Formación Curricular de Diseño para Todos en Arquitectura</b:Title>
    <b:Year>2010 -1</b:Year>
    <b:Author>
      <b:Author>
        <b:Corporate>IMSERSO, Fundación ONCE, EIDD-Spain</b:Corporate>
      </b:Author>
    </b:Author>
    <b:RefOrder>4</b:RefOrder>
  </b:Source>
  <b:Source>
    <b:Tag>IMS102</b:Tag>
    <b:SourceType>Book</b:SourceType>
    <b:Guid>{C7CF53BF-EF21-49BF-AFA6-67D9B74B43D5}</b:Guid>
    <b:Author>
      <b:Author>
        <b:Corporate>IMSERSO, Fundación ONCE, EIDD-Spain</b:Corporate>
      </b:Author>
    </b:Author>
    <b:Title>Formación Curricular de Dseño para Todos en Diseño</b:Title>
    <b:Year>2010 -2</b:Year>
    <b:RefOrder>5</b:RefOrder>
  </b:Source>
  <b:Source>
    <b:Tag>IMS103</b:Tag>
    <b:SourceType>Book</b:SourceType>
    <b:Guid>{FC6B923D-F7BE-4983-B6BF-F1D77273F81C}</b:Guid>
    <b:Author>
      <b:Author>
        <b:Corporate>IMSERSO, Fundación ONCE, EIDD-Spain</b:Corporate>
      </b:Author>
    </b:Author>
    <b:Title>Formación Curricular de Diseño para Todos en Informática y Telecomunicaciones</b:Title>
    <b:Year>2010 -3</b:Year>
    <b:RefOrder>6</b:RefOrder>
  </b:Source>
  <b:Source>
    <b:Tag>IMS101</b:Tag>
    <b:SourceType>Book</b:SourceType>
    <b:Guid>{6C167D70-EA6B-4A9B-8A03-5DC35D50727A}</b:Guid>
    <b:Author>
      <b:Author>
        <b:Corporate>IMSERSO, Fundación ONCE, EIDD-Spain</b:Corporate>
      </b:Author>
    </b:Author>
    <b:Title>Formación Curricular de Diseño para Todos en Ingeniería de Caminos, Cnales y Puertos</b:Title>
    <b:Year>2010 -4</b:Year>
    <b:RefOrder>7</b:RefOrder>
  </b:Source>
  <b:Source>
    <b:Tag>IMS104</b:Tag>
    <b:SourceType>Book</b:SourceType>
    <b:Guid>{D440D63E-9AEA-411B-A498-7609DD51450C}</b:Guid>
    <b:Author>
      <b:Author>
        <b:Corporate>IMSERSO, Fundación ONCE, EIDD-Spain</b:Corporate>
      </b:Author>
    </b:Author>
    <b:Title>Formación curricular de Diseño para Todos en Informática y Telecomunicaciones</b:Title>
    <b:Year>2010 -5</b:Year>
    <b:RefOrder>8</b:RefOrder>
  </b:Source>
  <b:Source>
    <b:Tag>Fun145</b:Tag>
    <b:SourceType>Book</b:SourceType>
    <b:Guid>{9B94C97E-0CE3-4160-A574-397FC6BEB5D3}</b:Guid>
    <b:Author>
      <b:Author>
        <b:Corporate>Fundación ONCE, CRUE</b:Corporate>
      </b:Author>
    </b:Author>
    <b:Title>Formación Curricular de Diseño para Todas las Personas en Administración y Dirección de Empresas -ADE</b:Title>
    <b:Year>2014 -1</b:Year>
    <b:RefOrder>9</b:RefOrder>
  </b:Source>
  <b:Source>
    <b:Tag>Fun144</b:Tag>
    <b:SourceType>Book</b:SourceType>
    <b:Guid>{99CF7537-A193-4FC7-927D-BB46680A393E}</b:Guid>
    <b:Author>
      <b:Author>
        <b:Corporate>Fundación ONCE, CRUE</b:Corporate>
      </b:Author>
    </b:Author>
    <b:Title>Formación Curricular de Diseño para Todas las Personas en Derecho</b:Title>
    <b:Year>2014 -2</b:Year>
    <b:RefOrder>10</b:RefOrder>
  </b:Source>
  <b:Source>
    <b:Tag>Fun14</b:Tag>
    <b:SourceType>Book</b:SourceType>
    <b:Guid>{80D677F4-9D86-4F7E-8DF0-76FBF9E590EC}</b:Guid>
    <b:Author>
      <b:Author>
        <b:Corporate>Fundación ONCE, CRUE</b:Corporate>
      </b:Author>
    </b:Author>
    <b:Title>Formación Curricular de Diseño para Todas las Personas en Medicina</b:Title>
    <b:Year>2014 -3</b:Year>
    <b:RefOrder>11</b:RefOrder>
  </b:Source>
  <b:Source>
    <b:Tag>Fun141</b:Tag>
    <b:SourceType>Book</b:SourceType>
    <b:Guid>{44B6D02F-929A-4C4A-92C2-17BB92599304}</b:Guid>
    <b:Author>
      <b:Author>
        <b:Corporate>Fundación ONCE, CRUE</b:Corporate>
      </b:Author>
    </b:Author>
    <b:Title>Formación Curricular de Diseño para Todas las Personas en Pedagogía</b:Title>
    <b:Year>2014 4</b:Year>
    <b:RefOrder>12</b:RefOrder>
  </b:Source>
  <b:Source>
    <b:Tag>Fun142</b:Tag>
    <b:SourceType>Book</b:SourceType>
    <b:Guid>{FE496D25-0553-43DA-99F1-6D44B1BAD62C}</b:Guid>
    <b:Author>
      <b:Author>
        <b:Corporate>Fundación ONCE, CRUE</b:Corporate>
      </b:Author>
    </b:Author>
    <b:Title>Formación Curricular de Diseño para Todas las Personas en Psicología</b:Title>
    <b:Year>2014 -5</b:Year>
    <b:RefOrder>13</b:RefOrder>
  </b:Source>
  <b:Source>
    <b:Tag>Fun143</b:Tag>
    <b:SourceType>Book</b:SourceType>
    <b:Guid>{2DE3AC83-6803-448C-81A8-B2607B957DCA}</b:Guid>
    <b:Author>
      <b:Author>
        <b:Corporate>Fundación ONCE, CRUE</b:Corporate>
      </b:Author>
    </b:Author>
    <b:Title>Formación Curricular de Diseño para Todas las Personas en Trabajo Social</b:Title>
    <b:Year>2014 -6</b:Year>
    <b:RefOrder>14</b:RefOrder>
  </b:Source>
  <b:Source>
    <b:Tag>Gua12</b:Tag>
    <b:SourceType>Book</b:SourceType>
    <b:Guid>{3243CF86-B82E-483E-BD53-EFD337867EC0}</b:Guid>
    <b:Author>
      <b:Author>
        <b:Corporate>CATAC</b:Corporate>
      </b:Author>
    </b:Author>
    <b:Title>Evaluación de la implementación de los principios de igualdad de oportunidades y accesibilidad universal en los planes de estudios de los títulos de grado de las universidades españolas</b:Title>
    <b:Year>2013</b:Year>
    <b:Edition>OUD</b:Edition>
    <b:RefOrder>15</b:RefOrder>
  </b:Source>
  <b:Source>
    <b:Tag>Her14</b:Tag>
    <b:SourceType>JournalArticle</b:SourceType>
    <b:Guid>{453FE009-2800-415A-B34F-19E0A1C2671B}</b:Guid>
    <b:Author>
      <b:Author>
        <b:NameList>
          <b:Person>
            <b:Last>De la Fuente Y</b:Last>
            <b:First>Hernández</b:First>
            <b:Middle>J, Campo M</b:Middle>
          </b:Person>
        </b:NameList>
      </b:Author>
    </b:Author>
    <b:Title>La accesibilidad universal y el diseño para todas las personas factor clave para la inclusión social desde el design thinking curricular</b:Title>
    <b:Year>2014</b:Year>
    <b:JournalName>Educació Social. Revista d'intervenció Socioeducativa</b:JournalName>
    <b:Pages>119-134</b:Pages>
    <b:Issue>58</b:Issue>
    <b:RefOrder>16</b:RefOrder>
  </b:Source>
  <b:Source>
    <b:Tag>Jim15</b:Tag>
    <b:SourceType>Book</b:SourceType>
    <b:Guid>{A14BD342-2586-4DDA-93B4-1294FCF23AF5}</b:Guid>
    <b:Author>
      <b:Author>
        <b:NameList>
          <b:Person>
            <b:Last>Jimenez D</b:Last>
            <b:First>de</b:First>
            <b:Middle>la Fuente Y, Hernández-Galán J</b:Middle>
          </b:Person>
        </b:NameList>
      </b:Author>
    </b:Author>
    <b:Title>Madrid Accessibility Week 2014. Compartiendo Accesibilidad</b:Title>
    <b:Year>2015</b:Year>
    <b:Edition>UNIA</b:Edition>
    <b:RefOrder>17</b:RefOrder>
  </b:Source>
  <b:Source>
    <b:Tag>Jim</b:Tag>
    <b:SourceType>Book</b:SourceType>
    <b:Guid>{D1BA38AC-AD49-4E83-B626-390F07DA8966}</b:Guid>
    <b:Author>
      <b:Author>
        <b:NameList>
          <b:Person>
            <b:Last>Jimenez D</b:Last>
            <b:First>de</b:First>
            <b:Middle>la Fuente Y, Hernández-Galán J</b:Middle>
          </b:Person>
        </b:NameList>
      </b:Author>
    </b:Author>
    <b:Title>Madrid Accessibility Week 2015. Turismo, Tecnología y Accesibilidad</b:Title>
    <b:Edition>UNIA</b:Edition>
    <b:Year>2016</b:Year>
    <b:RefOrder>18</b:RefOrder>
  </b:Source>
  <b:Source>
    <b:Tag>Cha96</b:Tag>
    <b:SourceType>ConferenceProceedings</b:SourceType>
    <b:Guid>{FC8EC30D-FEE2-4DE9-B18B-6EE4513103B6}</b:Guid>
    <b:Author>
      <b:Author>
        <b:Corporate>Chandrasekar, R. and Doran, C. and Srinivas, B.</b:Corporate>
      </b:Author>
    </b:Author>
    <b:Title>Motivations and Methods for Text Simplification</b:Title>
    <b:Year>1996</b:Year>
    <b:Publisher>En Proceedings of the Sixteenth International Conference on Computational Linguistics (COLING '96)</b:Publisher>
    <b:RefOrder>1</b:RefOrder>
  </b:Source>
  <b:Source>
    <b:Tag>Pet07</b:Tag>
    <b:SourceType>JournalArticle</b:SourceType>
    <b:Guid>{11760309-B14A-4E9A-B545-4781A1B8FD64}</b:Guid>
    <b:Title>Text Simplification for Language Learners: A Corpus Analysis</b:Title>
    <b:Year>2007</b:Year>
    <b:Author>
      <b:Author>
        <b:Corporate>Petersen, S. E. and Ostendorf, M. </b:Corporate>
      </b:Author>
    </b:Author>
    <b:JournalName>Speech and Language Technology for Education</b:JournalName>
    <b:RefOrder>2</b:RefOrder>
  </b:Source>
  <b:Source>
    <b:Tag>Bau08</b:Tag>
    <b:SourceType>Book</b:SourceType>
    <b:Guid>{DD78DA57-98A4-4288-B7E8-C91F6484B5E7}</b:Guid>
    <b:Author>
      <b:Author>
        <b:NameList>
          <b:Person>
            <b:Last>Bautista</b:Last>
            <b:First>Susana</b:First>
          </b:Person>
        </b:NameList>
      </b:Author>
    </b:Author>
    <b:Title>Generación de textos adaptativa a partir de una elección léxica basada en emociones</b:Title>
    <b:Year>2008</b:Year>
    <b:City>Madrid</b:City>
    <b:Publisher>UCM</b:Publisher>
    <b:Edition>Tesis de master</b:Edition>
    <b:RefOrder>3</b:RefOrder>
  </b:Source>
  <b:Source>
    <b:Tag>Bau15</b:Tag>
    <b:SourceType>Book</b:SourceType>
    <b:Guid>{2718D2D1-679F-4142-B84D-97879BE03EBA}</b:Guid>
    <b:Author>
      <b:Author>
        <b:NameList>
          <b:Person>
            <b:Last>Bautista</b:Last>
            <b:First>Susana</b:First>
          </b:Person>
        </b:NameList>
      </b:Author>
    </b:Author>
    <b:Title>Un modelo computacional para la simplificación automática de expresiones numéricas</b:Title>
    <b:Year>2015</b:Year>
    <b:City>Madrid</b:City>
    <b:Publisher>UCM</b:Publisher>
    <b:Edition>Tesis Doctoral</b:Edition>
    <b:RefOrder>4</b:RefOrder>
  </b:Source>
  <b:Source>
    <b:Tag>Her13</b:Tag>
    <b:SourceType>JournalArticle</b:SourceType>
    <b:Guid>{D7FD1396-B831-4B55-A468-1ED4791A8BB8}</b:Guid>
    <b:Title>Integration of lexical and syntactic simplification capabilities in a text editr</b:Title>
    <b:Year>2013</b:Year>
    <b:Author>
      <b:Author>
        <b:Corporate>Hervás, R. and Bautista, S. and Rodríguez, M. and de Salas, T. and Vargas, A. and Gervás, P.</b:Corporate>
      </b:Author>
    </b:Author>
    <b:JournalName>Procedia Computer Science</b:JournalName>
    <b:RefOrder>5</b:RefOrder>
  </b:Source>
  <b:Source>
    <b:Tag>Bau12</b:Tag>
    <b:SourceType>JournalArticle</b:SourceType>
    <b:Guid>{74373DC0-7251-48B9-A114-79DEDBD1FAD1}</b:Guid>
    <b:Title>Análisis de la Simplificación de Expresiones Numéricas en Español mediante un Estudio Empírico</b:Title>
    <b:Year>2012</b:Year>
    <b:Author>
      <b:Author>
        <b:Corporate>Bautista, S. and Drndarevic, B. and Hervás, R. and Saggion, H. and Gervás, P.</b:Corporate>
      </b:Author>
    </b:Author>
    <b:JournalName>Linguamática</b:JournalName>
    <b:Pages>27-41</b:Pages>
    <b:Volume>4</b:Volume>
    <b:Issue>2</b:Issue>
    <b:RefOrder>6</b:RefOrder>
  </b:Source>
  <b:Source>
    <b:Tag>Bau151</b:Tag>
    <b:SourceType>JournalArticle</b:SourceType>
    <b:Guid>{F6AB02BF-5C8E-4D0E-92A7-C36F2A0DD5DB}</b:Guid>
    <b:Author>
      <b:Author>
        <b:Corporate>Bautista, S. and Hervás, R. and Gervás, P. and Rojo, J. </b:Corporate>
      </b:Author>
    </b:Author>
    <b:Title>A Model for the Universal Access to Numerical Information</b:Title>
    <b:JournalName>Universal Access in the Information Society </b:JournalName>
    <b:Year>2015</b:Year>
    <b:RefOrder>7</b:RefOrder>
  </b:Source>
  <b:Source>
    <b:Tag>Dia05</b:Tag>
    <b:SourceType>Book</b:SourceType>
    <b:Guid>{ADAB932B-4121-4B95-B52C-300BDEECF77A}</b:Guid>
    <b:Title>Integración de técnicas de clasificación de texto y modelado de usuario para la personalización en servicios de noticias</b:Title>
    <b:Year>2005</b:Year>
    <b:Author>
      <b:Author>
        <b:NameList>
          <b:Person>
            <b:Last>Diaz</b:Last>
            <b:First>Alberto</b:First>
          </b:Person>
        </b:NameList>
      </b:Author>
    </b:Author>
    <b:City>Madrid</b:City>
    <b:Publisher>UCM</b:Publisher>
    <b:Edition>Tesis Doctoral</b:Edition>
    <b:RefOrder>8</b:RefOrder>
  </b:Source>
  <b:Source>
    <b:Tag>Pla11</b:Tag>
    <b:SourceType>Book</b:SourceType>
    <b:Guid>{038A5632-3762-43FF-99AF-54CEE745E7A4}</b:Guid>
    <b:Author>
      <b:Author>
        <b:NameList>
          <b:Person>
            <b:Last>Plaza</b:Last>
            <b:First>L.</b:First>
          </b:Person>
        </b:NameList>
      </b:Author>
    </b:Author>
    <b:Title>The Use of Semantic Graphs in Automatic Summarization: Comparative Case Studies in Biomedicine, Journalism and Tourism</b:Title>
    <b:Year>2011</b:Year>
    <b:City>Madrid</b:City>
    <b:Publisher>UCM</b:Publisher>
    <b:Edition>Tesis Doctoral</b:Edition>
    <b:RefOrder>9</b:RefOrder>
  </b:Source>
  <b:Source>
    <b:Tag>Bab10</b:Tag>
    <b:SourceType>ConferenceProceedings</b:SourceType>
    <b:Guid>{BA775C41-CEE7-4372-8862-AE442843B182}</b:Guid>
    <b:Title>Plataforma de Control de Mensajería Instantánea bajo sistemas ACCS</b:Title>
    <b:Year>2010</b:Year>
    <b:City>Barcelona</b:City>
    <b:Publisher>International Society for Augmentative and Alternative Communication</b:Publisher>
    <b:Author>
      <b:Author>
        <b:Corporate>Babio, J. and Gil, E. and Jimenez, L. </b:Corporate>
      </b:Author>
    </b:Author>
    <b:RefOrder>10</b:RefOrder>
  </b:Source>
  <b:Source>
    <b:Tag>Gil12</b:Tag>
    <b:SourceType>ConferenceProceedings</b:SourceType>
    <b:Guid>{637959A4-DAED-457A-9401-B9B3D2D58B78}</b:Guid>
    <b:Author>
      <b:Author>
        <b:Corporate>Gil, E. and Gervás, P. and Hervás, R. and Jimenez, L. </b:Corporate>
      </b:Author>
    </b:Author>
    <b:Title>INTERpretación de diálogos en mensajería instantánea bajo sistemas SAACs</b:Title>
    <b:Year>2012</b:Year>
    <b:City>Madrid</b:City>
    <b:Publisher>I Congreso Internacional Universidad y Discapacidad</b:Publisher>
    <b:RefOrder>11</b:RefOrder>
  </b:Source>
  <b:Source>
    <b:Tag>Gil15</b:Tag>
    <b:SourceType>Book</b:SourceType>
    <b:Guid>{F53D2EBC-8C39-4EB0-86C0-F97B6CD5A8ED}</b:Guid>
    <b:Title>INTERacción comunicativa en mensajería instantánea bajo sistemas SAACs</b:Title>
    <b:Year>2015</b:Year>
    <b:City>Madrid</b:City>
    <b:Publisher>UCM</b:Publisher>
    <b:Author>
      <b:Author>
        <b:NameList>
          <b:Person>
            <b:Last>Gil</b:Last>
            <b:First>Eva</b:First>
          </b:Person>
        </b:NameList>
      </b:Author>
    </b:Author>
    <b:Edition>Tesis de Máster</b:Edition>
    <b:RefOrder>12</b:RefOrder>
  </b:Source>
  <b:Source>
    <b:Tag>Fra08</b:Tag>
    <b:SourceType>Book</b:SourceType>
    <b:Guid>{245BBF56-7D32-46DB-AFDB-DE647588B8F4}</b:Guid>
    <b:Author>
      <b:Author>
        <b:Corporate>Francisco, V. </b:Corporate>
      </b:Author>
    </b:Author>
    <b:Title>Identificación Automática del Contenido Afectivo de un Texto y su papel en la Presentación de Información</b:Title>
    <b:Year>2008</b:Year>
    <b:City>Madrid</b:City>
    <b:Publisher>UCM</b:Publisher>
    <b:Edition>Tesis Doctoral</b:Edition>
    <b:RefOrder>13</b:RefOrder>
  </b:Source>
  <b:Source>
    <b:Tag>Car11</b:Tag>
    <b:SourceType>Book</b:SourceType>
    <b:Guid>{48AF5081-3919-4D59-B899-3BCC66EB2581}</b:Guid>
    <b:Author>
      <b:Author>
        <b:NameList>
          <b:Person>
            <b:Last>Carrillo de Albornoz</b:Last>
            <b:First>Jorge</b:First>
          </b:Person>
        </b:NameList>
      </b:Author>
    </b:Author>
    <b:Title>Combining Linguistic and Semantic Information in an Emotion-based Model for Polarity and Intensity Classification</b:Title>
    <b:Year>2011</b:Year>
    <b:City>Madrid</b:City>
    <b:Publisher>UCM</b:Publisher>
    <b:Edition>Tesis Doctoral</b:Edition>
    <b:RefOrder>14</b:RefOrder>
  </b:Source>
  <b:Source>
    <b:Tag>Fra11</b:Tag>
    <b:SourceType>JournalArticle</b:SourceType>
    <b:Guid>{B02D41B1-4752-4F92-9D8B-24B1089C289D}</b:Guid>
    <b:Author>
      <b:Author>
        <b:Corporate>Francisco, V. and Hervás, R. and Peinado, F. and Gervás, P.</b:Corporate>
      </b:Author>
    </b:Author>
    <b:Title>EmoTales: creating a corpus of folk tales with emotional annotations</b:Title>
    <b:JournalName>Language Resources and Evaluation</b:JournalName>
    <b:Year>2011</b:Year>
    <b:Pages>341-381</b:Pages>
    <b:Volume>46</b:Volume>
    <b:Issue>3</b:Issue>
    <b:RefOrder>15</b:RefOrder>
  </b:Source>
  <b:Source>
    <b:Tag>Fra12</b:Tag>
    <b:SourceType>JournalArticle</b:SourceType>
    <b:Guid>{DA58CA50-22AB-4738-BE14-01DE365DC120}</b:Guid>
    <b:Author>
      <b:Author>
        <b:Corporate>Francisco, V. and Gervás, P.</b:Corporate>
      </b:Author>
    </b:Author>
    <b:Title>EmoTag: An Approach to Automated Markup of Emotions in Texts</b:Title>
    <b:JournalName>Computation Intelligence</b:JournalName>
    <b:Year>2012</b:Year>
    <b:Pages>680-721</b:Pages>
    <b:Volume>29</b:Volume>
    <b:Issue>4</b:Issue>
    <b:RefOrder>16</b:RefOrder>
  </b:Source>
  <b:Source>
    <b:Tag>Bau13</b:Tag>
    <b:SourceType>ConferenceProceedings</b:SourceType>
    <b:Guid>{67017BF1-7675-4572-B104-8D1A80AE06F9}</b:Guid>
    <b:Title>A System for the Simplification of Numerical Expressions at Different Levels of Understandability.</b:Title>
    <b:Year>2013</b:Year>
    <b:Author>
      <b:Author>
        <b:Corporate>Bautista, S. and Hervás, R. and Gervás, P. and Power, R. and Williams, S.</b:Corporate>
      </b:Author>
    </b:Author>
    <b:City>Atlanta, USA</b:City>
    <b:Publisher>Workshop of Natural Language Processing for Improving Textual Accessibility</b:Publisher>
    <b:RefOrder>17</b:RefOrder>
  </b:Source>
  <b:Source>
    <b:Tag>Rel13</b:Tag>
    <b:SourceType>ConferenceProceedings</b:SourceType>
    <b:Guid>{99881CD0-EC1D-416C-BD71-77AF9D23C084}</b:Guid>
    <b:Author>
      <b:Author>
        <b:Corporate>Rello, L. and Bautista, S. and Baeza-Yates, R. and Gervás, P. and Hervás, R. and Saggion, H.</b:Corporate>
      </b:Author>
    </b:Author>
    <b:Title>One Half or 50%? An Eye-Tracking Study of Number Representation Readability</b:Title>
    <b:Year>2013</b:Year>
    <b:City>Cape Town, South Africa</b:City>
    <b:Publisher>Human-Computer Interaccion</b:Publisher>
    <b:RefOrder>18</b:RefOrder>
  </b:Source>
  <b:Source>
    <b:Tag>Fra10</b:Tag>
    <b:SourceType>JournalArticle</b:SourceType>
    <b:Guid>{15280732-9C05-489C-BC41-636B16C52055}</b:Guid>
    <b:Title>Ontological reasoning for improving the treatment of emotions in text</b:Title>
    <b:Year>2010</b:Year>
    <b:Author>
      <b:Author>
        <b:Corporate>Francisco, V. and Hervás, R. and Peinado, F. and Gervás, P. </b:Corporate>
      </b:Author>
    </b:Author>
    <b:JournalName>Knowledge and Information Systems</b:JournalName>
    <b:Pages>421-443</b:Pages>
    <b:Volume>25</b:Volume>
    <b:Issue>3</b:Issue>
    <b:RefOrder>19</b:RefOrder>
  </b:Source>
</b:Sources>
</file>

<file path=customXml/itemProps1.xml><?xml version="1.0" encoding="utf-8"?>
<ds:datastoreItem xmlns:ds="http://schemas.openxmlformats.org/officeDocument/2006/customXml" ds:itemID="{2AE510BB-EC39-48EF-84F0-9DC77D0E5B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182</TotalTime>
  <Pages>861</Pages>
  <Words>206814</Words>
  <Characters>1137477</Characters>
  <Application>Microsoft Office Word</Application>
  <DocSecurity>0</DocSecurity>
  <Lines>9478</Lines>
  <Paragraphs>2683</Paragraphs>
  <ScaleCrop>false</ScaleCrop>
  <HeadingPairs>
    <vt:vector size="2" baseType="variant">
      <vt:variant>
        <vt:lpstr>Título</vt:lpstr>
      </vt:variant>
      <vt:variant>
        <vt:i4>1</vt:i4>
      </vt:variant>
    </vt:vector>
  </HeadingPairs>
  <TitlesOfParts>
    <vt:vector size="1" baseType="lpstr">
      <vt:lpstr/>
    </vt:vector>
  </TitlesOfParts>
  <Company>FUNDACION ONCE</Company>
  <LinksUpToDate>false</LinksUpToDate>
  <CharactersWithSpaces>1341608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Requena Ayguens, Inmaculada</dc:creator>
  <cp:keywords/>
  <dc:description/>
  <cp:lastModifiedBy>FUNDOSA</cp:lastModifiedBy>
  <cp:revision>38</cp:revision>
  <dcterms:created xsi:type="dcterms:W3CDTF">2018-06-04T06:49:00Z</dcterms:created>
  <dcterms:modified xsi:type="dcterms:W3CDTF">2018-06-04T12:18:00Z</dcterms:modified>
</cp:coreProperties>
</file>